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76C" w:rsidRPr="00AC396A" w:rsidRDefault="007D176C" w:rsidP="00AC396A">
      <w:pPr>
        <w:ind w:firstLine="480"/>
        <w:rPr>
          <w:rFonts w:ascii="宋体" w:eastAsia="宋体" w:hAnsi="宋体"/>
          <w:bCs/>
          <w:sz w:val="24"/>
          <w:szCs w:val="24"/>
        </w:rPr>
      </w:pPr>
      <w:bookmarkStart w:id="0" w:name="_GoBack"/>
      <w:bookmarkEnd w:id="0"/>
      <w:r w:rsidRPr="00AC396A">
        <w:rPr>
          <w:rFonts w:ascii="宋体" w:eastAsia="宋体" w:hAnsi="宋体" w:hint="eastAsia"/>
          <w:bCs/>
          <w:sz w:val="24"/>
          <w:szCs w:val="24"/>
        </w:rPr>
        <w:t>证券代码：</w:t>
      </w:r>
      <w:sdt>
        <w:sdtPr>
          <w:rPr>
            <w:rFonts w:ascii="宋体" w:eastAsia="宋体" w:hAnsi="宋体" w:hint="eastAsia"/>
            <w:bCs/>
            <w:sz w:val="24"/>
            <w:szCs w:val="24"/>
          </w:rPr>
          <w:alias w:val="公司代码"/>
          <w:tag w:val="_GBC_62ef04c8e14e4c76b304f7775b7d8722"/>
          <w:id w:val="147477448"/>
          <w:placeholder>
            <w:docPart w:val="E49C836FBBD64D06B65A1383D9860638"/>
          </w:placeholder>
        </w:sdtPr>
        <w:sdtEndPr/>
        <w:sdtContent>
          <w:r w:rsidRPr="00AC396A">
            <w:rPr>
              <w:rFonts w:ascii="宋体" w:eastAsia="宋体" w:hAnsi="宋体"/>
              <w:bCs/>
              <w:sz w:val="24"/>
              <w:szCs w:val="24"/>
            </w:rPr>
            <w:t>600377</w:t>
          </w:r>
        </w:sdtContent>
      </w:sdt>
      <w:r w:rsidRPr="00AC396A">
        <w:rPr>
          <w:rFonts w:ascii="宋体" w:eastAsia="宋体" w:hAnsi="宋体"/>
          <w:bCs/>
          <w:sz w:val="24"/>
          <w:szCs w:val="24"/>
        </w:rPr>
        <w:t xml:space="preserve">    </w:t>
      </w:r>
      <w:r>
        <w:rPr>
          <w:rFonts w:ascii="宋体" w:eastAsia="宋体" w:hAnsi="宋体"/>
          <w:bCs/>
          <w:sz w:val="24"/>
          <w:szCs w:val="24"/>
        </w:rPr>
        <w:t xml:space="preserve">  </w:t>
      </w:r>
      <w:r w:rsidRPr="00AC396A">
        <w:rPr>
          <w:rFonts w:ascii="宋体" w:eastAsia="宋体" w:hAnsi="宋体"/>
          <w:bCs/>
          <w:sz w:val="24"/>
          <w:szCs w:val="24"/>
        </w:rPr>
        <w:t xml:space="preserve"> </w:t>
      </w:r>
      <w:r w:rsidRPr="00AC396A">
        <w:rPr>
          <w:rFonts w:ascii="宋体" w:eastAsia="宋体" w:hAnsi="宋体" w:hint="eastAsia"/>
          <w:bCs/>
          <w:sz w:val="24"/>
          <w:szCs w:val="24"/>
        </w:rPr>
        <w:t>证券简称：</w:t>
      </w:r>
      <w:sdt>
        <w:sdtPr>
          <w:rPr>
            <w:rFonts w:ascii="宋体" w:eastAsia="宋体" w:hAnsi="宋体" w:hint="eastAsia"/>
            <w:bCs/>
            <w:sz w:val="24"/>
            <w:szCs w:val="24"/>
          </w:rPr>
          <w:alias w:val="公司简称"/>
          <w:tag w:val="_GBC_81c31f6c68a741c1acb30ff1595bc381"/>
          <w:id w:val="147477710"/>
          <w:placeholder>
            <w:docPart w:val="E49C836FBBD64D06B65A1383D9860638"/>
          </w:placeholder>
        </w:sdtPr>
        <w:sdtEndPr/>
        <w:sdtContent>
          <w:r w:rsidRPr="00AC396A">
            <w:rPr>
              <w:rFonts w:ascii="宋体" w:eastAsia="宋体" w:hAnsi="宋体" w:hint="eastAsia"/>
              <w:bCs/>
              <w:sz w:val="24"/>
              <w:szCs w:val="24"/>
            </w:rPr>
            <w:t>宁沪高速</w:t>
          </w:r>
        </w:sdtContent>
      </w:sdt>
      <w:r w:rsidRPr="00AC396A">
        <w:rPr>
          <w:rFonts w:ascii="宋体" w:eastAsia="宋体" w:hAnsi="宋体"/>
          <w:bCs/>
          <w:sz w:val="24"/>
          <w:szCs w:val="24"/>
        </w:rPr>
        <w:t xml:space="preserve">     </w:t>
      </w:r>
      <w:r>
        <w:rPr>
          <w:rFonts w:ascii="宋体" w:eastAsia="宋体" w:hAnsi="宋体"/>
          <w:bCs/>
          <w:sz w:val="24"/>
          <w:szCs w:val="24"/>
        </w:rPr>
        <w:t xml:space="preserve"> </w:t>
      </w:r>
      <w:r w:rsidRPr="00AC396A">
        <w:rPr>
          <w:rFonts w:ascii="宋体" w:eastAsia="宋体" w:hAnsi="宋体" w:hint="eastAsia"/>
          <w:bCs/>
          <w:sz w:val="24"/>
          <w:szCs w:val="24"/>
        </w:rPr>
        <w:t>公告编号：</w:t>
      </w:r>
      <w:sdt>
        <w:sdtPr>
          <w:rPr>
            <w:rFonts w:ascii="宋体" w:eastAsia="宋体" w:hAnsi="宋体" w:hint="eastAsia"/>
            <w:bCs/>
            <w:sz w:val="24"/>
            <w:szCs w:val="24"/>
          </w:rPr>
          <w:alias w:val="临时公告编号"/>
          <w:tag w:val="_GBC_51438e46cb944a2bb6b9cb5e9d53d512"/>
          <w:id w:val="147475119"/>
          <w:placeholder>
            <w:docPart w:val="E49C836FBBD64D06B65A1383D9860638"/>
          </w:placeholder>
        </w:sdtPr>
        <w:sdtEndPr/>
        <w:sdtContent>
          <w:r w:rsidRPr="00AC396A">
            <w:rPr>
              <w:rFonts w:ascii="宋体" w:eastAsia="宋体" w:hAnsi="宋体"/>
              <w:bCs/>
              <w:sz w:val="24"/>
              <w:szCs w:val="24"/>
            </w:rPr>
            <w:t>2026-0</w:t>
          </w:r>
          <w:r>
            <w:rPr>
              <w:rFonts w:ascii="宋体" w:eastAsia="宋体" w:hAnsi="宋体" w:hint="eastAsia"/>
              <w:bCs/>
              <w:sz w:val="24"/>
              <w:szCs w:val="24"/>
            </w:rPr>
            <w:t>4</w:t>
          </w:r>
          <w:r>
            <w:rPr>
              <w:rFonts w:ascii="宋体" w:eastAsia="宋体" w:hAnsi="宋体"/>
              <w:bCs/>
              <w:sz w:val="24"/>
              <w:szCs w:val="24"/>
            </w:rPr>
            <w:t>7</w:t>
          </w:r>
        </w:sdtContent>
      </w:sdt>
      <w:r w:rsidRPr="00AC396A">
        <w:rPr>
          <w:rFonts w:ascii="宋体" w:eastAsia="宋体" w:hAnsi="宋体"/>
          <w:bCs/>
          <w:sz w:val="24"/>
          <w:szCs w:val="24"/>
        </w:rPr>
        <w:t xml:space="preserve"> </w:t>
      </w:r>
    </w:p>
    <w:p w:rsidR="007D176C" w:rsidRDefault="007D176C" w:rsidP="007D176C">
      <w:pPr>
        <w:ind w:firstLine="643"/>
        <w:jc w:val="right"/>
        <w:rPr>
          <w:rFonts w:asciiTheme="minorEastAsia" w:hAnsiTheme="minorEastAsia"/>
          <w:b/>
          <w:szCs w:val="24"/>
        </w:rPr>
      </w:pPr>
    </w:p>
    <w:p w:rsidR="007F1978" w:rsidRPr="00AC396A" w:rsidRDefault="00924EBC">
      <w:pPr>
        <w:widowControl w:val="0"/>
        <w:adjustRightInd w:val="0"/>
        <w:snapToGrid w:val="0"/>
        <w:spacing w:line="560" w:lineRule="exact"/>
        <w:ind w:firstLineChars="0" w:firstLine="0"/>
        <w:jc w:val="center"/>
        <w:rPr>
          <w:rFonts w:ascii="黑体" w:eastAsia="黑体" w:hAnsi="黑体"/>
          <w:b/>
          <w:color w:val="FF0000"/>
          <w:sz w:val="36"/>
          <w:szCs w:val="24"/>
          <w14:ligatures w14:val="none"/>
        </w:rPr>
      </w:pPr>
      <w:r w:rsidRPr="00AC396A">
        <w:rPr>
          <w:rFonts w:ascii="黑体" w:eastAsia="黑体" w:hAnsi="黑体" w:hint="eastAsia"/>
          <w:b/>
          <w:color w:val="FF0000"/>
          <w:sz w:val="36"/>
          <w:szCs w:val="24"/>
          <w14:ligatures w14:val="none"/>
        </w:rPr>
        <w:t>江苏宁沪高速公路股份有限公司</w:t>
      </w:r>
    </w:p>
    <w:p w:rsidR="007F1978" w:rsidRDefault="00924EBC">
      <w:pPr>
        <w:widowControl w:val="0"/>
        <w:adjustRightInd w:val="0"/>
        <w:snapToGrid w:val="0"/>
        <w:spacing w:line="560" w:lineRule="exact"/>
        <w:ind w:firstLineChars="0" w:firstLine="0"/>
        <w:jc w:val="center"/>
        <w:rPr>
          <w:rFonts w:ascii="黑体" w:eastAsia="黑体" w:hAnsi="黑体"/>
          <w:b/>
          <w:color w:val="FF0000"/>
          <w:sz w:val="36"/>
          <w:szCs w:val="24"/>
          <w14:ligatures w14:val="none"/>
        </w:rPr>
      </w:pPr>
      <w:r w:rsidRPr="00AC396A">
        <w:rPr>
          <w:rFonts w:ascii="黑体" w:eastAsia="黑体" w:hAnsi="黑体" w:hint="eastAsia"/>
          <w:b/>
          <w:color w:val="FF0000"/>
          <w:sz w:val="36"/>
          <w:szCs w:val="24"/>
          <w14:ligatures w14:val="none"/>
        </w:rPr>
        <w:t>关于向本公司</w:t>
      </w:r>
      <w:r w:rsidR="00A726A9" w:rsidRPr="00AC396A">
        <w:rPr>
          <w:rFonts w:ascii="黑体" w:eastAsia="黑体" w:hAnsi="黑体"/>
          <w:b/>
          <w:color w:val="FF0000"/>
          <w:sz w:val="36"/>
          <w:szCs w:val="24"/>
          <w14:ligatures w14:val="none"/>
        </w:rPr>
        <w:t>全资</w:t>
      </w:r>
      <w:r w:rsidRPr="00AC396A">
        <w:rPr>
          <w:rFonts w:ascii="黑体" w:eastAsia="黑体" w:hAnsi="黑体" w:hint="eastAsia"/>
          <w:b/>
          <w:color w:val="FF0000"/>
          <w:sz w:val="36"/>
          <w:szCs w:val="24"/>
          <w14:ligatures w14:val="none"/>
        </w:rPr>
        <w:t>子公司增资的公告</w:t>
      </w:r>
    </w:p>
    <w:p w:rsidR="00D62C8E" w:rsidRPr="00AC396A" w:rsidRDefault="00D62C8E">
      <w:pPr>
        <w:widowControl w:val="0"/>
        <w:adjustRightInd w:val="0"/>
        <w:snapToGrid w:val="0"/>
        <w:spacing w:line="560" w:lineRule="exact"/>
        <w:ind w:firstLineChars="0" w:firstLine="0"/>
        <w:jc w:val="center"/>
        <w:rPr>
          <w:rFonts w:ascii="黑体" w:eastAsia="黑体" w:hAnsi="黑体"/>
          <w:b/>
          <w:color w:val="FF0000"/>
          <w:sz w:val="36"/>
          <w:szCs w:val="24"/>
          <w14:ligatures w14:val="none"/>
        </w:rPr>
      </w:pPr>
    </w:p>
    <w:p w:rsidR="007F1978" w:rsidRPr="00AC396A" w:rsidRDefault="004A3CAB">
      <w:pPr>
        <w:widowControl w:val="0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adjustRightInd w:val="0"/>
        <w:spacing w:line="560" w:lineRule="exact"/>
        <w:ind w:firstLineChars="0" w:firstLine="0"/>
        <w:rPr>
          <w:rFonts w:ascii="宋体" w:eastAsia="宋体" w:hAnsi="宋体" w:cs="Times New Roman"/>
          <w:color w:val="auto"/>
          <w:sz w:val="24"/>
          <w14:ligatures w14:val="none"/>
        </w:rPr>
      </w:pPr>
      <w:r w:rsidRPr="004A3CAB">
        <w:rPr>
          <w:rFonts w:ascii="宋体" w:eastAsia="宋体" w:hAnsi="宋体" w:cs="Times New Roman" w:hint="eastAsia"/>
          <w:color w:val="auto"/>
          <w:sz w:val="24"/>
          <w14:ligatures w14:val="none"/>
        </w:rPr>
        <w:t>本公司董事会及全体董事保证本公告内容不存在任何虚假记载、误导性陈述或者重大遗漏，并对其内容的真实性、准确性和完整性承担法律责任。</w:t>
      </w:r>
    </w:p>
    <w:p w:rsidR="007F1978" w:rsidRDefault="007F1978">
      <w:pPr>
        <w:widowControl w:val="0"/>
        <w:adjustRightInd w:val="0"/>
        <w:snapToGrid w:val="0"/>
        <w:spacing w:line="360" w:lineRule="auto"/>
        <w:ind w:firstLineChars="0" w:firstLine="0"/>
        <w:rPr>
          <w:rFonts w:ascii="宋体" w:eastAsia="宋体" w:hAnsi="宋体" w:cs="宋体"/>
          <w:b/>
          <w:color w:val="auto"/>
          <w:sz w:val="24"/>
          <w:szCs w:val="24"/>
          <w14:ligatures w14:val="none"/>
        </w:rPr>
      </w:pPr>
    </w:p>
    <w:p w:rsidR="007F1978" w:rsidRPr="00A811FB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 w:rsidRPr="00A811FB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重要内容提示：</w:t>
      </w:r>
    </w:p>
    <w:p w:rsidR="007F1978" w:rsidRPr="00A811FB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1.交易简要内容：江苏宁沪高速公路股份有限公司（以下简称“本公司”）</w:t>
      </w:r>
      <w:r w:rsidR="004778C6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拟</w:t>
      </w: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向</w:t>
      </w:r>
      <w:r w:rsidR="00A726A9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全资</w:t>
      </w: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子公司</w:t>
      </w:r>
      <w:r w:rsidR="004778C6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江苏云杉清洁能源投资控股有限公司（以下简称“云杉清能</w:t>
      </w:r>
      <w:r w:rsidR="00B71841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公司</w:t>
      </w:r>
      <w:r w:rsidR="004778C6" w:rsidRPr="00A811FB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”）</w:t>
      </w:r>
      <w:r w:rsidRPr="00A811FB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增资。</w:t>
      </w:r>
    </w:p>
    <w:p w:rsidR="007F1978" w:rsidRPr="00303ABD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2.增资金额：</w:t>
      </w:r>
      <w:r w:rsidR="004778C6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增加注册资本金6亿元，共分5年出资到位，2026年预计将增资4000万元，待全部增资完成后，云杉</w:t>
      </w:r>
      <w:proofErr w:type="gramStart"/>
      <w:r w:rsidR="004778C6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清能注册</w:t>
      </w:r>
      <w:proofErr w:type="gramEnd"/>
      <w:r w:rsidR="004778C6"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资本由20亿元增至26亿元。</w:t>
      </w:r>
    </w:p>
    <w:p w:rsidR="007F1978" w:rsidRPr="00303ABD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3.本次交易未构成关联交易。</w:t>
      </w:r>
    </w:p>
    <w:p w:rsidR="007F1978" w:rsidRPr="00303ABD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4.本次交易未构成重大资产重组。</w:t>
      </w:r>
    </w:p>
    <w:p w:rsidR="007F1978" w:rsidRDefault="007F1978">
      <w:pPr>
        <w:widowControl w:val="0"/>
        <w:autoSpaceDE w:val="0"/>
        <w:autoSpaceDN w:val="0"/>
        <w:adjustRightInd w:val="0"/>
        <w:snapToGrid w:val="0"/>
        <w:spacing w:line="360" w:lineRule="auto"/>
        <w:ind w:firstLine="482"/>
        <w:rPr>
          <w:rFonts w:ascii="宋体" w:eastAsia="宋体" w:hAnsi="宋体" w:cs="宋体"/>
          <w:b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2"/>
        <w:rPr>
          <w:rFonts w:ascii="宋体" w:eastAsia="宋体" w:hAnsi="宋体" w:cs="宋体"/>
          <w:b/>
          <w:color w:val="auto"/>
          <w:sz w:val="24"/>
          <w:szCs w:val="24"/>
          <w14:ligatures w14:val="none"/>
        </w:rPr>
      </w:pPr>
      <w:r>
        <w:rPr>
          <w:rFonts w:ascii="宋体" w:eastAsia="宋体" w:hAnsi="宋体" w:cs="宋体" w:hint="eastAsia"/>
          <w:b/>
          <w:color w:val="auto"/>
          <w:sz w:val="24"/>
          <w:szCs w:val="24"/>
          <w14:ligatures w14:val="none"/>
        </w:rPr>
        <w:t>一、增资概述</w:t>
      </w: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0"/>
        <w:rPr>
          <w:rFonts w:ascii="宋体" w:eastAsia="宋体" w:hAnsi="宋体" w:cs="Times New Roman"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color w:val="auto"/>
          <w:sz w:val="24"/>
          <w:szCs w:val="24"/>
          <w14:ligatures w14:val="none"/>
        </w:rPr>
        <w:t>（一）增资基本情况</w:t>
      </w:r>
    </w:p>
    <w:p w:rsidR="00AF289E" w:rsidRPr="00303ABD" w:rsidRDefault="003B2A5B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为了</w:t>
      </w:r>
      <w:r w:rsid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充实全资子公司</w:t>
      </w:r>
      <w:proofErr w:type="gramStart"/>
      <w:r w:rsidR="00B67432" w:rsidRP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</w:t>
      </w:r>
      <w:r w:rsid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</w:t>
      </w:r>
      <w:proofErr w:type="gramEnd"/>
      <w:r w:rsidR="00B67432" w:rsidRP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资本金，满足重点项目资本金投入需求，抢抓交能融合发展机遇</w:t>
      </w:r>
      <w:r w:rsid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，</w:t>
      </w:r>
      <w:r w:rsidR="00B67432" w:rsidRP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本公司拟向</w:t>
      </w:r>
      <w:proofErr w:type="gramStart"/>
      <w:r w:rsidR="00B67432" w:rsidRP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云杉清能公司</w:t>
      </w:r>
      <w:proofErr w:type="gramEnd"/>
      <w:r w:rsidR="00B67432" w:rsidRP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增资</w:t>
      </w:r>
      <w:r w:rsidR="00B67432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。</w:t>
      </w:r>
      <w:r w:rsidR="00AF289E"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本次6</w:t>
      </w:r>
      <w:r w:rsidR="00B06A29"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亿元</w:t>
      </w:r>
      <w:proofErr w:type="gramStart"/>
      <w:r w:rsidR="00B06A29"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增资本</w:t>
      </w:r>
      <w:proofErr w:type="gramEnd"/>
      <w:r w:rsidR="00AC396A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公司以现金</w:t>
      </w:r>
      <w:r w:rsidR="00AF289E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方式实施，增资后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</w:t>
      </w:r>
      <w:r w:rsidR="00AF289E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公司仍持有</w:t>
      </w:r>
      <w:proofErr w:type="gramStart"/>
      <w:r w:rsidR="00AF289E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</w:t>
      </w:r>
      <w:r w:rsidR="00B71841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</w:t>
      </w:r>
      <w:proofErr w:type="gramEnd"/>
      <w:r w:rsidR="00AF289E"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100%股权。</w:t>
      </w:r>
      <w:r w:rsidR="00B06A29"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</w:t>
      </w:r>
      <w:r w:rsidR="00AF289E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根据《公司法》规定，在</w:t>
      </w:r>
      <w:r w:rsidR="00B06A29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2031年9月30日前（</w:t>
      </w:r>
      <w:r w:rsidR="0057669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最终</w:t>
      </w:r>
      <w:r w:rsidR="00B06A29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以市场监督管理局实际登记时间后五年为准）</w:t>
      </w:r>
      <w:r w:rsidR="00AF289E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结合项目建设进度分期实缴到位，有效提升资金使用效率。</w:t>
      </w:r>
    </w:p>
    <w:p w:rsidR="00AF289E" w:rsidRPr="00303ABD" w:rsidRDefault="00AC396A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本次拟增资6亿元，重点投向渔光</w:t>
      </w:r>
      <w:proofErr w:type="gramStart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及蟹光互补</w:t>
      </w:r>
      <w:proofErr w:type="gramEnd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标杆项目建设、服务区与匝道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lastRenderedPageBreak/>
        <w:t>等全域交能融合开发、深远海及陆上</w:t>
      </w:r>
      <w:proofErr w:type="gramStart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风电提质</w:t>
      </w:r>
      <w:proofErr w:type="gramEnd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扩容，以及项目前期调研、研发运营和流动资金补充等领域。</w:t>
      </w:r>
    </w:p>
    <w:p w:rsidR="007F1978" w:rsidRPr="00C3718C" w:rsidRDefault="00924EBC" w:rsidP="00C3718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C3718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（二）董事会审议情况</w:t>
      </w:r>
    </w:p>
    <w:p w:rsidR="004778C6" w:rsidRPr="00303ABD" w:rsidRDefault="004778C6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2026年8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月27日，本公司第十一届董事会第二十五次会议审议批准《关于本公司向全资子公司云杉清能公司增资的议案。》同意本公司全资子公司</w:t>
      </w:r>
      <w:proofErr w:type="gramStart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云杉清能公司</w:t>
      </w:r>
      <w:proofErr w:type="gramEnd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增加注册资本金，并修订公司章程。本次增资金额共计人民币6亿元，共分5年出资到位，2026年预计将增资人民币4000万元，并同步调整本年度投资计划。增资完成后</w:t>
      </w:r>
      <w:proofErr w:type="gramStart"/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</w:t>
      </w:r>
      <w:r w:rsidR="00B71841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</w:t>
      </w:r>
      <w:proofErr w:type="gramEnd"/>
      <w:r w:rsidRPr="00A811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注册资本由人民币20亿元增至人民币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26亿元，公司持股比例保持100%不变。</w:t>
      </w:r>
    </w:p>
    <w:p w:rsidR="007F1978" w:rsidRPr="00303ABD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根据《上海证券交易所股票上市规则》，本次增资事项在董事会授权决策范围内，已经本公司第十一届董事会第</w:t>
      </w:r>
      <w:r w:rsidR="00591A6B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二十</w:t>
      </w:r>
      <w:r w:rsidR="00A726A9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五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次会议审议并批准，无需股东会批准。</w:t>
      </w:r>
    </w:p>
    <w:p w:rsidR="007F1978" w:rsidRPr="00C3718C" w:rsidRDefault="00924EBC" w:rsidP="00C3718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C3718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（三）本次增资事项不构成关联交易，亦不构成《上市公司重大资产重组管理办法》规定的重大资产重组。</w:t>
      </w:r>
    </w:p>
    <w:p w:rsidR="00D62C8E" w:rsidRDefault="00D62C8E">
      <w:pPr>
        <w:widowControl w:val="0"/>
        <w:autoSpaceDE w:val="0"/>
        <w:autoSpaceDN w:val="0"/>
        <w:adjustRightInd w:val="0"/>
        <w:snapToGrid w:val="0"/>
        <w:spacing w:line="360" w:lineRule="auto"/>
        <w:ind w:firstLine="480"/>
        <w:rPr>
          <w:rFonts w:ascii="宋体" w:eastAsia="宋体" w:hAnsi="宋体" w:cs="Times New Roman"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二、增资主体的基本情况</w:t>
      </w: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江苏宁沪高速公路股份有限公司</w:t>
      </w:r>
    </w:p>
    <w:tbl>
      <w:tblPr>
        <w:tblW w:w="8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5453"/>
      </w:tblGrid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住所：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中国江苏南京市仙林大道</w:t>
            </w:r>
            <w:r w:rsidRPr="00DA0A04">
              <w:rPr>
                <w:rFonts w:ascii="宋体" w:eastAsia="宋体" w:hAnsi="宋体" w:cs="宋体"/>
                <w:sz w:val="24"/>
                <w:szCs w:val="24"/>
              </w:rPr>
              <w:t>6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号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企业类型：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股份有限公司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法定代表人：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汪锋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注册资本：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人民币</w:t>
            </w:r>
            <w:r w:rsidRPr="00DA0A04">
              <w:rPr>
                <w:rFonts w:ascii="宋体" w:eastAsia="宋体" w:hAnsi="宋体" w:cs="宋体"/>
                <w:sz w:val="24"/>
                <w:szCs w:val="24"/>
              </w:rPr>
              <w:t>5,037,747.5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千元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主营业务：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江苏省境内收费公路及高速公路建设、管理、养护及收费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最近一个企业会计期末的总资产（2025年度）：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人民币</w:t>
            </w:r>
            <w:r w:rsidRPr="00DA0A04">
              <w:rPr>
                <w:rFonts w:ascii="宋体" w:eastAsia="宋体" w:hAnsi="宋体" w:cs="宋体"/>
                <w:sz w:val="24"/>
                <w:szCs w:val="24"/>
              </w:rPr>
              <w:t>96,388,991.42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千元</w:t>
            </w:r>
          </w:p>
          <w:p w:rsidR="00DA0A04" w:rsidRPr="00DA0A04" w:rsidRDefault="00DA0A04" w:rsidP="00AC396A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（根据中华人民共和国企业会计标准）</w:t>
            </w:r>
          </w:p>
        </w:tc>
      </w:tr>
      <w:tr w:rsidR="00DA0A04" w:rsidTr="00303ABD">
        <w:trPr>
          <w:trHeight w:val="834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最近一个企业会计期末的净资产（2025年度）：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人民币</w:t>
            </w:r>
            <w:r w:rsidR="00F55130">
              <w:rPr>
                <w:rFonts w:ascii="宋体" w:eastAsia="宋体" w:hAnsi="宋体" w:cs="宋体"/>
                <w:sz w:val="24"/>
                <w:szCs w:val="24"/>
              </w:rPr>
              <w:t>41,442,631.</w:t>
            </w:r>
            <w:r w:rsidR="00F55130" w:rsidRPr="00F55130">
              <w:rPr>
                <w:rFonts w:ascii="宋体" w:eastAsia="宋体" w:hAnsi="宋体" w:cs="宋体"/>
                <w:sz w:val="24"/>
                <w:szCs w:val="24"/>
              </w:rPr>
              <w:t>83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千元</w:t>
            </w:r>
          </w:p>
          <w:p w:rsidR="00DA0A04" w:rsidRPr="00DA0A04" w:rsidRDefault="00DA0A04" w:rsidP="00AC396A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（根据中华人民共和国企业会计标准）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最近一个企业会计期的营业收入（2025年度）：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人民币</w:t>
            </w:r>
            <w:r w:rsidRPr="00DA0A04">
              <w:rPr>
                <w:rFonts w:ascii="宋体" w:eastAsia="宋体" w:hAnsi="宋体" w:cs="宋体"/>
                <w:sz w:val="24"/>
                <w:szCs w:val="24"/>
              </w:rPr>
              <w:t>20,289,199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.</w:t>
            </w:r>
            <w:r w:rsidRPr="00DA0A04">
              <w:rPr>
                <w:rFonts w:ascii="宋体" w:eastAsia="宋体" w:hAnsi="宋体" w:cs="宋体"/>
                <w:sz w:val="24"/>
                <w:szCs w:val="24"/>
              </w:rPr>
              <w:t>76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千元</w:t>
            </w:r>
          </w:p>
          <w:p w:rsidR="00DA0A04" w:rsidRPr="00DA0A04" w:rsidRDefault="00DA0A04" w:rsidP="00AC396A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（根据中华人民共和国企业会计标准）</w:t>
            </w:r>
          </w:p>
        </w:tc>
      </w:tr>
      <w:tr w:rsidR="00DA0A04" w:rsidTr="00DA0A04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最近一个企业会计期的净利润（2025年度）：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04" w:rsidRPr="00DA0A04" w:rsidRDefault="00DA0A04" w:rsidP="00AC396A">
            <w:pPr>
              <w:adjustRightInd w:val="0"/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人民币</w:t>
            </w:r>
            <w:r w:rsidR="002303D2" w:rsidRPr="002303D2">
              <w:rPr>
                <w:rFonts w:ascii="宋体" w:eastAsia="宋体" w:hAnsi="宋体" w:cs="宋体"/>
                <w:sz w:val="24"/>
                <w:szCs w:val="24"/>
              </w:rPr>
              <w:t>4,821,418.26</w:t>
            </w: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千元</w:t>
            </w:r>
          </w:p>
          <w:p w:rsidR="00DA0A04" w:rsidRPr="00DA0A04" w:rsidRDefault="00DA0A04" w:rsidP="00AC396A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  <w:r w:rsidRPr="00DA0A04">
              <w:rPr>
                <w:rFonts w:ascii="宋体" w:eastAsia="宋体" w:hAnsi="宋体" w:cs="宋体" w:hint="eastAsia"/>
                <w:sz w:val="24"/>
                <w:szCs w:val="24"/>
              </w:rPr>
              <w:t>（根据中华人民共和国企业会计标准）</w:t>
            </w:r>
          </w:p>
        </w:tc>
      </w:tr>
    </w:tbl>
    <w:p w:rsidR="007F1978" w:rsidRDefault="00924EBC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公司202</w:t>
      </w:r>
      <w:r w:rsidR="00DA0A04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6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年</w:t>
      </w:r>
      <w:r w:rsidR="00DA0A04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6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月3</w:t>
      </w:r>
      <w:r w:rsidR="00DA0A04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0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日资产总额人民币</w:t>
      </w:r>
      <w:r w:rsidR="004060E0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101,874,837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千元，净资产人民币</w:t>
      </w:r>
      <w:r w:rsidR="00DE1410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41,541,061</w:t>
      </w:r>
      <w:r w:rsidR="00DE1410"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.</w:t>
      </w:r>
      <w:r w:rsidR="00DE1410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77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千元；202</w:t>
      </w:r>
      <w:r w:rsidR="00DA0A04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6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年1-</w:t>
      </w:r>
      <w:r w:rsidR="00DA0A04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6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月营业收入人民币</w:t>
      </w:r>
      <w:r w:rsidR="004060E0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9,293,099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千元，净利润人民币</w:t>
      </w:r>
      <w:r w:rsidR="004060E0" w:rsidRPr="00303ABD"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2,487,807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千元。</w:t>
      </w:r>
    </w:p>
    <w:p w:rsidR="00D62C8E" w:rsidRPr="00303ABD" w:rsidRDefault="00D62C8E" w:rsidP="00303ABD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2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三、增资标的基本情况</w:t>
      </w: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（一）</w:t>
      </w:r>
      <w:r w:rsidR="004060E0" w:rsidRPr="004060E0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江苏云杉清洁能源投资控股有限公司</w:t>
      </w:r>
    </w:p>
    <w:tbl>
      <w:tblPr>
        <w:tblW w:w="88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782"/>
      </w:tblGrid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住所：</w:t>
            </w:r>
          </w:p>
        </w:tc>
        <w:tc>
          <w:tcPr>
            <w:tcW w:w="4782" w:type="dxa"/>
          </w:tcPr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南京市建</w:t>
            </w:r>
            <w:proofErr w:type="gramStart"/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邺</w:t>
            </w:r>
            <w:proofErr w:type="gramEnd"/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区江东中路399号2幢18层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企业类型：</w:t>
            </w:r>
          </w:p>
        </w:tc>
        <w:tc>
          <w:tcPr>
            <w:tcW w:w="4782" w:type="dxa"/>
          </w:tcPr>
          <w:p w:rsidR="007F1978" w:rsidRDefault="00013051" w:rsidP="007D176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有限责任公司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法定代表人：</w:t>
            </w:r>
          </w:p>
        </w:tc>
        <w:tc>
          <w:tcPr>
            <w:tcW w:w="4782" w:type="dxa"/>
          </w:tcPr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李剑锋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注册资本：</w:t>
            </w:r>
          </w:p>
        </w:tc>
        <w:tc>
          <w:tcPr>
            <w:tcW w:w="4782" w:type="dxa"/>
          </w:tcPr>
          <w:p w:rsidR="007F1978" w:rsidRDefault="00013051" w:rsidP="007D176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人民币2,000,000千元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股东（持股比例）：</w:t>
            </w:r>
          </w:p>
        </w:tc>
        <w:tc>
          <w:tcPr>
            <w:tcW w:w="4782" w:type="dxa"/>
          </w:tcPr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江苏宁沪高速公路股份有限公司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1</w:t>
            </w:r>
            <w:r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00%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主营业务：</w:t>
            </w:r>
          </w:p>
        </w:tc>
        <w:tc>
          <w:tcPr>
            <w:tcW w:w="4782" w:type="dxa"/>
          </w:tcPr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清洁能源项目建设、管理</w:t>
            </w:r>
          </w:p>
        </w:tc>
      </w:tr>
      <w:tr w:rsidR="007F1978">
        <w:tc>
          <w:tcPr>
            <w:tcW w:w="4111" w:type="dxa"/>
          </w:tcPr>
          <w:p w:rsidR="007F1978" w:rsidRDefault="00924EBC" w:rsidP="00AF289E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最近一个企业会计期末的总资产（</w:t>
            </w:r>
            <w:r w:rsidR="00AF289E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202</w:t>
            </w:r>
            <w:r w:rsidR="00AF289E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5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年度）：</w:t>
            </w:r>
          </w:p>
        </w:tc>
        <w:tc>
          <w:tcPr>
            <w:tcW w:w="4782" w:type="dxa"/>
          </w:tcPr>
          <w:p w:rsidR="00013051" w:rsidRPr="00013051" w:rsidRDefault="00013051" w:rsidP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人民币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7</w:t>
            </w:r>
            <w:r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,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188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,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242千元</w:t>
            </w:r>
          </w:p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（根据中华人民共和国企业会计标准）</w:t>
            </w:r>
          </w:p>
        </w:tc>
      </w:tr>
      <w:tr w:rsidR="007F1978">
        <w:tc>
          <w:tcPr>
            <w:tcW w:w="4111" w:type="dxa"/>
          </w:tcPr>
          <w:p w:rsidR="007F1978" w:rsidRDefault="00924EBC" w:rsidP="00AF289E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最近一个企业会计期末的净资产（</w:t>
            </w:r>
            <w:r w:rsidR="00AF289E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202</w:t>
            </w:r>
            <w:r w:rsidR="00AF289E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5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年度）：</w:t>
            </w:r>
          </w:p>
        </w:tc>
        <w:tc>
          <w:tcPr>
            <w:tcW w:w="4782" w:type="dxa"/>
          </w:tcPr>
          <w:p w:rsidR="00013051" w:rsidRPr="00013051" w:rsidRDefault="00013051" w:rsidP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人民币</w:t>
            </w:r>
            <w:r w:rsidRPr="00013051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2,872,147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千元</w:t>
            </w:r>
          </w:p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（根据中华人民共和国企业会计标准）</w:t>
            </w:r>
          </w:p>
        </w:tc>
      </w:tr>
      <w:tr w:rsidR="007F1978">
        <w:tc>
          <w:tcPr>
            <w:tcW w:w="4111" w:type="dxa"/>
          </w:tcPr>
          <w:p w:rsidR="007F1978" w:rsidRDefault="00924EBC" w:rsidP="00AF289E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最近一个企业会计期末的营业收入（</w:t>
            </w:r>
            <w:r w:rsidR="00AF289E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202</w:t>
            </w:r>
            <w:r w:rsidR="00AF289E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5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年度）：</w:t>
            </w:r>
          </w:p>
        </w:tc>
        <w:tc>
          <w:tcPr>
            <w:tcW w:w="4782" w:type="dxa"/>
          </w:tcPr>
          <w:p w:rsidR="00013051" w:rsidRPr="00013051" w:rsidRDefault="00013051" w:rsidP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人民币</w:t>
            </w:r>
            <w:r w:rsidRPr="00013051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688,609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千元</w:t>
            </w:r>
          </w:p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（根据中华人民共和国企业会计标准）</w:t>
            </w:r>
          </w:p>
        </w:tc>
      </w:tr>
      <w:tr w:rsidR="007F1978">
        <w:tc>
          <w:tcPr>
            <w:tcW w:w="4111" w:type="dxa"/>
          </w:tcPr>
          <w:p w:rsidR="007F1978" w:rsidRDefault="00924EBC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最近一个企业会计期末的净利润</w:t>
            </w:r>
          </w:p>
          <w:p w:rsidR="007F1978" w:rsidRDefault="00924EBC" w:rsidP="00AF289E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（</w:t>
            </w:r>
            <w:r w:rsidR="00AF289E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202</w:t>
            </w:r>
            <w:r w:rsidR="00AF289E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5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年度）：</w:t>
            </w:r>
          </w:p>
        </w:tc>
        <w:tc>
          <w:tcPr>
            <w:tcW w:w="4782" w:type="dxa"/>
          </w:tcPr>
          <w:p w:rsidR="00013051" w:rsidRPr="00013051" w:rsidRDefault="00013051" w:rsidP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人民币</w:t>
            </w:r>
            <w:r w:rsidRPr="00013051"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  <w:t>193,821</w:t>
            </w: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千元</w:t>
            </w:r>
          </w:p>
          <w:p w:rsidR="007F1978" w:rsidRDefault="00013051">
            <w:pPr>
              <w:widowControl w:val="0"/>
              <w:adjustRightInd w:val="0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color w:val="auto"/>
                <w:sz w:val="24"/>
                <w:szCs w:val="24"/>
                <w14:ligatures w14:val="none"/>
              </w:rPr>
            </w:pPr>
            <w:r w:rsidRPr="00013051">
              <w:rPr>
                <w:rFonts w:ascii="宋体" w:eastAsia="宋体" w:hAnsi="宋体" w:cs="宋体" w:hint="eastAsia"/>
                <w:color w:val="auto"/>
                <w:sz w:val="24"/>
                <w:szCs w:val="24"/>
                <w14:ligatures w14:val="none"/>
              </w:rPr>
              <w:t>（根据中华人民共和国企业会计标准）</w:t>
            </w:r>
          </w:p>
        </w:tc>
      </w:tr>
    </w:tbl>
    <w:p w:rsidR="007F1978" w:rsidRDefault="00924EB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（二）增资标的主要财务指标</w:t>
      </w:r>
    </w:p>
    <w:p w:rsidR="007F1978" w:rsidRDefault="004060E0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proofErr w:type="gramStart"/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</w:t>
      </w:r>
      <w:r w:rsidR="00924EB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</w:t>
      </w:r>
      <w:proofErr w:type="gramEnd"/>
      <w:r w:rsidR="00924EB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最近一年又一期的主要财务指标如下：</w:t>
      </w:r>
    </w:p>
    <w:p w:rsidR="00D62C8E" w:rsidRDefault="00D62C8E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jc w:val="right"/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/>
          <w:color w:val="auto"/>
          <w:sz w:val="24"/>
          <w:szCs w:val="24"/>
          <w14:ligatures w14:val="none"/>
        </w:rPr>
        <w:lastRenderedPageBreak/>
        <w:t>单位：人民币千元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项目</w:t>
            </w:r>
          </w:p>
        </w:tc>
        <w:tc>
          <w:tcPr>
            <w:tcW w:w="2765" w:type="dxa"/>
            <w:vAlign w:val="center"/>
          </w:tcPr>
          <w:p w:rsidR="007F1978" w:rsidRDefault="004060E0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5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年12月31日</w:t>
            </w:r>
          </w:p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（经审计）</w:t>
            </w:r>
          </w:p>
        </w:tc>
        <w:tc>
          <w:tcPr>
            <w:tcW w:w="2766" w:type="dxa"/>
            <w:vAlign w:val="center"/>
          </w:tcPr>
          <w:p w:rsidR="007F1978" w:rsidRDefault="004060E0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6</w:t>
            </w: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年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6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月3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0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日</w:t>
            </w:r>
          </w:p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（未经审计）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资产总额</w:t>
            </w:r>
          </w:p>
        </w:tc>
        <w:tc>
          <w:tcPr>
            <w:tcW w:w="2765" w:type="dxa"/>
            <w:vAlign w:val="center"/>
          </w:tcPr>
          <w:p w:rsidR="007F1978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AF289E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7,188,242</w:t>
            </w:r>
          </w:p>
        </w:tc>
        <w:tc>
          <w:tcPr>
            <w:tcW w:w="2766" w:type="dxa"/>
            <w:vAlign w:val="center"/>
          </w:tcPr>
          <w:p w:rsidR="007F1978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7,183,341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资产净额</w:t>
            </w:r>
          </w:p>
        </w:tc>
        <w:tc>
          <w:tcPr>
            <w:tcW w:w="2765" w:type="dxa"/>
            <w:vAlign w:val="center"/>
          </w:tcPr>
          <w:p w:rsidR="007F1978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2,872,147</w:t>
            </w:r>
          </w:p>
        </w:tc>
        <w:tc>
          <w:tcPr>
            <w:tcW w:w="2766" w:type="dxa"/>
            <w:vAlign w:val="center"/>
          </w:tcPr>
          <w:p w:rsidR="007F1978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2,926,933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项目</w:t>
            </w:r>
          </w:p>
        </w:tc>
        <w:tc>
          <w:tcPr>
            <w:tcW w:w="2765" w:type="dxa"/>
            <w:vAlign w:val="center"/>
          </w:tcPr>
          <w:p w:rsidR="007F1978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5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年度</w:t>
            </w:r>
          </w:p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（经审计）</w:t>
            </w:r>
          </w:p>
        </w:tc>
        <w:tc>
          <w:tcPr>
            <w:tcW w:w="2766" w:type="dxa"/>
            <w:vAlign w:val="center"/>
          </w:tcPr>
          <w:p w:rsidR="007F1978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6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年1-</w:t>
            </w:r>
            <w:r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  <w:t>6</w:t>
            </w:r>
            <w:r w:rsidR="00924EBC"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月</w:t>
            </w:r>
          </w:p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（未经审计）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营业收入</w:t>
            </w:r>
          </w:p>
        </w:tc>
        <w:tc>
          <w:tcPr>
            <w:tcW w:w="2765" w:type="dxa"/>
            <w:vAlign w:val="center"/>
          </w:tcPr>
          <w:p w:rsidR="007F1978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AF289E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688,609</w:t>
            </w:r>
          </w:p>
        </w:tc>
        <w:tc>
          <w:tcPr>
            <w:tcW w:w="2766" w:type="dxa"/>
            <w:vAlign w:val="center"/>
          </w:tcPr>
          <w:p w:rsidR="007F1978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305,304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毛利</w:t>
            </w:r>
          </w:p>
        </w:tc>
        <w:tc>
          <w:tcPr>
            <w:tcW w:w="2765" w:type="dxa"/>
            <w:vAlign w:val="center"/>
          </w:tcPr>
          <w:p w:rsidR="007F1978" w:rsidRPr="007D176C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7D176C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324</w:t>
            </w:r>
            <w:r w:rsidRPr="007D176C">
              <w:rPr>
                <w:rFonts w:ascii="宋体" w:hAnsi="宋体" w:cs="Times New Roman" w:hint="eastAsia"/>
                <w:bCs/>
                <w:color w:val="auto"/>
                <w:kern w:val="0"/>
                <w:sz w:val="24"/>
                <w:szCs w:val="24"/>
                <w14:ligatures w14:val="none"/>
              </w:rPr>
              <w:t>,</w:t>
            </w:r>
            <w:r w:rsidRPr="007D176C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513</w:t>
            </w:r>
          </w:p>
        </w:tc>
        <w:tc>
          <w:tcPr>
            <w:tcW w:w="2766" w:type="dxa"/>
            <w:vAlign w:val="center"/>
          </w:tcPr>
          <w:p w:rsidR="007F1978" w:rsidRPr="00013051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013051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137,956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税前净利润</w:t>
            </w:r>
          </w:p>
        </w:tc>
        <w:tc>
          <w:tcPr>
            <w:tcW w:w="2765" w:type="dxa"/>
            <w:vAlign w:val="center"/>
          </w:tcPr>
          <w:p w:rsidR="007F1978" w:rsidRPr="007D176C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7D176C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220,488</w:t>
            </w:r>
          </w:p>
        </w:tc>
        <w:tc>
          <w:tcPr>
            <w:tcW w:w="2766" w:type="dxa"/>
            <w:vAlign w:val="center"/>
          </w:tcPr>
          <w:p w:rsidR="007F1978" w:rsidRPr="00013051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013051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79,405</w:t>
            </w:r>
          </w:p>
        </w:tc>
      </w:tr>
      <w:tr w:rsidR="007F1978">
        <w:tc>
          <w:tcPr>
            <w:tcW w:w="2765" w:type="dxa"/>
            <w:vAlign w:val="center"/>
          </w:tcPr>
          <w:p w:rsidR="007F1978" w:rsidRDefault="00924EBC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cs="Times New Roman" w:hint="eastAsia"/>
                <w:b/>
                <w:color w:val="auto"/>
                <w:kern w:val="0"/>
                <w:sz w:val="24"/>
                <w:szCs w:val="24"/>
                <w14:ligatures w14:val="none"/>
              </w:rPr>
              <w:t>税后净利润</w:t>
            </w:r>
          </w:p>
        </w:tc>
        <w:tc>
          <w:tcPr>
            <w:tcW w:w="2765" w:type="dxa"/>
            <w:vAlign w:val="center"/>
          </w:tcPr>
          <w:p w:rsidR="007F1978" w:rsidRPr="007D176C" w:rsidRDefault="00AF289E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7D176C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193,821</w:t>
            </w:r>
          </w:p>
        </w:tc>
        <w:tc>
          <w:tcPr>
            <w:tcW w:w="2766" w:type="dxa"/>
            <w:vAlign w:val="center"/>
          </w:tcPr>
          <w:p w:rsidR="007F1978" w:rsidRPr="00013051" w:rsidRDefault="006F2A45" w:rsidP="00AC396A">
            <w:pPr>
              <w:widowControl w:val="0"/>
              <w:autoSpaceDE w:val="0"/>
              <w:autoSpaceDN w:val="0"/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013051">
              <w:rPr>
                <w:rFonts w:ascii="宋体" w:hAnsi="宋体" w:cs="Times New Roman"/>
                <w:bCs/>
                <w:color w:val="auto"/>
                <w:kern w:val="0"/>
                <w:sz w:val="24"/>
                <w:szCs w:val="24"/>
                <w14:ligatures w14:val="none"/>
              </w:rPr>
              <w:t>69,679</w:t>
            </w:r>
          </w:p>
        </w:tc>
      </w:tr>
    </w:tbl>
    <w:p w:rsidR="003B2A5B" w:rsidRPr="00805FFB" w:rsidRDefault="003B2A5B" w:rsidP="003B2A5B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805F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审计师</w:t>
      </w:r>
      <w:r w:rsidRP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毕马威华</w:t>
      </w:r>
      <w:proofErr w:type="gramStart"/>
      <w:r w:rsidRP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振</w:t>
      </w:r>
      <w:proofErr w:type="gramEnd"/>
      <w:r w:rsidRP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会计师事务所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（特殊普通合伙）</w:t>
      </w:r>
      <w:r w:rsidRPr="00805F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审计了</w:t>
      </w:r>
      <w:r w:rsidRP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202</w:t>
      </w:r>
      <w:r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  <w:t>5</w:t>
      </w:r>
      <w:r w:rsidRPr="00805F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年财务报表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，</w:t>
      </w:r>
      <w:r w:rsidRPr="00805FF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并出具了标准无保留意见。</w:t>
      </w:r>
    </w:p>
    <w:p w:rsidR="007F1978" w:rsidRDefault="00013051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/>
          <w:color w:val="auto"/>
          <w:sz w:val="24"/>
          <w:szCs w:val="24"/>
          <w14:ligatures w14:val="none"/>
        </w:rPr>
        <w:t>四</w:t>
      </w:r>
      <w:r w:rsidR="00924EBC">
        <w:rPr>
          <w:rFonts w:ascii="宋体" w:eastAsia="宋体" w:hAnsi="宋体" w:cs="Times New Roman" w:hint="eastAsia"/>
          <w:b/>
          <w:color w:val="auto"/>
          <w:sz w:val="24"/>
          <w:szCs w:val="24"/>
          <w14:ligatures w14:val="none"/>
        </w:rPr>
        <w:t>、本次增资对上市公司的影响</w:t>
      </w:r>
    </w:p>
    <w:p w:rsidR="007D176C" w:rsidRDefault="007D176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7D176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本次增资有助于</w:t>
      </w:r>
      <w:r w:rsid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本公司全资子公司</w:t>
      </w:r>
      <w:proofErr w:type="gramStart"/>
      <w:r w:rsidRPr="007D176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</w:t>
      </w:r>
      <w:r w:rsidR="00B71841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</w:t>
      </w:r>
      <w:proofErr w:type="gramEnd"/>
      <w:r w:rsidRPr="007D176C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盘活存量路域闲置资源，抢抓交通绿色低碳转型发展机遇，拓展交能融合及集中式光伏项目，培育新能源稳定盈利增长点，提升项目投资承载能力。</w:t>
      </w: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本次交易遵循自愿、公平合理、协商一致的原则。增资完成后，</w:t>
      </w:r>
      <w:r w:rsidR="00013051" w:rsidRPr="00013051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公司持股比例保持100%不变</w:t>
      </w:r>
      <w:r w:rsidR="00013051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，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</w:t>
      </w:r>
      <w:r w:rsid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合并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财务报表的范围将不会有变动。</w:t>
      </w: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本公司董事（包括独立非执行董事）认为，此项交易按一般商务条款或更佳进行，条款及交易价格公平合理。</w:t>
      </w:r>
      <w:r w:rsid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本次增资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不会对本公司未来的财务状况和经营业绩产生不利影响。</w:t>
      </w:r>
      <w:r w:rsidR="003B2A5B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亦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不会损害公司及非关联股东利益，尤其是中小股东的利益。因此此项交易被认为符合本公司及其全体股东的整体最佳利益。</w:t>
      </w:r>
    </w:p>
    <w:p w:rsidR="00A726A9" w:rsidRDefault="00F55130" w:rsidP="00A726A9">
      <w:pPr>
        <w:widowControl w:val="0"/>
        <w:autoSpaceDE w:val="0"/>
        <w:autoSpaceDN w:val="0"/>
        <w:adjustRightInd w:val="0"/>
        <w:snapToGrid w:val="0"/>
        <w:spacing w:line="560" w:lineRule="exact"/>
        <w:ind w:firstLine="482"/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  <w:t>五</w:t>
      </w:r>
      <w:r w:rsidR="00A726A9"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  <w:t>、</w:t>
      </w:r>
      <w:r w:rsidR="00A726A9" w:rsidRPr="00AC396A"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  <w:t>对外投资的风险分析</w:t>
      </w:r>
      <w:r w:rsidR="00A726A9"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  <w:t>及对策</w:t>
      </w:r>
    </w:p>
    <w:p w:rsidR="00AC396A" w:rsidRPr="00303ABD" w:rsidRDefault="00AC396A" w:rsidP="00AC396A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lastRenderedPageBreak/>
        <w:t>本次增资对象为</w:t>
      </w: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</w:t>
      </w:r>
      <w:r w:rsidRPr="00303AB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公司全资子公司，整体风险可控，但仍受宏观经济、行业环境、市场竞争、经营管理等因素的影响，经营状况和收益存在不确定性的风险。</w:t>
      </w:r>
    </w:p>
    <w:p w:rsidR="00A726A9" w:rsidRPr="00AC396A" w:rsidRDefault="00A726A9" w:rsidP="00D62C8E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rPr>
          <w:rFonts w:ascii="宋体" w:eastAsia="宋体" w:hAnsi="宋体" w:cs="Times New Roman"/>
          <w:b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本公司</w:t>
      </w:r>
      <w:r w:rsidRPr="00AC396A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采用分期按需实缴机制，根据项目实际进度和资金需求动态实缴，避免资金闲置；对暂未落地项目对应的资金先行留存，待项目具备条件后再行拨付。坚持</w:t>
      </w:r>
      <w:r w:rsidR="0057669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在产业经营布局上，</w:t>
      </w:r>
      <w:proofErr w:type="gramStart"/>
      <w:r w:rsidR="0057669D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云杉清能将</w:t>
      </w:r>
      <w:proofErr w:type="gramEnd"/>
      <w:r w:rsidRPr="00AC396A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多元化布局风电、光伏、交能融合、</w:t>
      </w:r>
      <w:proofErr w:type="gramStart"/>
      <w:r w:rsidRPr="00AC396A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碳资产</w:t>
      </w:r>
      <w:proofErr w:type="gramEnd"/>
      <w:r w:rsidRPr="00AC396A">
        <w:rPr>
          <w:rFonts w:ascii="宋体" w:eastAsia="宋体" w:hAnsi="宋体" w:cs="Times New Roman" w:hint="eastAsia"/>
          <w:bCs/>
          <w:color w:val="auto"/>
          <w:sz w:val="24"/>
          <w:szCs w:val="24"/>
          <w14:ligatures w14:val="none"/>
        </w:rPr>
        <w:t>等业务，通过规模化开发和全生命周期运维管理，平抑单一业务波动风险，保障投资回报。</w:t>
      </w:r>
    </w:p>
    <w:p w:rsidR="007F1978" w:rsidRDefault="007F1978">
      <w:pPr>
        <w:widowControl w:val="0"/>
        <w:autoSpaceDE w:val="0"/>
        <w:autoSpaceDN w:val="0"/>
        <w:adjustRightInd w:val="0"/>
        <w:snapToGrid w:val="0"/>
        <w:spacing w:line="560" w:lineRule="exact"/>
        <w:ind w:firstLine="480"/>
        <w:jc w:val="right"/>
        <w:rPr>
          <w:rFonts w:ascii="宋体" w:eastAsia="宋体" w:hAnsi="宋体" w:cs="Times New Roman"/>
          <w:bCs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napToGrid w:val="0"/>
        <w:spacing w:line="360" w:lineRule="auto"/>
        <w:ind w:firstLine="482"/>
        <w:rPr>
          <w:rFonts w:ascii="宋体" w:eastAsia="宋体" w:hAnsi="宋体" w:cs="Times New Roman"/>
          <w:b/>
          <w:bCs/>
          <w:color w:val="auto"/>
          <w:sz w:val="24"/>
          <w:szCs w:val="24"/>
          <w14:ligatures w14:val="none"/>
        </w:rPr>
      </w:pPr>
      <w:r>
        <w:rPr>
          <w:rFonts w:ascii="宋体" w:eastAsia="宋体" w:hAnsi="宋体" w:cs="Times New Roman" w:hint="eastAsia"/>
          <w:b/>
          <w:bCs/>
          <w:color w:val="auto"/>
          <w:sz w:val="24"/>
          <w:szCs w:val="24"/>
          <w14:ligatures w14:val="none"/>
        </w:rPr>
        <w:t>特此公告。</w:t>
      </w:r>
    </w:p>
    <w:p w:rsidR="007F1978" w:rsidRDefault="007F1978">
      <w:pPr>
        <w:widowControl w:val="0"/>
        <w:autoSpaceDE w:val="0"/>
        <w:autoSpaceDN w:val="0"/>
        <w:adjustRightInd w:val="0"/>
        <w:snapToGrid w:val="0"/>
        <w:spacing w:line="360" w:lineRule="auto"/>
        <w:ind w:firstLine="480"/>
        <w:rPr>
          <w:rFonts w:ascii="宋体" w:eastAsia="宋体" w:hAnsi="宋体" w:cs="Times New Roman"/>
          <w:color w:val="auto"/>
          <w:sz w:val="24"/>
          <w:szCs w:val="24"/>
          <w14:ligatures w14:val="none"/>
        </w:rPr>
      </w:pPr>
    </w:p>
    <w:p w:rsidR="007F1978" w:rsidRDefault="00924EBC">
      <w:pPr>
        <w:widowControl w:val="0"/>
        <w:autoSpaceDE w:val="0"/>
        <w:autoSpaceDN w:val="0"/>
        <w:adjustRightInd w:val="0"/>
        <w:spacing w:line="560" w:lineRule="exact"/>
        <w:ind w:firstLineChars="0" w:firstLine="0"/>
        <w:jc w:val="right"/>
        <w:rPr>
          <w:rFonts w:ascii="宋体" w:eastAsia="宋体" w:hAnsi="宋体" w:cs="宋体-WinCharSetFFFF-H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14:ligatures w14:val="none"/>
        </w:rPr>
        <w:t>江苏宁沪高速公路</w:t>
      </w:r>
      <w:r>
        <w:rPr>
          <w:rFonts w:ascii="宋体" w:eastAsia="宋体" w:hAnsi="宋体" w:cs="宋体-WinCharSetFFFF-H" w:hint="eastAsia"/>
          <w:b/>
          <w:bCs/>
          <w:color w:val="000000"/>
          <w:kern w:val="0"/>
          <w:sz w:val="24"/>
          <w:szCs w:val="24"/>
          <w14:ligatures w14:val="none"/>
        </w:rPr>
        <w:t>股份有限公司董事会</w:t>
      </w:r>
    </w:p>
    <w:p w:rsidR="007F1978" w:rsidRDefault="00013051">
      <w:pPr>
        <w:widowControl w:val="0"/>
        <w:spacing w:line="360" w:lineRule="auto"/>
        <w:ind w:firstLineChars="0" w:firstLine="0"/>
        <w:jc w:val="right"/>
      </w:pPr>
      <w:r>
        <w:rPr>
          <w:rFonts w:ascii="宋体" w:eastAsia="宋体" w:hAnsi="宋体" w:cs="宋体" w:hint="eastAsia"/>
          <w:b/>
          <w:color w:val="auto"/>
          <w:sz w:val="24"/>
          <w14:ligatures w14:val="none"/>
        </w:rPr>
        <w:t>二〇二六年八月二十八日</w:t>
      </w:r>
    </w:p>
    <w:sectPr w:rsidR="007F19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348" w:rsidRDefault="00301348">
      <w:pPr>
        <w:spacing w:line="240" w:lineRule="auto"/>
        <w:ind w:firstLine="640"/>
      </w:pPr>
      <w:r>
        <w:separator/>
      </w:r>
    </w:p>
  </w:endnote>
  <w:endnote w:type="continuationSeparator" w:id="0">
    <w:p w:rsidR="00301348" w:rsidRDefault="0030134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-WinCharSetFFFF-H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348" w:rsidRDefault="00301348">
      <w:pPr>
        <w:spacing w:line="240" w:lineRule="auto"/>
        <w:ind w:firstLine="640"/>
      </w:pPr>
      <w:r>
        <w:separator/>
      </w:r>
    </w:p>
  </w:footnote>
  <w:footnote w:type="continuationSeparator" w:id="0">
    <w:p w:rsidR="00301348" w:rsidRDefault="0030134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978" w:rsidRDefault="007F1978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88"/>
    <w:rsid w:val="00001030"/>
    <w:rsid w:val="000019F1"/>
    <w:rsid w:val="00002894"/>
    <w:rsid w:val="00013051"/>
    <w:rsid w:val="00017CEB"/>
    <w:rsid w:val="00032BA9"/>
    <w:rsid w:val="00034399"/>
    <w:rsid w:val="00042F72"/>
    <w:rsid w:val="000441AA"/>
    <w:rsid w:val="00052DC1"/>
    <w:rsid w:val="00053DB5"/>
    <w:rsid w:val="00065D14"/>
    <w:rsid w:val="000F7F6F"/>
    <w:rsid w:val="0010627B"/>
    <w:rsid w:val="0012480C"/>
    <w:rsid w:val="00127F94"/>
    <w:rsid w:val="001475F7"/>
    <w:rsid w:val="00163243"/>
    <w:rsid w:val="00164CFD"/>
    <w:rsid w:val="00164EDD"/>
    <w:rsid w:val="00173597"/>
    <w:rsid w:val="00176A2D"/>
    <w:rsid w:val="00185CDE"/>
    <w:rsid w:val="001929A0"/>
    <w:rsid w:val="001936FC"/>
    <w:rsid w:val="001A3EC5"/>
    <w:rsid w:val="001C10B0"/>
    <w:rsid w:val="001C6B45"/>
    <w:rsid w:val="001D5DC0"/>
    <w:rsid w:val="001D71F9"/>
    <w:rsid w:val="001E1785"/>
    <w:rsid w:val="001E2D63"/>
    <w:rsid w:val="001E3A95"/>
    <w:rsid w:val="00200B78"/>
    <w:rsid w:val="0020357F"/>
    <w:rsid w:val="0021513E"/>
    <w:rsid w:val="002303D2"/>
    <w:rsid w:val="002334B9"/>
    <w:rsid w:val="0028758E"/>
    <w:rsid w:val="002A1138"/>
    <w:rsid w:val="002A58D1"/>
    <w:rsid w:val="002A74AD"/>
    <w:rsid w:val="002D12A2"/>
    <w:rsid w:val="002D356D"/>
    <w:rsid w:val="002E796F"/>
    <w:rsid w:val="00301348"/>
    <w:rsid w:val="00303ABD"/>
    <w:rsid w:val="00303D3F"/>
    <w:rsid w:val="003152D6"/>
    <w:rsid w:val="003235DE"/>
    <w:rsid w:val="0033125D"/>
    <w:rsid w:val="003347C9"/>
    <w:rsid w:val="0034127B"/>
    <w:rsid w:val="003429A2"/>
    <w:rsid w:val="00366E1F"/>
    <w:rsid w:val="00384CE1"/>
    <w:rsid w:val="00391CE2"/>
    <w:rsid w:val="00393D04"/>
    <w:rsid w:val="003A0C36"/>
    <w:rsid w:val="003A1472"/>
    <w:rsid w:val="003B0A3A"/>
    <w:rsid w:val="003B2A5B"/>
    <w:rsid w:val="003B4EA2"/>
    <w:rsid w:val="003C764F"/>
    <w:rsid w:val="003D3BFA"/>
    <w:rsid w:val="003D3FCC"/>
    <w:rsid w:val="003D709A"/>
    <w:rsid w:val="003E1DA4"/>
    <w:rsid w:val="003E33CE"/>
    <w:rsid w:val="003E34A3"/>
    <w:rsid w:val="003E7B30"/>
    <w:rsid w:val="004060E0"/>
    <w:rsid w:val="0041020A"/>
    <w:rsid w:val="004127E1"/>
    <w:rsid w:val="00450B84"/>
    <w:rsid w:val="00452C77"/>
    <w:rsid w:val="0045792D"/>
    <w:rsid w:val="0046081F"/>
    <w:rsid w:val="004778C6"/>
    <w:rsid w:val="00496B67"/>
    <w:rsid w:val="004A223D"/>
    <w:rsid w:val="004A3CAB"/>
    <w:rsid w:val="004B1A4C"/>
    <w:rsid w:val="004C0A83"/>
    <w:rsid w:val="004C3542"/>
    <w:rsid w:val="004D5A2B"/>
    <w:rsid w:val="004F0296"/>
    <w:rsid w:val="004F7A72"/>
    <w:rsid w:val="005142D1"/>
    <w:rsid w:val="00521226"/>
    <w:rsid w:val="005266DE"/>
    <w:rsid w:val="0057669D"/>
    <w:rsid w:val="0059076B"/>
    <w:rsid w:val="00591A6B"/>
    <w:rsid w:val="005951E0"/>
    <w:rsid w:val="005F0347"/>
    <w:rsid w:val="006025B3"/>
    <w:rsid w:val="006124F5"/>
    <w:rsid w:val="00621422"/>
    <w:rsid w:val="006226F5"/>
    <w:rsid w:val="00625D0C"/>
    <w:rsid w:val="006335B6"/>
    <w:rsid w:val="0064187E"/>
    <w:rsid w:val="00646123"/>
    <w:rsid w:val="006533FB"/>
    <w:rsid w:val="0065477E"/>
    <w:rsid w:val="0065772C"/>
    <w:rsid w:val="00660186"/>
    <w:rsid w:val="006655F8"/>
    <w:rsid w:val="006B58DA"/>
    <w:rsid w:val="006C54E4"/>
    <w:rsid w:val="006D1C3E"/>
    <w:rsid w:val="006E4179"/>
    <w:rsid w:val="006F2A45"/>
    <w:rsid w:val="00700FAB"/>
    <w:rsid w:val="00711D93"/>
    <w:rsid w:val="00712825"/>
    <w:rsid w:val="00714D02"/>
    <w:rsid w:val="00736053"/>
    <w:rsid w:val="0074270E"/>
    <w:rsid w:val="00745FFF"/>
    <w:rsid w:val="00750DE4"/>
    <w:rsid w:val="00750FE3"/>
    <w:rsid w:val="0075288E"/>
    <w:rsid w:val="00757CB5"/>
    <w:rsid w:val="00766C36"/>
    <w:rsid w:val="00781329"/>
    <w:rsid w:val="00791DDB"/>
    <w:rsid w:val="00796D25"/>
    <w:rsid w:val="007B6C57"/>
    <w:rsid w:val="007C47FA"/>
    <w:rsid w:val="007C5508"/>
    <w:rsid w:val="007C5944"/>
    <w:rsid w:val="007C719C"/>
    <w:rsid w:val="007D176C"/>
    <w:rsid w:val="007E310D"/>
    <w:rsid w:val="007F1978"/>
    <w:rsid w:val="00805FFB"/>
    <w:rsid w:val="0080782E"/>
    <w:rsid w:val="008716D1"/>
    <w:rsid w:val="008940DD"/>
    <w:rsid w:val="00895537"/>
    <w:rsid w:val="008C40D8"/>
    <w:rsid w:val="008D1E6D"/>
    <w:rsid w:val="008D2FAF"/>
    <w:rsid w:val="008E424C"/>
    <w:rsid w:val="008E5438"/>
    <w:rsid w:val="008F1E1E"/>
    <w:rsid w:val="0090294C"/>
    <w:rsid w:val="0090315B"/>
    <w:rsid w:val="009207B8"/>
    <w:rsid w:val="00920867"/>
    <w:rsid w:val="00924583"/>
    <w:rsid w:val="009249A1"/>
    <w:rsid w:val="00924EBC"/>
    <w:rsid w:val="0095425D"/>
    <w:rsid w:val="00964E00"/>
    <w:rsid w:val="0096583D"/>
    <w:rsid w:val="00977C13"/>
    <w:rsid w:val="00984E48"/>
    <w:rsid w:val="00997CE2"/>
    <w:rsid w:val="009A1018"/>
    <w:rsid w:val="009A3750"/>
    <w:rsid w:val="009A5882"/>
    <w:rsid w:val="009C63C2"/>
    <w:rsid w:val="009C640C"/>
    <w:rsid w:val="00A31683"/>
    <w:rsid w:val="00A36274"/>
    <w:rsid w:val="00A560CC"/>
    <w:rsid w:val="00A570C1"/>
    <w:rsid w:val="00A650FF"/>
    <w:rsid w:val="00A726A9"/>
    <w:rsid w:val="00A727D4"/>
    <w:rsid w:val="00A74BA3"/>
    <w:rsid w:val="00A811FB"/>
    <w:rsid w:val="00A85AB5"/>
    <w:rsid w:val="00AB02F7"/>
    <w:rsid w:val="00AC396A"/>
    <w:rsid w:val="00AD0B90"/>
    <w:rsid w:val="00AD43F7"/>
    <w:rsid w:val="00AE310F"/>
    <w:rsid w:val="00AE4090"/>
    <w:rsid w:val="00AE5CA2"/>
    <w:rsid w:val="00AF289E"/>
    <w:rsid w:val="00B06A29"/>
    <w:rsid w:val="00B145CB"/>
    <w:rsid w:val="00B61B51"/>
    <w:rsid w:val="00B67432"/>
    <w:rsid w:val="00B71841"/>
    <w:rsid w:val="00B727DD"/>
    <w:rsid w:val="00B728DE"/>
    <w:rsid w:val="00B77F70"/>
    <w:rsid w:val="00B94136"/>
    <w:rsid w:val="00BA5A7B"/>
    <w:rsid w:val="00BA735E"/>
    <w:rsid w:val="00BC0323"/>
    <w:rsid w:val="00BD76BC"/>
    <w:rsid w:val="00BF013D"/>
    <w:rsid w:val="00C141BD"/>
    <w:rsid w:val="00C153A1"/>
    <w:rsid w:val="00C16D65"/>
    <w:rsid w:val="00C278AC"/>
    <w:rsid w:val="00C3534B"/>
    <w:rsid w:val="00C3718C"/>
    <w:rsid w:val="00C63981"/>
    <w:rsid w:val="00C65472"/>
    <w:rsid w:val="00C73CFA"/>
    <w:rsid w:val="00CA04FA"/>
    <w:rsid w:val="00CD4A60"/>
    <w:rsid w:val="00CE0D19"/>
    <w:rsid w:val="00CE2B5E"/>
    <w:rsid w:val="00CF0D6C"/>
    <w:rsid w:val="00D17E42"/>
    <w:rsid w:val="00D310FD"/>
    <w:rsid w:val="00D34B83"/>
    <w:rsid w:val="00D62C8E"/>
    <w:rsid w:val="00D64F0B"/>
    <w:rsid w:val="00D956A0"/>
    <w:rsid w:val="00DA0A04"/>
    <w:rsid w:val="00DA1F04"/>
    <w:rsid w:val="00DA5F41"/>
    <w:rsid w:val="00DC1374"/>
    <w:rsid w:val="00DE1410"/>
    <w:rsid w:val="00DE2596"/>
    <w:rsid w:val="00DF7EF5"/>
    <w:rsid w:val="00E040E8"/>
    <w:rsid w:val="00E26400"/>
    <w:rsid w:val="00E36F40"/>
    <w:rsid w:val="00E40F62"/>
    <w:rsid w:val="00E569FB"/>
    <w:rsid w:val="00E73A07"/>
    <w:rsid w:val="00E8390B"/>
    <w:rsid w:val="00E96DA1"/>
    <w:rsid w:val="00EA0577"/>
    <w:rsid w:val="00EB0E74"/>
    <w:rsid w:val="00EC189C"/>
    <w:rsid w:val="00ED23BB"/>
    <w:rsid w:val="00ED3970"/>
    <w:rsid w:val="00EF4E52"/>
    <w:rsid w:val="00F053D9"/>
    <w:rsid w:val="00F05696"/>
    <w:rsid w:val="00F13988"/>
    <w:rsid w:val="00F16567"/>
    <w:rsid w:val="00F20664"/>
    <w:rsid w:val="00F36692"/>
    <w:rsid w:val="00F55130"/>
    <w:rsid w:val="00F569D0"/>
    <w:rsid w:val="00F70396"/>
    <w:rsid w:val="00F73129"/>
    <w:rsid w:val="00F73A80"/>
    <w:rsid w:val="00F9575D"/>
    <w:rsid w:val="00FA041F"/>
    <w:rsid w:val="00FA1C59"/>
    <w:rsid w:val="00FB3B3B"/>
    <w:rsid w:val="00FC19E9"/>
    <w:rsid w:val="00FC4676"/>
    <w:rsid w:val="00FD3CB0"/>
    <w:rsid w:val="00FD421E"/>
    <w:rsid w:val="00FF2615"/>
    <w:rsid w:val="00FF5582"/>
    <w:rsid w:val="1C481988"/>
    <w:rsid w:val="3465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28F4B33-649F-42A2-AE28-DB861FAB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80" w:lineRule="exact"/>
      <w:ind w:firstLineChars="200" w:firstLine="200"/>
      <w:jc w:val="both"/>
    </w:pPr>
    <w:rPr>
      <w:color w:val="333333"/>
      <w:kern w:val="2"/>
      <w:sz w:val="32"/>
      <w:szCs w:val="22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eastAsia="黑体" w:cstheme="majorBidi"/>
      <w:color w:val="auto"/>
      <w:sz w:val="30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eastAsia="黑体" w:cstheme="majorBidi"/>
      <w:color w:val="auto"/>
      <w:sz w:val="30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Char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5">
    <w:name w:val="引用 Char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Char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6">
    <w:name w:val="明显引用 Char"/>
    <w:basedOn w:val="a0"/>
    <w:link w:val="ad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table" w:customStyle="1" w:styleId="12">
    <w:name w:val="网格型1"/>
    <w:basedOn w:val="a1"/>
    <w:qFormat/>
    <w:rPr>
      <w:rFonts w:ascii="Calibri" w:eastAsia="宋体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13">
    <w:name w:val="修订1"/>
    <w:hidden/>
    <w:uiPriority w:val="99"/>
    <w:semiHidden/>
    <w:qFormat/>
    <w:rPr>
      <w:color w:val="333333"/>
      <w:kern w:val="2"/>
      <w:sz w:val="32"/>
      <w:szCs w:val="22"/>
      <w14:ligatures w14:val="standardContextual"/>
    </w:rPr>
  </w:style>
  <w:style w:type="paragraph" w:styleId="ae">
    <w:name w:val="Body Text"/>
    <w:basedOn w:val="a"/>
    <w:link w:val="Char7"/>
    <w:uiPriority w:val="99"/>
    <w:qFormat/>
    <w:rsid w:val="00DA0A04"/>
    <w:pPr>
      <w:adjustRightInd w:val="0"/>
      <w:snapToGrid w:val="0"/>
      <w:spacing w:beforeLines="50" w:before="102" w:afterLines="50" w:after="240" w:line="360" w:lineRule="auto"/>
      <w:ind w:left="112" w:firstLineChars="0" w:firstLine="0"/>
    </w:pPr>
    <w:rPr>
      <w:rFonts w:ascii="Palatino Linotype" w:eastAsia="宋体" w:hAnsi="Palatino Linotype" w:cs="Times New Roman"/>
      <w:color w:val="auto"/>
      <w:kern w:val="0"/>
      <w:sz w:val="28"/>
      <w:szCs w:val="28"/>
      <w:lang w:val="ru-RU" w:eastAsia="en-US"/>
      <w14:ligatures w14:val="none"/>
    </w:rPr>
  </w:style>
  <w:style w:type="character" w:customStyle="1" w:styleId="Char7">
    <w:name w:val="正文文本 Char"/>
    <w:basedOn w:val="a0"/>
    <w:link w:val="ae"/>
    <w:uiPriority w:val="99"/>
    <w:qFormat/>
    <w:rsid w:val="00DA0A04"/>
    <w:rPr>
      <w:rFonts w:ascii="Palatino Linotype" w:eastAsia="宋体" w:hAnsi="Palatino Linotype" w:cs="Times New Roman"/>
      <w:sz w:val="28"/>
      <w:szCs w:val="28"/>
      <w:lang w:val="ru-RU" w:eastAsia="en-US"/>
    </w:rPr>
  </w:style>
  <w:style w:type="paragraph" w:styleId="af">
    <w:name w:val="Balloon Text"/>
    <w:basedOn w:val="a"/>
    <w:link w:val="Char8"/>
    <w:uiPriority w:val="99"/>
    <w:semiHidden/>
    <w:unhideWhenUsed/>
    <w:rsid w:val="00DA0A04"/>
    <w:pPr>
      <w:spacing w:line="240" w:lineRule="auto"/>
    </w:pPr>
    <w:rPr>
      <w:sz w:val="18"/>
      <w:szCs w:val="18"/>
    </w:rPr>
  </w:style>
  <w:style w:type="character" w:customStyle="1" w:styleId="Char8">
    <w:name w:val="批注框文本 Char"/>
    <w:basedOn w:val="a0"/>
    <w:link w:val="af"/>
    <w:uiPriority w:val="99"/>
    <w:semiHidden/>
    <w:rsid w:val="00DA0A04"/>
    <w:rPr>
      <w:color w:val="333333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49C836FBBD64D06B65A1383D98606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8E925DE-CC94-4AE5-9FA9-3559E015C8CF}"/>
      </w:docPartPr>
      <w:docPartBody>
        <w:p w:rsidR="00973FC3" w:rsidRDefault="00801D14" w:rsidP="00801D14">
          <w:pPr>
            <w:pStyle w:val="E49C836FBBD64D06B65A1383D9860638"/>
          </w:pPr>
          <w:r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14"/>
    <w:rsid w:val="004671AD"/>
    <w:rsid w:val="0076117E"/>
    <w:rsid w:val="00801D14"/>
    <w:rsid w:val="00827FDF"/>
    <w:rsid w:val="008A5C3A"/>
    <w:rsid w:val="00973FC3"/>
    <w:rsid w:val="00B86B86"/>
    <w:rsid w:val="00E13BB8"/>
    <w:rsid w:val="00E9456A"/>
    <w:rsid w:val="00EA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801D14"/>
  </w:style>
  <w:style w:type="paragraph" w:customStyle="1" w:styleId="4882285CB60C4E859CD2C65DC62981D5">
    <w:name w:val="4882285CB60C4E859CD2C65DC62981D5"/>
    <w:rsid w:val="00801D14"/>
    <w:pPr>
      <w:widowControl w:val="0"/>
      <w:jc w:val="both"/>
    </w:pPr>
  </w:style>
  <w:style w:type="paragraph" w:customStyle="1" w:styleId="E49C836FBBD64D06B65A1383D9860638">
    <w:name w:val="E49C836FBBD64D06B65A1383D9860638"/>
    <w:rsid w:val="00801D14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梁恺</dc:creator>
  <cp:lastModifiedBy>郑艾劼</cp:lastModifiedBy>
  <cp:revision>2</cp:revision>
  <cp:lastPrinted>2026-08-26T09:38:00Z</cp:lastPrinted>
  <dcterms:created xsi:type="dcterms:W3CDTF">2026-08-27T08:14:00Z</dcterms:created>
  <dcterms:modified xsi:type="dcterms:W3CDTF">2026-08-27T08:14:00Z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eyJoZGlkIjoiM2NmMmIwMWIxYzAyZmZiMWZlOTY3NTcxZmU2NzhhZTEiLCJ1c2VySWQiOiIxNjcyMzMwMzQ3In0=</vt:lpwstr>
  </property>
  <property fmtid="{D5CDD505-2E9C-101B-9397-08002B2CF9AE}" pid="3" name="KSOProductBuildVer">
    <vt:lpwstr>2052-12.1.0.20784</vt:lpwstr>
  </property>
  <property fmtid="{D5CDD505-2E9C-101B-9397-08002B2CF9AE}" pid="4" name="ICV">
    <vt:lpwstr>0129ED2A916B45DF9D3DABCE5181E976_12</vt:lpwstr>
  </property>
</Properties>
</file>