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3CA53">
      <w:pPr>
        <w:ind w:firstLine="240" w:firstLineChars="100"/>
        <w:rPr>
          <w:rFonts w:asciiTheme="minorEastAsia" w:hAnsiTheme="minorEastAsia"/>
          <w:bCs/>
          <w:szCs w:val="24"/>
        </w:rPr>
      </w:pPr>
      <w:r>
        <w:rPr>
          <w:rFonts w:hint="eastAsia" w:asciiTheme="minorEastAsia" w:hAnsiTheme="minorEastAsia"/>
          <w:bCs/>
          <w:szCs w:val="24"/>
        </w:rPr>
        <w:t>证券代码：</w:t>
      </w:r>
      <w:sdt>
        <w:sdtPr>
          <w:rPr>
            <w:rFonts w:hint="eastAsia" w:asciiTheme="minorEastAsia" w:hAnsiTheme="minorEastAsia"/>
            <w:bCs/>
            <w:szCs w:val="24"/>
          </w:rPr>
          <w:alias w:val="公司代码"/>
          <w:tag w:val="_GBC_62ef04c8e14e4c76b304f7775b7d8722"/>
          <w:id w:val="147477448"/>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600377</w:t>
          </w:r>
        </w:sdtContent>
      </w:sdt>
      <w:r>
        <w:rPr>
          <w:rFonts w:hint="eastAsia" w:asciiTheme="minorEastAsia" w:hAnsiTheme="minorEastAsia"/>
          <w:bCs/>
          <w:szCs w:val="24"/>
        </w:rPr>
        <w:t xml:space="preserve">   </w:t>
      </w:r>
      <w:r>
        <w:rPr>
          <w:rFonts w:asciiTheme="minorEastAsia" w:hAnsiTheme="minorEastAsia"/>
          <w:bCs/>
          <w:szCs w:val="24"/>
        </w:rPr>
        <w:t xml:space="preserve">  </w:t>
      </w:r>
      <w:r>
        <w:rPr>
          <w:rFonts w:hint="eastAsia" w:asciiTheme="minorEastAsia" w:hAnsiTheme="minorEastAsia"/>
          <w:bCs/>
          <w:szCs w:val="24"/>
        </w:rPr>
        <w:t>证券简称：</w:t>
      </w:r>
      <w:sdt>
        <w:sdtPr>
          <w:rPr>
            <w:rFonts w:hint="eastAsia" w:asciiTheme="minorEastAsia" w:hAnsiTheme="minorEastAsia"/>
            <w:bCs/>
            <w:szCs w:val="24"/>
          </w:rPr>
          <w:alias w:val="公司简称"/>
          <w:tag w:val="_GBC_81c31f6c68a741c1acb30ff1595bc381"/>
          <w:id w:val="147477710"/>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宁沪高速</w:t>
          </w:r>
        </w:sdtContent>
      </w:sdt>
      <w:r>
        <w:rPr>
          <w:rFonts w:hint="eastAsia" w:asciiTheme="minorEastAsia" w:hAnsiTheme="minorEastAsia"/>
          <w:bCs/>
          <w:szCs w:val="24"/>
        </w:rPr>
        <w:t xml:space="preserve">   </w:t>
      </w:r>
      <w:r>
        <w:rPr>
          <w:rFonts w:asciiTheme="minorEastAsia" w:hAnsiTheme="minorEastAsia"/>
          <w:bCs/>
          <w:szCs w:val="24"/>
        </w:rPr>
        <w:t xml:space="preserve">  </w:t>
      </w:r>
      <w:r>
        <w:rPr>
          <w:rFonts w:hint="eastAsia" w:asciiTheme="minorEastAsia" w:hAnsiTheme="minorEastAsia"/>
          <w:bCs/>
          <w:szCs w:val="24"/>
        </w:rPr>
        <w:t>公告编号：</w:t>
      </w:r>
      <w:sdt>
        <w:sdtPr>
          <w:rPr>
            <w:rFonts w:hint="eastAsia" w:asciiTheme="minorEastAsia" w:hAnsiTheme="minorEastAsia"/>
            <w:bCs/>
            <w:szCs w:val="24"/>
          </w:rPr>
          <w:alias w:val="临时公告编号"/>
          <w:tag w:val="_GBC_51438e46cb944a2bb6b9cb5e9d53d512"/>
          <w:id w:val="147475119"/>
          <w:placeholder>
            <w:docPart w:val="GBC22222222222222222222222222222"/>
          </w:placeholder>
        </w:sdtPr>
        <w:sdtEndPr>
          <w:rPr>
            <w:rFonts w:hint="eastAsia" w:asciiTheme="minorEastAsia" w:hAnsiTheme="minorEastAsia"/>
            <w:bCs/>
            <w:szCs w:val="24"/>
          </w:rPr>
        </w:sdtEndPr>
        <w:sdtContent>
          <w:r>
            <w:rPr>
              <w:rFonts w:hint="eastAsia" w:asciiTheme="minorEastAsia" w:hAnsiTheme="minorEastAsia"/>
              <w:bCs/>
              <w:szCs w:val="24"/>
            </w:rPr>
            <w:t>2026-</w:t>
          </w:r>
          <w:r>
            <w:rPr>
              <w:rFonts w:hint="eastAsia" w:asciiTheme="minorEastAsia" w:hAnsiTheme="minorEastAsia"/>
              <w:bCs/>
              <w:szCs w:val="24"/>
              <w:highlight w:val="none"/>
            </w:rPr>
            <w:t>0</w:t>
          </w:r>
          <w:r>
            <w:rPr>
              <w:rFonts w:hint="eastAsia" w:asciiTheme="minorEastAsia" w:hAnsiTheme="minorEastAsia"/>
              <w:bCs/>
              <w:szCs w:val="24"/>
              <w:highlight w:val="none"/>
              <w:lang w:eastAsia="zh-CN"/>
            </w:rPr>
            <w:t>2</w:t>
          </w:r>
          <w:r>
            <w:rPr>
              <w:rFonts w:hint="eastAsia" w:asciiTheme="minorEastAsia" w:hAnsiTheme="minorEastAsia"/>
              <w:bCs/>
              <w:szCs w:val="24"/>
              <w:highlight w:val="none"/>
              <w:lang w:val="en-US" w:eastAsia="zh-CN"/>
            </w:rPr>
            <w:t>9</w:t>
          </w:r>
        </w:sdtContent>
      </w:sdt>
      <w:r>
        <w:rPr>
          <w:rFonts w:hint="eastAsia" w:asciiTheme="minorEastAsia" w:hAnsiTheme="minorEastAsia"/>
          <w:bCs/>
          <w:szCs w:val="24"/>
        </w:rPr>
        <w:t xml:space="preserve"> </w:t>
      </w:r>
    </w:p>
    <w:p w14:paraId="62059942">
      <w:pPr>
        <w:ind w:firstLine="482"/>
        <w:jc w:val="right"/>
        <w:rPr>
          <w:rFonts w:asciiTheme="minorEastAsia" w:hAnsiTheme="minorEastAsia"/>
          <w:b/>
          <w:szCs w:val="24"/>
        </w:rPr>
      </w:pPr>
    </w:p>
    <w:p w14:paraId="0BD56148">
      <w:pPr>
        <w:adjustRightInd w:val="0"/>
        <w:snapToGrid w:val="0"/>
        <w:spacing w:line="360" w:lineRule="auto"/>
        <w:ind w:firstLine="723"/>
        <w:jc w:val="center"/>
        <w:rPr>
          <w:rFonts w:ascii="黑体" w:hAnsi="黑体" w:eastAsia="黑体"/>
          <w:b/>
          <w:color w:val="FF0000"/>
          <w:sz w:val="36"/>
          <w:szCs w:val="24"/>
        </w:rPr>
      </w:pPr>
      <w:r>
        <w:rPr>
          <w:rFonts w:hint="eastAsia" w:ascii="黑体" w:hAnsi="黑体" w:eastAsia="黑体"/>
          <w:b/>
          <w:color w:val="FF0000"/>
          <w:sz w:val="36"/>
          <w:szCs w:val="24"/>
        </w:rPr>
        <w:t>江苏宁沪高速公路股份有限公司</w:t>
      </w:r>
    </w:p>
    <w:p w14:paraId="1401B4A4">
      <w:pPr>
        <w:adjustRightInd w:val="0"/>
        <w:snapToGrid w:val="0"/>
        <w:spacing w:line="360" w:lineRule="auto"/>
        <w:ind w:firstLine="723"/>
        <w:jc w:val="center"/>
        <w:rPr>
          <w:rFonts w:ascii="黑体" w:hAnsi="黑体" w:eastAsia="黑体"/>
          <w:b/>
          <w:color w:val="FF0000"/>
          <w:sz w:val="36"/>
          <w:szCs w:val="24"/>
        </w:rPr>
      </w:pPr>
      <w:r>
        <w:rPr>
          <w:rFonts w:hint="eastAsia" w:ascii="黑体" w:hAnsi="黑体" w:eastAsia="黑体"/>
          <w:b/>
          <w:color w:val="FF0000"/>
          <w:sz w:val="36"/>
          <w:szCs w:val="24"/>
        </w:rPr>
        <w:t>关于本公司对外投资的进展公告</w:t>
      </w:r>
    </w:p>
    <w:p w14:paraId="207BB4DF">
      <w:pPr>
        <w:pBdr>
          <w:top w:val="single" w:color="auto" w:sz="4" w:space="4"/>
          <w:left w:val="single" w:color="auto" w:sz="4" w:space="3"/>
          <w:bottom w:val="single" w:color="auto" w:sz="4" w:space="1"/>
          <w:right w:val="single" w:color="auto" w:sz="4" w:space="4"/>
        </w:pBdr>
        <w:adjustRightInd w:val="0"/>
        <w:snapToGrid w:val="0"/>
        <w:spacing w:line="360" w:lineRule="auto"/>
        <w:ind w:firstLine="480"/>
        <w:rPr>
          <w:rFonts w:asciiTheme="minorEastAsia" w:hAnsiTheme="minorEastAsia"/>
          <w:color w:val="000000"/>
          <w:szCs w:val="24"/>
        </w:rPr>
      </w:pPr>
      <w:r>
        <w:rPr>
          <w:rFonts w:hint="eastAsia" w:cs="宋体" w:asciiTheme="minorEastAsia" w:hAnsiTheme="minorEastAsia"/>
          <w:color w:val="000000"/>
          <w:kern w:val="0"/>
          <w:szCs w:val="24"/>
        </w:rPr>
        <w:t>本公司董事会及全体董事保证本公告内容不存在任何虚假记载、误导性陈述或者重大遗漏，并对其内容的真实性、准确性和完整性承担法律责任。</w:t>
      </w:r>
    </w:p>
    <w:p w14:paraId="44D698D1">
      <w:pPr>
        <w:widowControl/>
        <w:adjustRightInd w:val="0"/>
        <w:snapToGrid w:val="0"/>
        <w:spacing w:before="156" w:beforeLines="50" w:after="156" w:afterLines="50"/>
        <w:ind w:firstLine="562"/>
        <w:outlineLvl w:val="0"/>
        <w:rPr>
          <w:rFonts w:asciiTheme="minorEastAsia" w:hAnsiTheme="minorEastAsia" w:cstheme="minorEastAsia"/>
          <w:b/>
          <w:bCs/>
          <w:sz w:val="24"/>
          <w:szCs w:val="24"/>
        </w:rPr>
      </w:pPr>
      <w:r>
        <w:rPr>
          <w:rFonts w:hint="eastAsia" w:asciiTheme="minorEastAsia" w:hAnsiTheme="minorEastAsia" w:cstheme="minorEastAsia"/>
          <w:b/>
          <w:bCs/>
          <w:sz w:val="24"/>
          <w:szCs w:val="24"/>
        </w:rPr>
        <w:t>一、交易背景情况</w:t>
      </w:r>
    </w:p>
    <w:p w14:paraId="77B1608A">
      <w:pPr>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江苏宁沪高速公路股份</w:t>
      </w:r>
      <w:bookmarkStart w:id="0" w:name="_GoBack"/>
      <w:bookmarkEnd w:id="0"/>
      <w:r>
        <w:rPr>
          <w:rFonts w:hint="eastAsia" w:asciiTheme="minorEastAsia" w:hAnsiTheme="minorEastAsia" w:cstheme="minorEastAsia"/>
          <w:szCs w:val="24"/>
        </w:rPr>
        <w:t>有限公司（以下简称“本公司”）于2026年4月29日第十一届董事会第二十一次会议审议通过了《关于本公司参与紫金信托有限责任公司增资的议案》。本公司拟以自有资金，出资人民币50,000万元按原持股比例参与紫金信托有限责任公司（以下简称“紫金信托”）现有股东增资。该事项具体详情请参见2026年4月30日刊登在《中国证券报》《证券时报》《上海证券报》、上海证券交易所网站www.sse.com.cn、香港联合交易所有限公司网站www.hkexnews.hk及本公司网站www.jsexpressway.com的本公司《第十一届董事会第二十一次会议决议公告》、《对外投资公告》。</w:t>
      </w:r>
    </w:p>
    <w:p w14:paraId="6AD18D6F">
      <w:pPr>
        <w:widowControl/>
        <w:adjustRightInd w:val="0"/>
        <w:snapToGrid w:val="0"/>
        <w:spacing w:before="156" w:beforeLines="50" w:after="156" w:afterLines="50" w:line="240" w:lineRule="auto"/>
        <w:ind w:firstLine="562"/>
        <w:outlineLvl w:val="0"/>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t>二、交易进展情况</w:t>
      </w:r>
      <w:r>
        <w:rPr>
          <w:rFonts w:hint="eastAsia" w:asciiTheme="minorEastAsia" w:hAnsiTheme="minorEastAsia" w:cstheme="minorEastAsia"/>
          <w:b/>
          <w:bCs/>
          <w:sz w:val="24"/>
          <w:szCs w:val="24"/>
        </w:rPr>
        <w:tab/>
      </w:r>
    </w:p>
    <w:p w14:paraId="042BCC8B">
      <w:pPr>
        <w:widowControl/>
        <w:adjustRightInd w:val="0"/>
        <w:snapToGrid w:val="0"/>
        <w:spacing w:line="360" w:lineRule="auto"/>
        <w:ind w:firstLine="480"/>
        <w:outlineLvl w:val="2"/>
        <w:rPr>
          <w:rFonts w:hint="eastAsia" w:asciiTheme="minorEastAsia" w:hAnsiTheme="minorEastAsia" w:eastAsiaTheme="minorEastAsia" w:cstheme="minorEastAsia"/>
          <w:szCs w:val="24"/>
          <w:lang w:eastAsia="zh-CN"/>
        </w:rPr>
      </w:pPr>
      <w:r>
        <w:rPr>
          <w:rFonts w:hint="eastAsia" w:asciiTheme="minorEastAsia" w:hAnsiTheme="minorEastAsia" w:cstheme="minorEastAsia"/>
          <w:szCs w:val="24"/>
        </w:rPr>
        <w:t>本公司与紫金信托及其其他现有股东</w:t>
      </w:r>
      <w:r>
        <w:rPr>
          <w:rFonts w:hint="eastAsia" w:asciiTheme="minorEastAsia" w:hAnsiTheme="minorEastAsia" w:cstheme="minorEastAsia"/>
          <w:szCs w:val="24"/>
          <w:lang w:val="en-US" w:eastAsia="zh-CN"/>
        </w:rPr>
        <w:t>就本次增资事项的交易方案、权益安排等</w:t>
      </w:r>
      <w:r>
        <w:rPr>
          <w:rFonts w:hint="eastAsia" w:asciiTheme="minorEastAsia" w:hAnsiTheme="minorEastAsia" w:cstheme="minorEastAsia"/>
          <w:szCs w:val="24"/>
        </w:rPr>
        <w:t>事项达成一致</w:t>
      </w:r>
      <w:r>
        <w:rPr>
          <w:rFonts w:hint="eastAsia" w:asciiTheme="minorEastAsia" w:hAnsiTheme="minorEastAsia" w:cstheme="minorEastAsia"/>
          <w:szCs w:val="24"/>
          <w:lang w:eastAsia="zh-CN"/>
        </w:rPr>
        <w:t>，</w:t>
      </w:r>
      <w:r>
        <w:rPr>
          <w:rFonts w:hint="eastAsia" w:asciiTheme="minorEastAsia" w:hAnsiTheme="minorEastAsia" w:cstheme="minorEastAsia"/>
          <w:szCs w:val="24"/>
          <w:lang w:val="en-US" w:eastAsia="zh-CN"/>
        </w:rPr>
        <w:t>并</w:t>
      </w:r>
      <w:r>
        <w:rPr>
          <w:rFonts w:hint="eastAsia" w:asciiTheme="minorEastAsia" w:hAnsiTheme="minorEastAsia" w:cstheme="minorEastAsia"/>
          <w:szCs w:val="24"/>
        </w:rPr>
        <w:t>于2026年6月9日签署了增资协议。</w:t>
      </w:r>
    </w:p>
    <w:p w14:paraId="04E1A4AB">
      <w:pPr>
        <w:widowControl/>
        <w:adjustRightInd w:val="0"/>
        <w:snapToGrid w:val="0"/>
        <w:spacing w:before="156" w:beforeLines="50" w:after="156" w:afterLines="50" w:line="240" w:lineRule="auto"/>
        <w:ind w:firstLine="562"/>
        <w:outlineLvl w:val="0"/>
        <w:rPr>
          <w:rFonts w:hint="eastAsia" w:asciiTheme="minorEastAsia" w:hAnsiTheme="minorEastAsia" w:eastAsiaTheme="minorEastAsia" w:cstheme="minorEastAsia"/>
          <w:b/>
          <w:bCs/>
          <w:szCs w:val="24"/>
          <w:lang w:val="en-US" w:eastAsia="zh-CN"/>
        </w:rPr>
      </w:pPr>
      <w:r>
        <w:rPr>
          <w:rFonts w:hint="eastAsia" w:asciiTheme="minorEastAsia" w:hAnsiTheme="minorEastAsia" w:cstheme="minorEastAsia"/>
          <w:b/>
          <w:bCs/>
          <w:szCs w:val="24"/>
          <w:lang w:val="en-US" w:eastAsia="zh-CN"/>
        </w:rPr>
        <w:t>三、增资协议的主要内容</w:t>
      </w:r>
    </w:p>
    <w:p w14:paraId="430FBA9C">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（一）日期：2026年6月9日</w:t>
      </w:r>
    </w:p>
    <w:p w14:paraId="4D76BE93">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（二）协议方：</w:t>
      </w:r>
    </w:p>
    <w:p w14:paraId="5F79E751">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（以下协议方单称“一方”，合称“各方”，甲方1、甲方2、甲方3、甲方4合称“增资股东”）</w:t>
      </w:r>
    </w:p>
    <w:p w14:paraId="62ABE710">
      <w:pPr>
        <w:widowControl/>
        <w:adjustRightInd w:val="0"/>
        <w:snapToGrid w:val="0"/>
        <w:spacing w:line="360" w:lineRule="auto"/>
        <w:ind w:firstLine="480"/>
        <w:outlineLvl w:val="2"/>
        <w:rPr>
          <w:rFonts w:asciiTheme="minorEastAsia" w:hAnsiTheme="minorEastAsia" w:cstheme="minorEastAsia"/>
          <w:szCs w:val="24"/>
        </w:rPr>
      </w:pPr>
      <w:r>
        <w:rPr>
          <w:rFonts w:asciiTheme="minorEastAsia" w:hAnsiTheme="minorEastAsia" w:cstheme="minorEastAsia"/>
          <w:szCs w:val="24"/>
        </w:rPr>
        <w:t>南京紫金投资集团有限责任公司</w:t>
      </w:r>
      <w:r>
        <w:rPr>
          <w:rFonts w:hint="eastAsia" w:asciiTheme="minorEastAsia" w:hAnsiTheme="minorEastAsia" w:cstheme="minorEastAsia"/>
          <w:szCs w:val="24"/>
        </w:rPr>
        <w:t>（甲方1）；</w:t>
      </w:r>
    </w:p>
    <w:p w14:paraId="77CC4C71">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三井住友信托银行股份有限公司（甲方2）；</w:t>
      </w:r>
    </w:p>
    <w:p w14:paraId="739D8003">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本公司（甲方3）；</w:t>
      </w:r>
    </w:p>
    <w:p w14:paraId="7C44E1C1">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南京新工投资集团有限责任公司（甲方4）；</w:t>
      </w:r>
    </w:p>
    <w:p w14:paraId="7995B440">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紫金信托（乙方）；</w:t>
      </w:r>
    </w:p>
    <w:p w14:paraId="7F31074A">
      <w:pPr>
        <w:widowControl/>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三胞集团有限公司（丙方）；</w:t>
      </w:r>
    </w:p>
    <w:p w14:paraId="16F18E75">
      <w:pPr>
        <w:widowControl/>
        <w:numPr>
          <w:ilvl w:val="0"/>
          <w:numId w:val="1"/>
        </w:numPr>
        <w:adjustRightInd w:val="0"/>
        <w:snapToGrid w:val="0"/>
        <w:spacing w:line="360" w:lineRule="auto"/>
        <w:ind w:firstLine="480"/>
        <w:outlineLvl w:val="2"/>
        <w:rPr>
          <w:rFonts w:asciiTheme="minorEastAsia" w:hAnsiTheme="minorEastAsia" w:cstheme="minorEastAsia"/>
          <w:szCs w:val="24"/>
        </w:rPr>
      </w:pPr>
      <w:r>
        <w:rPr>
          <w:rFonts w:hint="eastAsia" w:asciiTheme="minorEastAsia" w:hAnsiTheme="minorEastAsia" w:cstheme="minorEastAsia"/>
          <w:szCs w:val="24"/>
        </w:rPr>
        <w:t>增资方式：</w:t>
      </w:r>
    </w:p>
    <w:p w14:paraId="4BF2D99F">
      <w:pPr>
        <w:widowControl/>
        <w:adjustRightInd w:val="0"/>
        <w:snapToGrid w:val="0"/>
        <w:spacing w:line="360" w:lineRule="auto"/>
        <w:ind w:firstLine="482" w:firstLineChars="0"/>
        <w:outlineLvl w:val="2"/>
        <w:rPr>
          <w:rFonts w:asciiTheme="minorEastAsia" w:hAnsiTheme="minorEastAsia" w:cstheme="minorEastAsia"/>
          <w:szCs w:val="24"/>
        </w:rPr>
      </w:pPr>
      <w:r>
        <w:rPr>
          <w:rFonts w:hint="eastAsia" w:asciiTheme="minorEastAsia" w:hAnsiTheme="minorEastAsia" w:cstheme="minorEastAsia"/>
          <w:szCs w:val="24"/>
        </w:rPr>
        <w:t>（1）本次增资前，紫金信托注册资本为327,107.55万元；本次增资后，紫金信托注册资本为399,992.476470万元；本次新增注册资本72,884.926470万元，均由甲方1、甲方2、甲方3、甲方4认购。以本公司各董事所知所信，并经过所有合理查询，甲方1、甲方2、甲方4及其最终实益拥有人，均是本公司及本公司的</w:t>
      </w:r>
      <w:r>
        <w:rPr>
          <w:rFonts w:hint="eastAsia" w:asciiTheme="minorEastAsia" w:hAnsiTheme="minorEastAsia" w:cstheme="minorEastAsia"/>
          <w:szCs w:val="24"/>
          <w:lang w:val="en-US" w:eastAsia="zh-CN"/>
        </w:rPr>
        <w:t>关联方</w:t>
      </w:r>
      <w:r>
        <w:rPr>
          <w:rFonts w:hint="eastAsia" w:asciiTheme="minorEastAsia" w:hAnsiTheme="minorEastAsia" w:cstheme="minorEastAsia"/>
          <w:szCs w:val="24"/>
        </w:rPr>
        <w:t>以外的独立第三者。</w:t>
      </w:r>
    </w:p>
    <w:p w14:paraId="3E938EAA">
      <w:pPr>
        <w:widowControl/>
        <w:adjustRightInd w:val="0"/>
        <w:snapToGrid w:val="0"/>
        <w:spacing w:line="360" w:lineRule="auto"/>
        <w:ind w:firstLine="482" w:firstLineChars="0"/>
        <w:outlineLvl w:val="2"/>
        <w:rPr>
          <w:rFonts w:asciiTheme="minorEastAsia" w:hAnsiTheme="minorEastAsia" w:cstheme="minorEastAsia"/>
          <w:szCs w:val="24"/>
        </w:rPr>
      </w:pPr>
      <w:r>
        <w:rPr>
          <w:rFonts w:hint="eastAsia" w:asciiTheme="minorEastAsia" w:hAnsiTheme="minorEastAsia" w:cstheme="minorEastAsia"/>
          <w:szCs w:val="24"/>
        </w:rPr>
        <w:t>（2）根据《紫金信托有限责任公司拟增资扩股所涉及的紫金信托有限责任公司股东全部权益价值资产评估报告》（金证评报字〔2026〕第0011号），紫金信托全部股东权益于评估基准日的市场价值为人民币1,122,000万元。按照该评估价值，甲方1、甲方2、甲方3、甲方4同意合计出资250,000万元现金认购本次增资，每1元注册资本对应价格=评估价值÷本次增资前紫金信托注册资本（元）。</w:t>
      </w:r>
    </w:p>
    <w:p w14:paraId="3DD4EACC">
      <w:pPr>
        <w:widowControl/>
        <w:adjustRightInd w:val="0"/>
        <w:snapToGrid w:val="0"/>
        <w:spacing w:line="360" w:lineRule="auto"/>
        <w:ind w:firstLine="482" w:firstLineChars="0"/>
        <w:outlineLvl w:val="2"/>
        <w:rPr>
          <w:rFonts w:asciiTheme="minorEastAsia" w:hAnsiTheme="minorEastAsia" w:cstheme="minorEastAsia"/>
          <w:szCs w:val="24"/>
        </w:rPr>
      </w:pPr>
      <w:r>
        <w:rPr>
          <w:rFonts w:hint="eastAsia" w:asciiTheme="minorEastAsia" w:hAnsiTheme="minorEastAsia" w:cstheme="minorEastAsia"/>
          <w:szCs w:val="24"/>
        </w:rPr>
        <w:t>（3） 甲方1出资136,250万元，甲方2出资50,000万元，甲方3出资50,000万元，甲方4出资13,750万元。增资股东合计出资额高于新增注册资本72,884.926470万元的部分，计入公司的资本公积。具体如下：</w:t>
      </w:r>
    </w:p>
    <w:tbl>
      <w:tblPr>
        <w:tblStyle w:val="13"/>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2996"/>
        <w:gridCol w:w="1789"/>
        <w:gridCol w:w="1910"/>
        <w:gridCol w:w="1263"/>
      </w:tblGrid>
      <w:tr w14:paraId="2D332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12" w:space="0"/>
              <w:left w:val="single" w:color="auto" w:sz="12" w:space="0"/>
              <w:bottom w:val="single" w:color="auto" w:sz="4" w:space="0"/>
              <w:right w:val="single" w:color="auto" w:sz="4" w:space="0"/>
            </w:tcBorders>
            <w:vAlign w:val="center"/>
          </w:tcPr>
          <w:p w14:paraId="2C406230">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lang w:bidi="ar"/>
              </w:rPr>
              <w:t>序号</w:t>
            </w:r>
          </w:p>
        </w:tc>
        <w:tc>
          <w:tcPr>
            <w:tcW w:w="1758" w:type="pct"/>
            <w:tcBorders>
              <w:top w:val="single" w:color="auto" w:sz="12" w:space="0"/>
              <w:left w:val="single" w:color="auto" w:sz="4" w:space="0"/>
              <w:bottom w:val="single" w:color="auto" w:sz="4" w:space="0"/>
              <w:right w:val="single" w:color="auto" w:sz="4" w:space="0"/>
            </w:tcBorders>
            <w:vAlign w:val="center"/>
          </w:tcPr>
          <w:p w14:paraId="3D038941">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lang w:bidi="ar"/>
              </w:rPr>
              <w:t>股东名称</w:t>
            </w:r>
          </w:p>
        </w:tc>
        <w:tc>
          <w:tcPr>
            <w:tcW w:w="1050" w:type="pct"/>
            <w:tcBorders>
              <w:top w:val="single" w:color="auto" w:sz="12" w:space="0"/>
              <w:left w:val="single" w:color="auto" w:sz="4" w:space="0"/>
              <w:bottom w:val="single" w:color="auto" w:sz="4" w:space="0"/>
              <w:right w:val="single" w:color="auto" w:sz="4" w:space="0"/>
            </w:tcBorders>
            <w:vAlign w:val="center"/>
          </w:tcPr>
          <w:p w14:paraId="4BB556D5">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lang w:bidi="ar"/>
              </w:rPr>
              <w:t>本次认缴注册资本（万元）</w:t>
            </w:r>
          </w:p>
        </w:tc>
        <w:tc>
          <w:tcPr>
            <w:tcW w:w="1121" w:type="pct"/>
            <w:tcBorders>
              <w:top w:val="single" w:color="auto" w:sz="12" w:space="0"/>
              <w:left w:val="single" w:color="auto" w:sz="4" w:space="0"/>
              <w:bottom w:val="single" w:color="auto" w:sz="4" w:space="0"/>
              <w:right w:val="single" w:color="auto" w:sz="4" w:space="0"/>
            </w:tcBorders>
            <w:vAlign w:val="center"/>
          </w:tcPr>
          <w:p w14:paraId="06D10984">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lang w:bidi="ar"/>
              </w:rPr>
              <w:t>计入资本公积基金（万元）</w:t>
            </w:r>
          </w:p>
        </w:tc>
        <w:tc>
          <w:tcPr>
            <w:tcW w:w="741" w:type="pct"/>
            <w:tcBorders>
              <w:top w:val="single" w:color="auto" w:sz="12" w:space="0"/>
              <w:left w:val="single" w:color="auto" w:sz="4" w:space="0"/>
              <w:bottom w:val="single" w:color="auto" w:sz="4" w:space="0"/>
              <w:right w:val="single" w:color="auto" w:sz="12" w:space="0"/>
            </w:tcBorders>
            <w:vAlign w:val="center"/>
          </w:tcPr>
          <w:p w14:paraId="1C66C228">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lang w:bidi="ar"/>
              </w:rPr>
              <w:t>本次出资额（万元）</w:t>
            </w:r>
          </w:p>
        </w:tc>
      </w:tr>
      <w:tr w14:paraId="772871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4" w:space="0"/>
              <w:left w:val="single" w:color="auto" w:sz="12" w:space="0"/>
              <w:bottom w:val="single" w:color="auto" w:sz="4" w:space="0"/>
              <w:right w:val="single" w:color="auto" w:sz="4" w:space="0"/>
            </w:tcBorders>
            <w:vAlign w:val="center"/>
          </w:tcPr>
          <w:p w14:paraId="1EF85CBB">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1</w:t>
            </w:r>
          </w:p>
        </w:tc>
        <w:tc>
          <w:tcPr>
            <w:tcW w:w="1758" w:type="pct"/>
            <w:tcBorders>
              <w:top w:val="single" w:color="auto" w:sz="4" w:space="0"/>
              <w:left w:val="single" w:color="auto" w:sz="4" w:space="0"/>
              <w:bottom w:val="single" w:color="auto" w:sz="4" w:space="0"/>
              <w:right w:val="single" w:color="auto" w:sz="4" w:space="0"/>
            </w:tcBorders>
            <w:vAlign w:val="center"/>
          </w:tcPr>
          <w:p w14:paraId="390A226A">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lang w:bidi="ar"/>
              </w:rPr>
              <w:t>南京紫金投资集团有限责任公司</w:t>
            </w:r>
          </w:p>
        </w:tc>
        <w:tc>
          <w:tcPr>
            <w:tcW w:w="1050" w:type="pct"/>
            <w:tcBorders>
              <w:top w:val="single" w:color="auto" w:sz="4" w:space="0"/>
              <w:left w:val="single" w:color="auto" w:sz="4" w:space="0"/>
              <w:bottom w:val="single" w:color="auto" w:sz="4" w:space="0"/>
              <w:right w:val="single" w:color="auto" w:sz="4" w:space="0"/>
            </w:tcBorders>
            <w:vAlign w:val="center"/>
          </w:tcPr>
          <w:p w14:paraId="54D703FD">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39,722.284926</w:t>
            </w:r>
          </w:p>
        </w:tc>
        <w:tc>
          <w:tcPr>
            <w:tcW w:w="1121" w:type="pct"/>
            <w:tcBorders>
              <w:top w:val="single" w:color="auto" w:sz="4" w:space="0"/>
              <w:left w:val="single" w:color="auto" w:sz="4" w:space="0"/>
              <w:bottom w:val="single" w:color="auto" w:sz="4" w:space="0"/>
              <w:right w:val="single" w:color="auto" w:sz="4" w:space="0"/>
            </w:tcBorders>
            <w:vAlign w:val="center"/>
          </w:tcPr>
          <w:p w14:paraId="57C0E5B0">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96,527.715074</w:t>
            </w:r>
          </w:p>
        </w:tc>
        <w:tc>
          <w:tcPr>
            <w:tcW w:w="741" w:type="pct"/>
            <w:tcBorders>
              <w:top w:val="single" w:color="auto" w:sz="4" w:space="0"/>
              <w:left w:val="single" w:color="auto" w:sz="4" w:space="0"/>
              <w:bottom w:val="single" w:color="auto" w:sz="4" w:space="0"/>
              <w:right w:val="single" w:color="auto" w:sz="12" w:space="0"/>
            </w:tcBorders>
            <w:vAlign w:val="center"/>
          </w:tcPr>
          <w:p w14:paraId="1E38768B">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136,250</w:t>
            </w:r>
          </w:p>
        </w:tc>
      </w:tr>
      <w:tr w14:paraId="15E5F4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4" w:space="0"/>
              <w:left w:val="single" w:color="auto" w:sz="12" w:space="0"/>
              <w:bottom w:val="single" w:color="auto" w:sz="4" w:space="0"/>
              <w:right w:val="single" w:color="auto" w:sz="4" w:space="0"/>
            </w:tcBorders>
            <w:vAlign w:val="center"/>
          </w:tcPr>
          <w:p w14:paraId="659D3EF4">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2</w:t>
            </w:r>
          </w:p>
        </w:tc>
        <w:tc>
          <w:tcPr>
            <w:tcW w:w="1758" w:type="pct"/>
            <w:tcBorders>
              <w:top w:val="single" w:color="auto" w:sz="4" w:space="0"/>
              <w:left w:val="single" w:color="auto" w:sz="4" w:space="0"/>
              <w:bottom w:val="single" w:color="auto" w:sz="4" w:space="0"/>
              <w:right w:val="single" w:color="auto" w:sz="4" w:space="0"/>
            </w:tcBorders>
            <w:vAlign w:val="center"/>
          </w:tcPr>
          <w:p w14:paraId="5C84F978">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lang w:bidi="ar"/>
              </w:rPr>
              <w:t>三井住友信托银行股份有限公司</w:t>
            </w:r>
          </w:p>
        </w:tc>
        <w:tc>
          <w:tcPr>
            <w:tcW w:w="1050" w:type="pct"/>
            <w:tcBorders>
              <w:top w:val="single" w:color="auto" w:sz="4" w:space="0"/>
              <w:left w:val="single" w:color="auto" w:sz="4" w:space="0"/>
              <w:bottom w:val="single" w:color="auto" w:sz="4" w:space="0"/>
              <w:right w:val="single" w:color="auto" w:sz="4" w:space="0"/>
            </w:tcBorders>
            <w:vAlign w:val="center"/>
          </w:tcPr>
          <w:p w14:paraId="746360D5">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14,576.985294</w:t>
            </w:r>
          </w:p>
        </w:tc>
        <w:tc>
          <w:tcPr>
            <w:tcW w:w="1121" w:type="pct"/>
            <w:tcBorders>
              <w:top w:val="single" w:color="auto" w:sz="4" w:space="0"/>
              <w:left w:val="single" w:color="auto" w:sz="4" w:space="0"/>
              <w:bottom w:val="single" w:color="auto" w:sz="4" w:space="0"/>
              <w:right w:val="single" w:color="auto" w:sz="4" w:space="0"/>
            </w:tcBorders>
            <w:vAlign w:val="center"/>
          </w:tcPr>
          <w:p w14:paraId="2386CF54">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35,423.014706</w:t>
            </w:r>
          </w:p>
        </w:tc>
        <w:tc>
          <w:tcPr>
            <w:tcW w:w="741" w:type="pct"/>
            <w:tcBorders>
              <w:top w:val="single" w:color="auto" w:sz="4" w:space="0"/>
              <w:left w:val="single" w:color="auto" w:sz="4" w:space="0"/>
              <w:bottom w:val="single" w:color="auto" w:sz="4" w:space="0"/>
              <w:right w:val="single" w:color="auto" w:sz="12" w:space="0"/>
            </w:tcBorders>
            <w:vAlign w:val="center"/>
          </w:tcPr>
          <w:p w14:paraId="05CC9E6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50,000</w:t>
            </w:r>
          </w:p>
        </w:tc>
      </w:tr>
      <w:tr w14:paraId="60981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4" w:space="0"/>
              <w:left w:val="single" w:color="auto" w:sz="12" w:space="0"/>
              <w:bottom w:val="single" w:color="auto" w:sz="4" w:space="0"/>
              <w:right w:val="single" w:color="auto" w:sz="4" w:space="0"/>
            </w:tcBorders>
            <w:vAlign w:val="center"/>
          </w:tcPr>
          <w:p w14:paraId="31D8B18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3</w:t>
            </w:r>
          </w:p>
        </w:tc>
        <w:tc>
          <w:tcPr>
            <w:tcW w:w="1758" w:type="pct"/>
            <w:tcBorders>
              <w:top w:val="single" w:color="auto" w:sz="4" w:space="0"/>
              <w:left w:val="single" w:color="auto" w:sz="4" w:space="0"/>
              <w:bottom w:val="single" w:color="auto" w:sz="4" w:space="0"/>
              <w:right w:val="single" w:color="auto" w:sz="4" w:space="0"/>
            </w:tcBorders>
            <w:vAlign w:val="center"/>
          </w:tcPr>
          <w:p w14:paraId="611FD6FE">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lang w:bidi="ar"/>
              </w:rPr>
              <w:t>江苏宁沪高速公路股份有限公司</w:t>
            </w:r>
          </w:p>
        </w:tc>
        <w:tc>
          <w:tcPr>
            <w:tcW w:w="1050" w:type="pct"/>
            <w:tcBorders>
              <w:top w:val="single" w:color="auto" w:sz="4" w:space="0"/>
              <w:left w:val="single" w:color="auto" w:sz="4" w:space="0"/>
              <w:bottom w:val="single" w:color="auto" w:sz="4" w:space="0"/>
              <w:right w:val="single" w:color="auto" w:sz="4" w:space="0"/>
            </w:tcBorders>
            <w:vAlign w:val="center"/>
          </w:tcPr>
          <w:p w14:paraId="1D87C2A4">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14,576.985294</w:t>
            </w:r>
          </w:p>
        </w:tc>
        <w:tc>
          <w:tcPr>
            <w:tcW w:w="1121" w:type="pct"/>
            <w:tcBorders>
              <w:top w:val="single" w:color="auto" w:sz="4" w:space="0"/>
              <w:left w:val="single" w:color="auto" w:sz="4" w:space="0"/>
              <w:bottom w:val="single" w:color="auto" w:sz="4" w:space="0"/>
              <w:right w:val="single" w:color="auto" w:sz="4" w:space="0"/>
            </w:tcBorders>
            <w:vAlign w:val="center"/>
          </w:tcPr>
          <w:p w14:paraId="7C42C46C">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35,423.014706</w:t>
            </w:r>
          </w:p>
        </w:tc>
        <w:tc>
          <w:tcPr>
            <w:tcW w:w="741" w:type="pct"/>
            <w:tcBorders>
              <w:top w:val="single" w:color="auto" w:sz="4" w:space="0"/>
              <w:left w:val="single" w:color="auto" w:sz="4" w:space="0"/>
              <w:bottom w:val="single" w:color="auto" w:sz="4" w:space="0"/>
              <w:right w:val="single" w:color="auto" w:sz="12" w:space="0"/>
            </w:tcBorders>
            <w:vAlign w:val="center"/>
          </w:tcPr>
          <w:p w14:paraId="287661F1">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50,000</w:t>
            </w:r>
          </w:p>
        </w:tc>
      </w:tr>
      <w:tr w14:paraId="7A3403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4" w:space="0"/>
              <w:left w:val="single" w:color="auto" w:sz="12" w:space="0"/>
              <w:bottom w:val="single" w:color="auto" w:sz="4" w:space="0"/>
              <w:right w:val="single" w:color="auto" w:sz="4" w:space="0"/>
            </w:tcBorders>
            <w:vAlign w:val="center"/>
          </w:tcPr>
          <w:p w14:paraId="4544E9DE">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4</w:t>
            </w:r>
          </w:p>
        </w:tc>
        <w:tc>
          <w:tcPr>
            <w:tcW w:w="1758" w:type="pct"/>
            <w:tcBorders>
              <w:top w:val="single" w:color="auto" w:sz="4" w:space="0"/>
              <w:left w:val="single" w:color="auto" w:sz="4" w:space="0"/>
              <w:bottom w:val="single" w:color="auto" w:sz="4" w:space="0"/>
              <w:right w:val="single" w:color="auto" w:sz="4" w:space="0"/>
            </w:tcBorders>
            <w:vAlign w:val="center"/>
          </w:tcPr>
          <w:p w14:paraId="7FCCD29F">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lang w:bidi="ar"/>
              </w:rPr>
              <w:t>南京新工投资集团有限责任公司</w:t>
            </w:r>
          </w:p>
        </w:tc>
        <w:tc>
          <w:tcPr>
            <w:tcW w:w="1050" w:type="pct"/>
            <w:tcBorders>
              <w:top w:val="single" w:color="auto" w:sz="4" w:space="0"/>
              <w:left w:val="single" w:color="auto" w:sz="4" w:space="0"/>
              <w:bottom w:val="single" w:color="auto" w:sz="4" w:space="0"/>
              <w:right w:val="single" w:color="auto" w:sz="4" w:space="0"/>
            </w:tcBorders>
            <w:vAlign w:val="center"/>
          </w:tcPr>
          <w:p w14:paraId="6FB909F5">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4,008.670956</w:t>
            </w:r>
          </w:p>
        </w:tc>
        <w:tc>
          <w:tcPr>
            <w:tcW w:w="1121" w:type="pct"/>
            <w:tcBorders>
              <w:top w:val="single" w:color="auto" w:sz="4" w:space="0"/>
              <w:left w:val="single" w:color="auto" w:sz="4" w:space="0"/>
              <w:bottom w:val="single" w:color="auto" w:sz="4" w:space="0"/>
              <w:right w:val="single" w:color="auto" w:sz="4" w:space="0"/>
            </w:tcBorders>
            <w:vAlign w:val="center"/>
          </w:tcPr>
          <w:p w14:paraId="28BFE0EF">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9,741.329044</w:t>
            </w:r>
          </w:p>
        </w:tc>
        <w:tc>
          <w:tcPr>
            <w:tcW w:w="741" w:type="pct"/>
            <w:tcBorders>
              <w:top w:val="single" w:color="auto" w:sz="4" w:space="0"/>
              <w:left w:val="single" w:color="auto" w:sz="4" w:space="0"/>
              <w:bottom w:val="single" w:color="auto" w:sz="4" w:space="0"/>
              <w:right w:val="single" w:color="auto" w:sz="12" w:space="0"/>
            </w:tcBorders>
            <w:vAlign w:val="center"/>
          </w:tcPr>
          <w:p w14:paraId="6424FE13">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13,750</w:t>
            </w:r>
          </w:p>
        </w:tc>
      </w:tr>
      <w:tr w14:paraId="529BD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9" w:type="pct"/>
            <w:tcBorders>
              <w:top w:val="single" w:color="auto" w:sz="4" w:space="0"/>
              <w:left w:val="single" w:color="auto" w:sz="12" w:space="0"/>
              <w:bottom w:val="single" w:color="auto" w:sz="4" w:space="0"/>
              <w:right w:val="single" w:color="auto" w:sz="4" w:space="0"/>
            </w:tcBorders>
            <w:vAlign w:val="center"/>
          </w:tcPr>
          <w:p w14:paraId="3869F0B8">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5</w:t>
            </w:r>
          </w:p>
        </w:tc>
        <w:tc>
          <w:tcPr>
            <w:tcW w:w="1758" w:type="pct"/>
            <w:tcBorders>
              <w:top w:val="single" w:color="auto" w:sz="4" w:space="0"/>
              <w:left w:val="single" w:color="auto" w:sz="4" w:space="0"/>
              <w:bottom w:val="single" w:color="auto" w:sz="4" w:space="0"/>
              <w:right w:val="single" w:color="auto" w:sz="4" w:space="0"/>
            </w:tcBorders>
            <w:vAlign w:val="center"/>
          </w:tcPr>
          <w:p w14:paraId="53449EEE">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lang w:bidi="ar"/>
              </w:rPr>
              <w:t>三胞集团有限公司</w:t>
            </w:r>
          </w:p>
        </w:tc>
        <w:tc>
          <w:tcPr>
            <w:tcW w:w="1050" w:type="pct"/>
            <w:tcBorders>
              <w:top w:val="single" w:color="auto" w:sz="4" w:space="0"/>
              <w:left w:val="single" w:color="auto" w:sz="4" w:space="0"/>
              <w:bottom w:val="single" w:color="auto" w:sz="4" w:space="0"/>
              <w:right w:val="single" w:color="auto" w:sz="4" w:space="0"/>
            </w:tcBorders>
            <w:vAlign w:val="center"/>
          </w:tcPr>
          <w:p w14:paraId="0A91F35F">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0</w:t>
            </w:r>
          </w:p>
        </w:tc>
        <w:tc>
          <w:tcPr>
            <w:tcW w:w="1121" w:type="pct"/>
            <w:tcBorders>
              <w:top w:val="single" w:color="auto" w:sz="4" w:space="0"/>
              <w:left w:val="single" w:color="auto" w:sz="4" w:space="0"/>
              <w:bottom w:val="single" w:color="auto" w:sz="4" w:space="0"/>
              <w:right w:val="single" w:color="auto" w:sz="4" w:space="0"/>
            </w:tcBorders>
            <w:vAlign w:val="center"/>
          </w:tcPr>
          <w:p w14:paraId="1C322E00">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0</w:t>
            </w:r>
          </w:p>
        </w:tc>
        <w:tc>
          <w:tcPr>
            <w:tcW w:w="741" w:type="pct"/>
            <w:tcBorders>
              <w:top w:val="single" w:color="auto" w:sz="4" w:space="0"/>
              <w:left w:val="single" w:color="auto" w:sz="4" w:space="0"/>
              <w:bottom w:val="single" w:color="auto" w:sz="4" w:space="0"/>
              <w:right w:val="single" w:color="auto" w:sz="12" w:space="0"/>
            </w:tcBorders>
            <w:vAlign w:val="center"/>
          </w:tcPr>
          <w:p w14:paraId="4C1B691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lang w:bidi="ar"/>
              </w:rPr>
              <w:t>0</w:t>
            </w:r>
          </w:p>
        </w:tc>
      </w:tr>
      <w:tr w14:paraId="7D2DB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7" w:type="pct"/>
            <w:gridSpan w:val="2"/>
            <w:tcBorders>
              <w:top w:val="single" w:color="auto" w:sz="4" w:space="0"/>
              <w:left w:val="single" w:color="auto" w:sz="12" w:space="0"/>
              <w:bottom w:val="single" w:color="auto" w:sz="12" w:space="0"/>
              <w:right w:val="single" w:color="auto" w:sz="4" w:space="0"/>
            </w:tcBorders>
            <w:vAlign w:val="center"/>
          </w:tcPr>
          <w:p w14:paraId="40DF5E36">
            <w:pPr>
              <w:widowControl/>
              <w:snapToGrid w:val="0"/>
              <w:spacing w:line="240" w:lineRule="auto"/>
              <w:ind w:firstLine="0" w:firstLineChars="0"/>
              <w:jc w:val="center"/>
              <w:textAlignment w:val="center"/>
              <w:rPr>
                <w:rFonts w:asciiTheme="minorEastAsia" w:hAnsiTheme="minorEastAsia" w:cstheme="minorEastAsia"/>
                <w:b/>
                <w:bCs/>
                <w:szCs w:val="24"/>
                <w:lang w:bidi="ar"/>
              </w:rPr>
            </w:pPr>
            <w:r>
              <w:rPr>
                <w:rFonts w:hint="eastAsia" w:asciiTheme="minorEastAsia" w:hAnsiTheme="minorEastAsia" w:cstheme="minorEastAsia"/>
                <w:b/>
                <w:bCs/>
                <w:szCs w:val="24"/>
                <w:lang w:bidi="ar"/>
              </w:rPr>
              <w:t>合计</w:t>
            </w:r>
          </w:p>
        </w:tc>
        <w:tc>
          <w:tcPr>
            <w:tcW w:w="1050" w:type="pct"/>
            <w:tcBorders>
              <w:top w:val="single" w:color="auto" w:sz="4" w:space="0"/>
              <w:left w:val="single" w:color="auto" w:sz="4" w:space="0"/>
              <w:bottom w:val="single" w:color="auto" w:sz="12" w:space="0"/>
              <w:right w:val="single" w:color="auto" w:sz="4" w:space="0"/>
            </w:tcBorders>
            <w:vAlign w:val="center"/>
          </w:tcPr>
          <w:p w14:paraId="542E09F8">
            <w:pPr>
              <w:widowControl/>
              <w:snapToGrid w:val="0"/>
              <w:spacing w:line="240" w:lineRule="auto"/>
              <w:ind w:firstLine="0" w:firstLineChars="0"/>
              <w:jc w:val="center"/>
              <w:textAlignment w:val="center"/>
              <w:rPr>
                <w:rFonts w:asciiTheme="minorEastAsia" w:hAnsiTheme="minorEastAsia" w:cstheme="minorEastAsia"/>
                <w:b/>
                <w:bCs/>
                <w:szCs w:val="24"/>
                <w:lang w:bidi="ar"/>
              </w:rPr>
            </w:pPr>
            <w:r>
              <w:rPr>
                <w:rFonts w:hint="eastAsia" w:asciiTheme="minorEastAsia" w:hAnsiTheme="minorEastAsia" w:cstheme="minorEastAsia"/>
                <w:b/>
                <w:bCs/>
                <w:szCs w:val="24"/>
                <w:lang w:bidi="ar"/>
              </w:rPr>
              <w:t xml:space="preserve">72,884.926470 </w:t>
            </w:r>
          </w:p>
        </w:tc>
        <w:tc>
          <w:tcPr>
            <w:tcW w:w="1121" w:type="pct"/>
            <w:tcBorders>
              <w:top w:val="single" w:color="auto" w:sz="4" w:space="0"/>
              <w:left w:val="single" w:color="auto" w:sz="4" w:space="0"/>
              <w:bottom w:val="single" w:color="auto" w:sz="12" w:space="0"/>
              <w:right w:val="single" w:color="auto" w:sz="4" w:space="0"/>
            </w:tcBorders>
            <w:vAlign w:val="center"/>
          </w:tcPr>
          <w:p w14:paraId="05414C75">
            <w:pPr>
              <w:widowControl/>
              <w:snapToGrid w:val="0"/>
              <w:spacing w:line="240" w:lineRule="auto"/>
              <w:ind w:firstLine="0" w:firstLineChars="0"/>
              <w:jc w:val="center"/>
              <w:textAlignment w:val="center"/>
              <w:rPr>
                <w:rFonts w:asciiTheme="minorEastAsia" w:hAnsiTheme="minorEastAsia" w:cstheme="minorEastAsia"/>
                <w:b/>
                <w:bCs/>
                <w:szCs w:val="24"/>
                <w:lang w:bidi="ar"/>
              </w:rPr>
            </w:pPr>
            <w:r>
              <w:rPr>
                <w:rFonts w:hint="eastAsia" w:asciiTheme="minorEastAsia" w:hAnsiTheme="minorEastAsia" w:cstheme="minorEastAsia"/>
                <w:b/>
                <w:bCs/>
                <w:szCs w:val="24"/>
                <w:lang w:bidi="ar"/>
              </w:rPr>
              <w:t xml:space="preserve">177,115.073530 </w:t>
            </w:r>
          </w:p>
        </w:tc>
        <w:tc>
          <w:tcPr>
            <w:tcW w:w="741" w:type="pct"/>
            <w:tcBorders>
              <w:top w:val="single" w:color="auto" w:sz="4" w:space="0"/>
              <w:left w:val="single" w:color="auto" w:sz="4" w:space="0"/>
              <w:bottom w:val="single" w:color="auto" w:sz="12" w:space="0"/>
              <w:right w:val="single" w:color="auto" w:sz="12" w:space="0"/>
            </w:tcBorders>
            <w:vAlign w:val="center"/>
          </w:tcPr>
          <w:p w14:paraId="351EE46B">
            <w:pPr>
              <w:widowControl/>
              <w:snapToGrid w:val="0"/>
              <w:spacing w:line="240" w:lineRule="auto"/>
              <w:ind w:firstLine="0" w:firstLineChars="0"/>
              <w:jc w:val="center"/>
              <w:textAlignment w:val="center"/>
              <w:rPr>
                <w:rFonts w:asciiTheme="minorEastAsia" w:hAnsiTheme="minorEastAsia" w:cstheme="minorEastAsia"/>
                <w:b/>
                <w:bCs/>
                <w:szCs w:val="24"/>
                <w:lang w:bidi="ar"/>
              </w:rPr>
            </w:pPr>
            <w:r>
              <w:rPr>
                <w:rFonts w:hint="eastAsia" w:asciiTheme="minorEastAsia" w:hAnsiTheme="minorEastAsia" w:cstheme="minorEastAsia"/>
                <w:b/>
                <w:bCs/>
                <w:szCs w:val="24"/>
                <w:lang w:bidi="ar"/>
              </w:rPr>
              <w:t>250,000</w:t>
            </w:r>
          </w:p>
        </w:tc>
      </w:tr>
    </w:tbl>
    <w:p w14:paraId="5D6E19CC">
      <w:pPr>
        <w:widowControl/>
        <w:adjustRightInd w:val="0"/>
        <w:snapToGrid w:val="0"/>
        <w:spacing w:line="360" w:lineRule="auto"/>
        <w:ind w:firstLine="482" w:firstLineChars="0"/>
        <w:outlineLvl w:val="2"/>
        <w:rPr>
          <w:rFonts w:asciiTheme="minorEastAsia" w:hAnsiTheme="minorEastAsia" w:cstheme="minorEastAsia"/>
          <w:szCs w:val="24"/>
        </w:rPr>
      </w:pPr>
    </w:p>
    <w:p w14:paraId="63E08D3C">
      <w:pPr>
        <w:widowControl/>
        <w:adjustRightInd w:val="0"/>
        <w:snapToGrid w:val="0"/>
        <w:spacing w:line="360" w:lineRule="auto"/>
        <w:ind w:firstLine="482" w:firstLineChars="0"/>
        <w:outlineLvl w:val="0"/>
        <w:rPr>
          <w:rFonts w:hint="eastAsia" w:asciiTheme="minorEastAsia" w:hAnsiTheme="minorEastAsia" w:cstheme="minorEastAsia"/>
          <w:szCs w:val="24"/>
        </w:rPr>
      </w:pPr>
      <w:r>
        <w:rPr>
          <w:rFonts w:hint="eastAsia" w:asciiTheme="minorEastAsia" w:hAnsiTheme="minorEastAsia" w:cstheme="minorEastAsia"/>
          <w:szCs w:val="24"/>
        </w:rPr>
        <w:t>（四）各方注册资本额及股权比例变动：</w:t>
      </w:r>
    </w:p>
    <w:p w14:paraId="4A8DF196">
      <w:pPr>
        <w:widowControl/>
        <w:adjustRightInd w:val="0"/>
        <w:snapToGrid w:val="0"/>
        <w:spacing w:line="360" w:lineRule="auto"/>
        <w:ind w:firstLine="482" w:firstLineChars="0"/>
        <w:outlineLvl w:val="0"/>
        <w:rPr>
          <w:rFonts w:hint="eastAsia" w:asciiTheme="minorEastAsia" w:hAnsiTheme="minorEastAsia" w:cstheme="minorEastAsia"/>
          <w:szCs w:val="24"/>
        </w:rPr>
      </w:pPr>
    </w:p>
    <w:tbl>
      <w:tblPr>
        <w:tblStyle w:val="14"/>
        <w:tblW w:w="4998"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3"/>
        <w:gridCol w:w="2694"/>
        <w:gridCol w:w="1426"/>
        <w:gridCol w:w="958"/>
        <w:gridCol w:w="1910"/>
        <w:gridCol w:w="958"/>
      </w:tblGrid>
      <w:tr w14:paraId="6C92A6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358" w:type="pct"/>
            <w:vMerge w:val="restart"/>
            <w:vAlign w:val="center"/>
          </w:tcPr>
          <w:p w14:paraId="389726BE">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序号</w:t>
            </w:r>
          </w:p>
        </w:tc>
        <w:tc>
          <w:tcPr>
            <w:tcW w:w="1602" w:type="pct"/>
            <w:vMerge w:val="restart"/>
            <w:vAlign w:val="center"/>
          </w:tcPr>
          <w:p w14:paraId="19B608BD">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股东名称</w:t>
            </w:r>
          </w:p>
        </w:tc>
        <w:tc>
          <w:tcPr>
            <w:tcW w:w="1383" w:type="pct"/>
            <w:gridSpan w:val="2"/>
            <w:vAlign w:val="center"/>
          </w:tcPr>
          <w:p w14:paraId="7779F999">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增资前</w:t>
            </w:r>
          </w:p>
        </w:tc>
        <w:tc>
          <w:tcPr>
            <w:tcW w:w="1655" w:type="pct"/>
            <w:gridSpan w:val="2"/>
            <w:vAlign w:val="center"/>
          </w:tcPr>
          <w:p w14:paraId="1D69529A">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增资后</w:t>
            </w:r>
          </w:p>
        </w:tc>
      </w:tr>
      <w:tr w14:paraId="72A1A74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jc w:val="center"/>
        </w:trPr>
        <w:tc>
          <w:tcPr>
            <w:tcW w:w="358" w:type="pct"/>
            <w:vMerge w:val="continue"/>
            <w:vAlign w:val="center"/>
          </w:tcPr>
          <w:p w14:paraId="5112092D">
            <w:pPr>
              <w:widowControl/>
              <w:snapToGrid w:val="0"/>
              <w:spacing w:line="240" w:lineRule="auto"/>
              <w:ind w:firstLine="0" w:firstLineChars="0"/>
              <w:jc w:val="center"/>
              <w:textAlignment w:val="center"/>
              <w:rPr>
                <w:rFonts w:asciiTheme="minorEastAsia" w:hAnsiTheme="minorEastAsia" w:cstheme="minorEastAsia"/>
                <w:b/>
                <w:bCs/>
                <w:szCs w:val="24"/>
              </w:rPr>
            </w:pPr>
          </w:p>
        </w:tc>
        <w:tc>
          <w:tcPr>
            <w:tcW w:w="1602" w:type="pct"/>
            <w:vMerge w:val="continue"/>
            <w:vAlign w:val="center"/>
          </w:tcPr>
          <w:p w14:paraId="3BF6EFC5">
            <w:pPr>
              <w:widowControl/>
              <w:snapToGrid w:val="0"/>
              <w:spacing w:line="240" w:lineRule="auto"/>
              <w:ind w:firstLine="0" w:firstLineChars="0"/>
              <w:jc w:val="center"/>
              <w:textAlignment w:val="center"/>
              <w:rPr>
                <w:rFonts w:asciiTheme="minorEastAsia" w:hAnsiTheme="minorEastAsia" w:cstheme="minorEastAsia"/>
                <w:b/>
                <w:bCs/>
                <w:szCs w:val="24"/>
              </w:rPr>
            </w:pPr>
          </w:p>
        </w:tc>
        <w:tc>
          <w:tcPr>
            <w:tcW w:w="800" w:type="pct"/>
            <w:vAlign w:val="center"/>
          </w:tcPr>
          <w:p w14:paraId="0B592C0A">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出资金额</w:t>
            </w:r>
          </w:p>
        </w:tc>
        <w:tc>
          <w:tcPr>
            <w:tcW w:w="583" w:type="pct"/>
            <w:vAlign w:val="center"/>
          </w:tcPr>
          <w:p w14:paraId="76FB3C71">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占比</w:t>
            </w:r>
          </w:p>
          <w:p w14:paraId="1F4ABFD3">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w:t>
            </w:r>
          </w:p>
        </w:tc>
        <w:tc>
          <w:tcPr>
            <w:tcW w:w="1072" w:type="pct"/>
            <w:vAlign w:val="center"/>
          </w:tcPr>
          <w:p w14:paraId="11ADD666">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出资金额</w:t>
            </w:r>
          </w:p>
        </w:tc>
        <w:tc>
          <w:tcPr>
            <w:tcW w:w="583" w:type="pct"/>
            <w:vAlign w:val="center"/>
          </w:tcPr>
          <w:p w14:paraId="5506CB3D">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占比</w:t>
            </w:r>
          </w:p>
          <w:p w14:paraId="00AFC83E">
            <w:pPr>
              <w:widowControl/>
              <w:snapToGrid w:val="0"/>
              <w:spacing w:line="240" w:lineRule="auto"/>
              <w:ind w:firstLine="0" w:firstLineChars="0"/>
              <w:jc w:val="center"/>
              <w:textAlignment w:val="center"/>
              <w:rPr>
                <w:rFonts w:asciiTheme="minorEastAsia" w:hAnsiTheme="minorEastAsia" w:cstheme="minorEastAsia"/>
                <w:b/>
                <w:bCs/>
                <w:szCs w:val="24"/>
              </w:rPr>
            </w:pPr>
            <w:r>
              <w:rPr>
                <w:rFonts w:hint="eastAsia" w:asciiTheme="minorEastAsia" w:hAnsiTheme="minorEastAsia" w:cstheme="minorEastAsia"/>
                <w:b/>
                <w:bCs/>
                <w:szCs w:val="24"/>
              </w:rPr>
              <w:t>(%)</w:t>
            </w:r>
          </w:p>
        </w:tc>
      </w:tr>
      <w:tr w14:paraId="7561C9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58" w:type="pct"/>
            <w:vAlign w:val="center"/>
          </w:tcPr>
          <w:p w14:paraId="3E9AFD7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1</w:t>
            </w:r>
          </w:p>
        </w:tc>
        <w:tc>
          <w:tcPr>
            <w:tcW w:w="1602" w:type="pct"/>
            <w:vAlign w:val="center"/>
          </w:tcPr>
          <w:p w14:paraId="5AFAF6A1">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rPr>
              <w:t>南京紫金投资集团有限责任公司</w:t>
            </w:r>
          </w:p>
        </w:tc>
        <w:tc>
          <w:tcPr>
            <w:tcW w:w="800" w:type="pct"/>
            <w:vAlign w:val="center"/>
          </w:tcPr>
          <w:p w14:paraId="68D45900">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165,734.53</w:t>
            </w:r>
          </w:p>
        </w:tc>
        <w:tc>
          <w:tcPr>
            <w:tcW w:w="583" w:type="pct"/>
            <w:vAlign w:val="center"/>
          </w:tcPr>
          <w:p w14:paraId="35673F06">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50.67</w:t>
            </w:r>
          </w:p>
        </w:tc>
        <w:tc>
          <w:tcPr>
            <w:tcW w:w="1072" w:type="pct"/>
            <w:vAlign w:val="center"/>
          </w:tcPr>
          <w:p w14:paraId="54E9A3D8">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205,456.814926</w:t>
            </w:r>
          </w:p>
        </w:tc>
        <w:tc>
          <w:tcPr>
            <w:tcW w:w="583" w:type="pct"/>
            <w:vAlign w:val="center"/>
          </w:tcPr>
          <w:p w14:paraId="223F6711">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51.37</w:t>
            </w:r>
          </w:p>
        </w:tc>
      </w:tr>
      <w:tr w14:paraId="11CCF2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58" w:type="pct"/>
            <w:vAlign w:val="center"/>
          </w:tcPr>
          <w:p w14:paraId="437FC4EE">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2</w:t>
            </w:r>
          </w:p>
        </w:tc>
        <w:tc>
          <w:tcPr>
            <w:tcW w:w="1602" w:type="pct"/>
            <w:vAlign w:val="center"/>
          </w:tcPr>
          <w:p w14:paraId="17B2A9EB">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rPr>
              <w:t>三井住友信托银行股份有限公司</w:t>
            </w:r>
          </w:p>
        </w:tc>
        <w:tc>
          <w:tcPr>
            <w:tcW w:w="800" w:type="pct"/>
            <w:vAlign w:val="center"/>
          </w:tcPr>
          <w:p w14:paraId="3C2D4C7A">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65,421.51</w:t>
            </w:r>
          </w:p>
        </w:tc>
        <w:tc>
          <w:tcPr>
            <w:tcW w:w="583" w:type="pct"/>
            <w:vAlign w:val="center"/>
          </w:tcPr>
          <w:p w14:paraId="30DBAF53">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20.00</w:t>
            </w:r>
          </w:p>
        </w:tc>
        <w:tc>
          <w:tcPr>
            <w:tcW w:w="1072" w:type="pct"/>
            <w:vAlign w:val="center"/>
          </w:tcPr>
          <w:p w14:paraId="76E1D62B">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79,998.495294</w:t>
            </w:r>
          </w:p>
        </w:tc>
        <w:tc>
          <w:tcPr>
            <w:tcW w:w="583" w:type="pct"/>
            <w:vAlign w:val="center"/>
          </w:tcPr>
          <w:p w14:paraId="50E239B7">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20.00</w:t>
            </w:r>
          </w:p>
        </w:tc>
      </w:tr>
      <w:tr w14:paraId="3396E1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58" w:type="pct"/>
            <w:vAlign w:val="center"/>
          </w:tcPr>
          <w:p w14:paraId="7E7959F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3</w:t>
            </w:r>
          </w:p>
        </w:tc>
        <w:tc>
          <w:tcPr>
            <w:tcW w:w="1602" w:type="pct"/>
            <w:vAlign w:val="center"/>
          </w:tcPr>
          <w:p w14:paraId="107DC761">
            <w:pPr>
              <w:widowControl/>
              <w:snapToGrid w:val="0"/>
              <w:spacing w:line="240" w:lineRule="auto"/>
              <w:ind w:firstLine="0" w:firstLineChars="0"/>
              <w:jc w:val="left"/>
              <w:textAlignment w:val="center"/>
              <w:rPr>
                <w:rFonts w:asciiTheme="minorEastAsia" w:hAnsiTheme="minorEastAsia" w:cstheme="minorEastAsia"/>
                <w:color w:val="FF0000"/>
                <w:szCs w:val="24"/>
              </w:rPr>
            </w:pPr>
            <w:r>
              <w:rPr>
                <w:rFonts w:hint="eastAsia" w:asciiTheme="minorEastAsia" w:hAnsiTheme="minorEastAsia" w:cstheme="minorEastAsia"/>
                <w:szCs w:val="24"/>
              </w:rPr>
              <w:t>江苏宁沪高速公路股份有限公司</w:t>
            </w:r>
          </w:p>
        </w:tc>
        <w:tc>
          <w:tcPr>
            <w:tcW w:w="800" w:type="pct"/>
            <w:vAlign w:val="center"/>
          </w:tcPr>
          <w:p w14:paraId="44569BF2">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65,421.51</w:t>
            </w:r>
          </w:p>
        </w:tc>
        <w:tc>
          <w:tcPr>
            <w:tcW w:w="583" w:type="pct"/>
            <w:vAlign w:val="center"/>
          </w:tcPr>
          <w:p w14:paraId="49A9663C">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20.00</w:t>
            </w:r>
          </w:p>
        </w:tc>
        <w:tc>
          <w:tcPr>
            <w:tcW w:w="1072" w:type="pct"/>
            <w:vAlign w:val="center"/>
          </w:tcPr>
          <w:p w14:paraId="02C3E50A">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79,998.495294</w:t>
            </w:r>
          </w:p>
        </w:tc>
        <w:tc>
          <w:tcPr>
            <w:tcW w:w="583" w:type="pct"/>
            <w:vAlign w:val="center"/>
          </w:tcPr>
          <w:p w14:paraId="303670EC">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20.00</w:t>
            </w:r>
          </w:p>
        </w:tc>
      </w:tr>
      <w:tr w14:paraId="366348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58" w:type="pct"/>
            <w:vAlign w:val="center"/>
          </w:tcPr>
          <w:p w14:paraId="3E5EA52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4</w:t>
            </w:r>
          </w:p>
        </w:tc>
        <w:tc>
          <w:tcPr>
            <w:tcW w:w="1602" w:type="pct"/>
            <w:vAlign w:val="center"/>
          </w:tcPr>
          <w:p w14:paraId="4FF31B1E">
            <w:pPr>
              <w:widowControl/>
              <w:snapToGrid w:val="0"/>
              <w:spacing w:line="240" w:lineRule="auto"/>
              <w:ind w:firstLine="0" w:firstLineChars="0"/>
              <w:jc w:val="left"/>
              <w:textAlignment w:val="center"/>
              <w:rPr>
                <w:rFonts w:asciiTheme="minorEastAsia" w:hAnsiTheme="minorEastAsia" w:cstheme="minorEastAsia"/>
                <w:color w:val="FF0000"/>
                <w:szCs w:val="24"/>
              </w:rPr>
            </w:pPr>
            <w:r>
              <w:rPr>
                <w:rFonts w:hint="eastAsia" w:asciiTheme="minorEastAsia" w:hAnsiTheme="minorEastAsia" w:cstheme="minorEastAsia"/>
                <w:szCs w:val="24"/>
              </w:rPr>
              <w:t>南京新工投资集团有限责任公司</w:t>
            </w:r>
          </w:p>
        </w:tc>
        <w:tc>
          <w:tcPr>
            <w:tcW w:w="800" w:type="pct"/>
            <w:vAlign w:val="center"/>
          </w:tcPr>
          <w:p w14:paraId="3C642617">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18,000.00</w:t>
            </w:r>
          </w:p>
        </w:tc>
        <w:tc>
          <w:tcPr>
            <w:tcW w:w="583" w:type="pct"/>
            <w:vAlign w:val="center"/>
          </w:tcPr>
          <w:p w14:paraId="6916122D">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5.50</w:t>
            </w:r>
          </w:p>
        </w:tc>
        <w:tc>
          <w:tcPr>
            <w:tcW w:w="1072" w:type="pct"/>
            <w:vAlign w:val="center"/>
          </w:tcPr>
          <w:p w14:paraId="0EC42FAD">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22,008.670956</w:t>
            </w:r>
          </w:p>
        </w:tc>
        <w:tc>
          <w:tcPr>
            <w:tcW w:w="583" w:type="pct"/>
            <w:vAlign w:val="center"/>
          </w:tcPr>
          <w:p w14:paraId="1765C5D5">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5.50</w:t>
            </w:r>
          </w:p>
        </w:tc>
      </w:tr>
      <w:tr w14:paraId="5ACB4B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58" w:type="pct"/>
            <w:vAlign w:val="center"/>
          </w:tcPr>
          <w:p w14:paraId="19EFCB0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5</w:t>
            </w:r>
          </w:p>
        </w:tc>
        <w:tc>
          <w:tcPr>
            <w:tcW w:w="1602" w:type="pct"/>
            <w:vAlign w:val="center"/>
          </w:tcPr>
          <w:p w14:paraId="1F4CF64F">
            <w:pPr>
              <w:widowControl/>
              <w:snapToGrid w:val="0"/>
              <w:spacing w:line="240" w:lineRule="auto"/>
              <w:ind w:firstLine="0" w:firstLineChars="0"/>
              <w:jc w:val="left"/>
              <w:textAlignment w:val="center"/>
              <w:rPr>
                <w:rFonts w:asciiTheme="minorEastAsia" w:hAnsiTheme="minorEastAsia" w:cstheme="minorEastAsia"/>
                <w:szCs w:val="24"/>
              </w:rPr>
            </w:pPr>
            <w:r>
              <w:rPr>
                <w:rFonts w:hint="eastAsia" w:asciiTheme="minorEastAsia" w:hAnsiTheme="minorEastAsia" w:cstheme="minorEastAsia"/>
                <w:szCs w:val="24"/>
              </w:rPr>
              <w:t>三胞集团有限公司</w:t>
            </w:r>
          </w:p>
        </w:tc>
        <w:tc>
          <w:tcPr>
            <w:tcW w:w="800" w:type="pct"/>
            <w:vAlign w:val="center"/>
          </w:tcPr>
          <w:p w14:paraId="6691E699">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12,530.00</w:t>
            </w:r>
          </w:p>
        </w:tc>
        <w:tc>
          <w:tcPr>
            <w:tcW w:w="583" w:type="pct"/>
            <w:vAlign w:val="center"/>
          </w:tcPr>
          <w:p w14:paraId="06487ABD">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3.83</w:t>
            </w:r>
          </w:p>
        </w:tc>
        <w:tc>
          <w:tcPr>
            <w:tcW w:w="1072" w:type="pct"/>
            <w:vAlign w:val="center"/>
          </w:tcPr>
          <w:p w14:paraId="25996181">
            <w:pPr>
              <w:widowControl/>
              <w:snapToGrid w:val="0"/>
              <w:spacing w:line="240" w:lineRule="auto"/>
              <w:ind w:firstLine="0" w:firstLineChars="0"/>
              <w:jc w:val="right"/>
              <w:textAlignment w:val="center"/>
              <w:rPr>
                <w:rFonts w:asciiTheme="minorEastAsia" w:hAnsiTheme="minorEastAsia" w:cstheme="minorEastAsia"/>
                <w:szCs w:val="24"/>
              </w:rPr>
            </w:pPr>
            <w:r>
              <w:rPr>
                <w:rFonts w:hint="eastAsia" w:asciiTheme="minorEastAsia" w:hAnsiTheme="minorEastAsia" w:cstheme="minorEastAsia"/>
                <w:szCs w:val="24"/>
              </w:rPr>
              <w:t>12,530.00</w:t>
            </w:r>
          </w:p>
        </w:tc>
        <w:tc>
          <w:tcPr>
            <w:tcW w:w="583" w:type="pct"/>
            <w:vAlign w:val="center"/>
          </w:tcPr>
          <w:p w14:paraId="083E583A">
            <w:pPr>
              <w:widowControl/>
              <w:snapToGrid w:val="0"/>
              <w:spacing w:line="240" w:lineRule="auto"/>
              <w:ind w:firstLine="0" w:firstLineChars="0"/>
              <w:jc w:val="center"/>
              <w:textAlignment w:val="center"/>
              <w:rPr>
                <w:rFonts w:asciiTheme="minorEastAsia" w:hAnsiTheme="minorEastAsia" w:cstheme="minorEastAsia"/>
                <w:szCs w:val="24"/>
              </w:rPr>
            </w:pPr>
            <w:r>
              <w:rPr>
                <w:rFonts w:hint="eastAsia" w:asciiTheme="minorEastAsia" w:hAnsiTheme="minorEastAsia" w:cstheme="minorEastAsia"/>
                <w:szCs w:val="24"/>
              </w:rPr>
              <w:t>3.13</w:t>
            </w:r>
          </w:p>
        </w:tc>
      </w:tr>
      <w:tr w14:paraId="3C65AE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960" w:type="pct"/>
            <w:gridSpan w:val="2"/>
            <w:vAlign w:val="center"/>
          </w:tcPr>
          <w:p w14:paraId="442375A1">
            <w:pPr>
              <w:widowControl/>
              <w:snapToGrid w:val="0"/>
              <w:spacing w:line="240" w:lineRule="auto"/>
              <w:ind w:firstLine="0" w:firstLineChars="0"/>
              <w:jc w:val="center"/>
              <w:textAlignment w:val="center"/>
              <w:rPr>
                <w:rFonts w:asciiTheme="minorEastAsia" w:hAnsiTheme="minorEastAsia" w:cstheme="minorEastAsia"/>
                <w:b/>
                <w:szCs w:val="24"/>
              </w:rPr>
            </w:pPr>
            <w:r>
              <w:rPr>
                <w:rFonts w:hint="eastAsia" w:asciiTheme="minorEastAsia" w:hAnsiTheme="minorEastAsia" w:cstheme="minorEastAsia"/>
                <w:b/>
                <w:szCs w:val="24"/>
              </w:rPr>
              <w:t>合计</w:t>
            </w:r>
          </w:p>
        </w:tc>
        <w:tc>
          <w:tcPr>
            <w:tcW w:w="800" w:type="pct"/>
            <w:vAlign w:val="center"/>
          </w:tcPr>
          <w:p w14:paraId="1F648166">
            <w:pPr>
              <w:widowControl/>
              <w:snapToGrid w:val="0"/>
              <w:spacing w:line="240" w:lineRule="auto"/>
              <w:ind w:firstLine="0" w:firstLineChars="0"/>
              <w:jc w:val="right"/>
              <w:textAlignment w:val="center"/>
              <w:rPr>
                <w:rFonts w:asciiTheme="minorEastAsia" w:hAnsiTheme="minorEastAsia" w:cstheme="minorEastAsia"/>
                <w:b/>
                <w:szCs w:val="24"/>
              </w:rPr>
            </w:pPr>
            <w:r>
              <w:rPr>
                <w:rFonts w:hint="eastAsia" w:asciiTheme="minorEastAsia" w:hAnsiTheme="minorEastAsia" w:cstheme="minorEastAsia"/>
                <w:b/>
                <w:szCs w:val="24"/>
              </w:rPr>
              <w:t>327,107.55</w:t>
            </w:r>
          </w:p>
        </w:tc>
        <w:tc>
          <w:tcPr>
            <w:tcW w:w="583" w:type="pct"/>
            <w:vAlign w:val="center"/>
          </w:tcPr>
          <w:p w14:paraId="6DC4ECB6">
            <w:pPr>
              <w:widowControl/>
              <w:snapToGrid w:val="0"/>
              <w:spacing w:line="240" w:lineRule="auto"/>
              <w:ind w:firstLine="0" w:firstLineChars="0"/>
              <w:jc w:val="center"/>
              <w:textAlignment w:val="center"/>
              <w:rPr>
                <w:rFonts w:asciiTheme="minorEastAsia" w:hAnsiTheme="minorEastAsia" w:cstheme="minorEastAsia"/>
                <w:b/>
                <w:szCs w:val="24"/>
              </w:rPr>
            </w:pPr>
            <w:r>
              <w:rPr>
                <w:rFonts w:hint="eastAsia" w:asciiTheme="minorEastAsia" w:hAnsiTheme="minorEastAsia" w:cstheme="minorEastAsia"/>
                <w:b/>
                <w:szCs w:val="24"/>
              </w:rPr>
              <w:t>-</w:t>
            </w:r>
          </w:p>
        </w:tc>
        <w:tc>
          <w:tcPr>
            <w:tcW w:w="1072" w:type="pct"/>
            <w:vAlign w:val="center"/>
          </w:tcPr>
          <w:p w14:paraId="36B9E6F9">
            <w:pPr>
              <w:widowControl/>
              <w:snapToGrid w:val="0"/>
              <w:spacing w:line="240" w:lineRule="auto"/>
              <w:ind w:firstLine="0" w:firstLineChars="0"/>
              <w:jc w:val="right"/>
              <w:textAlignment w:val="center"/>
              <w:rPr>
                <w:rFonts w:asciiTheme="minorEastAsia" w:hAnsiTheme="minorEastAsia" w:cstheme="minorEastAsia"/>
                <w:b/>
                <w:szCs w:val="24"/>
              </w:rPr>
            </w:pPr>
            <w:r>
              <w:rPr>
                <w:rFonts w:hint="eastAsia" w:asciiTheme="minorEastAsia" w:hAnsiTheme="minorEastAsia" w:cstheme="minorEastAsia"/>
                <w:b/>
                <w:szCs w:val="24"/>
              </w:rPr>
              <w:t>399,992.476470</w:t>
            </w:r>
          </w:p>
        </w:tc>
        <w:tc>
          <w:tcPr>
            <w:tcW w:w="583" w:type="pct"/>
            <w:vAlign w:val="center"/>
          </w:tcPr>
          <w:p w14:paraId="14DEA4D1">
            <w:pPr>
              <w:widowControl/>
              <w:snapToGrid w:val="0"/>
              <w:spacing w:line="240" w:lineRule="auto"/>
              <w:ind w:firstLine="0" w:firstLineChars="0"/>
              <w:jc w:val="center"/>
              <w:textAlignment w:val="center"/>
              <w:rPr>
                <w:rFonts w:asciiTheme="minorEastAsia" w:hAnsiTheme="minorEastAsia" w:cstheme="minorEastAsia"/>
                <w:b/>
                <w:szCs w:val="24"/>
              </w:rPr>
            </w:pPr>
            <w:r>
              <w:rPr>
                <w:rFonts w:hint="eastAsia" w:asciiTheme="minorEastAsia" w:hAnsiTheme="minorEastAsia" w:cstheme="minorEastAsia"/>
                <w:b/>
                <w:szCs w:val="24"/>
              </w:rPr>
              <w:t>-</w:t>
            </w:r>
          </w:p>
        </w:tc>
      </w:tr>
    </w:tbl>
    <w:p w14:paraId="5BA4C05D">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（五）出资方式及期限</w:t>
      </w:r>
    </w:p>
    <w:p w14:paraId="5A749CCE">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（1）</w:t>
      </w:r>
      <w:r>
        <w:rPr>
          <w:rFonts w:asciiTheme="minorEastAsia" w:hAnsiTheme="minorEastAsia" w:cstheme="minorEastAsia"/>
          <w:szCs w:val="24"/>
        </w:rPr>
        <w:t>各方同意，增资股东应于批准本次增资行为的国有资产监督管理部门、国家金融监督管理总局及其派出机构等主管机构批准本次增资且收到</w:t>
      </w:r>
      <w:r>
        <w:rPr>
          <w:rFonts w:hint="eastAsia" w:asciiTheme="minorEastAsia" w:hAnsiTheme="minorEastAsia" w:cstheme="minorEastAsia"/>
          <w:szCs w:val="24"/>
        </w:rPr>
        <w:t>紫金信托</w:t>
      </w:r>
      <w:r>
        <w:rPr>
          <w:rFonts w:asciiTheme="minorEastAsia" w:hAnsiTheme="minorEastAsia" w:cstheme="minorEastAsia"/>
          <w:szCs w:val="24"/>
        </w:rPr>
        <w:t>增资缴款通知后的十个工作日内，一次性向</w:t>
      </w:r>
      <w:r>
        <w:rPr>
          <w:rFonts w:hint="eastAsia" w:asciiTheme="minorEastAsia" w:hAnsiTheme="minorEastAsia" w:cstheme="minorEastAsia"/>
          <w:szCs w:val="24"/>
        </w:rPr>
        <w:t>紫金信托</w:t>
      </w:r>
      <w:r>
        <w:rPr>
          <w:rFonts w:asciiTheme="minorEastAsia" w:hAnsiTheme="minorEastAsia" w:cstheme="minorEastAsia"/>
          <w:szCs w:val="24"/>
        </w:rPr>
        <w:t>缴纳全部增资款。</w:t>
      </w:r>
    </w:p>
    <w:p w14:paraId="46B06FB0">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（2）紫金信托</w:t>
      </w:r>
      <w:r>
        <w:rPr>
          <w:rFonts w:asciiTheme="minorEastAsia" w:hAnsiTheme="minorEastAsia" w:cstheme="minorEastAsia"/>
          <w:szCs w:val="24"/>
        </w:rPr>
        <w:t>应在增资股东缴款后的</w:t>
      </w:r>
      <w:r>
        <w:rPr>
          <w:rFonts w:hint="eastAsia" w:asciiTheme="minorEastAsia" w:hAnsiTheme="minorEastAsia" w:cstheme="minorEastAsia"/>
          <w:szCs w:val="24"/>
          <w:lang w:val="en-US" w:eastAsia="zh-CN"/>
        </w:rPr>
        <w:t>五</w:t>
      </w:r>
      <w:r>
        <w:rPr>
          <w:rFonts w:asciiTheme="minorEastAsia" w:hAnsiTheme="minorEastAsia" w:cstheme="minorEastAsia"/>
          <w:szCs w:val="24"/>
        </w:rPr>
        <w:t>个工作日内，向增资股东提供记载该增资股东本次增资金额的缴款入账凭证及出资证明书原件</w:t>
      </w:r>
      <w:r>
        <w:rPr>
          <w:rFonts w:hint="eastAsia" w:asciiTheme="minorEastAsia" w:hAnsiTheme="minorEastAsia" w:cstheme="minorEastAsia"/>
          <w:szCs w:val="24"/>
        </w:rPr>
        <w:t>、</w:t>
      </w:r>
      <w:r>
        <w:rPr>
          <w:rFonts w:asciiTheme="minorEastAsia" w:hAnsiTheme="minorEastAsia" w:cstheme="minorEastAsia"/>
          <w:szCs w:val="24"/>
        </w:rPr>
        <w:t>记载各股东及其认缴、实缴的注册资本金额、股权比例股东名册原件。</w:t>
      </w:r>
    </w:p>
    <w:p w14:paraId="79B99F81">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（3）增资股东自支付完毕本次增资的全部增资款之日起，按其在公司的出资比例享有股东权益（包括但不限于表决权、利润分配请求权、知情权等），并承担股东义务和责任。</w:t>
      </w:r>
    </w:p>
    <w:p w14:paraId="61291FA2">
      <w:pPr>
        <w:widowControl/>
        <w:numPr>
          <w:ilvl w:val="0"/>
          <w:numId w:val="2"/>
        </w:numPr>
        <w:adjustRightInd w:val="0"/>
        <w:snapToGrid w:val="0"/>
        <w:spacing w:line="360" w:lineRule="auto"/>
        <w:ind w:firstLine="480"/>
        <w:outlineLvl w:val="0"/>
        <w:rPr>
          <w:rFonts w:asciiTheme="minorEastAsia" w:hAnsiTheme="minorEastAsia" w:cstheme="minorEastAsia"/>
          <w:szCs w:val="24"/>
        </w:rPr>
      </w:pPr>
      <w:r>
        <w:rPr>
          <w:rFonts w:hint="eastAsia" w:asciiTheme="minorEastAsia" w:hAnsiTheme="minorEastAsia" w:cstheme="minorEastAsia"/>
          <w:szCs w:val="24"/>
        </w:rPr>
        <w:t>过渡期安排</w:t>
      </w:r>
    </w:p>
    <w:p w14:paraId="01AF68CA">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各</w:t>
      </w:r>
      <w:r>
        <w:rPr>
          <w:rFonts w:asciiTheme="minorEastAsia" w:hAnsiTheme="minorEastAsia" w:cstheme="minorEastAsia"/>
          <w:szCs w:val="24"/>
        </w:rPr>
        <w:t>方同意，</w:t>
      </w:r>
      <w:r>
        <w:rPr>
          <w:rFonts w:hint="eastAsia" w:asciiTheme="minorEastAsia" w:hAnsiTheme="minorEastAsia" w:cstheme="minorEastAsia"/>
          <w:szCs w:val="24"/>
        </w:rPr>
        <w:t>紫金信托</w:t>
      </w:r>
      <w:r>
        <w:rPr>
          <w:rFonts w:asciiTheme="minorEastAsia" w:hAnsiTheme="minorEastAsia" w:cstheme="minorEastAsia"/>
          <w:szCs w:val="24"/>
        </w:rPr>
        <w:t>在过渡期内不进行利润分配，不新增超过公司净资产10%的重大债务，否则增资股东有权暂缓缴付出资直至相关情形得到有效纠正。公司的资本公积金、盈余公积金和未分配利润以及增资交割日前后公司产生的所有利润，由全体股东按本次增资完成后的出资比例共同享有。</w:t>
      </w:r>
    </w:p>
    <w:p w14:paraId="4153C62E">
      <w:pPr>
        <w:widowControl/>
        <w:numPr>
          <w:ilvl w:val="0"/>
          <w:numId w:val="2"/>
        </w:numPr>
        <w:adjustRightInd w:val="0"/>
        <w:snapToGrid w:val="0"/>
        <w:spacing w:line="360" w:lineRule="auto"/>
        <w:ind w:firstLine="480"/>
        <w:outlineLvl w:val="0"/>
        <w:rPr>
          <w:rFonts w:asciiTheme="minorEastAsia" w:hAnsiTheme="minorEastAsia" w:cstheme="minorEastAsia"/>
          <w:szCs w:val="24"/>
        </w:rPr>
      </w:pPr>
      <w:r>
        <w:rPr>
          <w:rFonts w:hint="eastAsia" w:asciiTheme="minorEastAsia" w:hAnsiTheme="minorEastAsia" w:cstheme="minorEastAsia"/>
          <w:szCs w:val="24"/>
        </w:rPr>
        <w:t>投资方的未来义务</w:t>
      </w:r>
    </w:p>
    <w:p w14:paraId="45E6A06A">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（1）各方应就本次增资所需进行的公司变更登记准备登记机关所要求的全部法律文件。</w:t>
      </w:r>
    </w:p>
    <w:p w14:paraId="3BA4DAD9">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（2）各方应采取一切可能的措施和行动以获取履行协议所需的所有的内部决策文件及主管机关的批准、同意、许可（如适用），并满足有关登记和备案的要求。</w:t>
      </w:r>
    </w:p>
    <w:p w14:paraId="3E6C9697">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（3）各方应积极配合紫金信托就本次增资办理工商变更登记。</w:t>
      </w:r>
    </w:p>
    <w:p w14:paraId="66D9FDF0">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（4）紫金信托应完善信息披露机制。对展期项目、诉讼、抵押物贬值等重大事项，应及时书面告知各股东。</w:t>
      </w:r>
    </w:p>
    <w:p w14:paraId="53EFCD48">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（5）增资股东向紫金信托缴纳的增资款为自有资金且来源合法合规。</w:t>
      </w:r>
    </w:p>
    <w:p w14:paraId="31A32EFB">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（6）增资股东应按照协议的约定按时、足额缴纳增资款。</w:t>
      </w:r>
    </w:p>
    <w:p w14:paraId="5C4E1545">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（7）增资股东自交割日起至其不再持有紫金信托任何股权之日，不存在委托他人或受他人委托持有公司股权情形。</w:t>
      </w:r>
    </w:p>
    <w:p w14:paraId="3A92D9D9">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（八）违约责任</w:t>
      </w:r>
    </w:p>
    <w:p w14:paraId="2EBC353F">
      <w:pPr>
        <w:widowControl/>
        <w:adjustRightInd w:val="0"/>
        <w:snapToGrid w:val="0"/>
        <w:spacing w:line="360" w:lineRule="auto"/>
        <w:ind w:firstLine="482" w:firstLineChars="0"/>
        <w:outlineLvl w:val="0"/>
        <w:rPr>
          <w:rFonts w:asciiTheme="minorEastAsia" w:hAnsiTheme="minorEastAsia" w:cstheme="minorEastAsia"/>
          <w:szCs w:val="24"/>
        </w:rPr>
      </w:pPr>
      <w:r>
        <w:rPr>
          <w:rFonts w:asciiTheme="minorEastAsia" w:hAnsiTheme="minorEastAsia" w:cstheme="minorEastAsia"/>
          <w:szCs w:val="24"/>
        </w:rPr>
        <w:t>如果协议一方未能完全履行其在协议项下的义务或违反其陈述和保证，其他方可书面通知指出其已违反协议且应在合理期限内改正或弥补该违约行为；如果违约方在收到通知之日起30日内仍没有对违约行为进行改正或弥补，守约方有权要求其支付违约金500万元并采取相应的法律救济措施。</w:t>
      </w:r>
    </w:p>
    <w:p w14:paraId="05537C72">
      <w:pPr>
        <w:widowControl/>
        <w:adjustRightInd w:val="0"/>
        <w:snapToGrid w:val="0"/>
        <w:spacing w:line="360" w:lineRule="auto"/>
        <w:ind w:firstLine="482" w:firstLineChars="0"/>
        <w:outlineLvl w:val="0"/>
        <w:rPr>
          <w:rFonts w:asciiTheme="minorEastAsia" w:hAnsiTheme="minorEastAsia" w:cstheme="minorEastAsia"/>
          <w:szCs w:val="24"/>
        </w:rPr>
      </w:pPr>
      <w:r>
        <w:rPr>
          <w:rFonts w:asciiTheme="minorEastAsia" w:hAnsiTheme="minorEastAsia" w:cstheme="minorEastAsia"/>
          <w:szCs w:val="24"/>
        </w:rPr>
        <w:t>如由于协议任何一方之过错而导致协议全部或部分无法履行，过错方应赔偿由此给其他方造成的损失；如果各方均有过错，则各方应根据各自的过错程度对其他方承担相应赔偿责任。</w:t>
      </w:r>
    </w:p>
    <w:p w14:paraId="6ED9CA9F">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（九）争议解决方式</w:t>
      </w:r>
    </w:p>
    <w:p w14:paraId="343F3238">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（1）</w:t>
      </w:r>
      <w:r>
        <w:rPr>
          <w:rFonts w:asciiTheme="minorEastAsia" w:hAnsiTheme="minorEastAsia" w:cstheme="minorEastAsia"/>
          <w:szCs w:val="24"/>
        </w:rPr>
        <w:t>协议的签署、效力、变更、履行、解除、解释、争议解决和可强制执行性，均受中华人民共和国法律管辖（不包括香港特别行政区、澳门特别行政区及台湾地区法律）。</w:t>
      </w:r>
    </w:p>
    <w:p w14:paraId="77765CF1">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（2）</w:t>
      </w:r>
      <w:r>
        <w:rPr>
          <w:rFonts w:asciiTheme="minorEastAsia" w:hAnsiTheme="minorEastAsia" w:cstheme="minorEastAsia"/>
          <w:szCs w:val="24"/>
        </w:rPr>
        <w:t>因协议而产生的任何争议，由各方通过友好磋商加以解决；自争议发生之日起满六十（60）个工作日仍未达成解决方案的，任何一方均有权向紫金信托所在地人民法院提起诉讼。</w:t>
      </w:r>
    </w:p>
    <w:p w14:paraId="12D87826">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（3）</w:t>
      </w:r>
      <w:r>
        <w:rPr>
          <w:rFonts w:asciiTheme="minorEastAsia" w:hAnsiTheme="minorEastAsia" w:cstheme="minorEastAsia"/>
          <w:szCs w:val="24"/>
        </w:rPr>
        <w:t>争议处理期间，除争议事项以外，各方可继续行使其在协议项下未受影响的权利，并履行对应的义务。</w:t>
      </w:r>
    </w:p>
    <w:p w14:paraId="1586012E">
      <w:pPr>
        <w:widowControl/>
        <w:adjustRightInd w:val="0"/>
        <w:snapToGrid w:val="0"/>
        <w:spacing w:line="360" w:lineRule="auto"/>
        <w:ind w:firstLine="482" w:firstLineChars="0"/>
        <w:outlineLvl w:val="0"/>
        <w:rPr>
          <w:rFonts w:asciiTheme="minorEastAsia" w:hAnsiTheme="minorEastAsia" w:cstheme="minorEastAsia"/>
          <w:szCs w:val="24"/>
        </w:rPr>
      </w:pPr>
      <w:r>
        <w:rPr>
          <w:rFonts w:hint="eastAsia" w:asciiTheme="minorEastAsia" w:hAnsiTheme="minorEastAsia" w:cstheme="minorEastAsia"/>
          <w:szCs w:val="24"/>
        </w:rPr>
        <w:t>（十）合同生效条件和时间</w:t>
      </w:r>
    </w:p>
    <w:p w14:paraId="50E7FE1A">
      <w:pPr>
        <w:widowControl/>
        <w:adjustRightInd w:val="0"/>
        <w:snapToGrid w:val="0"/>
        <w:spacing w:line="360" w:lineRule="auto"/>
        <w:ind w:firstLine="482" w:firstLineChars="0"/>
        <w:outlineLvl w:val="0"/>
        <w:rPr>
          <w:rFonts w:asciiTheme="minorEastAsia" w:hAnsiTheme="minorEastAsia" w:cstheme="minorEastAsia"/>
          <w:szCs w:val="24"/>
        </w:rPr>
      </w:pPr>
      <w:r>
        <w:rPr>
          <w:rFonts w:asciiTheme="minorEastAsia" w:hAnsiTheme="minorEastAsia" w:cstheme="minorEastAsia"/>
          <w:szCs w:val="24"/>
        </w:rPr>
        <w:t>协议自各方法定代表人或授权代表签字并加盖公章之日起生效。</w:t>
      </w:r>
    </w:p>
    <w:p w14:paraId="6F0C14B8">
      <w:pPr>
        <w:widowControl/>
        <w:adjustRightInd w:val="0"/>
        <w:snapToGrid w:val="0"/>
        <w:spacing w:before="156" w:beforeLines="50" w:after="156" w:afterLines="50" w:line="240" w:lineRule="auto"/>
        <w:ind w:firstLine="562"/>
        <w:outlineLvl w:val="0"/>
        <w:rPr>
          <w:rFonts w:hint="eastAsia"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四</w:t>
      </w:r>
      <w:r>
        <w:rPr>
          <w:rFonts w:hint="eastAsia" w:asciiTheme="minorEastAsia" w:hAnsiTheme="minorEastAsia" w:cstheme="minorEastAsia"/>
          <w:b/>
          <w:bCs/>
          <w:sz w:val="24"/>
          <w:szCs w:val="24"/>
        </w:rPr>
        <w:t>、紫金信托基本情况</w:t>
      </w:r>
    </w:p>
    <w:p w14:paraId="3D83B88D">
      <w:pPr>
        <w:adjustRightInd w:val="0"/>
        <w:snapToGrid w:val="0"/>
        <w:spacing w:line="360" w:lineRule="auto"/>
        <w:ind w:firstLine="480"/>
        <w:outlineLvl w:val="1"/>
        <w:rPr>
          <w:rFonts w:asciiTheme="minorEastAsia" w:hAnsiTheme="minorEastAsia" w:cstheme="minorEastAsia"/>
          <w:szCs w:val="24"/>
        </w:rPr>
      </w:pPr>
      <w:r>
        <w:rPr>
          <w:rFonts w:hint="eastAsia" w:asciiTheme="minorEastAsia" w:hAnsiTheme="minorEastAsia" w:cstheme="minorEastAsia"/>
          <w:szCs w:val="24"/>
        </w:rPr>
        <w:t>（一）投资标的概况</w:t>
      </w:r>
    </w:p>
    <w:p w14:paraId="014BCDAC">
      <w:pPr>
        <w:widowControl/>
        <w:adjustRightInd w:val="0"/>
        <w:snapToGrid w:val="0"/>
        <w:spacing w:line="360" w:lineRule="auto"/>
        <w:ind w:firstLine="480"/>
        <w:rPr>
          <w:rFonts w:asciiTheme="minorEastAsia" w:hAnsiTheme="minorEastAsia" w:cstheme="minorEastAsia"/>
          <w:szCs w:val="24"/>
        </w:rPr>
      </w:pPr>
      <w:r>
        <w:rPr>
          <w:rFonts w:hint="eastAsia" w:asciiTheme="minorEastAsia" w:hAnsiTheme="minorEastAsia" w:cstheme="minorEastAsia"/>
          <w:szCs w:val="24"/>
        </w:rPr>
        <w:t>紫金信托为一家依照中国法律登记并存续的有限责任公司，截至本公告披露日，公司注册资本为327,107.55万元，公司增加注册资本至399,992.476471万元，共增加注册资本72,884.926471万元。</w:t>
      </w:r>
    </w:p>
    <w:p w14:paraId="541DE7CB">
      <w:pPr>
        <w:widowControl/>
        <w:adjustRightInd w:val="0"/>
        <w:snapToGrid w:val="0"/>
        <w:spacing w:line="360" w:lineRule="auto"/>
        <w:ind w:firstLine="480"/>
        <w:outlineLvl w:val="1"/>
        <w:rPr>
          <w:rFonts w:asciiTheme="minorEastAsia" w:hAnsiTheme="minorEastAsia" w:cstheme="minorEastAsia"/>
          <w:szCs w:val="24"/>
        </w:rPr>
      </w:pPr>
      <w:r>
        <w:rPr>
          <w:rFonts w:hint="eastAsia" w:asciiTheme="minorEastAsia" w:hAnsiTheme="minorEastAsia" w:cstheme="minorEastAsia"/>
          <w:szCs w:val="24"/>
        </w:rPr>
        <w:t>（二）投资标的具体信息</w:t>
      </w:r>
    </w:p>
    <w:p w14:paraId="1A524C50">
      <w:pPr>
        <w:widowControl/>
        <w:adjustRightInd w:val="0"/>
        <w:snapToGrid w:val="0"/>
        <w:spacing w:line="360" w:lineRule="auto"/>
        <w:ind w:firstLine="480"/>
        <w:outlineLvl w:val="3"/>
        <w:rPr>
          <w:rFonts w:asciiTheme="minorEastAsia" w:hAnsiTheme="minorEastAsia" w:cstheme="minorEastAsia"/>
          <w:color w:val="000000"/>
          <w:szCs w:val="24"/>
        </w:rPr>
      </w:pPr>
      <w:r>
        <w:rPr>
          <w:rFonts w:hint="eastAsia" w:asciiTheme="minorEastAsia" w:hAnsiTheme="minorEastAsia" w:cstheme="minorEastAsia"/>
          <w:color w:val="000000"/>
          <w:szCs w:val="24"/>
        </w:rPr>
        <w:t>（1）增资标的基本情况</w:t>
      </w:r>
    </w:p>
    <w:tbl>
      <w:tblPr>
        <w:tblStyle w:val="14"/>
        <w:tblW w:w="853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754"/>
        <w:gridCol w:w="5780"/>
      </w:tblGrid>
      <w:tr w14:paraId="4FC092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6" w:hRule="atLeast"/>
        </w:trPr>
        <w:tc>
          <w:tcPr>
            <w:tcW w:w="2754" w:type="dxa"/>
            <w:vAlign w:val="center"/>
          </w:tcPr>
          <w:p w14:paraId="624657C7">
            <w:pPr>
              <w:widowControl/>
              <w:adjustRightInd w:val="0"/>
              <w:snapToGrid w:val="0"/>
              <w:spacing w:line="360" w:lineRule="auto"/>
              <w:ind w:firstLine="480"/>
              <w:rPr>
                <w:rFonts w:asciiTheme="minorEastAsia" w:hAnsiTheme="minorEastAsia" w:cstheme="minorEastAsia"/>
                <w:szCs w:val="24"/>
              </w:rPr>
            </w:pPr>
            <w:r>
              <w:rPr>
                <w:rFonts w:hint="eastAsia" w:asciiTheme="minorEastAsia" w:hAnsiTheme="minorEastAsia" w:cstheme="minorEastAsia"/>
                <w:szCs w:val="24"/>
              </w:rPr>
              <w:t>投资类型</w:t>
            </w:r>
          </w:p>
        </w:tc>
        <w:tc>
          <w:tcPr>
            <w:tcW w:w="5780" w:type="dxa"/>
            <w:vAlign w:val="center"/>
          </w:tcPr>
          <w:p w14:paraId="3FA24868">
            <w:pPr>
              <w:widowControl/>
              <w:adjustRightInd w:val="0"/>
              <w:snapToGrid w:val="0"/>
              <w:spacing w:line="360" w:lineRule="auto"/>
              <w:ind w:firstLine="480"/>
              <w:rPr>
                <w:rFonts w:asciiTheme="minorEastAsia" w:hAnsiTheme="minorEastAsia" w:cstheme="minorEastAsia"/>
                <w:szCs w:val="24"/>
              </w:rPr>
            </w:pPr>
            <w:r>
              <w:rPr>
                <w:rFonts w:hint="eastAsia" w:asciiTheme="minorEastAsia" w:hAnsiTheme="minorEastAsia" w:cstheme="minorEastAsia"/>
                <w:szCs w:val="24"/>
              </w:rPr>
              <w:t>☑增资现有公司（□同比例 ☑非同比例）</w:t>
            </w:r>
          </w:p>
        </w:tc>
      </w:tr>
      <w:tr w14:paraId="745D5C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2754" w:type="dxa"/>
            <w:vAlign w:val="center"/>
          </w:tcPr>
          <w:p w14:paraId="29CD88B6">
            <w:pPr>
              <w:widowControl/>
              <w:adjustRightInd w:val="0"/>
              <w:snapToGrid w:val="0"/>
              <w:spacing w:line="360" w:lineRule="auto"/>
              <w:ind w:firstLine="480"/>
              <w:rPr>
                <w:rFonts w:asciiTheme="minorEastAsia" w:hAnsiTheme="minorEastAsia" w:cstheme="minorEastAsia"/>
                <w:szCs w:val="24"/>
              </w:rPr>
            </w:pPr>
            <w:r>
              <w:rPr>
                <w:rFonts w:hint="eastAsia" w:asciiTheme="minorEastAsia" w:hAnsiTheme="minorEastAsia" w:cstheme="minorEastAsia"/>
                <w:szCs w:val="24"/>
              </w:rPr>
              <w:t>标的公司类型（增资前）</w:t>
            </w:r>
          </w:p>
        </w:tc>
        <w:tc>
          <w:tcPr>
            <w:tcW w:w="5780" w:type="dxa"/>
            <w:vAlign w:val="center"/>
          </w:tcPr>
          <w:p w14:paraId="4D0282B6">
            <w:pPr>
              <w:widowControl/>
              <w:adjustRightInd w:val="0"/>
              <w:snapToGrid w:val="0"/>
              <w:spacing w:line="360" w:lineRule="auto"/>
              <w:ind w:firstLine="480"/>
              <w:rPr>
                <w:rFonts w:asciiTheme="minorEastAsia" w:hAnsiTheme="minorEastAsia" w:cstheme="minorEastAsia"/>
                <w:szCs w:val="24"/>
              </w:rPr>
            </w:pPr>
            <w:sdt>
              <w:sdtPr>
                <w:rPr>
                  <w:rFonts w:hint="eastAsia" w:asciiTheme="minorEastAsia" w:hAnsiTheme="minorEastAsia" w:cstheme="minorEastAsia"/>
                  <w:szCs w:val="24"/>
                </w:rPr>
                <w:id w:val="147468670"/>
                <w:comboBox>
                  <w:listItem w:value="选择一项。"/>
                  <w:listItem w:displayText="全资子公司" w:value="全资子公司"/>
                  <w:listItem w:displayText="控股子公司" w:value="控股子公司"/>
                  <w:listItem w:displayText="参股公司" w:value="参股公司"/>
                  <w:listItem w:displayText="未持股公司" w:value="未持股公司"/>
                </w:comboBox>
              </w:sdtPr>
              <w:sdtEndPr>
                <w:rPr>
                  <w:rFonts w:hint="eastAsia" w:asciiTheme="minorEastAsia" w:hAnsiTheme="minorEastAsia" w:cstheme="minorEastAsia"/>
                  <w:szCs w:val="24"/>
                </w:rPr>
              </w:sdtEndPr>
              <w:sdtContent>
                <w:r>
                  <w:rPr>
                    <w:rFonts w:hint="eastAsia" w:asciiTheme="minorEastAsia" w:hAnsiTheme="minorEastAsia" w:cstheme="minorEastAsia"/>
                    <w:szCs w:val="24"/>
                  </w:rPr>
                  <w:t>参股公司</w:t>
                </w:r>
              </w:sdtContent>
            </w:sdt>
          </w:p>
        </w:tc>
      </w:tr>
      <w:tr w14:paraId="2540DCC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2754" w:type="dxa"/>
            <w:vAlign w:val="center"/>
          </w:tcPr>
          <w:p w14:paraId="3CBB38E4">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法人/组织全称</w:t>
            </w:r>
          </w:p>
        </w:tc>
        <w:tc>
          <w:tcPr>
            <w:tcW w:w="5780" w:type="dxa"/>
            <w:vAlign w:val="center"/>
          </w:tcPr>
          <w:p w14:paraId="75825D43">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紫金信托有限责任公司</w:t>
            </w:r>
          </w:p>
        </w:tc>
      </w:tr>
      <w:tr w14:paraId="141E0B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754" w:type="dxa"/>
            <w:vAlign w:val="center"/>
          </w:tcPr>
          <w:p w14:paraId="4461DD69">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统一社会信用代码</w:t>
            </w:r>
          </w:p>
        </w:tc>
        <w:tc>
          <w:tcPr>
            <w:tcW w:w="5780" w:type="dxa"/>
            <w:vAlign w:val="center"/>
          </w:tcPr>
          <w:p w14:paraId="7977E44D">
            <w:pPr>
              <w:widowControl/>
              <w:spacing w:line="360" w:lineRule="auto"/>
              <w:ind w:firstLine="480"/>
              <w:textAlignment w:val="center"/>
              <w:rPr>
                <w:rFonts w:asciiTheme="minorEastAsia" w:hAnsiTheme="minorEastAsia" w:cstheme="minorEastAsia"/>
                <w:szCs w:val="24"/>
                <w:u w:val="single"/>
              </w:rPr>
            </w:pPr>
            <w:r>
              <w:rPr>
                <w:rFonts w:hint="eastAsia" w:asciiTheme="minorEastAsia" w:hAnsiTheme="minorEastAsia" w:cstheme="minorEastAsia"/>
                <w:szCs w:val="24"/>
              </w:rPr>
              <w:t xml:space="preserve">☑ </w:t>
            </w:r>
            <w:r>
              <w:rPr>
                <w:rFonts w:hint="eastAsia" w:asciiTheme="minorEastAsia" w:hAnsiTheme="minorEastAsia" w:cstheme="minorEastAsia"/>
                <w:szCs w:val="24"/>
                <w:u w:val="single"/>
              </w:rPr>
              <w:t>91320100134922668M</w:t>
            </w:r>
          </w:p>
          <w:p w14:paraId="077E520A">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 不适用</w:t>
            </w:r>
          </w:p>
        </w:tc>
      </w:tr>
      <w:tr w14:paraId="7C0752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4" w:hRule="atLeast"/>
        </w:trPr>
        <w:tc>
          <w:tcPr>
            <w:tcW w:w="2754" w:type="dxa"/>
            <w:vAlign w:val="center"/>
          </w:tcPr>
          <w:p w14:paraId="5F9A94CA">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法定代表人</w:t>
            </w:r>
          </w:p>
        </w:tc>
        <w:tc>
          <w:tcPr>
            <w:tcW w:w="5780" w:type="dxa"/>
            <w:vAlign w:val="center"/>
          </w:tcPr>
          <w:p w14:paraId="484AE385">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高晓俊</w:t>
            </w:r>
          </w:p>
        </w:tc>
      </w:tr>
      <w:tr w14:paraId="3D09FC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8" w:hRule="atLeast"/>
        </w:trPr>
        <w:tc>
          <w:tcPr>
            <w:tcW w:w="2754" w:type="dxa"/>
            <w:vAlign w:val="center"/>
          </w:tcPr>
          <w:p w14:paraId="4002B131">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成立日期</w:t>
            </w:r>
          </w:p>
        </w:tc>
        <w:tc>
          <w:tcPr>
            <w:tcW w:w="5780" w:type="dxa"/>
            <w:vAlign w:val="center"/>
          </w:tcPr>
          <w:p w14:paraId="42547499">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1992/09/25</w:t>
            </w:r>
          </w:p>
        </w:tc>
      </w:tr>
      <w:tr w14:paraId="5492F3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1" w:hRule="atLeast"/>
        </w:trPr>
        <w:tc>
          <w:tcPr>
            <w:tcW w:w="2754" w:type="dxa"/>
            <w:vAlign w:val="center"/>
          </w:tcPr>
          <w:p w14:paraId="432BA24A">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注册资本</w:t>
            </w:r>
          </w:p>
        </w:tc>
        <w:tc>
          <w:tcPr>
            <w:tcW w:w="5780" w:type="dxa"/>
            <w:vAlign w:val="center"/>
          </w:tcPr>
          <w:p w14:paraId="7BFDD9A1">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人民币327,107.55万元</w:t>
            </w:r>
          </w:p>
        </w:tc>
      </w:tr>
      <w:tr w14:paraId="180513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2754" w:type="dxa"/>
            <w:vAlign w:val="center"/>
          </w:tcPr>
          <w:p w14:paraId="24869D72">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实缴资本</w:t>
            </w:r>
          </w:p>
        </w:tc>
        <w:tc>
          <w:tcPr>
            <w:tcW w:w="5780" w:type="dxa"/>
            <w:vAlign w:val="center"/>
          </w:tcPr>
          <w:p w14:paraId="5B52F16F">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人民币327,107.55万元</w:t>
            </w:r>
          </w:p>
        </w:tc>
      </w:tr>
      <w:tr w14:paraId="7666942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4" w:hRule="atLeast"/>
        </w:trPr>
        <w:tc>
          <w:tcPr>
            <w:tcW w:w="2754" w:type="dxa"/>
            <w:vAlign w:val="center"/>
          </w:tcPr>
          <w:p w14:paraId="15B8D0DD">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主要办公地址</w:t>
            </w:r>
          </w:p>
        </w:tc>
        <w:tc>
          <w:tcPr>
            <w:tcW w:w="5780" w:type="dxa"/>
            <w:vAlign w:val="center"/>
          </w:tcPr>
          <w:p w14:paraId="6E315A6A">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南京市鼓楼区中山北路2号紫峰大厦30层</w:t>
            </w:r>
          </w:p>
        </w:tc>
      </w:tr>
      <w:tr w14:paraId="4D4B01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1" w:hRule="atLeast"/>
        </w:trPr>
        <w:tc>
          <w:tcPr>
            <w:tcW w:w="2754" w:type="dxa"/>
            <w:vAlign w:val="center"/>
          </w:tcPr>
          <w:p w14:paraId="584FBCB1">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控股股东/实际控制人</w:t>
            </w:r>
          </w:p>
        </w:tc>
        <w:tc>
          <w:tcPr>
            <w:tcW w:w="5780" w:type="dxa"/>
            <w:vAlign w:val="center"/>
          </w:tcPr>
          <w:p w14:paraId="0606C89E">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南京紫金投资集团有限责任公司</w:t>
            </w:r>
          </w:p>
        </w:tc>
      </w:tr>
      <w:tr w14:paraId="084904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7" w:hRule="atLeast"/>
        </w:trPr>
        <w:tc>
          <w:tcPr>
            <w:tcW w:w="2754" w:type="dxa"/>
            <w:vAlign w:val="center"/>
          </w:tcPr>
          <w:p w14:paraId="51897797">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主营业务</w:t>
            </w:r>
          </w:p>
        </w:tc>
        <w:tc>
          <w:tcPr>
            <w:tcW w:w="5780" w:type="dxa"/>
            <w:vAlign w:val="center"/>
          </w:tcPr>
          <w:p w14:paraId="21BDC55B">
            <w:pPr>
              <w:adjustRightInd w:val="0"/>
              <w:snapToGrid w:val="0"/>
              <w:spacing w:line="360" w:lineRule="auto"/>
              <w:ind w:firstLine="480"/>
              <w:rPr>
                <w:rFonts w:asciiTheme="minorEastAsia" w:hAnsiTheme="minorEastAsia" w:cstheme="minorEastAsia"/>
                <w:szCs w:val="24"/>
              </w:rPr>
            </w:pPr>
            <w:r>
              <w:rPr>
                <w:rFonts w:hint="eastAsia" w:asciiTheme="minorEastAsia" w:hAnsiTheme="minorEastAsia" w:cstheme="minorEastAsia"/>
                <w:szCs w:val="24"/>
              </w:rPr>
              <w:t>资金信托；动产信托；不动产信托；有价证券信托；其它财产或财产权信托；作为投资基金或者基金管理公司的发起人从事投资基金业务；经营企业资产的重组、购并及项目融资、公司理财、财务顾问等业务；受托经营国务院有关部门批准的证券承销业务；办理居间、咨询、资信调查业务；代保管及保管箱业务；以存放同业、拆放同业、贷款、租赁、投资方式运用固有财产；以固有财产为他人提供担保；从事同业拆借；法律法规规定或中国银行业监督管理委员会批准的其他业务。（外资比例低于25%）（依法须经批准的项目，经相关部门批准后方可开展经营活动）</w:t>
            </w:r>
          </w:p>
        </w:tc>
      </w:tr>
    </w:tbl>
    <w:p w14:paraId="743712C7">
      <w:pPr>
        <w:widowControl/>
        <w:adjustRightInd w:val="0"/>
        <w:snapToGrid w:val="0"/>
        <w:spacing w:line="360" w:lineRule="auto"/>
        <w:ind w:firstLine="480"/>
        <w:outlineLvl w:val="3"/>
        <w:rPr>
          <w:rFonts w:asciiTheme="minorEastAsia" w:hAnsiTheme="minorEastAsia" w:cstheme="minorEastAsia"/>
          <w:szCs w:val="24"/>
        </w:rPr>
      </w:pPr>
      <w:r>
        <w:rPr>
          <w:rFonts w:hint="eastAsia" w:asciiTheme="minorEastAsia" w:hAnsiTheme="minorEastAsia" w:cstheme="minorEastAsia"/>
          <w:szCs w:val="24"/>
        </w:rPr>
        <w:t>（2）增资标的最近一年又一期财务数据</w:t>
      </w:r>
    </w:p>
    <w:p w14:paraId="7FD85274">
      <w:pPr>
        <w:widowControl/>
        <w:wordWrap w:val="0"/>
        <w:adjustRightInd w:val="0"/>
        <w:snapToGrid w:val="0"/>
        <w:spacing w:line="360" w:lineRule="auto"/>
        <w:ind w:firstLine="480"/>
        <w:jc w:val="right"/>
        <w:rPr>
          <w:rFonts w:asciiTheme="minorEastAsia" w:hAnsiTheme="minorEastAsia" w:cstheme="minorEastAsia"/>
          <w:szCs w:val="24"/>
        </w:rPr>
      </w:pPr>
      <w:r>
        <w:rPr>
          <w:rFonts w:hint="eastAsia" w:asciiTheme="minorEastAsia" w:hAnsiTheme="minorEastAsia" w:cstheme="minorEastAsia"/>
          <w:szCs w:val="24"/>
        </w:rPr>
        <w:t>单位：万元</w:t>
      </w:r>
    </w:p>
    <w:tbl>
      <w:tblPr>
        <w:tblStyle w:val="14"/>
        <w:tblW w:w="853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757"/>
        <w:gridCol w:w="2888"/>
        <w:gridCol w:w="2889"/>
      </w:tblGrid>
      <w:tr w14:paraId="1740C6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757" w:type="dxa"/>
            <w:tcBorders>
              <w:top w:val="single" w:color="auto" w:sz="4" w:space="0"/>
              <w:left w:val="single" w:color="auto" w:sz="4" w:space="0"/>
              <w:bottom w:val="single" w:color="auto" w:sz="4" w:space="0"/>
              <w:right w:val="single" w:color="auto" w:sz="4" w:space="0"/>
            </w:tcBorders>
            <w:vAlign w:val="center"/>
          </w:tcPr>
          <w:p w14:paraId="28E01737">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科目</w:t>
            </w:r>
          </w:p>
        </w:tc>
        <w:tc>
          <w:tcPr>
            <w:tcW w:w="2888" w:type="dxa"/>
            <w:tcBorders>
              <w:top w:val="single" w:color="auto" w:sz="4" w:space="0"/>
              <w:left w:val="single" w:color="auto" w:sz="4" w:space="0"/>
              <w:bottom w:val="single" w:color="auto" w:sz="4" w:space="0"/>
              <w:right w:val="single" w:color="auto" w:sz="4" w:space="0"/>
            </w:tcBorders>
            <w:vAlign w:val="center"/>
          </w:tcPr>
          <w:p w14:paraId="37E76230">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2025年12月31日</w:t>
            </w:r>
          </w:p>
          <w:p w14:paraId="42AE90AC">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（未经审计）</w:t>
            </w:r>
          </w:p>
        </w:tc>
        <w:tc>
          <w:tcPr>
            <w:tcW w:w="2889" w:type="dxa"/>
            <w:tcBorders>
              <w:top w:val="single" w:color="auto" w:sz="4" w:space="0"/>
              <w:left w:val="single" w:color="auto" w:sz="4" w:space="0"/>
              <w:bottom w:val="single" w:color="auto" w:sz="4" w:space="0"/>
              <w:right w:val="single" w:color="auto" w:sz="4" w:space="0"/>
            </w:tcBorders>
            <w:vAlign w:val="center"/>
          </w:tcPr>
          <w:p w14:paraId="3DF0EA08">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2024年12月31日</w:t>
            </w:r>
          </w:p>
          <w:p w14:paraId="5E4EFCB0">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（经审计）</w:t>
            </w:r>
          </w:p>
        </w:tc>
      </w:tr>
      <w:tr w14:paraId="17EDE3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9" w:hRule="atLeast"/>
        </w:trPr>
        <w:tc>
          <w:tcPr>
            <w:tcW w:w="2757" w:type="dxa"/>
            <w:tcBorders>
              <w:top w:val="single" w:color="auto" w:sz="4" w:space="0"/>
              <w:left w:val="single" w:color="auto" w:sz="4" w:space="0"/>
              <w:bottom w:val="single" w:color="auto" w:sz="4" w:space="0"/>
              <w:right w:val="single" w:color="auto" w:sz="4" w:space="0"/>
            </w:tcBorders>
            <w:vAlign w:val="center"/>
          </w:tcPr>
          <w:p w14:paraId="2B017431">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资产总额</w:t>
            </w:r>
          </w:p>
        </w:tc>
        <w:tc>
          <w:tcPr>
            <w:tcW w:w="2888" w:type="dxa"/>
            <w:tcBorders>
              <w:top w:val="single" w:color="auto" w:sz="4" w:space="0"/>
              <w:left w:val="single" w:color="auto" w:sz="4" w:space="0"/>
              <w:bottom w:val="single" w:color="auto" w:sz="4" w:space="0"/>
              <w:right w:val="single" w:color="auto" w:sz="4" w:space="0"/>
            </w:tcBorders>
            <w:vAlign w:val="center"/>
          </w:tcPr>
          <w:p w14:paraId="71D33C76">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1,390,347.04</w:t>
            </w:r>
          </w:p>
        </w:tc>
        <w:tc>
          <w:tcPr>
            <w:tcW w:w="2889" w:type="dxa"/>
            <w:tcBorders>
              <w:top w:val="single" w:color="auto" w:sz="4" w:space="0"/>
              <w:left w:val="single" w:color="auto" w:sz="4" w:space="0"/>
              <w:bottom w:val="single" w:color="auto" w:sz="4" w:space="0"/>
              <w:right w:val="single" w:color="auto" w:sz="4" w:space="0"/>
            </w:tcBorders>
            <w:vAlign w:val="center"/>
          </w:tcPr>
          <w:p w14:paraId="4FC371B4">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1,239,833.82</w:t>
            </w:r>
          </w:p>
        </w:tc>
      </w:tr>
      <w:tr w14:paraId="2F4520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7" w:hRule="atLeast"/>
        </w:trPr>
        <w:tc>
          <w:tcPr>
            <w:tcW w:w="2757" w:type="dxa"/>
            <w:tcBorders>
              <w:top w:val="single" w:color="auto" w:sz="4" w:space="0"/>
              <w:left w:val="single" w:color="auto" w:sz="4" w:space="0"/>
              <w:bottom w:val="single" w:color="auto" w:sz="4" w:space="0"/>
              <w:right w:val="single" w:color="auto" w:sz="4" w:space="0"/>
            </w:tcBorders>
            <w:vAlign w:val="center"/>
          </w:tcPr>
          <w:p w14:paraId="1C3E836B">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负债总额</w:t>
            </w:r>
          </w:p>
        </w:tc>
        <w:tc>
          <w:tcPr>
            <w:tcW w:w="2888" w:type="dxa"/>
            <w:tcBorders>
              <w:top w:val="single" w:color="auto" w:sz="4" w:space="0"/>
              <w:left w:val="single" w:color="auto" w:sz="4" w:space="0"/>
              <w:bottom w:val="single" w:color="auto" w:sz="4" w:space="0"/>
              <w:right w:val="single" w:color="auto" w:sz="4" w:space="0"/>
            </w:tcBorders>
            <w:vAlign w:val="center"/>
          </w:tcPr>
          <w:p w14:paraId="25445D64">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286,410.28</w:t>
            </w:r>
          </w:p>
        </w:tc>
        <w:tc>
          <w:tcPr>
            <w:tcW w:w="2889" w:type="dxa"/>
            <w:tcBorders>
              <w:top w:val="single" w:color="auto" w:sz="4" w:space="0"/>
              <w:left w:val="single" w:color="auto" w:sz="4" w:space="0"/>
              <w:bottom w:val="single" w:color="auto" w:sz="4" w:space="0"/>
              <w:right w:val="single" w:color="auto" w:sz="4" w:space="0"/>
            </w:tcBorders>
            <w:vAlign w:val="center"/>
          </w:tcPr>
          <w:p w14:paraId="4ABF7DAD">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246,906.32</w:t>
            </w:r>
          </w:p>
        </w:tc>
      </w:tr>
      <w:tr w14:paraId="795110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8" w:hRule="atLeast"/>
        </w:trPr>
        <w:tc>
          <w:tcPr>
            <w:tcW w:w="2757" w:type="dxa"/>
            <w:tcBorders>
              <w:top w:val="single" w:color="auto" w:sz="4" w:space="0"/>
              <w:left w:val="single" w:color="auto" w:sz="4" w:space="0"/>
              <w:bottom w:val="single" w:color="auto" w:sz="4" w:space="0"/>
              <w:right w:val="single" w:color="auto" w:sz="4" w:space="0"/>
            </w:tcBorders>
            <w:vAlign w:val="center"/>
          </w:tcPr>
          <w:p w14:paraId="09ED5F83">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所有者权益总额</w:t>
            </w:r>
          </w:p>
        </w:tc>
        <w:tc>
          <w:tcPr>
            <w:tcW w:w="2888" w:type="dxa"/>
            <w:tcBorders>
              <w:top w:val="single" w:color="auto" w:sz="4" w:space="0"/>
              <w:left w:val="single" w:color="auto" w:sz="4" w:space="0"/>
              <w:bottom w:val="single" w:color="auto" w:sz="4" w:space="0"/>
              <w:right w:val="single" w:color="auto" w:sz="4" w:space="0"/>
            </w:tcBorders>
            <w:vAlign w:val="center"/>
          </w:tcPr>
          <w:p w14:paraId="7275E4CD">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1,103,936.76</w:t>
            </w:r>
          </w:p>
        </w:tc>
        <w:tc>
          <w:tcPr>
            <w:tcW w:w="2889" w:type="dxa"/>
            <w:tcBorders>
              <w:top w:val="single" w:color="auto" w:sz="4" w:space="0"/>
              <w:left w:val="single" w:color="auto" w:sz="4" w:space="0"/>
              <w:bottom w:val="single" w:color="auto" w:sz="4" w:space="0"/>
              <w:right w:val="single" w:color="auto" w:sz="4" w:space="0"/>
            </w:tcBorders>
            <w:vAlign w:val="center"/>
          </w:tcPr>
          <w:p w14:paraId="2FD77FDD">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992,927.50</w:t>
            </w:r>
          </w:p>
        </w:tc>
      </w:tr>
      <w:tr w14:paraId="7E0C5F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3" w:hRule="atLeast"/>
        </w:trPr>
        <w:tc>
          <w:tcPr>
            <w:tcW w:w="2757" w:type="dxa"/>
            <w:tcBorders>
              <w:top w:val="single" w:color="auto" w:sz="4" w:space="0"/>
              <w:left w:val="single" w:color="auto" w:sz="4" w:space="0"/>
              <w:bottom w:val="single" w:color="auto" w:sz="4" w:space="0"/>
              <w:right w:val="single" w:color="auto" w:sz="4" w:space="0"/>
            </w:tcBorders>
            <w:vAlign w:val="center"/>
          </w:tcPr>
          <w:p w14:paraId="35F7FE67">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资产负债率</w:t>
            </w:r>
          </w:p>
        </w:tc>
        <w:tc>
          <w:tcPr>
            <w:tcW w:w="2888" w:type="dxa"/>
            <w:tcBorders>
              <w:top w:val="single" w:color="auto" w:sz="4" w:space="0"/>
              <w:left w:val="single" w:color="auto" w:sz="4" w:space="0"/>
              <w:bottom w:val="single" w:color="auto" w:sz="4" w:space="0"/>
              <w:right w:val="single" w:color="auto" w:sz="4" w:space="0"/>
            </w:tcBorders>
            <w:vAlign w:val="center"/>
          </w:tcPr>
          <w:p w14:paraId="05E79076">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20.60%</w:t>
            </w:r>
          </w:p>
        </w:tc>
        <w:tc>
          <w:tcPr>
            <w:tcW w:w="2889" w:type="dxa"/>
            <w:tcBorders>
              <w:top w:val="single" w:color="auto" w:sz="4" w:space="0"/>
              <w:left w:val="single" w:color="auto" w:sz="4" w:space="0"/>
              <w:bottom w:val="single" w:color="auto" w:sz="4" w:space="0"/>
              <w:right w:val="single" w:color="auto" w:sz="4" w:space="0"/>
            </w:tcBorders>
            <w:vAlign w:val="center"/>
          </w:tcPr>
          <w:p w14:paraId="1F9DA695">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19.91%</w:t>
            </w:r>
          </w:p>
        </w:tc>
      </w:tr>
      <w:tr w14:paraId="574BE9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22" w:hRule="atLeast"/>
        </w:trPr>
        <w:tc>
          <w:tcPr>
            <w:tcW w:w="2757" w:type="dxa"/>
            <w:tcBorders>
              <w:top w:val="single" w:color="auto" w:sz="4" w:space="0"/>
              <w:left w:val="single" w:color="auto" w:sz="4" w:space="0"/>
              <w:bottom w:val="single" w:color="auto" w:sz="4" w:space="0"/>
              <w:right w:val="single" w:color="auto" w:sz="4" w:space="0"/>
            </w:tcBorders>
            <w:vAlign w:val="center"/>
          </w:tcPr>
          <w:p w14:paraId="3BC99B22">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科目</w:t>
            </w:r>
          </w:p>
        </w:tc>
        <w:tc>
          <w:tcPr>
            <w:tcW w:w="2888" w:type="dxa"/>
            <w:tcBorders>
              <w:top w:val="single" w:color="auto" w:sz="4" w:space="0"/>
              <w:left w:val="single" w:color="auto" w:sz="4" w:space="0"/>
              <w:bottom w:val="single" w:color="auto" w:sz="4" w:space="0"/>
              <w:right w:val="single" w:color="auto" w:sz="4" w:space="0"/>
            </w:tcBorders>
            <w:vAlign w:val="center"/>
          </w:tcPr>
          <w:p w14:paraId="4051477C">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2025年1-12月</w:t>
            </w:r>
          </w:p>
          <w:p w14:paraId="09303B9D">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（未经审计）</w:t>
            </w:r>
          </w:p>
        </w:tc>
        <w:tc>
          <w:tcPr>
            <w:tcW w:w="2889" w:type="dxa"/>
            <w:tcBorders>
              <w:top w:val="single" w:color="auto" w:sz="4" w:space="0"/>
              <w:left w:val="single" w:color="auto" w:sz="4" w:space="0"/>
              <w:bottom w:val="single" w:color="auto" w:sz="4" w:space="0"/>
              <w:right w:val="single" w:color="auto" w:sz="4" w:space="0"/>
            </w:tcBorders>
            <w:vAlign w:val="center"/>
          </w:tcPr>
          <w:p w14:paraId="1A6BA82A">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2024年度</w:t>
            </w:r>
          </w:p>
          <w:p w14:paraId="2F1F1A97">
            <w:pPr>
              <w:widowControl/>
              <w:spacing w:line="360" w:lineRule="auto"/>
              <w:ind w:firstLine="482"/>
              <w:textAlignment w:val="center"/>
              <w:rPr>
                <w:rFonts w:asciiTheme="minorEastAsia" w:hAnsiTheme="minorEastAsia" w:cstheme="minorEastAsia"/>
                <w:b/>
                <w:bCs/>
                <w:szCs w:val="24"/>
              </w:rPr>
            </w:pPr>
            <w:r>
              <w:rPr>
                <w:rFonts w:hint="eastAsia" w:asciiTheme="minorEastAsia" w:hAnsiTheme="minorEastAsia" w:cstheme="minorEastAsia"/>
                <w:b/>
                <w:bCs/>
                <w:szCs w:val="24"/>
              </w:rPr>
              <w:t>（经审计）</w:t>
            </w:r>
          </w:p>
        </w:tc>
      </w:tr>
      <w:tr w14:paraId="07AA83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87" w:hRule="atLeast"/>
        </w:trPr>
        <w:tc>
          <w:tcPr>
            <w:tcW w:w="2757" w:type="dxa"/>
            <w:tcBorders>
              <w:top w:val="single" w:color="auto" w:sz="4" w:space="0"/>
              <w:left w:val="single" w:color="auto" w:sz="4" w:space="0"/>
              <w:bottom w:val="single" w:color="auto" w:sz="4" w:space="0"/>
              <w:right w:val="single" w:color="auto" w:sz="4" w:space="0"/>
            </w:tcBorders>
            <w:vAlign w:val="center"/>
          </w:tcPr>
          <w:p w14:paraId="16513F83">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营业收入</w:t>
            </w:r>
          </w:p>
        </w:tc>
        <w:tc>
          <w:tcPr>
            <w:tcW w:w="2888" w:type="dxa"/>
            <w:tcBorders>
              <w:top w:val="single" w:color="auto" w:sz="4" w:space="0"/>
              <w:left w:val="single" w:color="auto" w:sz="4" w:space="0"/>
              <w:bottom w:val="single" w:color="auto" w:sz="4" w:space="0"/>
              <w:right w:val="single" w:color="auto" w:sz="4" w:space="0"/>
            </w:tcBorders>
            <w:vAlign w:val="center"/>
          </w:tcPr>
          <w:p w14:paraId="45FE4301">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180,013.50</w:t>
            </w:r>
          </w:p>
        </w:tc>
        <w:tc>
          <w:tcPr>
            <w:tcW w:w="2889" w:type="dxa"/>
            <w:tcBorders>
              <w:top w:val="single" w:color="auto" w:sz="4" w:space="0"/>
              <w:left w:val="single" w:color="auto" w:sz="4" w:space="0"/>
              <w:bottom w:val="single" w:color="auto" w:sz="4" w:space="0"/>
              <w:right w:val="single" w:color="auto" w:sz="4" w:space="0"/>
            </w:tcBorders>
            <w:vAlign w:val="center"/>
          </w:tcPr>
          <w:p w14:paraId="465D62F7">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173,015.44</w:t>
            </w:r>
          </w:p>
        </w:tc>
      </w:tr>
      <w:tr w14:paraId="6DDEE8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7" w:hRule="atLeast"/>
        </w:trPr>
        <w:tc>
          <w:tcPr>
            <w:tcW w:w="2757" w:type="dxa"/>
            <w:tcBorders>
              <w:top w:val="single" w:color="auto" w:sz="4" w:space="0"/>
              <w:left w:val="single" w:color="auto" w:sz="4" w:space="0"/>
              <w:bottom w:val="single" w:color="auto" w:sz="4" w:space="0"/>
              <w:right w:val="single" w:color="auto" w:sz="4" w:space="0"/>
            </w:tcBorders>
            <w:vAlign w:val="center"/>
          </w:tcPr>
          <w:p w14:paraId="337A598A">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净利润</w:t>
            </w:r>
          </w:p>
        </w:tc>
        <w:tc>
          <w:tcPr>
            <w:tcW w:w="2888" w:type="dxa"/>
            <w:tcBorders>
              <w:top w:val="single" w:color="auto" w:sz="4" w:space="0"/>
              <w:left w:val="single" w:color="auto" w:sz="4" w:space="0"/>
              <w:bottom w:val="single" w:color="auto" w:sz="4" w:space="0"/>
              <w:right w:val="single" w:color="auto" w:sz="4" w:space="0"/>
            </w:tcBorders>
            <w:vAlign w:val="center"/>
          </w:tcPr>
          <w:p w14:paraId="77C9BF72">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110,786.30</w:t>
            </w:r>
          </w:p>
        </w:tc>
        <w:tc>
          <w:tcPr>
            <w:tcW w:w="2889" w:type="dxa"/>
            <w:tcBorders>
              <w:top w:val="single" w:color="auto" w:sz="4" w:space="0"/>
              <w:left w:val="single" w:color="auto" w:sz="4" w:space="0"/>
              <w:bottom w:val="single" w:color="auto" w:sz="4" w:space="0"/>
              <w:right w:val="single" w:color="auto" w:sz="4" w:space="0"/>
            </w:tcBorders>
            <w:vAlign w:val="center"/>
          </w:tcPr>
          <w:p w14:paraId="11C28116">
            <w:pPr>
              <w:widowControl/>
              <w:spacing w:line="360" w:lineRule="auto"/>
              <w:ind w:firstLine="480"/>
              <w:textAlignment w:val="center"/>
              <w:rPr>
                <w:rFonts w:asciiTheme="minorEastAsia" w:hAnsiTheme="minorEastAsia" w:cstheme="minorEastAsia"/>
                <w:szCs w:val="24"/>
              </w:rPr>
            </w:pPr>
            <w:r>
              <w:rPr>
                <w:rFonts w:hint="eastAsia" w:asciiTheme="minorEastAsia" w:hAnsiTheme="minorEastAsia" w:cstheme="minorEastAsia"/>
                <w:szCs w:val="24"/>
              </w:rPr>
              <w:t>104,111.15</w:t>
            </w:r>
          </w:p>
        </w:tc>
      </w:tr>
    </w:tbl>
    <w:p w14:paraId="1B88A493">
      <w:pPr>
        <w:widowControl/>
        <w:adjustRightInd w:val="0"/>
        <w:snapToGrid w:val="0"/>
        <w:spacing w:line="360" w:lineRule="auto"/>
        <w:ind w:firstLine="480"/>
        <w:outlineLvl w:val="1"/>
        <w:rPr>
          <w:rFonts w:asciiTheme="minorEastAsia" w:hAnsiTheme="minorEastAsia" w:cstheme="minorEastAsia"/>
          <w:szCs w:val="24"/>
        </w:rPr>
      </w:pPr>
    </w:p>
    <w:p w14:paraId="641E6DBF">
      <w:pPr>
        <w:widowControl/>
        <w:adjustRightInd w:val="0"/>
        <w:snapToGrid w:val="0"/>
        <w:spacing w:line="360" w:lineRule="auto"/>
        <w:ind w:firstLine="480"/>
        <w:outlineLvl w:val="1"/>
        <w:rPr>
          <w:rFonts w:asciiTheme="minorEastAsia" w:hAnsiTheme="minorEastAsia" w:cstheme="minorEastAsia"/>
          <w:szCs w:val="24"/>
        </w:rPr>
      </w:pPr>
      <w:r>
        <w:rPr>
          <w:rFonts w:hint="eastAsia" w:asciiTheme="minorEastAsia" w:hAnsiTheme="minorEastAsia" w:cstheme="minorEastAsia"/>
          <w:szCs w:val="24"/>
        </w:rPr>
        <w:t>特此公告。</w:t>
      </w:r>
    </w:p>
    <w:p w14:paraId="7E652A20">
      <w:pPr>
        <w:widowControl/>
        <w:adjustRightInd w:val="0"/>
        <w:snapToGrid w:val="0"/>
        <w:spacing w:line="360" w:lineRule="auto"/>
        <w:ind w:firstLine="480"/>
        <w:outlineLvl w:val="1"/>
        <w:rPr>
          <w:rFonts w:asciiTheme="minorEastAsia" w:hAnsiTheme="minorEastAsia" w:cstheme="minorEastAsia"/>
          <w:szCs w:val="24"/>
        </w:rPr>
      </w:pPr>
    </w:p>
    <w:p w14:paraId="0A0E037E">
      <w:pPr>
        <w:adjustRightInd w:val="0"/>
        <w:snapToGrid w:val="0"/>
        <w:ind w:firstLine="480"/>
        <w:jc w:val="right"/>
        <w:rPr>
          <w:rFonts w:cs="FangSong_GB2312" w:asciiTheme="minorEastAsia" w:hAnsiTheme="minorEastAsia"/>
          <w:szCs w:val="24"/>
        </w:rPr>
      </w:pPr>
      <w:r>
        <w:rPr>
          <w:rFonts w:hint="eastAsia" w:cs="FangSong_GB2312" w:asciiTheme="minorEastAsia" w:hAnsiTheme="minorEastAsia"/>
          <w:szCs w:val="24"/>
        </w:rPr>
        <w:t>江苏宁沪高速公路股份有限公司董事会</w:t>
      </w:r>
    </w:p>
    <w:p w14:paraId="56A8A19C">
      <w:pPr>
        <w:adjustRightInd w:val="0"/>
        <w:snapToGrid w:val="0"/>
        <w:ind w:firstLine="480"/>
        <w:jc w:val="right"/>
        <w:rPr>
          <w:rFonts w:asciiTheme="minorEastAsia" w:hAnsiTheme="minorEastAsia"/>
          <w:b/>
          <w:szCs w:val="24"/>
        </w:rPr>
      </w:pPr>
      <w:r>
        <w:rPr>
          <w:rFonts w:hint="eastAsia" w:cs="FangSong_GB2312" w:asciiTheme="minorEastAsia" w:hAnsiTheme="minorEastAsia"/>
          <w:szCs w:val="24"/>
        </w:rPr>
        <w:t>2026年6月10日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FangSong_GB2312">
    <w:altName w:val="仿宋_GB2312"/>
    <w:panose1 w:val="0201060906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FE723">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6608A">
    <w:pPr>
      <w:pStyle w:val="9"/>
      <w:ind w:firstLine="360"/>
    </w:pPr>
  </w:p>
  <w:p w14:paraId="679D5673">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8DBBF">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9530">
    <w:pPr>
      <w:pStyle w:val="10"/>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44A4F">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E884B">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09B155"/>
    <w:multiLevelType w:val="singleLevel"/>
    <w:tmpl w:val="9509B155"/>
    <w:lvl w:ilvl="0" w:tentative="0">
      <w:start w:val="6"/>
      <w:numFmt w:val="chineseCounting"/>
      <w:suff w:val="nothing"/>
      <w:lvlText w:val="（%1）"/>
      <w:lvlJc w:val="left"/>
      <w:rPr>
        <w:rFonts w:hint="eastAsia"/>
      </w:rPr>
    </w:lvl>
  </w:abstractNum>
  <w:abstractNum w:abstractNumId="1">
    <w:nsid w:val="F419E181"/>
    <w:multiLevelType w:val="singleLevel"/>
    <w:tmpl w:val="F419E181"/>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attachedTemplate r:id="rId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 w:name="RemovedBindingXPath" w:val="true"/>
  </w:docVars>
  <w:rsids>
    <w:rsidRoot w:val="008C5DB8"/>
    <w:rsid w:val="00004EF0"/>
    <w:rsid w:val="0000622B"/>
    <w:rsid w:val="00007894"/>
    <w:rsid w:val="00011B58"/>
    <w:rsid w:val="00011D6B"/>
    <w:rsid w:val="00011E7C"/>
    <w:rsid w:val="000134A9"/>
    <w:rsid w:val="00013C7A"/>
    <w:rsid w:val="00014DAA"/>
    <w:rsid w:val="0001513D"/>
    <w:rsid w:val="00016A68"/>
    <w:rsid w:val="00017DF4"/>
    <w:rsid w:val="000209EB"/>
    <w:rsid w:val="00023FE2"/>
    <w:rsid w:val="00024791"/>
    <w:rsid w:val="00024B0F"/>
    <w:rsid w:val="000316A0"/>
    <w:rsid w:val="000316DE"/>
    <w:rsid w:val="000318EE"/>
    <w:rsid w:val="000320FF"/>
    <w:rsid w:val="000329AD"/>
    <w:rsid w:val="00033287"/>
    <w:rsid w:val="00036E39"/>
    <w:rsid w:val="000415E2"/>
    <w:rsid w:val="00041AFF"/>
    <w:rsid w:val="00041B70"/>
    <w:rsid w:val="0005296D"/>
    <w:rsid w:val="0005330F"/>
    <w:rsid w:val="000552DE"/>
    <w:rsid w:val="00055BB1"/>
    <w:rsid w:val="00055D12"/>
    <w:rsid w:val="0005649D"/>
    <w:rsid w:val="00057954"/>
    <w:rsid w:val="00057AAF"/>
    <w:rsid w:val="0006154D"/>
    <w:rsid w:val="00061EF5"/>
    <w:rsid w:val="000657A0"/>
    <w:rsid w:val="00071209"/>
    <w:rsid w:val="00071335"/>
    <w:rsid w:val="000715B9"/>
    <w:rsid w:val="00071DCE"/>
    <w:rsid w:val="00071DFD"/>
    <w:rsid w:val="00071EFB"/>
    <w:rsid w:val="0007584E"/>
    <w:rsid w:val="0007700C"/>
    <w:rsid w:val="00083392"/>
    <w:rsid w:val="000843BF"/>
    <w:rsid w:val="000847A8"/>
    <w:rsid w:val="0008599D"/>
    <w:rsid w:val="0008617F"/>
    <w:rsid w:val="00091B04"/>
    <w:rsid w:val="00091E1F"/>
    <w:rsid w:val="00093A5E"/>
    <w:rsid w:val="00094CDA"/>
    <w:rsid w:val="00095035"/>
    <w:rsid w:val="0009529B"/>
    <w:rsid w:val="0009688B"/>
    <w:rsid w:val="00096AF6"/>
    <w:rsid w:val="00097314"/>
    <w:rsid w:val="000A0447"/>
    <w:rsid w:val="000A0B83"/>
    <w:rsid w:val="000A0BA2"/>
    <w:rsid w:val="000A173A"/>
    <w:rsid w:val="000A2CC0"/>
    <w:rsid w:val="000A2F81"/>
    <w:rsid w:val="000A5346"/>
    <w:rsid w:val="000A581B"/>
    <w:rsid w:val="000A777E"/>
    <w:rsid w:val="000A779D"/>
    <w:rsid w:val="000B1C0F"/>
    <w:rsid w:val="000B26F4"/>
    <w:rsid w:val="000B2D61"/>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5BF"/>
    <w:rsid w:val="000F1F34"/>
    <w:rsid w:val="000F2FE3"/>
    <w:rsid w:val="000F32A6"/>
    <w:rsid w:val="000F39F7"/>
    <w:rsid w:val="000F4243"/>
    <w:rsid w:val="000F5E24"/>
    <w:rsid w:val="00102EE0"/>
    <w:rsid w:val="00105374"/>
    <w:rsid w:val="00110400"/>
    <w:rsid w:val="00110C53"/>
    <w:rsid w:val="00110FD3"/>
    <w:rsid w:val="00111FD6"/>
    <w:rsid w:val="00117BC7"/>
    <w:rsid w:val="00120E15"/>
    <w:rsid w:val="00121EB3"/>
    <w:rsid w:val="00123A27"/>
    <w:rsid w:val="00130B19"/>
    <w:rsid w:val="0013329D"/>
    <w:rsid w:val="001345D6"/>
    <w:rsid w:val="00135412"/>
    <w:rsid w:val="00136B4D"/>
    <w:rsid w:val="00136CF2"/>
    <w:rsid w:val="00142572"/>
    <w:rsid w:val="00142BE7"/>
    <w:rsid w:val="001445A8"/>
    <w:rsid w:val="00144A2D"/>
    <w:rsid w:val="00145AE4"/>
    <w:rsid w:val="00146AE6"/>
    <w:rsid w:val="00147BA3"/>
    <w:rsid w:val="001509BD"/>
    <w:rsid w:val="00154ECD"/>
    <w:rsid w:val="00154F63"/>
    <w:rsid w:val="00156132"/>
    <w:rsid w:val="001627BA"/>
    <w:rsid w:val="001635C5"/>
    <w:rsid w:val="001656ED"/>
    <w:rsid w:val="001745A0"/>
    <w:rsid w:val="00174FAC"/>
    <w:rsid w:val="001763D0"/>
    <w:rsid w:val="00183AD3"/>
    <w:rsid w:val="00185D57"/>
    <w:rsid w:val="00186AC7"/>
    <w:rsid w:val="0019044B"/>
    <w:rsid w:val="00191625"/>
    <w:rsid w:val="00191AE4"/>
    <w:rsid w:val="00192312"/>
    <w:rsid w:val="00192FA9"/>
    <w:rsid w:val="00193328"/>
    <w:rsid w:val="001953C1"/>
    <w:rsid w:val="00196816"/>
    <w:rsid w:val="001A1F6F"/>
    <w:rsid w:val="001A2E2D"/>
    <w:rsid w:val="001A3084"/>
    <w:rsid w:val="001A4B40"/>
    <w:rsid w:val="001A5AD2"/>
    <w:rsid w:val="001A6EA4"/>
    <w:rsid w:val="001B0753"/>
    <w:rsid w:val="001B0861"/>
    <w:rsid w:val="001B0FAE"/>
    <w:rsid w:val="001B11FC"/>
    <w:rsid w:val="001B3894"/>
    <w:rsid w:val="001B39F3"/>
    <w:rsid w:val="001B403D"/>
    <w:rsid w:val="001C0B03"/>
    <w:rsid w:val="001C1F7E"/>
    <w:rsid w:val="001C20B5"/>
    <w:rsid w:val="001C2826"/>
    <w:rsid w:val="001C3E4D"/>
    <w:rsid w:val="001C3E6D"/>
    <w:rsid w:val="001C4E7D"/>
    <w:rsid w:val="001C61C9"/>
    <w:rsid w:val="001C6DB0"/>
    <w:rsid w:val="001D05A4"/>
    <w:rsid w:val="001D157D"/>
    <w:rsid w:val="001D269D"/>
    <w:rsid w:val="001D5AFC"/>
    <w:rsid w:val="001D5BCD"/>
    <w:rsid w:val="001D6ABC"/>
    <w:rsid w:val="001E1D88"/>
    <w:rsid w:val="001E6D93"/>
    <w:rsid w:val="001E75C4"/>
    <w:rsid w:val="001F2083"/>
    <w:rsid w:val="001F422F"/>
    <w:rsid w:val="001F6B2B"/>
    <w:rsid w:val="00202534"/>
    <w:rsid w:val="002048A3"/>
    <w:rsid w:val="00206BC7"/>
    <w:rsid w:val="00207652"/>
    <w:rsid w:val="00207743"/>
    <w:rsid w:val="00210883"/>
    <w:rsid w:val="00213781"/>
    <w:rsid w:val="00214ACE"/>
    <w:rsid w:val="00215E68"/>
    <w:rsid w:val="00216020"/>
    <w:rsid w:val="00216775"/>
    <w:rsid w:val="00221605"/>
    <w:rsid w:val="002217D3"/>
    <w:rsid w:val="00221C66"/>
    <w:rsid w:val="00224529"/>
    <w:rsid w:val="0022784F"/>
    <w:rsid w:val="00230F96"/>
    <w:rsid w:val="00231D36"/>
    <w:rsid w:val="0023234C"/>
    <w:rsid w:val="0023362A"/>
    <w:rsid w:val="00235174"/>
    <w:rsid w:val="002370D9"/>
    <w:rsid w:val="0024127B"/>
    <w:rsid w:val="002432E5"/>
    <w:rsid w:val="00244577"/>
    <w:rsid w:val="00250A64"/>
    <w:rsid w:val="00254100"/>
    <w:rsid w:val="00254558"/>
    <w:rsid w:val="0025534A"/>
    <w:rsid w:val="00260131"/>
    <w:rsid w:val="0026315D"/>
    <w:rsid w:val="00264A3A"/>
    <w:rsid w:val="00264CAD"/>
    <w:rsid w:val="002659BF"/>
    <w:rsid w:val="00265D6C"/>
    <w:rsid w:val="00265E5F"/>
    <w:rsid w:val="0026718A"/>
    <w:rsid w:val="00267592"/>
    <w:rsid w:val="00272C91"/>
    <w:rsid w:val="00272F07"/>
    <w:rsid w:val="00275078"/>
    <w:rsid w:val="00276EB0"/>
    <w:rsid w:val="00277C1E"/>
    <w:rsid w:val="00281CD4"/>
    <w:rsid w:val="002820C2"/>
    <w:rsid w:val="0028573B"/>
    <w:rsid w:val="002859DB"/>
    <w:rsid w:val="00287F68"/>
    <w:rsid w:val="00290FC6"/>
    <w:rsid w:val="002930BD"/>
    <w:rsid w:val="002948E5"/>
    <w:rsid w:val="00295147"/>
    <w:rsid w:val="00295A30"/>
    <w:rsid w:val="002969F3"/>
    <w:rsid w:val="00296B71"/>
    <w:rsid w:val="002A2075"/>
    <w:rsid w:val="002A20B3"/>
    <w:rsid w:val="002A3368"/>
    <w:rsid w:val="002A3520"/>
    <w:rsid w:val="002A40E8"/>
    <w:rsid w:val="002A5BD6"/>
    <w:rsid w:val="002A6062"/>
    <w:rsid w:val="002B03CC"/>
    <w:rsid w:val="002B0DEC"/>
    <w:rsid w:val="002B3233"/>
    <w:rsid w:val="002B3462"/>
    <w:rsid w:val="002B7FB0"/>
    <w:rsid w:val="002C0A13"/>
    <w:rsid w:val="002C1998"/>
    <w:rsid w:val="002C3B71"/>
    <w:rsid w:val="002C4298"/>
    <w:rsid w:val="002C51A6"/>
    <w:rsid w:val="002C578E"/>
    <w:rsid w:val="002C73D0"/>
    <w:rsid w:val="002D06DF"/>
    <w:rsid w:val="002D11F5"/>
    <w:rsid w:val="002D1C0D"/>
    <w:rsid w:val="002D7A46"/>
    <w:rsid w:val="002E0F85"/>
    <w:rsid w:val="002E17BB"/>
    <w:rsid w:val="002E3CFE"/>
    <w:rsid w:val="002E5862"/>
    <w:rsid w:val="002E673D"/>
    <w:rsid w:val="002E6FED"/>
    <w:rsid w:val="002F0218"/>
    <w:rsid w:val="002F36A0"/>
    <w:rsid w:val="002F4615"/>
    <w:rsid w:val="002F7887"/>
    <w:rsid w:val="003006FD"/>
    <w:rsid w:val="00300E0C"/>
    <w:rsid w:val="00303319"/>
    <w:rsid w:val="003068DE"/>
    <w:rsid w:val="00306C2E"/>
    <w:rsid w:val="00306CA5"/>
    <w:rsid w:val="003071F3"/>
    <w:rsid w:val="00311E9F"/>
    <w:rsid w:val="00317BC2"/>
    <w:rsid w:val="003216A9"/>
    <w:rsid w:val="0032367F"/>
    <w:rsid w:val="00323A21"/>
    <w:rsid w:val="0032458D"/>
    <w:rsid w:val="003253F1"/>
    <w:rsid w:val="00325654"/>
    <w:rsid w:val="0032604F"/>
    <w:rsid w:val="00331C12"/>
    <w:rsid w:val="00335113"/>
    <w:rsid w:val="0033790F"/>
    <w:rsid w:val="00337BE0"/>
    <w:rsid w:val="003402FE"/>
    <w:rsid w:val="003428F3"/>
    <w:rsid w:val="0034755D"/>
    <w:rsid w:val="00352FEF"/>
    <w:rsid w:val="0035344A"/>
    <w:rsid w:val="00353872"/>
    <w:rsid w:val="00354018"/>
    <w:rsid w:val="00355E1B"/>
    <w:rsid w:val="00356E10"/>
    <w:rsid w:val="00357EA0"/>
    <w:rsid w:val="00361700"/>
    <w:rsid w:val="00364663"/>
    <w:rsid w:val="003651DF"/>
    <w:rsid w:val="003653F5"/>
    <w:rsid w:val="00366CCD"/>
    <w:rsid w:val="00367453"/>
    <w:rsid w:val="00370B90"/>
    <w:rsid w:val="00374A19"/>
    <w:rsid w:val="00375B9C"/>
    <w:rsid w:val="00376606"/>
    <w:rsid w:val="003766EF"/>
    <w:rsid w:val="00383379"/>
    <w:rsid w:val="003843C8"/>
    <w:rsid w:val="0038738F"/>
    <w:rsid w:val="00393988"/>
    <w:rsid w:val="00394A8C"/>
    <w:rsid w:val="00395F09"/>
    <w:rsid w:val="00396692"/>
    <w:rsid w:val="003966B0"/>
    <w:rsid w:val="003A016D"/>
    <w:rsid w:val="003A041B"/>
    <w:rsid w:val="003A3353"/>
    <w:rsid w:val="003A5862"/>
    <w:rsid w:val="003A594F"/>
    <w:rsid w:val="003A6E06"/>
    <w:rsid w:val="003B142A"/>
    <w:rsid w:val="003B5C0B"/>
    <w:rsid w:val="003B6F09"/>
    <w:rsid w:val="003B772C"/>
    <w:rsid w:val="003C0DA5"/>
    <w:rsid w:val="003C16A8"/>
    <w:rsid w:val="003C29C4"/>
    <w:rsid w:val="003C6D08"/>
    <w:rsid w:val="003D0C6A"/>
    <w:rsid w:val="003D4895"/>
    <w:rsid w:val="003D508E"/>
    <w:rsid w:val="003E1749"/>
    <w:rsid w:val="003E2F2A"/>
    <w:rsid w:val="003E2F5B"/>
    <w:rsid w:val="003E4198"/>
    <w:rsid w:val="003E4F31"/>
    <w:rsid w:val="003E6330"/>
    <w:rsid w:val="003F03CB"/>
    <w:rsid w:val="003F333E"/>
    <w:rsid w:val="003F59BF"/>
    <w:rsid w:val="003F619C"/>
    <w:rsid w:val="003F651E"/>
    <w:rsid w:val="004022C5"/>
    <w:rsid w:val="00404DF5"/>
    <w:rsid w:val="00405849"/>
    <w:rsid w:val="00405F2E"/>
    <w:rsid w:val="0040650F"/>
    <w:rsid w:val="004150E8"/>
    <w:rsid w:val="00423B5B"/>
    <w:rsid w:val="004240D4"/>
    <w:rsid w:val="00424E22"/>
    <w:rsid w:val="00425642"/>
    <w:rsid w:val="00426491"/>
    <w:rsid w:val="00427543"/>
    <w:rsid w:val="00430B69"/>
    <w:rsid w:val="00430E15"/>
    <w:rsid w:val="004339B4"/>
    <w:rsid w:val="0043754A"/>
    <w:rsid w:val="00437CE1"/>
    <w:rsid w:val="0044168F"/>
    <w:rsid w:val="00442A1B"/>
    <w:rsid w:val="004443A8"/>
    <w:rsid w:val="00444D15"/>
    <w:rsid w:val="004452CF"/>
    <w:rsid w:val="004462D1"/>
    <w:rsid w:val="00446E52"/>
    <w:rsid w:val="00447880"/>
    <w:rsid w:val="00456AB7"/>
    <w:rsid w:val="0046022C"/>
    <w:rsid w:val="00460544"/>
    <w:rsid w:val="0046389B"/>
    <w:rsid w:val="004640B3"/>
    <w:rsid w:val="004677A9"/>
    <w:rsid w:val="004700D5"/>
    <w:rsid w:val="00471C18"/>
    <w:rsid w:val="00472CF3"/>
    <w:rsid w:val="004770E5"/>
    <w:rsid w:val="004808F7"/>
    <w:rsid w:val="00481EA9"/>
    <w:rsid w:val="00482007"/>
    <w:rsid w:val="004824A9"/>
    <w:rsid w:val="0048261B"/>
    <w:rsid w:val="004844F6"/>
    <w:rsid w:val="0048475F"/>
    <w:rsid w:val="00484A20"/>
    <w:rsid w:val="00484CD8"/>
    <w:rsid w:val="00490CC5"/>
    <w:rsid w:val="00491D85"/>
    <w:rsid w:val="004923D4"/>
    <w:rsid w:val="00493080"/>
    <w:rsid w:val="00493A04"/>
    <w:rsid w:val="0049605D"/>
    <w:rsid w:val="00496916"/>
    <w:rsid w:val="004A1747"/>
    <w:rsid w:val="004A1FDB"/>
    <w:rsid w:val="004A2D0E"/>
    <w:rsid w:val="004A330D"/>
    <w:rsid w:val="004A3F7D"/>
    <w:rsid w:val="004A4FC9"/>
    <w:rsid w:val="004A6E8A"/>
    <w:rsid w:val="004B1154"/>
    <w:rsid w:val="004B1C50"/>
    <w:rsid w:val="004B2D4F"/>
    <w:rsid w:val="004B35E5"/>
    <w:rsid w:val="004B6EAD"/>
    <w:rsid w:val="004B72D1"/>
    <w:rsid w:val="004B735F"/>
    <w:rsid w:val="004B744D"/>
    <w:rsid w:val="004C2C49"/>
    <w:rsid w:val="004C6011"/>
    <w:rsid w:val="004C7913"/>
    <w:rsid w:val="004D2D6C"/>
    <w:rsid w:val="004D2FF1"/>
    <w:rsid w:val="004D4A66"/>
    <w:rsid w:val="004D55A9"/>
    <w:rsid w:val="004D6C6D"/>
    <w:rsid w:val="004D6D5C"/>
    <w:rsid w:val="004D76A4"/>
    <w:rsid w:val="004E35CE"/>
    <w:rsid w:val="004E6841"/>
    <w:rsid w:val="004E760B"/>
    <w:rsid w:val="004F0079"/>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40A1"/>
    <w:rsid w:val="005173B0"/>
    <w:rsid w:val="00521184"/>
    <w:rsid w:val="00526671"/>
    <w:rsid w:val="00530B9D"/>
    <w:rsid w:val="00530BC3"/>
    <w:rsid w:val="00531550"/>
    <w:rsid w:val="0053277A"/>
    <w:rsid w:val="00533839"/>
    <w:rsid w:val="0053497E"/>
    <w:rsid w:val="005355FC"/>
    <w:rsid w:val="00536579"/>
    <w:rsid w:val="00536BBF"/>
    <w:rsid w:val="00537CD7"/>
    <w:rsid w:val="005411B5"/>
    <w:rsid w:val="00541D93"/>
    <w:rsid w:val="00543F21"/>
    <w:rsid w:val="00544318"/>
    <w:rsid w:val="005443EB"/>
    <w:rsid w:val="00545344"/>
    <w:rsid w:val="005465C2"/>
    <w:rsid w:val="00547C23"/>
    <w:rsid w:val="00550CD6"/>
    <w:rsid w:val="0055150E"/>
    <w:rsid w:val="005543F1"/>
    <w:rsid w:val="00554723"/>
    <w:rsid w:val="0055573D"/>
    <w:rsid w:val="00555DE5"/>
    <w:rsid w:val="00560B7B"/>
    <w:rsid w:val="00561A5A"/>
    <w:rsid w:val="005633F3"/>
    <w:rsid w:val="005658C9"/>
    <w:rsid w:val="005755D1"/>
    <w:rsid w:val="00580A5C"/>
    <w:rsid w:val="0058191C"/>
    <w:rsid w:val="00581D6A"/>
    <w:rsid w:val="005876FC"/>
    <w:rsid w:val="0059056B"/>
    <w:rsid w:val="00591B49"/>
    <w:rsid w:val="0059356D"/>
    <w:rsid w:val="00594A91"/>
    <w:rsid w:val="005970A7"/>
    <w:rsid w:val="005A1457"/>
    <w:rsid w:val="005A1EDA"/>
    <w:rsid w:val="005A26F2"/>
    <w:rsid w:val="005A2FBD"/>
    <w:rsid w:val="005A4593"/>
    <w:rsid w:val="005A53C1"/>
    <w:rsid w:val="005A5B25"/>
    <w:rsid w:val="005A5C2E"/>
    <w:rsid w:val="005B236C"/>
    <w:rsid w:val="005B4D00"/>
    <w:rsid w:val="005B4EB2"/>
    <w:rsid w:val="005C0F43"/>
    <w:rsid w:val="005C1B88"/>
    <w:rsid w:val="005C5D26"/>
    <w:rsid w:val="005C6609"/>
    <w:rsid w:val="005D4820"/>
    <w:rsid w:val="005D5B49"/>
    <w:rsid w:val="005D6496"/>
    <w:rsid w:val="005D6A27"/>
    <w:rsid w:val="005D7D35"/>
    <w:rsid w:val="005E05A5"/>
    <w:rsid w:val="005E0600"/>
    <w:rsid w:val="005E0636"/>
    <w:rsid w:val="005E1DCC"/>
    <w:rsid w:val="005E1E6C"/>
    <w:rsid w:val="005E1F3C"/>
    <w:rsid w:val="005E2BF5"/>
    <w:rsid w:val="005E344D"/>
    <w:rsid w:val="005E70DF"/>
    <w:rsid w:val="005F0412"/>
    <w:rsid w:val="005F0F25"/>
    <w:rsid w:val="005F0FC0"/>
    <w:rsid w:val="005F24D8"/>
    <w:rsid w:val="005F5073"/>
    <w:rsid w:val="005F6043"/>
    <w:rsid w:val="006026D7"/>
    <w:rsid w:val="00603347"/>
    <w:rsid w:val="00604BA9"/>
    <w:rsid w:val="00606026"/>
    <w:rsid w:val="0060615A"/>
    <w:rsid w:val="00607A44"/>
    <w:rsid w:val="00610692"/>
    <w:rsid w:val="00610DA7"/>
    <w:rsid w:val="00611348"/>
    <w:rsid w:val="006136ED"/>
    <w:rsid w:val="006149BA"/>
    <w:rsid w:val="00617BE8"/>
    <w:rsid w:val="00617F9F"/>
    <w:rsid w:val="006208E7"/>
    <w:rsid w:val="00621CB3"/>
    <w:rsid w:val="00622196"/>
    <w:rsid w:val="00624BC4"/>
    <w:rsid w:val="00630145"/>
    <w:rsid w:val="006310D7"/>
    <w:rsid w:val="006315A8"/>
    <w:rsid w:val="00637BBF"/>
    <w:rsid w:val="00637D27"/>
    <w:rsid w:val="00637D82"/>
    <w:rsid w:val="00640106"/>
    <w:rsid w:val="00641D09"/>
    <w:rsid w:val="00644C25"/>
    <w:rsid w:val="0064661F"/>
    <w:rsid w:val="0064773D"/>
    <w:rsid w:val="0064798C"/>
    <w:rsid w:val="00650B0F"/>
    <w:rsid w:val="00652AAD"/>
    <w:rsid w:val="00654590"/>
    <w:rsid w:val="00654F20"/>
    <w:rsid w:val="0065550D"/>
    <w:rsid w:val="006634E1"/>
    <w:rsid w:val="006639A1"/>
    <w:rsid w:val="00674103"/>
    <w:rsid w:val="00674AEB"/>
    <w:rsid w:val="00675CB6"/>
    <w:rsid w:val="006775D3"/>
    <w:rsid w:val="006800B3"/>
    <w:rsid w:val="00681310"/>
    <w:rsid w:val="00681474"/>
    <w:rsid w:val="00681F63"/>
    <w:rsid w:val="00686268"/>
    <w:rsid w:val="00687D54"/>
    <w:rsid w:val="00690A11"/>
    <w:rsid w:val="00692118"/>
    <w:rsid w:val="00692532"/>
    <w:rsid w:val="00695C7D"/>
    <w:rsid w:val="0069742F"/>
    <w:rsid w:val="006A0A03"/>
    <w:rsid w:val="006A2470"/>
    <w:rsid w:val="006A2D38"/>
    <w:rsid w:val="006A7E6C"/>
    <w:rsid w:val="006B3409"/>
    <w:rsid w:val="006B56A9"/>
    <w:rsid w:val="006B6815"/>
    <w:rsid w:val="006B6950"/>
    <w:rsid w:val="006C1BEB"/>
    <w:rsid w:val="006C3189"/>
    <w:rsid w:val="006C6684"/>
    <w:rsid w:val="006C6BCF"/>
    <w:rsid w:val="006C6E81"/>
    <w:rsid w:val="006D219E"/>
    <w:rsid w:val="006D26B5"/>
    <w:rsid w:val="006D2DEE"/>
    <w:rsid w:val="006D420A"/>
    <w:rsid w:val="006D553C"/>
    <w:rsid w:val="006D6908"/>
    <w:rsid w:val="006D6B22"/>
    <w:rsid w:val="006E4344"/>
    <w:rsid w:val="006E5D45"/>
    <w:rsid w:val="006E6123"/>
    <w:rsid w:val="006E6358"/>
    <w:rsid w:val="006E69C1"/>
    <w:rsid w:val="006F42F8"/>
    <w:rsid w:val="006F53B5"/>
    <w:rsid w:val="006F6D69"/>
    <w:rsid w:val="006F7462"/>
    <w:rsid w:val="00700132"/>
    <w:rsid w:val="00702F53"/>
    <w:rsid w:val="00703E29"/>
    <w:rsid w:val="0070411A"/>
    <w:rsid w:val="00704EED"/>
    <w:rsid w:val="00707527"/>
    <w:rsid w:val="0071102F"/>
    <w:rsid w:val="00713304"/>
    <w:rsid w:val="007138A7"/>
    <w:rsid w:val="007138E6"/>
    <w:rsid w:val="00715DED"/>
    <w:rsid w:val="0072567D"/>
    <w:rsid w:val="007258B1"/>
    <w:rsid w:val="00726A8F"/>
    <w:rsid w:val="00730012"/>
    <w:rsid w:val="007303A5"/>
    <w:rsid w:val="007313FD"/>
    <w:rsid w:val="00732219"/>
    <w:rsid w:val="007324A9"/>
    <w:rsid w:val="0073307C"/>
    <w:rsid w:val="007360F2"/>
    <w:rsid w:val="00740988"/>
    <w:rsid w:val="00740AA9"/>
    <w:rsid w:val="00742BAB"/>
    <w:rsid w:val="0074531C"/>
    <w:rsid w:val="007456C7"/>
    <w:rsid w:val="007475E2"/>
    <w:rsid w:val="0075159E"/>
    <w:rsid w:val="00751CB0"/>
    <w:rsid w:val="007530BA"/>
    <w:rsid w:val="00754B42"/>
    <w:rsid w:val="0075511E"/>
    <w:rsid w:val="00755AB7"/>
    <w:rsid w:val="00760C74"/>
    <w:rsid w:val="00764B52"/>
    <w:rsid w:val="00765194"/>
    <w:rsid w:val="007664EE"/>
    <w:rsid w:val="00766608"/>
    <w:rsid w:val="007672B9"/>
    <w:rsid w:val="0077016A"/>
    <w:rsid w:val="00770224"/>
    <w:rsid w:val="007755A3"/>
    <w:rsid w:val="00783EEA"/>
    <w:rsid w:val="00783FAF"/>
    <w:rsid w:val="00792C7B"/>
    <w:rsid w:val="007951BF"/>
    <w:rsid w:val="0079698F"/>
    <w:rsid w:val="007A02EA"/>
    <w:rsid w:val="007A1462"/>
    <w:rsid w:val="007A1765"/>
    <w:rsid w:val="007A1EA2"/>
    <w:rsid w:val="007A4620"/>
    <w:rsid w:val="007A4CF8"/>
    <w:rsid w:val="007A580E"/>
    <w:rsid w:val="007A5EEB"/>
    <w:rsid w:val="007A63DB"/>
    <w:rsid w:val="007B0851"/>
    <w:rsid w:val="007B1BBD"/>
    <w:rsid w:val="007B2222"/>
    <w:rsid w:val="007B40F7"/>
    <w:rsid w:val="007B54AA"/>
    <w:rsid w:val="007C0558"/>
    <w:rsid w:val="007C0A48"/>
    <w:rsid w:val="007C270D"/>
    <w:rsid w:val="007C28AA"/>
    <w:rsid w:val="007C2908"/>
    <w:rsid w:val="007C3027"/>
    <w:rsid w:val="007C30A7"/>
    <w:rsid w:val="007C3493"/>
    <w:rsid w:val="007C4C7C"/>
    <w:rsid w:val="007C4D82"/>
    <w:rsid w:val="007C5260"/>
    <w:rsid w:val="007D43E7"/>
    <w:rsid w:val="007D6893"/>
    <w:rsid w:val="007E01D7"/>
    <w:rsid w:val="007E26F1"/>
    <w:rsid w:val="007E5D35"/>
    <w:rsid w:val="007F1A07"/>
    <w:rsid w:val="007F23D2"/>
    <w:rsid w:val="007F2DFB"/>
    <w:rsid w:val="007F2F92"/>
    <w:rsid w:val="007F3AEE"/>
    <w:rsid w:val="007F4653"/>
    <w:rsid w:val="007F471F"/>
    <w:rsid w:val="00800893"/>
    <w:rsid w:val="00801DB9"/>
    <w:rsid w:val="00801EFA"/>
    <w:rsid w:val="00803176"/>
    <w:rsid w:val="008037AC"/>
    <w:rsid w:val="00806033"/>
    <w:rsid w:val="00806E59"/>
    <w:rsid w:val="008073A7"/>
    <w:rsid w:val="00807B57"/>
    <w:rsid w:val="00810BF8"/>
    <w:rsid w:val="0081243A"/>
    <w:rsid w:val="00813917"/>
    <w:rsid w:val="00813F09"/>
    <w:rsid w:val="00814CAB"/>
    <w:rsid w:val="0081586E"/>
    <w:rsid w:val="00816032"/>
    <w:rsid w:val="00817481"/>
    <w:rsid w:val="00820210"/>
    <w:rsid w:val="00820C09"/>
    <w:rsid w:val="00821EE5"/>
    <w:rsid w:val="008222E6"/>
    <w:rsid w:val="008224C8"/>
    <w:rsid w:val="00822AA8"/>
    <w:rsid w:val="00823B30"/>
    <w:rsid w:val="008240B5"/>
    <w:rsid w:val="0082448C"/>
    <w:rsid w:val="00824D3A"/>
    <w:rsid w:val="008264FB"/>
    <w:rsid w:val="0083010A"/>
    <w:rsid w:val="00831FC0"/>
    <w:rsid w:val="008328FA"/>
    <w:rsid w:val="0083307E"/>
    <w:rsid w:val="0083648C"/>
    <w:rsid w:val="008367F5"/>
    <w:rsid w:val="008442E4"/>
    <w:rsid w:val="00846D95"/>
    <w:rsid w:val="008531D2"/>
    <w:rsid w:val="008573C5"/>
    <w:rsid w:val="00861AE5"/>
    <w:rsid w:val="00862B46"/>
    <w:rsid w:val="00862EC3"/>
    <w:rsid w:val="00865F95"/>
    <w:rsid w:val="0087074B"/>
    <w:rsid w:val="00871507"/>
    <w:rsid w:val="0087601E"/>
    <w:rsid w:val="00876218"/>
    <w:rsid w:val="00876CAD"/>
    <w:rsid w:val="008804AB"/>
    <w:rsid w:val="00882C4D"/>
    <w:rsid w:val="0088305F"/>
    <w:rsid w:val="00884BEA"/>
    <w:rsid w:val="0088525E"/>
    <w:rsid w:val="00885291"/>
    <w:rsid w:val="0088596B"/>
    <w:rsid w:val="00885AAB"/>
    <w:rsid w:val="00890879"/>
    <w:rsid w:val="00895C85"/>
    <w:rsid w:val="00895E83"/>
    <w:rsid w:val="008A2795"/>
    <w:rsid w:val="008A2A43"/>
    <w:rsid w:val="008A402C"/>
    <w:rsid w:val="008A5DB4"/>
    <w:rsid w:val="008A5F7E"/>
    <w:rsid w:val="008A6969"/>
    <w:rsid w:val="008A7D7C"/>
    <w:rsid w:val="008B379F"/>
    <w:rsid w:val="008B3809"/>
    <w:rsid w:val="008B5D12"/>
    <w:rsid w:val="008B74D6"/>
    <w:rsid w:val="008C1E16"/>
    <w:rsid w:val="008C2F86"/>
    <w:rsid w:val="008C307D"/>
    <w:rsid w:val="008C441C"/>
    <w:rsid w:val="008C4C7B"/>
    <w:rsid w:val="008C5451"/>
    <w:rsid w:val="008C5DB8"/>
    <w:rsid w:val="008C6594"/>
    <w:rsid w:val="008C6A69"/>
    <w:rsid w:val="008C6EF5"/>
    <w:rsid w:val="008C7C1D"/>
    <w:rsid w:val="008D068D"/>
    <w:rsid w:val="008D0764"/>
    <w:rsid w:val="008D19A4"/>
    <w:rsid w:val="008D27ED"/>
    <w:rsid w:val="008D3A24"/>
    <w:rsid w:val="008D75D1"/>
    <w:rsid w:val="008E2909"/>
    <w:rsid w:val="008E371A"/>
    <w:rsid w:val="008E4F0C"/>
    <w:rsid w:val="008E596B"/>
    <w:rsid w:val="008E60C6"/>
    <w:rsid w:val="008F054A"/>
    <w:rsid w:val="008F15CA"/>
    <w:rsid w:val="008F2ACB"/>
    <w:rsid w:val="008F3D66"/>
    <w:rsid w:val="008F7EB1"/>
    <w:rsid w:val="009003F6"/>
    <w:rsid w:val="00902240"/>
    <w:rsid w:val="00904E4D"/>
    <w:rsid w:val="00913296"/>
    <w:rsid w:val="009154D9"/>
    <w:rsid w:val="00915C92"/>
    <w:rsid w:val="0091623C"/>
    <w:rsid w:val="00916FD9"/>
    <w:rsid w:val="009178E3"/>
    <w:rsid w:val="00921DA4"/>
    <w:rsid w:val="00926436"/>
    <w:rsid w:val="009278A1"/>
    <w:rsid w:val="00927CC9"/>
    <w:rsid w:val="009306FE"/>
    <w:rsid w:val="00930785"/>
    <w:rsid w:val="00930E04"/>
    <w:rsid w:val="00931325"/>
    <w:rsid w:val="0093179D"/>
    <w:rsid w:val="00932D84"/>
    <w:rsid w:val="00933ABB"/>
    <w:rsid w:val="00933BFC"/>
    <w:rsid w:val="00937A57"/>
    <w:rsid w:val="00941234"/>
    <w:rsid w:val="0094186D"/>
    <w:rsid w:val="00942575"/>
    <w:rsid w:val="0094357B"/>
    <w:rsid w:val="00945D56"/>
    <w:rsid w:val="00946D24"/>
    <w:rsid w:val="00947BA6"/>
    <w:rsid w:val="00947FFA"/>
    <w:rsid w:val="00950AAF"/>
    <w:rsid w:val="00951D84"/>
    <w:rsid w:val="00953922"/>
    <w:rsid w:val="009540D5"/>
    <w:rsid w:val="0095546D"/>
    <w:rsid w:val="00955841"/>
    <w:rsid w:val="0095624A"/>
    <w:rsid w:val="00957DA0"/>
    <w:rsid w:val="00961884"/>
    <w:rsid w:val="009628E8"/>
    <w:rsid w:val="00966207"/>
    <w:rsid w:val="00966C93"/>
    <w:rsid w:val="00966D57"/>
    <w:rsid w:val="00966F07"/>
    <w:rsid w:val="00967711"/>
    <w:rsid w:val="00967785"/>
    <w:rsid w:val="009704A2"/>
    <w:rsid w:val="00970E60"/>
    <w:rsid w:val="009717F8"/>
    <w:rsid w:val="00971E03"/>
    <w:rsid w:val="009722CB"/>
    <w:rsid w:val="00974212"/>
    <w:rsid w:val="0097707A"/>
    <w:rsid w:val="00977AB9"/>
    <w:rsid w:val="00977C25"/>
    <w:rsid w:val="009828C4"/>
    <w:rsid w:val="00983F0D"/>
    <w:rsid w:val="0099345F"/>
    <w:rsid w:val="00997254"/>
    <w:rsid w:val="009A1B98"/>
    <w:rsid w:val="009A240C"/>
    <w:rsid w:val="009A3BF1"/>
    <w:rsid w:val="009A5C7D"/>
    <w:rsid w:val="009A5DAF"/>
    <w:rsid w:val="009A673F"/>
    <w:rsid w:val="009A6874"/>
    <w:rsid w:val="009A7601"/>
    <w:rsid w:val="009B026F"/>
    <w:rsid w:val="009B1286"/>
    <w:rsid w:val="009B1293"/>
    <w:rsid w:val="009B3ABD"/>
    <w:rsid w:val="009B7AEF"/>
    <w:rsid w:val="009C16F8"/>
    <w:rsid w:val="009D3111"/>
    <w:rsid w:val="009D334A"/>
    <w:rsid w:val="009D6FBE"/>
    <w:rsid w:val="009E13E0"/>
    <w:rsid w:val="009E1B59"/>
    <w:rsid w:val="009E2422"/>
    <w:rsid w:val="009E3118"/>
    <w:rsid w:val="009E3815"/>
    <w:rsid w:val="009E3C2D"/>
    <w:rsid w:val="009E3F9D"/>
    <w:rsid w:val="009E714A"/>
    <w:rsid w:val="009F0C0E"/>
    <w:rsid w:val="009F0CC1"/>
    <w:rsid w:val="009F0D77"/>
    <w:rsid w:val="009F1A88"/>
    <w:rsid w:val="009F36BE"/>
    <w:rsid w:val="009F3885"/>
    <w:rsid w:val="009F3DA9"/>
    <w:rsid w:val="009F43ED"/>
    <w:rsid w:val="009F505D"/>
    <w:rsid w:val="009F5743"/>
    <w:rsid w:val="009F5C91"/>
    <w:rsid w:val="009F61D8"/>
    <w:rsid w:val="00A00EF8"/>
    <w:rsid w:val="00A056CC"/>
    <w:rsid w:val="00A06C7A"/>
    <w:rsid w:val="00A10C5C"/>
    <w:rsid w:val="00A11286"/>
    <w:rsid w:val="00A11394"/>
    <w:rsid w:val="00A203AC"/>
    <w:rsid w:val="00A20428"/>
    <w:rsid w:val="00A2244E"/>
    <w:rsid w:val="00A23612"/>
    <w:rsid w:val="00A23A2C"/>
    <w:rsid w:val="00A24451"/>
    <w:rsid w:val="00A25B82"/>
    <w:rsid w:val="00A3014C"/>
    <w:rsid w:val="00A304A8"/>
    <w:rsid w:val="00A31830"/>
    <w:rsid w:val="00A327AA"/>
    <w:rsid w:val="00A35B61"/>
    <w:rsid w:val="00A3732D"/>
    <w:rsid w:val="00A409D2"/>
    <w:rsid w:val="00A4105C"/>
    <w:rsid w:val="00A41507"/>
    <w:rsid w:val="00A41B30"/>
    <w:rsid w:val="00A41D14"/>
    <w:rsid w:val="00A4206C"/>
    <w:rsid w:val="00A43302"/>
    <w:rsid w:val="00A455B0"/>
    <w:rsid w:val="00A473BE"/>
    <w:rsid w:val="00A47ADF"/>
    <w:rsid w:val="00A47FE3"/>
    <w:rsid w:val="00A51842"/>
    <w:rsid w:val="00A52454"/>
    <w:rsid w:val="00A52A9E"/>
    <w:rsid w:val="00A530BC"/>
    <w:rsid w:val="00A5444C"/>
    <w:rsid w:val="00A5503D"/>
    <w:rsid w:val="00A62093"/>
    <w:rsid w:val="00A625EC"/>
    <w:rsid w:val="00A627A0"/>
    <w:rsid w:val="00A65B1E"/>
    <w:rsid w:val="00A670B9"/>
    <w:rsid w:val="00A72546"/>
    <w:rsid w:val="00A74559"/>
    <w:rsid w:val="00A7526A"/>
    <w:rsid w:val="00A75709"/>
    <w:rsid w:val="00A76332"/>
    <w:rsid w:val="00A8232E"/>
    <w:rsid w:val="00A84995"/>
    <w:rsid w:val="00A85E4A"/>
    <w:rsid w:val="00A86143"/>
    <w:rsid w:val="00A86B82"/>
    <w:rsid w:val="00A87A5F"/>
    <w:rsid w:val="00A94E63"/>
    <w:rsid w:val="00A964BD"/>
    <w:rsid w:val="00A97182"/>
    <w:rsid w:val="00A979DD"/>
    <w:rsid w:val="00AA1C47"/>
    <w:rsid w:val="00AA3C83"/>
    <w:rsid w:val="00AA5E72"/>
    <w:rsid w:val="00AA6069"/>
    <w:rsid w:val="00AA7102"/>
    <w:rsid w:val="00AB02F5"/>
    <w:rsid w:val="00AB0831"/>
    <w:rsid w:val="00AB1F2F"/>
    <w:rsid w:val="00AB4698"/>
    <w:rsid w:val="00AB6B5F"/>
    <w:rsid w:val="00AC0223"/>
    <w:rsid w:val="00AC0EEE"/>
    <w:rsid w:val="00AC14B1"/>
    <w:rsid w:val="00AC4F9E"/>
    <w:rsid w:val="00AD1B3E"/>
    <w:rsid w:val="00AD1D01"/>
    <w:rsid w:val="00AD2B2A"/>
    <w:rsid w:val="00AD3133"/>
    <w:rsid w:val="00AD3237"/>
    <w:rsid w:val="00AD5304"/>
    <w:rsid w:val="00AD589B"/>
    <w:rsid w:val="00AD70C1"/>
    <w:rsid w:val="00AE16B6"/>
    <w:rsid w:val="00AE24BF"/>
    <w:rsid w:val="00AE3152"/>
    <w:rsid w:val="00AE34ED"/>
    <w:rsid w:val="00AE7837"/>
    <w:rsid w:val="00AF1BCF"/>
    <w:rsid w:val="00AF3530"/>
    <w:rsid w:val="00AF519C"/>
    <w:rsid w:val="00AF6BD7"/>
    <w:rsid w:val="00AF78B6"/>
    <w:rsid w:val="00B00964"/>
    <w:rsid w:val="00B0118B"/>
    <w:rsid w:val="00B02A59"/>
    <w:rsid w:val="00B03079"/>
    <w:rsid w:val="00B03C06"/>
    <w:rsid w:val="00B079F8"/>
    <w:rsid w:val="00B1112F"/>
    <w:rsid w:val="00B12B9F"/>
    <w:rsid w:val="00B16B54"/>
    <w:rsid w:val="00B21775"/>
    <w:rsid w:val="00B220C8"/>
    <w:rsid w:val="00B22974"/>
    <w:rsid w:val="00B232A4"/>
    <w:rsid w:val="00B2503F"/>
    <w:rsid w:val="00B25514"/>
    <w:rsid w:val="00B25E55"/>
    <w:rsid w:val="00B27668"/>
    <w:rsid w:val="00B30E28"/>
    <w:rsid w:val="00B36AB9"/>
    <w:rsid w:val="00B413F2"/>
    <w:rsid w:val="00B423B7"/>
    <w:rsid w:val="00B46BAB"/>
    <w:rsid w:val="00B47398"/>
    <w:rsid w:val="00B47730"/>
    <w:rsid w:val="00B47C6F"/>
    <w:rsid w:val="00B47D6F"/>
    <w:rsid w:val="00B47F45"/>
    <w:rsid w:val="00B50D6B"/>
    <w:rsid w:val="00B523BF"/>
    <w:rsid w:val="00B5278E"/>
    <w:rsid w:val="00B53683"/>
    <w:rsid w:val="00B53A02"/>
    <w:rsid w:val="00B555DE"/>
    <w:rsid w:val="00B6051E"/>
    <w:rsid w:val="00B70394"/>
    <w:rsid w:val="00B72F06"/>
    <w:rsid w:val="00B73783"/>
    <w:rsid w:val="00B737E2"/>
    <w:rsid w:val="00B73C2D"/>
    <w:rsid w:val="00B76C1C"/>
    <w:rsid w:val="00B82274"/>
    <w:rsid w:val="00B82B7A"/>
    <w:rsid w:val="00B82C84"/>
    <w:rsid w:val="00B84BB2"/>
    <w:rsid w:val="00B85437"/>
    <w:rsid w:val="00B87F35"/>
    <w:rsid w:val="00B92AE3"/>
    <w:rsid w:val="00B95321"/>
    <w:rsid w:val="00B95C1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2FFC"/>
    <w:rsid w:val="00BB496A"/>
    <w:rsid w:val="00BB6105"/>
    <w:rsid w:val="00BB76A0"/>
    <w:rsid w:val="00BB7816"/>
    <w:rsid w:val="00BC1B15"/>
    <w:rsid w:val="00BC2958"/>
    <w:rsid w:val="00BC33E9"/>
    <w:rsid w:val="00BC4521"/>
    <w:rsid w:val="00BC5DE4"/>
    <w:rsid w:val="00BC7D3B"/>
    <w:rsid w:val="00BD129B"/>
    <w:rsid w:val="00BD13D3"/>
    <w:rsid w:val="00BD13DC"/>
    <w:rsid w:val="00BD27AB"/>
    <w:rsid w:val="00BD42DE"/>
    <w:rsid w:val="00BD4E92"/>
    <w:rsid w:val="00BD5079"/>
    <w:rsid w:val="00BD574A"/>
    <w:rsid w:val="00BD5E7C"/>
    <w:rsid w:val="00BE14A3"/>
    <w:rsid w:val="00BE17F4"/>
    <w:rsid w:val="00BE1AF3"/>
    <w:rsid w:val="00BE22B3"/>
    <w:rsid w:val="00BE422C"/>
    <w:rsid w:val="00BE614C"/>
    <w:rsid w:val="00BE67AE"/>
    <w:rsid w:val="00BE6B18"/>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6BF"/>
    <w:rsid w:val="00C17AE0"/>
    <w:rsid w:val="00C3028C"/>
    <w:rsid w:val="00C30D11"/>
    <w:rsid w:val="00C31861"/>
    <w:rsid w:val="00C3330C"/>
    <w:rsid w:val="00C356F5"/>
    <w:rsid w:val="00C3656A"/>
    <w:rsid w:val="00C36CB8"/>
    <w:rsid w:val="00C415DA"/>
    <w:rsid w:val="00C446BC"/>
    <w:rsid w:val="00C448F8"/>
    <w:rsid w:val="00C44970"/>
    <w:rsid w:val="00C44CAA"/>
    <w:rsid w:val="00C455D0"/>
    <w:rsid w:val="00C4655E"/>
    <w:rsid w:val="00C47C71"/>
    <w:rsid w:val="00C50EFF"/>
    <w:rsid w:val="00C52357"/>
    <w:rsid w:val="00C525BD"/>
    <w:rsid w:val="00C52D17"/>
    <w:rsid w:val="00C53580"/>
    <w:rsid w:val="00C5565E"/>
    <w:rsid w:val="00C5731A"/>
    <w:rsid w:val="00C57A49"/>
    <w:rsid w:val="00C6058E"/>
    <w:rsid w:val="00C60C47"/>
    <w:rsid w:val="00C6371D"/>
    <w:rsid w:val="00C6533B"/>
    <w:rsid w:val="00C65853"/>
    <w:rsid w:val="00C65A02"/>
    <w:rsid w:val="00C67A0D"/>
    <w:rsid w:val="00C72929"/>
    <w:rsid w:val="00C73B95"/>
    <w:rsid w:val="00C740AB"/>
    <w:rsid w:val="00C742FA"/>
    <w:rsid w:val="00C7509C"/>
    <w:rsid w:val="00C76965"/>
    <w:rsid w:val="00C76AE5"/>
    <w:rsid w:val="00C81131"/>
    <w:rsid w:val="00C81E8F"/>
    <w:rsid w:val="00C823B5"/>
    <w:rsid w:val="00C823BD"/>
    <w:rsid w:val="00C823C0"/>
    <w:rsid w:val="00C828D4"/>
    <w:rsid w:val="00C82ADF"/>
    <w:rsid w:val="00C85898"/>
    <w:rsid w:val="00C85B23"/>
    <w:rsid w:val="00C85DFC"/>
    <w:rsid w:val="00C87D04"/>
    <w:rsid w:val="00C87EFC"/>
    <w:rsid w:val="00C914B2"/>
    <w:rsid w:val="00C93E0F"/>
    <w:rsid w:val="00C96AA0"/>
    <w:rsid w:val="00C96B4E"/>
    <w:rsid w:val="00C9754C"/>
    <w:rsid w:val="00CA0CE1"/>
    <w:rsid w:val="00CA1153"/>
    <w:rsid w:val="00CA40B0"/>
    <w:rsid w:val="00CA5963"/>
    <w:rsid w:val="00CA5F3C"/>
    <w:rsid w:val="00CA5FB8"/>
    <w:rsid w:val="00CA6285"/>
    <w:rsid w:val="00CA62D8"/>
    <w:rsid w:val="00CB23BD"/>
    <w:rsid w:val="00CB3998"/>
    <w:rsid w:val="00CB5618"/>
    <w:rsid w:val="00CB577A"/>
    <w:rsid w:val="00CC290D"/>
    <w:rsid w:val="00CC483E"/>
    <w:rsid w:val="00CC5D70"/>
    <w:rsid w:val="00CD0519"/>
    <w:rsid w:val="00CD09B1"/>
    <w:rsid w:val="00CD2075"/>
    <w:rsid w:val="00CD3E21"/>
    <w:rsid w:val="00CD4E82"/>
    <w:rsid w:val="00CD5F14"/>
    <w:rsid w:val="00CD6A04"/>
    <w:rsid w:val="00CE374C"/>
    <w:rsid w:val="00CE4A6D"/>
    <w:rsid w:val="00CE5795"/>
    <w:rsid w:val="00CE63C1"/>
    <w:rsid w:val="00CF1E4D"/>
    <w:rsid w:val="00CF2A56"/>
    <w:rsid w:val="00CF44E4"/>
    <w:rsid w:val="00CF46A3"/>
    <w:rsid w:val="00CF5FE7"/>
    <w:rsid w:val="00D07067"/>
    <w:rsid w:val="00D075AA"/>
    <w:rsid w:val="00D10370"/>
    <w:rsid w:val="00D11861"/>
    <w:rsid w:val="00D11D57"/>
    <w:rsid w:val="00D13748"/>
    <w:rsid w:val="00D15067"/>
    <w:rsid w:val="00D16C7C"/>
    <w:rsid w:val="00D16E03"/>
    <w:rsid w:val="00D200F8"/>
    <w:rsid w:val="00D208E9"/>
    <w:rsid w:val="00D2146D"/>
    <w:rsid w:val="00D234C0"/>
    <w:rsid w:val="00D23EC6"/>
    <w:rsid w:val="00D2601F"/>
    <w:rsid w:val="00D27CC0"/>
    <w:rsid w:val="00D30E41"/>
    <w:rsid w:val="00D31534"/>
    <w:rsid w:val="00D32EF8"/>
    <w:rsid w:val="00D338A7"/>
    <w:rsid w:val="00D35734"/>
    <w:rsid w:val="00D35A83"/>
    <w:rsid w:val="00D40975"/>
    <w:rsid w:val="00D40E5E"/>
    <w:rsid w:val="00D41A97"/>
    <w:rsid w:val="00D42DF0"/>
    <w:rsid w:val="00D432B7"/>
    <w:rsid w:val="00D47561"/>
    <w:rsid w:val="00D526AB"/>
    <w:rsid w:val="00D56390"/>
    <w:rsid w:val="00D564D7"/>
    <w:rsid w:val="00D5664C"/>
    <w:rsid w:val="00D578DE"/>
    <w:rsid w:val="00D605E6"/>
    <w:rsid w:val="00D62577"/>
    <w:rsid w:val="00D62CAD"/>
    <w:rsid w:val="00D6300E"/>
    <w:rsid w:val="00D65C70"/>
    <w:rsid w:val="00D662D3"/>
    <w:rsid w:val="00D6663F"/>
    <w:rsid w:val="00D6718D"/>
    <w:rsid w:val="00D67AAC"/>
    <w:rsid w:val="00D70021"/>
    <w:rsid w:val="00D70156"/>
    <w:rsid w:val="00D72C3E"/>
    <w:rsid w:val="00D72E1C"/>
    <w:rsid w:val="00D74508"/>
    <w:rsid w:val="00D75432"/>
    <w:rsid w:val="00D776E0"/>
    <w:rsid w:val="00D81B90"/>
    <w:rsid w:val="00D83B77"/>
    <w:rsid w:val="00D83E3D"/>
    <w:rsid w:val="00D84631"/>
    <w:rsid w:val="00D87D4E"/>
    <w:rsid w:val="00D9330E"/>
    <w:rsid w:val="00D96F13"/>
    <w:rsid w:val="00D97EEB"/>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BD7"/>
    <w:rsid w:val="00DC678B"/>
    <w:rsid w:val="00DD0F39"/>
    <w:rsid w:val="00DD1C1A"/>
    <w:rsid w:val="00DD1D73"/>
    <w:rsid w:val="00DD24C7"/>
    <w:rsid w:val="00DD2C71"/>
    <w:rsid w:val="00DD402D"/>
    <w:rsid w:val="00DD5114"/>
    <w:rsid w:val="00DD63D0"/>
    <w:rsid w:val="00DD6882"/>
    <w:rsid w:val="00DE1E8E"/>
    <w:rsid w:val="00DE4050"/>
    <w:rsid w:val="00DE4B6B"/>
    <w:rsid w:val="00DE6293"/>
    <w:rsid w:val="00DE6C13"/>
    <w:rsid w:val="00DE71AD"/>
    <w:rsid w:val="00DF0B58"/>
    <w:rsid w:val="00DF13E9"/>
    <w:rsid w:val="00DF3259"/>
    <w:rsid w:val="00DF3935"/>
    <w:rsid w:val="00DF5923"/>
    <w:rsid w:val="00E00586"/>
    <w:rsid w:val="00E03013"/>
    <w:rsid w:val="00E05768"/>
    <w:rsid w:val="00E06E01"/>
    <w:rsid w:val="00E07261"/>
    <w:rsid w:val="00E163F5"/>
    <w:rsid w:val="00E16CF4"/>
    <w:rsid w:val="00E17AAA"/>
    <w:rsid w:val="00E17F8B"/>
    <w:rsid w:val="00E2023C"/>
    <w:rsid w:val="00E254DE"/>
    <w:rsid w:val="00E279C7"/>
    <w:rsid w:val="00E27F47"/>
    <w:rsid w:val="00E337B2"/>
    <w:rsid w:val="00E36046"/>
    <w:rsid w:val="00E368C1"/>
    <w:rsid w:val="00E42686"/>
    <w:rsid w:val="00E45713"/>
    <w:rsid w:val="00E479A0"/>
    <w:rsid w:val="00E5141A"/>
    <w:rsid w:val="00E525EF"/>
    <w:rsid w:val="00E52B61"/>
    <w:rsid w:val="00E542ED"/>
    <w:rsid w:val="00E551C4"/>
    <w:rsid w:val="00E5608B"/>
    <w:rsid w:val="00E564F8"/>
    <w:rsid w:val="00E57237"/>
    <w:rsid w:val="00E57487"/>
    <w:rsid w:val="00E5797A"/>
    <w:rsid w:val="00E6298D"/>
    <w:rsid w:val="00E641C3"/>
    <w:rsid w:val="00E64429"/>
    <w:rsid w:val="00E65054"/>
    <w:rsid w:val="00E6534B"/>
    <w:rsid w:val="00E66780"/>
    <w:rsid w:val="00E6678D"/>
    <w:rsid w:val="00E705B8"/>
    <w:rsid w:val="00E711DA"/>
    <w:rsid w:val="00E7715F"/>
    <w:rsid w:val="00E773DC"/>
    <w:rsid w:val="00E810AC"/>
    <w:rsid w:val="00E828AC"/>
    <w:rsid w:val="00E87A46"/>
    <w:rsid w:val="00E87CC3"/>
    <w:rsid w:val="00E91098"/>
    <w:rsid w:val="00E9210B"/>
    <w:rsid w:val="00E94DD4"/>
    <w:rsid w:val="00EA3AE2"/>
    <w:rsid w:val="00EA4CD3"/>
    <w:rsid w:val="00EA4FFB"/>
    <w:rsid w:val="00EA6164"/>
    <w:rsid w:val="00EA7A01"/>
    <w:rsid w:val="00EA7CCD"/>
    <w:rsid w:val="00EB154B"/>
    <w:rsid w:val="00EB234D"/>
    <w:rsid w:val="00EB51F0"/>
    <w:rsid w:val="00EB5C44"/>
    <w:rsid w:val="00EB5FE0"/>
    <w:rsid w:val="00EC0C39"/>
    <w:rsid w:val="00EC185B"/>
    <w:rsid w:val="00EC428E"/>
    <w:rsid w:val="00EC50AD"/>
    <w:rsid w:val="00ED0449"/>
    <w:rsid w:val="00ED1087"/>
    <w:rsid w:val="00ED5A7B"/>
    <w:rsid w:val="00ED6F2A"/>
    <w:rsid w:val="00ED769C"/>
    <w:rsid w:val="00EE08A2"/>
    <w:rsid w:val="00EE1AAB"/>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2023C"/>
    <w:rsid w:val="00F20512"/>
    <w:rsid w:val="00F23425"/>
    <w:rsid w:val="00F23596"/>
    <w:rsid w:val="00F244D4"/>
    <w:rsid w:val="00F26062"/>
    <w:rsid w:val="00F330F8"/>
    <w:rsid w:val="00F33EA5"/>
    <w:rsid w:val="00F350B8"/>
    <w:rsid w:val="00F36088"/>
    <w:rsid w:val="00F378BC"/>
    <w:rsid w:val="00F37EDA"/>
    <w:rsid w:val="00F4014E"/>
    <w:rsid w:val="00F41415"/>
    <w:rsid w:val="00F437CD"/>
    <w:rsid w:val="00F4394B"/>
    <w:rsid w:val="00F447D2"/>
    <w:rsid w:val="00F44A63"/>
    <w:rsid w:val="00F44EFB"/>
    <w:rsid w:val="00F45334"/>
    <w:rsid w:val="00F47327"/>
    <w:rsid w:val="00F476B3"/>
    <w:rsid w:val="00F477AC"/>
    <w:rsid w:val="00F479E9"/>
    <w:rsid w:val="00F51A25"/>
    <w:rsid w:val="00F52FDD"/>
    <w:rsid w:val="00F533E4"/>
    <w:rsid w:val="00F5587C"/>
    <w:rsid w:val="00F56CFF"/>
    <w:rsid w:val="00F57183"/>
    <w:rsid w:val="00F600C5"/>
    <w:rsid w:val="00F618BE"/>
    <w:rsid w:val="00F62F7C"/>
    <w:rsid w:val="00F64069"/>
    <w:rsid w:val="00F64C77"/>
    <w:rsid w:val="00F66586"/>
    <w:rsid w:val="00F6669E"/>
    <w:rsid w:val="00F666D6"/>
    <w:rsid w:val="00F67D23"/>
    <w:rsid w:val="00F7320A"/>
    <w:rsid w:val="00F74046"/>
    <w:rsid w:val="00F74248"/>
    <w:rsid w:val="00F74414"/>
    <w:rsid w:val="00F75D20"/>
    <w:rsid w:val="00F80FF3"/>
    <w:rsid w:val="00F87EFB"/>
    <w:rsid w:val="00F90C71"/>
    <w:rsid w:val="00F91F35"/>
    <w:rsid w:val="00F922A6"/>
    <w:rsid w:val="00F94792"/>
    <w:rsid w:val="00F95401"/>
    <w:rsid w:val="00F96A74"/>
    <w:rsid w:val="00FA2572"/>
    <w:rsid w:val="00FA28FE"/>
    <w:rsid w:val="00FA4372"/>
    <w:rsid w:val="00FA5CE2"/>
    <w:rsid w:val="00FB0403"/>
    <w:rsid w:val="00FB33C3"/>
    <w:rsid w:val="00FB4B64"/>
    <w:rsid w:val="00FB5F54"/>
    <w:rsid w:val="00FB6C04"/>
    <w:rsid w:val="00FC4C29"/>
    <w:rsid w:val="00FD1625"/>
    <w:rsid w:val="00FD1905"/>
    <w:rsid w:val="00FD20A5"/>
    <w:rsid w:val="00FD3374"/>
    <w:rsid w:val="00FD7736"/>
    <w:rsid w:val="00FE102D"/>
    <w:rsid w:val="00FE1CA2"/>
    <w:rsid w:val="00FE4655"/>
    <w:rsid w:val="00FE46A9"/>
    <w:rsid w:val="00FE4A6A"/>
    <w:rsid w:val="00FE6863"/>
    <w:rsid w:val="00FF1D89"/>
    <w:rsid w:val="00FF1E2E"/>
    <w:rsid w:val="00FF22CF"/>
    <w:rsid w:val="00FF25FD"/>
    <w:rsid w:val="00FF2991"/>
    <w:rsid w:val="00FF4DF1"/>
    <w:rsid w:val="00FF5B20"/>
    <w:rsid w:val="00FF5D8D"/>
    <w:rsid w:val="0172010E"/>
    <w:rsid w:val="021D04ED"/>
    <w:rsid w:val="02925373"/>
    <w:rsid w:val="03194519"/>
    <w:rsid w:val="05406214"/>
    <w:rsid w:val="06EB0BBA"/>
    <w:rsid w:val="099B5E8A"/>
    <w:rsid w:val="09B01C47"/>
    <w:rsid w:val="0A546A76"/>
    <w:rsid w:val="0CA05FA3"/>
    <w:rsid w:val="101A1610"/>
    <w:rsid w:val="12966EC3"/>
    <w:rsid w:val="13B3608A"/>
    <w:rsid w:val="15A5233F"/>
    <w:rsid w:val="162D4293"/>
    <w:rsid w:val="16E0133B"/>
    <w:rsid w:val="18F9261C"/>
    <w:rsid w:val="1A8C400A"/>
    <w:rsid w:val="1AD01C3A"/>
    <w:rsid w:val="1B50328A"/>
    <w:rsid w:val="1BD379AF"/>
    <w:rsid w:val="1F982676"/>
    <w:rsid w:val="21920158"/>
    <w:rsid w:val="2263272C"/>
    <w:rsid w:val="23A26672"/>
    <w:rsid w:val="23CE6516"/>
    <w:rsid w:val="248755E9"/>
    <w:rsid w:val="26761D5F"/>
    <w:rsid w:val="26971D6D"/>
    <w:rsid w:val="26BE379D"/>
    <w:rsid w:val="29FD33E2"/>
    <w:rsid w:val="2C9D5C03"/>
    <w:rsid w:val="2D2C20F4"/>
    <w:rsid w:val="2DA57465"/>
    <w:rsid w:val="2E840E29"/>
    <w:rsid w:val="2FA50B4A"/>
    <w:rsid w:val="30A47560"/>
    <w:rsid w:val="31945827"/>
    <w:rsid w:val="31A32F06"/>
    <w:rsid w:val="31A506F2"/>
    <w:rsid w:val="32485077"/>
    <w:rsid w:val="32A933D3"/>
    <w:rsid w:val="37135440"/>
    <w:rsid w:val="39AF6B99"/>
    <w:rsid w:val="3ABD7878"/>
    <w:rsid w:val="3AD60C5E"/>
    <w:rsid w:val="3CDB255C"/>
    <w:rsid w:val="3DE02561"/>
    <w:rsid w:val="3E512100"/>
    <w:rsid w:val="3FA622E4"/>
    <w:rsid w:val="40820EE0"/>
    <w:rsid w:val="416707CB"/>
    <w:rsid w:val="425A06EF"/>
    <w:rsid w:val="43AC4C52"/>
    <w:rsid w:val="46BA3E8B"/>
    <w:rsid w:val="479954ED"/>
    <w:rsid w:val="480800BA"/>
    <w:rsid w:val="4A1C41B3"/>
    <w:rsid w:val="4A541B9F"/>
    <w:rsid w:val="4B7B29CB"/>
    <w:rsid w:val="4C856040"/>
    <w:rsid w:val="4CAA019C"/>
    <w:rsid w:val="4D3300EC"/>
    <w:rsid w:val="50D92DFE"/>
    <w:rsid w:val="514F2937"/>
    <w:rsid w:val="53F331F0"/>
    <w:rsid w:val="545F4E70"/>
    <w:rsid w:val="54EA5187"/>
    <w:rsid w:val="54FC7620"/>
    <w:rsid w:val="559253C7"/>
    <w:rsid w:val="55E7748B"/>
    <w:rsid w:val="560C332E"/>
    <w:rsid w:val="56CD51B3"/>
    <w:rsid w:val="57790E97"/>
    <w:rsid w:val="57984065"/>
    <w:rsid w:val="599C2C1B"/>
    <w:rsid w:val="59F74D0A"/>
    <w:rsid w:val="5B13515F"/>
    <w:rsid w:val="5B2829B8"/>
    <w:rsid w:val="5C590EB4"/>
    <w:rsid w:val="5E522449"/>
    <w:rsid w:val="5ECB14BA"/>
    <w:rsid w:val="5FBC4017"/>
    <w:rsid w:val="5FC133DB"/>
    <w:rsid w:val="62141EE8"/>
    <w:rsid w:val="638906B4"/>
    <w:rsid w:val="63EE2AC7"/>
    <w:rsid w:val="64F2708F"/>
    <w:rsid w:val="65341ECF"/>
    <w:rsid w:val="655A2308"/>
    <w:rsid w:val="65C50EF1"/>
    <w:rsid w:val="67662FB4"/>
    <w:rsid w:val="67BC69EF"/>
    <w:rsid w:val="67CE71DC"/>
    <w:rsid w:val="68585D79"/>
    <w:rsid w:val="6B024DD6"/>
    <w:rsid w:val="71920663"/>
    <w:rsid w:val="73992E44"/>
    <w:rsid w:val="73C81C61"/>
    <w:rsid w:val="7417655A"/>
    <w:rsid w:val="742E1EB1"/>
    <w:rsid w:val="75137DDD"/>
    <w:rsid w:val="75AB3F56"/>
    <w:rsid w:val="76050D35"/>
    <w:rsid w:val="76A24B78"/>
    <w:rsid w:val="77D22E57"/>
    <w:rsid w:val="78EA4ED7"/>
    <w:rsid w:val="79392418"/>
    <w:rsid w:val="7CB83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3"/>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0"/>
    <w:semiHidden/>
    <w:unhideWhenUsed/>
    <w:qFormat/>
    <w:uiPriority w:val="0"/>
    <w:pPr>
      <w:keepNext/>
      <w:keepLines/>
      <w:spacing w:before="260" w:after="260" w:line="416" w:lineRule="atLeast"/>
      <w:outlineLvl w:val="2"/>
    </w:pPr>
    <w:rPr>
      <w:b/>
      <w:bCs/>
      <w:sz w:val="32"/>
      <w:szCs w:val="32"/>
    </w:rPr>
  </w:style>
  <w:style w:type="character" w:default="1" w:styleId="15">
    <w:name w:val="Default Paragraph Font"/>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4"/>
    <w:qFormat/>
    <w:uiPriority w:val="0"/>
    <w:rPr>
      <w:rFonts w:ascii="宋体" w:eastAsia="宋体"/>
      <w:sz w:val="18"/>
      <w:szCs w:val="18"/>
    </w:rPr>
  </w:style>
  <w:style w:type="paragraph" w:styleId="6">
    <w:name w:val="annotation text"/>
    <w:basedOn w:val="1"/>
    <w:link w:val="32"/>
    <w:qFormat/>
    <w:uiPriority w:val="0"/>
    <w:pPr>
      <w:jc w:val="left"/>
    </w:pPr>
  </w:style>
  <w:style w:type="paragraph" w:styleId="7">
    <w:name w:val="Body Text"/>
    <w:basedOn w:val="1"/>
    <w:link w:val="39"/>
    <w:qFormat/>
    <w:uiPriority w:val="0"/>
    <w:pPr>
      <w:spacing w:after="120"/>
    </w:pPr>
  </w:style>
  <w:style w:type="paragraph" w:styleId="8">
    <w:name w:val="Balloon Text"/>
    <w:basedOn w:val="1"/>
    <w:link w:val="17"/>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Cs w:val="24"/>
    </w:rPr>
  </w:style>
  <w:style w:type="paragraph" w:styleId="12">
    <w:name w:val="annotation subject"/>
    <w:basedOn w:val="6"/>
    <w:next w:val="6"/>
    <w:link w:val="34"/>
    <w:qFormat/>
    <w:uiPriority w:val="0"/>
    <w:rPr>
      <w:b/>
      <w:bCs/>
    </w:rPr>
  </w:style>
  <w:style w:type="table" w:styleId="14">
    <w:name w:val="Table Grid"/>
    <w:basedOn w:val="13"/>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annotation reference"/>
    <w:basedOn w:val="15"/>
    <w:qFormat/>
    <w:uiPriority w:val="0"/>
    <w:rPr>
      <w:sz w:val="21"/>
      <w:szCs w:val="21"/>
    </w:rPr>
  </w:style>
  <w:style w:type="character" w:customStyle="1" w:styleId="17">
    <w:name w:val="Balloon Text Char"/>
    <w:basedOn w:val="15"/>
    <w:link w:val="8"/>
    <w:semiHidden/>
    <w:qFormat/>
    <w:uiPriority w:val="99"/>
    <w:rPr>
      <w:sz w:val="18"/>
      <w:szCs w:val="18"/>
    </w:rPr>
  </w:style>
  <w:style w:type="character" w:customStyle="1" w:styleId="18">
    <w:name w:val="Heading 1 Char"/>
    <w:basedOn w:val="15"/>
    <w:link w:val="2"/>
    <w:qFormat/>
    <w:uiPriority w:val="9"/>
    <w:rPr>
      <w:b/>
      <w:bCs/>
      <w:kern w:val="44"/>
      <w:sz w:val="44"/>
      <w:szCs w:val="44"/>
    </w:rPr>
  </w:style>
  <w:style w:type="paragraph" w:styleId="19">
    <w:name w:val="List Paragraph"/>
    <w:basedOn w:val="1"/>
    <w:qFormat/>
    <w:uiPriority w:val="34"/>
    <w:pPr>
      <w:ind w:firstLine="420"/>
    </w:pPr>
  </w:style>
  <w:style w:type="character" w:styleId="20">
    <w:name w:val="Placeholder Text"/>
    <w:basedOn w:val="15"/>
    <w:semiHidden/>
    <w:qFormat/>
    <w:uiPriority w:val="99"/>
    <w:rPr>
      <w:color w:val="auto"/>
    </w:rPr>
  </w:style>
  <w:style w:type="character" w:customStyle="1" w:styleId="21">
    <w:name w:val="Header Char"/>
    <w:basedOn w:val="15"/>
    <w:link w:val="10"/>
    <w:qFormat/>
    <w:uiPriority w:val="99"/>
    <w:rPr>
      <w:sz w:val="18"/>
      <w:szCs w:val="18"/>
    </w:rPr>
  </w:style>
  <w:style w:type="character" w:customStyle="1" w:styleId="22">
    <w:name w:val="Footer Char"/>
    <w:basedOn w:val="15"/>
    <w:link w:val="9"/>
    <w:qFormat/>
    <w:uiPriority w:val="99"/>
    <w:rPr>
      <w:sz w:val="18"/>
      <w:szCs w:val="18"/>
    </w:rPr>
  </w:style>
  <w:style w:type="character" w:customStyle="1" w:styleId="23">
    <w:name w:val="Heading 2 Char"/>
    <w:basedOn w:val="15"/>
    <w:link w:val="3"/>
    <w:qFormat/>
    <w:uiPriority w:val="9"/>
    <w:rPr>
      <w:rFonts w:asciiTheme="majorHAnsi" w:hAnsiTheme="majorHAnsi" w:eastAsiaTheme="majorEastAsia" w:cstheme="majorBidi"/>
      <w:b/>
      <w:bCs/>
      <w:sz w:val="32"/>
      <w:szCs w:val="32"/>
    </w:rPr>
  </w:style>
  <w:style w:type="character" w:customStyle="1" w:styleId="24">
    <w:name w:val="Document Map Char"/>
    <w:basedOn w:val="15"/>
    <w:link w:val="5"/>
    <w:semiHidden/>
    <w:qFormat/>
    <w:uiPriority w:val="99"/>
    <w:rPr>
      <w:rFonts w:ascii="宋体" w:eastAsia="宋体"/>
      <w:sz w:val="18"/>
      <w:szCs w:val="18"/>
    </w:rPr>
  </w:style>
  <w:style w:type="character" w:customStyle="1" w:styleId="25">
    <w:name w:val="样式1"/>
    <w:qFormat/>
    <w:uiPriority w:val="1"/>
  </w:style>
  <w:style w:type="character" w:customStyle="1" w:styleId="26">
    <w:name w:val="样式2"/>
    <w:basedOn w:val="25"/>
    <w:qFormat/>
    <w:uiPriority w:val="1"/>
  </w:style>
  <w:style w:type="character" w:customStyle="1" w:styleId="27">
    <w:name w:val="样式3"/>
    <w:basedOn w:val="25"/>
    <w:qFormat/>
    <w:uiPriority w:val="1"/>
  </w:style>
  <w:style w:type="character" w:customStyle="1" w:styleId="28">
    <w:name w:val="样式4"/>
    <w:basedOn w:val="25"/>
    <w:qFormat/>
    <w:uiPriority w:val="1"/>
  </w:style>
  <w:style w:type="character" w:customStyle="1" w:styleId="29">
    <w:name w:val="样式5"/>
    <w:basedOn w:val="25"/>
    <w:qFormat/>
    <w:uiPriority w:val="1"/>
  </w:style>
  <w:style w:type="character" w:customStyle="1" w:styleId="30">
    <w:name w:val="样式6"/>
    <w:basedOn w:val="28"/>
    <w:qFormat/>
    <w:uiPriority w:val="1"/>
  </w:style>
  <w:style w:type="character" w:customStyle="1" w:styleId="31">
    <w:name w:val="样式7"/>
    <w:basedOn w:val="28"/>
    <w:qFormat/>
    <w:uiPriority w:val="1"/>
  </w:style>
  <w:style w:type="character" w:customStyle="1" w:styleId="32">
    <w:name w:val="Comment Text Char"/>
    <w:basedOn w:val="15"/>
    <w:link w:val="6"/>
    <w:qFormat/>
    <w:uiPriority w:val="0"/>
  </w:style>
  <w:style w:type="paragraph" w:customStyle="1" w:styleId="33">
    <w:name w:val="p0"/>
    <w:basedOn w:val="1"/>
    <w:qFormat/>
    <w:uiPriority w:val="0"/>
    <w:pPr>
      <w:widowControl/>
    </w:pPr>
    <w:rPr>
      <w:rFonts w:ascii="Book Antiqua" w:hAnsi="Book Antiqua" w:eastAsia="宋体" w:cs="宋体"/>
      <w:kern w:val="0"/>
      <w:szCs w:val="24"/>
    </w:rPr>
  </w:style>
  <w:style w:type="character" w:customStyle="1" w:styleId="34">
    <w:name w:val="Comment Subject Char"/>
    <w:basedOn w:val="32"/>
    <w:link w:val="12"/>
    <w:semiHidden/>
    <w:qFormat/>
    <w:uiPriority w:val="99"/>
    <w:rPr>
      <w:b/>
      <w:bCs/>
    </w:rPr>
  </w:style>
  <w:style w:type="table" w:customStyle="1" w:styleId="35">
    <w:name w:val="网格型1"/>
    <w:basedOn w:val="13"/>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网格型2"/>
    <w:basedOn w:val="13"/>
    <w:qFormat/>
    <w:uiPriority w:val="0"/>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7">
    <w:name w:val="Table Paragraph"/>
    <w:basedOn w:val="1"/>
    <w:qFormat/>
    <w:uiPriority w:val="1"/>
  </w:style>
  <w:style w:type="table" w:customStyle="1" w:styleId="38">
    <w:name w:val="Table Normal1"/>
    <w:semiHidden/>
    <w:unhideWhenUsed/>
    <w:qFormat/>
    <w:uiPriority w:val="2"/>
    <w:tblPr>
      <w:tblCellMar>
        <w:top w:w="0" w:type="dxa"/>
        <w:left w:w="0" w:type="dxa"/>
        <w:bottom w:w="0" w:type="dxa"/>
        <w:right w:w="0" w:type="dxa"/>
      </w:tblCellMar>
    </w:tblPr>
  </w:style>
  <w:style w:type="character" w:customStyle="1" w:styleId="39">
    <w:name w:val="Body Text Char"/>
    <w:basedOn w:val="15"/>
    <w:link w:val="7"/>
    <w:qFormat/>
    <w:uiPriority w:val="0"/>
    <w:rPr>
      <w:rFonts w:asciiTheme="minorHAnsi" w:hAnsiTheme="minorHAnsi" w:eastAsiaTheme="minorEastAsia" w:cstheme="minorBidi"/>
      <w:kern w:val="2"/>
      <w:sz w:val="24"/>
      <w:szCs w:val="22"/>
    </w:rPr>
  </w:style>
  <w:style w:type="character" w:customStyle="1" w:styleId="40">
    <w:name w:val="Heading 3 Char"/>
    <w:basedOn w:val="15"/>
    <w:link w:val="4"/>
    <w:semiHidden/>
    <w:qFormat/>
    <w:uiPriority w:val="0"/>
    <w:rPr>
      <w:rFonts w:asciiTheme="minorHAnsi" w:hAnsiTheme="minorHAnsi" w:eastAsiaTheme="minorEastAsia" w:cstheme="minorBidi"/>
      <w:b/>
      <w:bCs/>
      <w:kern w:val="2"/>
      <w:sz w:val="32"/>
      <w:szCs w:val="32"/>
    </w:rPr>
  </w:style>
  <w:style w:type="character" w:customStyle="1" w:styleId="41">
    <w:name w:val="15"/>
    <w:basedOn w:val="15"/>
    <w:qFormat/>
    <w:uiPriority w:val="0"/>
    <w:rPr>
      <w:rFonts w:hint="default" w:ascii="Times New Roman" w:hAnsi="Times New Roman" w:cs="Times New Roman"/>
    </w:rPr>
  </w:style>
  <w:style w:type="paragraph" w:customStyle="1" w:styleId="42">
    <w:name w:val="Revision"/>
    <w:hidden/>
    <w:unhideWhenUsed/>
    <w:qFormat/>
    <w:uiPriority w:val="99"/>
    <w:rPr>
      <w:rFonts w:asciiTheme="minorHAnsi" w:hAnsiTheme="minorHAnsi" w:eastAsiaTheme="minorEastAsia"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song\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98F4D198-6E5A-4764-ABDF-5237BDAD87BF}"/>
      </w:docPartPr>
      <w:docPartBody>
        <w:p w14:paraId="4C33E82B">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10E8A"/>
    <w:rsid w:val="00017DF4"/>
    <w:rsid w:val="00032CF6"/>
    <w:rsid w:val="000343D6"/>
    <w:rsid w:val="0004422D"/>
    <w:rsid w:val="00044B12"/>
    <w:rsid w:val="00051238"/>
    <w:rsid w:val="00061EF5"/>
    <w:rsid w:val="00064914"/>
    <w:rsid w:val="000777D0"/>
    <w:rsid w:val="00083392"/>
    <w:rsid w:val="00091B04"/>
    <w:rsid w:val="000927E9"/>
    <w:rsid w:val="000B72CA"/>
    <w:rsid w:val="000D5200"/>
    <w:rsid w:val="000E3071"/>
    <w:rsid w:val="00111BD1"/>
    <w:rsid w:val="00121EB3"/>
    <w:rsid w:val="00145670"/>
    <w:rsid w:val="0016580D"/>
    <w:rsid w:val="00167A16"/>
    <w:rsid w:val="0019225F"/>
    <w:rsid w:val="001C4E7D"/>
    <w:rsid w:val="001D5BCD"/>
    <w:rsid w:val="001D6115"/>
    <w:rsid w:val="001D6EF3"/>
    <w:rsid w:val="002143E6"/>
    <w:rsid w:val="00256D89"/>
    <w:rsid w:val="00267098"/>
    <w:rsid w:val="00282A8F"/>
    <w:rsid w:val="00282D66"/>
    <w:rsid w:val="002E6255"/>
    <w:rsid w:val="00306E3D"/>
    <w:rsid w:val="00316D69"/>
    <w:rsid w:val="00317F77"/>
    <w:rsid w:val="0033790F"/>
    <w:rsid w:val="00354018"/>
    <w:rsid w:val="0036106E"/>
    <w:rsid w:val="00376DD0"/>
    <w:rsid w:val="003810DE"/>
    <w:rsid w:val="00383379"/>
    <w:rsid w:val="003906EF"/>
    <w:rsid w:val="0039206D"/>
    <w:rsid w:val="003A6721"/>
    <w:rsid w:val="003B04EC"/>
    <w:rsid w:val="003B50D8"/>
    <w:rsid w:val="003C29C4"/>
    <w:rsid w:val="003D385E"/>
    <w:rsid w:val="003F2D0A"/>
    <w:rsid w:val="00414008"/>
    <w:rsid w:val="00416E44"/>
    <w:rsid w:val="0043069B"/>
    <w:rsid w:val="00446E52"/>
    <w:rsid w:val="00456AB7"/>
    <w:rsid w:val="004573BC"/>
    <w:rsid w:val="0049097E"/>
    <w:rsid w:val="00495DE2"/>
    <w:rsid w:val="004A1379"/>
    <w:rsid w:val="004A2790"/>
    <w:rsid w:val="004A4D38"/>
    <w:rsid w:val="004A7768"/>
    <w:rsid w:val="004B104B"/>
    <w:rsid w:val="004B2A73"/>
    <w:rsid w:val="004B3D86"/>
    <w:rsid w:val="004B72D1"/>
    <w:rsid w:val="004E1D2B"/>
    <w:rsid w:val="004E2C00"/>
    <w:rsid w:val="004E760B"/>
    <w:rsid w:val="00505B16"/>
    <w:rsid w:val="005140A1"/>
    <w:rsid w:val="00524560"/>
    <w:rsid w:val="00531550"/>
    <w:rsid w:val="005409B4"/>
    <w:rsid w:val="00541ABD"/>
    <w:rsid w:val="0058301E"/>
    <w:rsid w:val="0058791E"/>
    <w:rsid w:val="005A02F7"/>
    <w:rsid w:val="005B1E3A"/>
    <w:rsid w:val="005D54A9"/>
    <w:rsid w:val="005F0412"/>
    <w:rsid w:val="00602E7D"/>
    <w:rsid w:val="00633C9B"/>
    <w:rsid w:val="00642713"/>
    <w:rsid w:val="00645CB1"/>
    <w:rsid w:val="00655627"/>
    <w:rsid w:val="006639A1"/>
    <w:rsid w:val="00687612"/>
    <w:rsid w:val="006B7BE4"/>
    <w:rsid w:val="006E69C1"/>
    <w:rsid w:val="00734AD3"/>
    <w:rsid w:val="00742BAB"/>
    <w:rsid w:val="00752860"/>
    <w:rsid w:val="00765580"/>
    <w:rsid w:val="00777D46"/>
    <w:rsid w:val="00780325"/>
    <w:rsid w:val="00781254"/>
    <w:rsid w:val="0078693E"/>
    <w:rsid w:val="007A02EA"/>
    <w:rsid w:val="007A1611"/>
    <w:rsid w:val="007A4890"/>
    <w:rsid w:val="007B03CC"/>
    <w:rsid w:val="007B1DA5"/>
    <w:rsid w:val="007C7D34"/>
    <w:rsid w:val="007E4DF1"/>
    <w:rsid w:val="00800822"/>
    <w:rsid w:val="00804940"/>
    <w:rsid w:val="00805E2F"/>
    <w:rsid w:val="00823B30"/>
    <w:rsid w:val="008444EF"/>
    <w:rsid w:val="00846FD4"/>
    <w:rsid w:val="00851D98"/>
    <w:rsid w:val="00882BAE"/>
    <w:rsid w:val="00890879"/>
    <w:rsid w:val="008E3B35"/>
    <w:rsid w:val="008E60C6"/>
    <w:rsid w:val="00932870"/>
    <w:rsid w:val="0095546D"/>
    <w:rsid w:val="00966F07"/>
    <w:rsid w:val="00977AB9"/>
    <w:rsid w:val="009830BF"/>
    <w:rsid w:val="00985796"/>
    <w:rsid w:val="00996F77"/>
    <w:rsid w:val="009A3853"/>
    <w:rsid w:val="009B1293"/>
    <w:rsid w:val="009C514E"/>
    <w:rsid w:val="00A10E8A"/>
    <w:rsid w:val="00A3150D"/>
    <w:rsid w:val="00A35B61"/>
    <w:rsid w:val="00A41B15"/>
    <w:rsid w:val="00A71077"/>
    <w:rsid w:val="00A76F92"/>
    <w:rsid w:val="00A808AB"/>
    <w:rsid w:val="00A86D8A"/>
    <w:rsid w:val="00A9159D"/>
    <w:rsid w:val="00AA1850"/>
    <w:rsid w:val="00AA1CD6"/>
    <w:rsid w:val="00AB46B1"/>
    <w:rsid w:val="00AE60AC"/>
    <w:rsid w:val="00B03079"/>
    <w:rsid w:val="00BA1417"/>
    <w:rsid w:val="00BA50F1"/>
    <w:rsid w:val="00BC1B15"/>
    <w:rsid w:val="00BD611D"/>
    <w:rsid w:val="00C01254"/>
    <w:rsid w:val="00C1573E"/>
    <w:rsid w:val="00C3656A"/>
    <w:rsid w:val="00C67793"/>
    <w:rsid w:val="00C72929"/>
    <w:rsid w:val="00C80B79"/>
    <w:rsid w:val="00C823B5"/>
    <w:rsid w:val="00C858A4"/>
    <w:rsid w:val="00CA0358"/>
    <w:rsid w:val="00CB6A47"/>
    <w:rsid w:val="00D047C8"/>
    <w:rsid w:val="00D157C4"/>
    <w:rsid w:val="00D26A94"/>
    <w:rsid w:val="00D4207A"/>
    <w:rsid w:val="00D711C1"/>
    <w:rsid w:val="00D74505"/>
    <w:rsid w:val="00D839D6"/>
    <w:rsid w:val="00D87D4E"/>
    <w:rsid w:val="00DA4389"/>
    <w:rsid w:val="00DB1BD1"/>
    <w:rsid w:val="00DC38EF"/>
    <w:rsid w:val="00DD166E"/>
    <w:rsid w:val="00DF2409"/>
    <w:rsid w:val="00DF5923"/>
    <w:rsid w:val="00E1206B"/>
    <w:rsid w:val="00E717CD"/>
    <w:rsid w:val="00E93D68"/>
    <w:rsid w:val="00EA05B6"/>
    <w:rsid w:val="00EE0BEA"/>
    <w:rsid w:val="00EF1232"/>
    <w:rsid w:val="00F059B3"/>
    <w:rsid w:val="00F143C9"/>
    <w:rsid w:val="00F44EFB"/>
    <w:rsid w:val="00F47327"/>
    <w:rsid w:val="00F476B3"/>
    <w:rsid w:val="00F50397"/>
    <w:rsid w:val="00F62F7C"/>
    <w:rsid w:val="00F66586"/>
    <w:rsid w:val="00F774E5"/>
    <w:rsid w:val="00F8162A"/>
    <w:rsid w:val="00FB76F7"/>
    <w:rsid w:val="00FD227C"/>
    <w:rsid w:val="00FD3FDE"/>
    <w:rsid w:val="00FF0CAF"/>
    <w:rsid w:val="00FF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]]></m:sse>
</m:mapping>
</file>

<file path=customXml/item2.xml><?xml version="1.0" encoding="utf-8"?>
<b:binding xmlns:b="http://mapping.word.org/2012/binding" xmlns:xlink="xlink" xmlns:clcta-gie="clcta-gie" xmlns:clcta-fte="clcta-fte" xmlns:clcta-be="clcta-be" xmlns:clcta-taf="clcta-taf"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]]></t:sse>
</t:template>
</file>

<file path=customXml/item5.xml><?xml version="1.0" encoding="utf-8"?>
<properties xmlns="http://www.imanage.com/work/xmlschema">
  <documentid>ASIA_ACTIVE!812377543.1</documentid>
  <senderid>RYING</senderid>
  <senderemail>RITA.YING@REEDSMITH.COM</senderemail>
  <lastmodified>2026-06-08T18:52:00.0000000+08:00</lastmodified>
  <database>ASIA_ACTIVE</database>
</properties>
</file>

<file path=customXml/itemProps1.xml><?xml version="1.0" encoding="utf-8"?>
<ds:datastoreItem xmlns:ds="http://schemas.openxmlformats.org/officeDocument/2006/customXml" ds:itemID="{21E9777B-9A59-48F7-B61F-A182151EA27B}">
  <ds:schemaRefs/>
</ds:datastoreItem>
</file>

<file path=customXml/itemProps2.xml><?xml version="1.0" encoding="utf-8"?>
<ds:datastoreItem xmlns:ds="http://schemas.openxmlformats.org/officeDocument/2006/customXml" ds:itemID="{BA98B501-917D-472D-AC19-F30F1EB82784}">
  <ds:schemaRefs/>
</ds:datastoreItem>
</file>

<file path=customXml/itemProps3.xml><?xml version="1.0" encoding="utf-8"?>
<ds:datastoreItem xmlns:ds="http://schemas.openxmlformats.org/officeDocument/2006/customXml" ds:itemID="{9E6C2AC4-246B-4BED-A91A-2DD25BFFB1EA}">
  <ds:schemaRefs/>
</ds:datastoreItem>
</file>

<file path=customXml/itemProps4.xml><?xml version="1.0" encoding="utf-8"?>
<ds:datastoreItem xmlns:ds="http://schemas.openxmlformats.org/officeDocument/2006/customXml" ds:itemID="{517C3064-0010-47F7-9A1B-75999EA57A26}">
  <ds:schemaRefs/>
</ds:datastoreItem>
</file>

<file path=customXml/itemProps5.xml><?xml version="1.0" encoding="utf-8"?>
<ds:datastoreItem xmlns:ds="http://schemas.openxmlformats.org/officeDocument/2006/customXml" ds:itemID="{5F476AF1-135F-4CA9-8AE4-AF8F8E198C9B}">
  <ds:schemaRefs/>
</ds:datastoreItem>
</file>

<file path=docProps/app.xml><?xml version="1.0" encoding="utf-8"?>
<Properties xmlns="http://schemas.openxmlformats.org/officeDocument/2006/extended-properties" xmlns:vt="http://schemas.openxmlformats.org/officeDocument/2006/docPropsVTypes">
  <Template>SSEReport.dotm</Template>
  <Pages>6</Pages>
  <Words>3014</Words>
  <Characters>3603</Characters>
  <Lines>67</Lines>
  <Paragraphs>199</Paragraphs>
  <TotalTime>29</TotalTime>
  <ScaleCrop>false</ScaleCrop>
  <LinksUpToDate>false</LinksUpToDate>
  <CharactersWithSpaces>3621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2026-06-08T10:26:00Z</dcterms:created>
  <dc:creator>NH-222</dc:creator>
  <cp:lastModifiedBy>郑艾劼</cp:lastModifiedBy>
  <cp:lastPrinted>2026-06-09T08:24:52Z</cp:lastPrinted>
  <dcterms:modified xsi:type="dcterms:W3CDTF">2026-06-09T08:45:38Z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eyJoZGlkIjoiZTVjODc4ODFjMDNhMTQ1Mjg2NjAwN2RkM2EyMzE0N2EiLCJ1c2VySWQiOiI1NjM0NDY4MjQifQ==</vt:lpwstr>
  </property>
  <property fmtid="{D5CDD505-2E9C-101B-9397-08002B2CF9AE}" pid="3" name="KSOProductBuildVer">
    <vt:lpwstr>2052-12.1.0.26895</vt:lpwstr>
  </property>
  <property fmtid="{D5CDD505-2E9C-101B-9397-08002B2CF9AE}" pid="4" name="ICV">
    <vt:lpwstr>9CB10C0AC28845D1B7DC6F27B1713584_13</vt:lpwstr>
  </property>
</Properties>
</file>