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7AD7F">
      <w:pPr>
        <w:spacing w:before="100" w:beforeAutospacing="1" w:after="100" w:afterAutospacing="1" w:line="580" w:lineRule="exact"/>
        <w:contextualSpacing/>
        <w:jc w:val="center"/>
        <w:rPr>
          <w:rFonts w:hint="eastAsia" w:ascii="方正小标宋简体" w:hAnsi="方正小标宋_GBK" w:eastAsia="方正小标宋简体" w:cs="方正小标宋_GBK"/>
          <w:kern w:val="44"/>
          <w:sz w:val="44"/>
          <w:szCs w:val="44"/>
        </w:rPr>
      </w:pPr>
      <w:bookmarkStart w:id="0" w:name="_Toc5605"/>
      <w:bookmarkStart w:id="14" w:name="_GoBack"/>
      <w:bookmarkEnd w:id="14"/>
      <w:r>
        <w:rPr>
          <w:rFonts w:hint="eastAsia" w:ascii="方正小标宋简体" w:hAnsi="方正小标宋_GBK" w:eastAsia="方正小标宋简体" w:cs="方正小标宋_GBK"/>
          <w:kern w:val="44"/>
          <w:sz w:val="44"/>
          <w:szCs w:val="44"/>
        </w:rPr>
        <w:t>江苏</w:t>
      </w:r>
      <w:bookmarkEnd w:id="0"/>
      <w:r>
        <w:rPr>
          <w:rFonts w:hint="eastAsia" w:ascii="方正小标宋简体" w:hAnsi="方正小标宋_GBK" w:eastAsia="方正小标宋简体" w:cs="方正小标宋_GBK"/>
          <w:kern w:val="44"/>
          <w:sz w:val="44"/>
          <w:szCs w:val="44"/>
        </w:rPr>
        <w:t>宁沪高速公路股份有限公司</w:t>
      </w:r>
    </w:p>
    <w:p w14:paraId="70E7CE9B">
      <w:pPr>
        <w:spacing w:before="100" w:beforeAutospacing="1" w:after="100" w:afterAutospacing="1" w:line="580" w:lineRule="exact"/>
        <w:contextualSpacing/>
        <w:jc w:val="center"/>
        <w:rPr>
          <w:rFonts w:ascii="方正小标宋简体" w:hAnsi="Arial" w:eastAsia="方正小标宋简体"/>
          <w:kern w:val="44"/>
          <w:sz w:val="44"/>
          <w:szCs w:val="44"/>
        </w:rPr>
      </w:pPr>
      <w:bookmarkStart w:id="1" w:name="_Toc31770"/>
      <w:r>
        <w:rPr>
          <w:rFonts w:hint="eastAsia" w:ascii="方正小标宋简体" w:hAnsi="方正小标宋_GBK" w:eastAsia="方正小标宋简体" w:cs="方正小标宋_GBK"/>
          <w:kern w:val="44"/>
          <w:sz w:val="44"/>
          <w:szCs w:val="44"/>
        </w:rPr>
        <w:t>董事、高级管理人员薪酬管理办法</w:t>
      </w:r>
      <w:bookmarkEnd w:id="1"/>
      <w:bookmarkStart w:id="2" w:name="_Toc3148"/>
      <w:bookmarkStart w:id="3" w:name="_Toc11580"/>
    </w:p>
    <w:bookmarkEnd w:id="2"/>
    <w:bookmarkEnd w:id="3"/>
    <w:p w14:paraId="07EDF89D">
      <w:pPr>
        <w:spacing w:before="100" w:beforeAutospacing="1" w:after="100" w:afterAutospacing="1" w:line="580" w:lineRule="exact"/>
        <w:contextualSpacing/>
        <w:rPr>
          <w:rFonts w:hint="eastAsia" w:ascii="黑体" w:hAnsi="黑体" w:eastAsia="黑体" w:cs="黑体"/>
          <w:bCs/>
          <w:sz w:val="32"/>
          <w:szCs w:val="32"/>
        </w:rPr>
      </w:pPr>
      <w:bookmarkStart w:id="4" w:name="_Toc4731"/>
      <w:bookmarkStart w:id="5" w:name="_Toc32506"/>
    </w:p>
    <w:p w14:paraId="4F674C84">
      <w:pPr>
        <w:spacing w:before="100" w:beforeAutospacing="1" w:after="100" w:afterAutospacing="1" w:line="580" w:lineRule="exact"/>
        <w:contextualSpacing/>
        <w:jc w:val="center"/>
        <w:rPr>
          <w:rFonts w:hint="eastAsia" w:ascii="黑体" w:hAnsi="黑体" w:eastAsia="黑体" w:cs="黑体"/>
          <w:bCs/>
          <w:sz w:val="32"/>
          <w:szCs w:val="32"/>
        </w:rPr>
      </w:pPr>
      <w:r>
        <w:rPr>
          <w:rFonts w:hint="eastAsia" w:ascii="黑体" w:hAnsi="黑体" w:eastAsia="黑体" w:cs="黑体"/>
          <w:bCs/>
          <w:sz w:val="32"/>
          <w:szCs w:val="32"/>
        </w:rPr>
        <w:t>第一章   总  则</w:t>
      </w:r>
      <w:bookmarkEnd w:id="4"/>
      <w:bookmarkEnd w:id="5"/>
    </w:p>
    <w:p w14:paraId="48EF479C">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第一条</w:t>
      </w:r>
      <w:r>
        <w:rPr>
          <w:rFonts w:hint="eastAsia" w:ascii="仿宋_GB2312" w:eastAsia="仿宋_GB2312"/>
          <w:bCs/>
          <w:sz w:val="32"/>
          <w:szCs w:val="32"/>
        </w:rPr>
        <w:t xml:space="preserve">  </w:t>
      </w:r>
      <w:r>
        <w:rPr>
          <w:rFonts w:hint="eastAsia" w:ascii="仿宋_GB2312" w:hAnsi="宋体" w:eastAsia="仿宋_GB2312" w:cs="宋体"/>
          <w:sz w:val="32"/>
          <w:szCs w:val="32"/>
        </w:rPr>
        <w:t>为进一步规范江苏宁沪高速公路股份有限公司（以下简称“公司”）董事、高级管理人员的薪酬管理工作，充分发挥薪酬分配激励的导向作用，更好的调动公司董事和高级管理人员的工作热情，持续提升公司高质量发展进程中的经营管理质效，根据《中华人民共和国公司法》《上市公司治理准则》《江苏宁沪高速公路股份有限公司章程》（以下简称《公司章程》）等相关规定，结合公司经营管理实际情况，制定本办法。</w:t>
      </w:r>
    </w:p>
    <w:p w14:paraId="1E9AF57B">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第二条</w:t>
      </w:r>
      <w:r>
        <w:rPr>
          <w:rFonts w:hint="eastAsia" w:ascii="仿宋_GB2312" w:eastAsia="仿宋_GB2312"/>
          <w:bCs/>
          <w:sz w:val="32"/>
          <w:szCs w:val="32"/>
        </w:rPr>
        <w:t xml:space="preserve">  </w:t>
      </w:r>
      <w:r>
        <w:rPr>
          <w:rFonts w:hint="eastAsia" w:ascii="仿宋_GB2312" w:hAnsi="宋体" w:eastAsia="仿宋_GB2312" w:cs="宋体"/>
          <w:sz w:val="32"/>
          <w:szCs w:val="32"/>
        </w:rPr>
        <w:t>本办法适用于公司董事和《公司章程》中规定的高级管理人员。</w:t>
      </w:r>
    </w:p>
    <w:p w14:paraId="39C81FF0">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第三条</w:t>
      </w:r>
      <w:r>
        <w:rPr>
          <w:rFonts w:hint="eastAsia" w:ascii="仿宋_GB2312" w:hAnsi="宋体" w:eastAsia="仿宋_GB2312" w:cs="宋体"/>
          <w:sz w:val="32"/>
          <w:szCs w:val="32"/>
        </w:rPr>
        <w:t xml:space="preserve">  董事、高级管理人员薪酬管理办法应遵循下列原则：</w:t>
      </w:r>
    </w:p>
    <w:p w14:paraId="4D7E1320">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rPr>
        <w:t>（一）坚持业绩导向原则。薪酬与绩效考核结果挂钩，充分调动工作积极性、创造性。</w:t>
      </w:r>
    </w:p>
    <w:p w14:paraId="78B0A3C3">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rPr>
        <w:t>（二）坚持内部公平原则。建立基于岗位的薪酬体系，合理拉开薪酬差距，提升内部公平性。</w:t>
      </w:r>
    </w:p>
    <w:p w14:paraId="2B877AAF">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rPr>
        <w:t>（三）坚持激励与约束相统一原则。建立与考核评价结果紧密挂钩、与承担风险和责任相匹配的薪酬机制。</w:t>
      </w:r>
    </w:p>
    <w:p w14:paraId="077A5562">
      <w:pPr>
        <w:autoSpaceDE w:val="0"/>
        <w:autoSpaceDN w:val="0"/>
        <w:spacing w:before="100" w:beforeAutospacing="1" w:after="100" w:afterAutospacing="1" w:line="580" w:lineRule="exact"/>
        <w:ind w:firstLine="707" w:firstLineChars="221"/>
        <w:contextualSpacing/>
        <w:rPr>
          <w:rFonts w:hint="eastAsia" w:ascii="仿宋_GB2312" w:hAnsi="仿宋_GB2312" w:eastAsia="仿宋_GB2312" w:cs="仿宋_GB2312"/>
          <w:sz w:val="32"/>
          <w:szCs w:val="32"/>
        </w:rPr>
      </w:pPr>
      <w:r>
        <w:rPr>
          <w:rFonts w:hint="eastAsia" w:ascii="仿宋_GB2312" w:hAnsi="宋体" w:eastAsia="仿宋_GB2312" w:cs="宋体"/>
          <w:sz w:val="32"/>
          <w:szCs w:val="32"/>
        </w:rPr>
        <w:t>（四）坚持短期与中长期激励相结合原则。个人利益与企业长远健康发展紧密联系，促进国有资产保值增值和企业可持续发展。</w:t>
      </w:r>
    </w:p>
    <w:p w14:paraId="7B2A40DA">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p>
    <w:p w14:paraId="1F06EA80">
      <w:pPr>
        <w:spacing w:before="100" w:beforeAutospacing="1" w:after="100" w:afterAutospacing="1" w:line="580" w:lineRule="exact"/>
        <w:contextualSpacing/>
        <w:jc w:val="center"/>
        <w:rPr>
          <w:rFonts w:hint="eastAsia" w:ascii="黑体" w:hAnsi="黑体" w:eastAsia="黑体" w:cs="黑体"/>
          <w:bCs/>
          <w:sz w:val="32"/>
          <w:szCs w:val="32"/>
        </w:rPr>
      </w:pPr>
      <w:bookmarkStart w:id="6" w:name="_Toc22678"/>
      <w:bookmarkStart w:id="7" w:name="_Toc12481"/>
      <w:r>
        <w:rPr>
          <w:rFonts w:hint="eastAsia" w:ascii="黑体" w:hAnsi="黑体" w:eastAsia="黑体" w:cs="黑体"/>
          <w:bCs/>
          <w:sz w:val="32"/>
          <w:szCs w:val="32"/>
        </w:rPr>
        <w:t>第二章  管理机构</w:t>
      </w:r>
      <w:bookmarkEnd w:id="6"/>
      <w:bookmarkEnd w:id="7"/>
    </w:p>
    <w:p w14:paraId="675EFB5A">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第四条</w:t>
      </w:r>
      <w:r>
        <w:rPr>
          <w:rFonts w:hint="eastAsia" w:ascii="仿宋_GB2312" w:hAnsi="宋体" w:eastAsia="仿宋_GB2312" w:cs="宋体"/>
          <w:sz w:val="32"/>
          <w:szCs w:val="32"/>
        </w:rPr>
        <w:t xml:space="preserve">  公司股东会负责董事薪酬方案的审议、决定，公司董事会负责高级管理人员薪酬方案的审议、决定。</w:t>
      </w:r>
    </w:p>
    <w:p w14:paraId="41DD9725">
      <w:pPr>
        <w:widowControl/>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第五条</w:t>
      </w: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bidi="ar"/>
        </w:rPr>
        <w:t>公司董事会薪酬与考核委员会负责制定董事、高级管理人员的考核标准并进行考核，制定、审查董事、高级管理人员的薪酬决定机制、决策流程、支付与止付追索安排等薪酬政策与方案，并就下列事项向董事会提出建议：</w:t>
      </w:r>
    </w:p>
    <w:p w14:paraId="6CFC2C0C">
      <w:pPr>
        <w:widowControl/>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lang w:bidi="ar"/>
        </w:rPr>
        <w:t xml:space="preserve">（一）董事、高级管理人员的薪酬； </w:t>
      </w:r>
    </w:p>
    <w:p w14:paraId="2132BEC0">
      <w:pPr>
        <w:widowControl/>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lang w:bidi="ar"/>
        </w:rPr>
        <w:t>（二）制定或者变更股权激励计划、员工持股计划，激励对象获授权益、行使权益条件的成就；</w:t>
      </w:r>
    </w:p>
    <w:p w14:paraId="32CC7EED">
      <w:pPr>
        <w:widowControl/>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lang w:bidi="ar"/>
        </w:rPr>
        <w:t>（三）董事、高级管理人员在拟分拆所属子公司安排持股计划；</w:t>
      </w:r>
    </w:p>
    <w:p w14:paraId="6A2E2642">
      <w:pPr>
        <w:widowControl/>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lang w:bidi="ar"/>
        </w:rPr>
        <w:t xml:space="preserve">（四）法律、行政法规、中国证券监督管理委员会规定和《公司章程》规定的其他事项。 </w:t>
      </w:r>
    </w:p>
    <w:p w14:paraId="077E9BDB">
      <w:pPr>
        <w:widowControl/>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lang w:bidi="ar"/>
        </w:rPr>
        <w:t>董事会对薪酬与考核委员会的建议未采纳或者未完全采纳的，应当在董事会决议中记载薪酬与考核委员会的意见及未采纳的具体理由，并进行披露。</w:t>
      </w:r>
    </w:p>
    <w:p w14:paraId="1F2DC6ED">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第六条</w:t>
      </w: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bidi="ar"/>
        </w:rPr>
        <w:t>公司人力资源部是公司董事、高级管理人员薪酬管理的执行部门，负责做好本制度的执行、评估工作，以及配合做好薪酬专项审计等工作。</w:t>
      </w:r>
    </w:p>
    <w:p w14:paraId="3A352593">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p>
    <w:p w14:paraId="23EF4A14">
      <w:pPr>
        <w:spacing w:before="100" w:beforeAutospacing="1" w:after="100" w:afterAutospacing="1" w:line="580" w:lineRule="exact"/>
        <w:contextualSpacing/>
        <w:jc w:val="center"/>
        <w:rPr>
          <w:rFonts w:hint="eastAsia" w:ascii="黑体" w:hAnsi="黑体" w:eastAsia="黑体" w:cs="黑体"/>
          <w:bCs/>
          <w:sz w:val="32"/>
          <w:szCs w:val="32"/>
        </w:rPr>
      </w:pPr>
      <w:bookmarkStart w:id="8" w:name="_Toc17882"/>
      <w:bookmarkStart w:id="9" w:name="_Toc2558"/>
      <w:r>
        <w:rPr>
          <w:rFonts w:hint="eastAsia" w:ascii="黑体" w:hAnsi="黑体" w:eastAsia="黑体" w:cs="黑体"/>
          <w:bCs/>
          <w:sz w:val="32"/>
          <w:szCs w:val="32"/>
        </w:rPr>
        <w:t>第三章  薪酬体系</w:t>
      </w:r>
      <w:bookmarkEnd w:id="8"/>
      <w:bookmarkEnd w:id="9"/>
    </w:p>
    <w:p w14:paraId="2DF9944B">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黑体" w:hAnsi="黑体" w:eastAsia="黑体"/>
          <w:bCs/>
          <w:sz w:val="32"/>
          <w:szCs w:val="32"/>
        </w:rPr>
        <w:t>第七条</w:t>
      </w: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bidi="ar"/>
        </w:rPr>
        <w:t>董事薪酬</w:t>
      </w:r>
    </w:p>
    <w:p w14:paraId="5ABACF78">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公司对独立董事发放董事津贴。</w:t>
      </w:r>
    </w:p>
    <w:p w14:paraId="4BB620B6">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除董事职务外，在公司不担任其他职务的外部非独立董事，不在公司领取薪酬及董事津贴。若需领取董事津贴的，应由公司股东会审议、决定。</w:t>
      </w:r>
    </w:p>
    <w:p w14:paraId="2511B219">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lang w:bidi="ar"/>
        </w:rPr>
        <w:t>在公司经营管理岗位任职或承担经营管理职能的非独立董事，按照其在公司任职的职务、职级与岗位责任等确定薪酬标准，不另行领取董事津贴。</w:t>
      </w:r>
    </w:p>
    <w:p w14:paraId="32EA239A">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第八条</w:t>
      </w: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bidi="ar"/>
        </w:rPr>
        <w:t>公司董事出席公司董事会及股东会等会议以及行使其职责所需的合理费用由公司承担。</w:t>
      </w:r>
    </w:p>
    <w:p w14:paraId="5B649F77">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黑体" w:hAnsi="黑体" w:eastAsia="黑体"/>
          <w:bCs/>
          <w:sz w:val="32"/>
          <w:szCs w:val="32"/>
        </w:rPr>
        <w:t>第九条</w:t>
      </w: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bidi="ar"/>
        </w:rPr>
        <w:t>高级管理人员</w:t>
      </w:r>
    </w:p>
    <w:p w14:paraId="3E466DE0">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公司高级管理人员实行任期制契约化管理，其薪酬以业绩为导向，短期与中长期激励相结合，坚持效率优先、兼顾公平，合理拉开薪酬差距。</w:t>
      </w:r>
    </w:p>
    <w:p w14:paraId="2EF1F574">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lang w:bidi="ar"/>
        </w:rPr>
        <w:t>公司高级管理人员薪酬结构主要由基本年薪、绩效年薪和任期激励构成，其中绩效年薪占比原则上不低于基本年薪与绩效年薪总额的百分之五十。</w:t>
      </w:r>
    </w:p>
    <w:p w14:paraId="13623D22">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（一）基本年薪</w:t>
      </w:r>
    </w:p>
    <w:p w14:paraId="3ACFFA99">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基本年薪是高级管理人员的基本收入，结合高级管理人员的岗位及任职年限核定，原则上每年核定一次。</w:t>
      </w:r>
    </w:p>
    <w:p w14:paraId="57CD90BA">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（二）绩效年薪</w:t>
      </w:r>
    </w:p>
    <w:p w14:paraId="043624E9">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绩效年薪以基本年薪为基数，一般依据个人的年度经营业绩考核情况确定，与高级管理人员履行岗位职责、重点工作任务达标情况等挂钩。</w:t>
      </w:r>
    </w:p>
    <w:p w14:paraId="2C32C35B">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绩效年薪=基本年薪×考核评价系数×绩效年薪调节系数。其中，考核评价系数根据个人年度经营业绩考核结果确定，最高不超过2；绩效年薪调节系数综合考虑公司整体效益、完成考核指标情况，结合行业性质、利润贡献度等因素确定，最高不超过1。</w:t>
      </w:r>
    </w:p>
    <w:p w14:paraId="327D4331">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对有重大贡献的高级管理人员，由公司董事会另行研究给予特别奖励。</w:t>
      </w:r>
    </w:p>
    <w:p w14:paraId="0A876D12">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（三）任期激励</w:t>
      </w:r>
    </w:p>
    <w:p w14:paraId="086FFCD8">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r>
        <w:rPr>
          <w:rFonts w:hint="eastAsia" w:ascii="仿宋_GB2312" w:hAnsi="宋体" w:eastAsia="仿宋_GB2312" w:cs="宋体"/>
          <w:sz w:val="32"/>
          <w:szCs w:val="32"/>
          <w:lang w:bidi="ar"/>
        </w:rPr>
        <w:t>高级管理人员每一任期为三年。任期激励根据高级管理人员的任期经营业绩考核结果，在不超过高级管理人员任期内年度薪酬总水平的15%以内确定。</w:t>
      </w:r>
    </w:p>
    <w:p w14:paraId="4B43B1E0">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p>
    <w:p w14:paraId="7F0BBC2F">
      <w:pPr>
        <w:spacing w:before="100" w:beforeAutospacing="1" w:after="100" w:afterAutospacing="1" w:line="580" w:lineRule="exact"/>
        <w:contextualSpacing/>
        <w:jc w:val="center"/>
        <w:rPr>
          <w:rFonts w:hint="eastAsia" w:ascii="黑体" w:hAnsi="黑体" w:eastAsia="黑体" w:cs="黑体"/>
          <w:bCs/>
          <w:sz w:val="32"/>
          <w:szCs w:val="32"/>
        </w:rPr>
      </w:pPr>
      <w:bookmarkStart w:id="10" w:name="_Toc29376"/>
      <w:bookmarkStart w:id="11" w:name="_Toc26872"/>
      <w:r>
        <w:rPr>
          <w:rFonts w:hint="eastAsia" w:ascii="黑体" w:hAnsi="黑体" w:eastAsia="黑体" w:cs="黑体"/>
          <w:bCs/>
          <w:sz w:val="32"/>
          <w:szCs w:val="32"/>
        </w:rPr>
        <w:t>第四章  薪酬发放与管理</w:t>
      </w:r>
      <w:bookmarkEnd w:id="10"/>
      <w:bookmarkEnd w:id="11"/>
    </w:p>
    <w:p w14:paraId="003F40CD">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第十条</w:t>
      </w:r>
      <w:r>
        <w:rPr>
          <w:rFonts w:hint="eastAsia" w:ascii="仿宋_GB2312" w:hAnsi="宋体" w:eastAsia="仿宋_GB2312" w:cs="宋体"/>
          <w:sz w:val="32"/>
          <w:szCs w:val="32"/>
        </w:rPr>
        <w:t xml:space="preserve">  </w:t>
      </w:r>
      <w:r>
        <w:rPr>
          <w:rFonts w:hint="eastAsia" w:ascii="仿宋_GB2312" w:hAnsi="宋体" w:eastAsia="仿宋_GB2312" w:cs="宋体"/>
          <w:sz w:val="32"/>
          <w:szCs w:val="32"/>
          <w:lang w:bidi="ar"/>
        </w:rPr>
        <w:t>公司董事、高级管理人员的绩效年薪、任期激励的确定、支付应以经营业绩考核结果为重要依据。公司依据经审计的财务数据开展经营业绩考核，并确定一定比例的绩效年薪在年度报告披露后予以支付。</w:t>
      </w:r>
    </w:p>
    <w:p w14:paraId="15A5B757">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第十一条</w:t>
      </w:r>
      <w:r>
        <w:rPr>
          <w:rFonts w:hint="eastAsia" w:ascii="仿宋_GB2312" w:hAnsi="宋体" w:eastAsia="仿宋_GB2312" w:cs="宋体"/>
          <w:sz w:val="32"/>
          <w:szCs w:val="32"/>
        </w:rPr>
        <w:t xml:space="preserve">  董事津贴按季度发放；在公司经营管理岗位任职或承担经营管理职能的董事以及公司高级管理人员的薪酬发放时间根据公司内部薪酬制度确定。</w:t>
      </w:r>
    </w:p>
    <w:p w14:paraId="1177474C">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第十二条</w:t>
      </w:r>
      <w:r>
        <w:rPr>
          <w:rFonts w:hint="eastAsia" w:ascii="仿宋_GB2312" w:hAnsi="宋体" w:eastAsia="仿宋_GB2312" w:cs="宋体"/>
          <w:sz w:val="32"/>
          <w:szCs w:val="32"/>
        </w:rPr>
        <w:t xml:space="preserve">  公司董事、高级管理人员的薪酬均为税前金额，公司</w:t>
      </w:r>
      <w:r>
        <w:rPr>
          <w:rFonts w:hint="eastAsia" w:ascii="仿宋_GB2312" w:eastAsia="仿宋_GB2312"/>
          <w:sz w:val="32"/>
          <w:szCs w:val="32"/>
        </w:rPr>
        <w:t>从其薪酬中依法依规代扣代缴各类社会保险、住房公积金、企业年金及个人所得税等由个人承担的部分。</w:t>
      </w:r>
    </w:p>
    <w:p w14:paraId="27F6E36B">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第十三条</w:t>
      </w:r>
      <w:r>
        <w:rPr>
          <w:rFonts w:hint="eastAsia" w:ascii="仿宋_GB2312" w:hAnsi="宋体" w:eastAsia="仿宋_GB2312" w:cs="宋体"/>
          <w:sz w:val="32"/>
          <w:szCs w:val="32"/>
        </w:rPr>
        <w:t xml:space="preserve">  公司董事、高级管理人员因换届、改选、任期内辞职等原因离任的，按其实际任期计算、发放津贴或薪酬。</w:t>
      </w:r>
    </w:p>
    <w:p w14:paraId="457F3D5E">
      <w:pPr>
        <w:autoSpaceDE w:val="0"/>
        <w:autoSpaceDN w:val="0"/>
        <w:spacing w:before="100" w:beforeAutospacing="1" w:after="100" w:afterAutospacing="1" w:line="580" w:lineRule="exact"/>
        <w:ind w:firstLine="707" w:firstLineChars="221"/>
        <w:contextualSpacing/>
        <w:rPr>
          <w:rFonts w:hint="eastAsia" w:ascii="仿宋_GB2312" w:hAnsi="仿宋_GB2312" w:eastAsia="仿宋_GB2312" w:cs="仿宋_GB2312"/>
          <w:sz w:val="32"/>
          <w:szCs w:val="32"/>
        </w:rPr>
      </w:pPr>
      <w:r>
        <w:rPr>
          <w:rFonts w:hint="eastAsia" w:ascii="黑体" w:hAnsi="黑体" w:eastAsia="黑体"/>
          <w:bCs/>
          <w:sz w:val="32"/>
          <w:szCs w:val="32"/>
        </w:rPr>
        <w:t>第十四条</w:t>
      </w:r>
      <w:r>
        <w:rPr>
          <w:rFonts w:hint="eastAsia" w:ascii="仿宋_GB2312" w:hAnsi="宋体" w:eastAsia="仿宋_GB2312" w:cs="宋体"/>
          <w:sz w:val="32"/>
          <w:szCs w:val="32"/>
        </w:rPr>
        <w:t xml:space="preserve">  </w:t>
      </w:r>
      <w:r>
        <w:rPr>
          <w:rFonts w:hint="eastAsia" w:ascii="仿宋_GB2312" w:hAnsi="仿宋_GB2312" w:eastAsia="仿宋_GB2312" w:cs="仿宋_GB2312"/>
          <w:sz w:val="32"/>
          <w:szCs w:val="32"/>
        </w:rPr>
        <w:t>公司董事、高级管理人员在任职期间，发生下列任一情形，公司将扣减或不予发放绩效年薪或津贴：</w:t>
      </w:r>
    </w:p>
    <w:p w14:paraId="3D6225BA">
      <w:pPr>
        <w:widowControl/>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（一）严重违反公司各项规章制度，受到公司警示通知及以上处分的；</w:t>
      </w:r>
    </w:p>
    <w:p w14:paraId="794E1D98">
      <w:pPr>
        <w:widowControl/>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（二）严重损害公司利益，造成公司重大经济损失的；</w:t>
      </w:r>
    </w:p>
    <w:p w14:paraId="44D245EE">
      <w:pPr>
        <w:widowControl/>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（三）违反法律法规或失职、渎职，导致重大决策失误、重大安全责任事故等，给公司造成严重不利影响或造成公司资产流失的；</w:t>
      </w:r>
    </w:p>
    <w:p w14:paraId="51D1A316">
      <w:pPr>
        <w:widowControl/>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（四）因重大违法违规行为被中国证券监督管理委员会或其派出机构予以行政处罚或者被证券交易所予以公开谴责或者宣布不适合担任公司董事、高级管理人员的；</w:t>
      </w:r>
    </w:p>
    <w:p w14:paraId="726A64D9">
      <w:pPr>
        <w:widowControl/>
        <w:ind w:firstLine="640" w:firstLineChars="200"/>
      </w:pPr>
      <w:r>
        <w:rPr>
          <w:rFonts w:hint="eastAsia" w:ascii="仿宋_GB2312" w:hAnsi="仿宋_GB2312" w:eastAsia="仿宋_GB2312" w:cs="仿宋_GB2312"/>
          <w:color w:val="000000"/>
          <w:kern w:val="0"/>
          <w:sz w:val="32"/>
          <w:szCs w:val="32"/>
          <w:lang w:bidi="ar"/>
        </w:rPr>
        <w:t>（五）公司董事会认定严重违反公司有关规定的其他情形。</w:t>
      </w:r>
    </w:p>
    <w:p w14:paraId="76ABBB36">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第十五条</w:t>
      </w:r>
      <w:r>
        <w:rPr>
          <w:rFonts w:hint="eastAsia" w:ascii="仿宋_GB2312" w:hAnsi="宋体" w:eastAsia="仿宋_GB2312" w:cs="宋体"/>
          <w:sz w:val="32"/>
          <w:szCs w:val="32"/>
        </w:rPr>
        <w:t xml:space="preserve">  薪酬调整</w:t>
      </w:r>
    </w:p>
    <w:p w14:paraId="3539F37D">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rPr>
        <w:t>公司薪酬体系服务于公司的经营发展战略，根据公司经营发展状况或目标适时予以调整，以契合公司经营发展需要。</w:t>
      </w:r>
    </w:p>
    <w:p w14:paraId="0B3ED968">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rPr>
        <w:t>薪酬调整一般分为市场调整和岗位调整两种情形：</w:t>
      </w:r>
    </w:p>
    <w:p w14:paraId="052719D7">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rPr>
        <w:t>（一）市场调整：每年根据公司经营业绩的完成情况以及市场薪酬水平，拟定董事和高级管理人员薪酬建议标准，提交公司董事会或股东会审议、决定。</w:t>
      </w:r>
    </w:p>
    <w:p w14:paraId="48170347">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rPr>
        <w:t>董事、高级管理人员的基本年薪的年度增长水平不高于同期在岗职工平均工资增长水平。</w:t>
      </w:r>
    </w:p>
    <w:p w14:paraId="35E5A125">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rPr>
        <w:t>董事、高级管理人员的绩效年薪应与公司经营业绩和经济效益相匹配。</w:t>
      </w:r>
    </w:p>
    <w:p w14:paraId="4563E6ED">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仿宋_GB2312" w:hAnsi="宋体" w:eastAsia="仿宋_GB2312" w:cs="宋体"/>
          <w:sz w:val="32"/>
          <w:szCs w:val="32"/>
        </w:rPr>
        <w:t>（二）岗位调整：因岗位变动，薪酬将同步变动。因岗位变动调整薪酬的，参考新岗位对应的薪酬标准执行，并提交公司董事会或股东会审议、决定。</w:t>
      </w:r>
    </w:p>
    <w:p w14:paraId="249EEDD0">
      <w:pPr>
        <w:autoSpaceDE w:val="0"/>
        <w:autoSpaceDN w:val="0"/>
        <w:spacing w:before="100" w:beforeAutospacing="1" w:after="100" w:afterAutospacing="1" w:line="580" w:lineRule="exact"/>
        <w:ind w:firstLine="707" w:firstLineChars="221"/>
        <w:contextualSpacing/>
        <w:rPr>
          <w:rFonts w:hint="eastAsia" w:ascii="仿宋_GB2312" w:hAnsi="黑体" w:eastAsia="仿宋_GB2312" w:cs="黑体"/>
          <w:bCs/>
          <w:sz w:val="32"/>
          <w:szCs w:val="32"/>
        </w:rPr>
      </w:pPr>
      <w:r>
        <w:rPr>
          <w:rFonts w:hint="eastAsia" w:ascii="黑体" w:hAnsi="黑体" w:eastAsia="黑体"/>
          <w:bCs/>
          <w:sz w:val="32"/>
          <w:szCs w:val="32"/>
        </w:rPr>
        <w:t>第十六条</w:t>
      </w:r>
      <w:r>
        <w:rPr>
          <w:rFonts w:hint="eastAsia" w:ascii="仿宋_GB2312" w:hAnsi="宋体" w:eastAsia="仿宋_GB2312" w:cs="宋体"/>
          <w:sz w:val="32"/>
          <w:szCs w:val="32"/>
        </w:rPr>
        <w:t xml:space="preserve">  董事、高级管理人员履职待遇、业务支出按照公司相关规定执行。</w:t>
      </w:r>
    </w:p>
    <w:p w14:paraId="001604A1">
      <w:pPr>
        <w:spacing w:before="100" w:beforeAutospacing="1" w:after="100" w:afterAutospacing="1" w:line="580" w:lineRule="exact"/>
        <w:ind w:firstLine="707" w:firstLineChars="221"/>
        <w:contextualSpacing/>
        <w:rPr>
          <w:rFonts w:hint="eastAsia" w:ascii="黑体" w:hAnsi="黑体" w:eastAsia="黑体" w:cs="黑体"/>
          <w:bCs/>
          <w:sz w:val="32"/>
          <w:szCs w:val="32"/>
        </w:rPr>
      </w:pPr>
    </w:p>
    <w:p w14:paraId="67BC5393">
      <w:pPr>
        <w:spacing w:before="100" w:beforeAutospacing="1" w:after="100" w:afterAutospacing="1" w:line="580" w:lineRule="exact"/>
        <w:contextualSpacing/>
        <w:jc w:val="center"/>
        <w:rPr>
          <w:rFonts w:hint="eastAsia" w:ascii="黑体" w:hAnsi="黑体" w:eastAsia="黑体" w:cs="黑体"/>
          <w:bCs/>
          <w:sz w:val="32"/>
          <w:szCs w:val="32"/>
        </w:rPr>
      </w:pPr>
      <w:r>
        <w:rPr>
          <w:rFonts w:hint="eastAsia" w:ascii="黑体" w:hAnsi="黑体" w:eastAsia="黑体" w:cs="黑体"/>
          <w:bCs/>
          <w:sz w:val="32"/>
          <w:szCs w:val="32"/>
        </w:rPr>
        <w:t>第五章   止付追索</w:t>
      </w:r>
    </w:p>
    <w:p w14:paraId="3EDF2C5C">
      <w:pPr>
        <w:widowControl/>
        <w:autoSpaceDE w:val="0"/>
        <w:autoSpaceDN w:val="0"/>
        <w:spacing w:before="100" w:beforeAutospacing="1" w:after="100" w:afterAutospacing="1" w:line="580" w:lineRule="exact"/>
        <w:ind w:firstLine="707" w:firstLineChars="221"/>
        <w:contextualSpacing/>
        <w:rPr>
          <w:rFonts w:hint="eastAsia" w:ascii="仿宋_GB2312" w:hAnsi="仿宋_GB2312" w:eastAsia="仿宋_GB2312" w:cs="仿宋_GB2312"/>
          <w:sz w:val="32"/>
          <w:szCs w:val="32"/>
          <w:lang w:bidi="ar"/>
        </w:rPr>
      </w:pPr>
      <w:r>
        <w:rPr>
          <w:rFonts w:hint="eastAsia" w:ascii="黑体" w:hAnsi="黑体" w:eastAsia="黑体"/>
          <w:bCs/>
          <w:sz w:val="32"/>
          <w:szCs w:val="32"/>
          <w:lang w:bidi="ar"/>
        </w:rPr>
        <w:t>第十七条</w:t>
      </w:r>
      <w:r>
        <w:rPr>
          <w:rFonts w:hint="eastAsia" w:ascii="仿宋_GB2312" w:eastAsia="仿宋_GB2312"/>
          <w:bCs/>
          <w:sz w:val="32"/>
          <w:szCs w:val="32"/>
          <w:lang w:bidi="ar"/>
        </w:rPr>
        <w:t xml:space="preserve">  </w:t>
      </w:r>
      <w:r>
        <w:rPr>
          <w:rFonts w:hint="eastAsia" w:ascii="仿宋_GB2312" w:hAnsi="仿宋_GB2312" w:eastAsia="仿宋_GB2312" w:cs="仿宋_GB2312"/>
          <w:sz w:val="32"/>
          <w:szCs w:val="32"/>
          <w:lang w:bidi="ar"/>
        </w:rPr>
        <w:t>公司因财务造假等错报对财务报告进行追溯重述时，应及时对董事、高级管理人员绩效年薪、任期激励予以重新考核并相应追回超额发放部分。</w:t>
      </w:r>
    </w:p>
    <w:p w14:paraId="12B59380">
      <w:pPr>
        <w:widowControl/>
        <w:ind w:firstLine="640" w:firstLineChars="200"/>
        <w:rPr>
          <w:rFonts w:hint="eastAsia" w:ascii="方正仿宋_GB2312" w:hAnsi="方正仿宋_GB2312" w:eastAsia="方正仿宋_GB2312" w:cs="方正仿宋_GB2312"/>
        </w:rPr>
      </w:pPr>
      <w:r>
        <w:rPr>
          <w:rFonts w:hint="eastAsia" w:ascii="仿宋_GB2312" w:hAnsi="仿宋_GB2312" w:eastAsia="仿宋_GB2312" w:cs="仿宋_GB2312"/>
          <w:color w:val="000000"/>
          <w:kern w:val="0"/>
          <w:sz w:val="32"/>
          <w:szCs w:val="32"/>
          <w:lang w:bidi="ar"/>
        </w:rPr>
        <w:t>公司董事、高级管理人员违反义务给公司造成损失，或者对财务造假、资金占用、违规担保等违法违规行为负有过错的，公司应当根据情节轻重，减少或停止支付未支付的绩效年薪和任期激励，并对相关行为发生期间已经支付的绩效年薪、任期激励进行全额或部分追回。</w:t>
      </w:r>
    </w:p>
    <w:p w14:paraId="5AE85351">
      <w:pPr>
        <w:widowControl/>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lang w:bidi="ar"/>
        </w:rPr>
      </w:pPr>
    </w:p>
    <w:p w14:paraId="1DD11EA6">
      <w:pPr>
        <w:spacing w:before="100" w:beforeAutospacing="1" w:after="100" w:afterAutospacing="1" w:line="580" w:lineRule="exact"/>
        <w:contextualSpacing/>
        <w:jc w:val="center"/>
        <w:rPr>
          <w:rFonts w:hint="eastAsia" w:ascii="黑体" w:hAnsi="黑体" w:eastAsia="黑体" w:cs="黑体"/>
          <w:bCs/>
          <w:sz w:val="32"/>
          <w:szCs w:val="32"/>
        </w:rPr>
      </w:pPr>
      <w:bookmarkStart w:id="12" w:name="_Toc26101"/>
      <w:bookmarkStart w:id="13" w:name="_Toc29519"/>
      <w:r>
        <w:rPr>
          <w:rFonts w:hint="eastAsia" w:ascii="黑体" w:hAnsi="黑体" w:eastAsia="黑体" w:cs="黑体"/>
          <w:bCs/>
          <w:sz w:val="32"/>
          <w:szCs w:val="32"/>
        </w:rPr>
        <w:t>第六章   附  则</w:t>
      </w:r>
      <w:bookmarkEnd w:id="12"/>
      <w:bookmarkEnd w:id="13"/>
    </w:p>
    <w:p w14:paraId="7A918012">
      <w:pPr>
        <w:autoSpaceDE w:val="0"/>
        <w:autoSpaceDN w:val="0"/>
        <w:spacing w:before="100" w:beforeAutospacing="1" w:after="100" w:afterAutospacing="1" w:line="580" w:lineRule="exact"/>
        <w:ind w:firstLine="707" w:firstLineChars="221"/>
        <w:contextualSpacing/>
        <w:rPr>
          <w:rFonts w:hint="eastAsia" w:ascii="仿宋_GB2312" w:hAnsi="宋体" w:eastAsia="仿宋_GB2312" w:cs="宋体"/>
          <w:sz w:val="32"/>
          <w:szCs w:val="32"/>
        </w:rPr>
      </w:pPr>
      <w:r>
        <w:rPr>
          <w:rFonts w:hint="eastAsia" w:ascii="黑体" w:hAnsi="黑体" w:eastAsia="黑体"/>
          <w:bCs/>
          <w:sz w:val="32"/>
          <w:szCs w:val="32"/>
        </w:rPr>
        <w:t>第十八条</w:t>
      </w:r>
      <w:r>
        <w:rPr>
          <w:rFonts w:hint="eastAsia" w:ascii="仿宋_GB2312" w:hAnsi="宋体" w:eastAsia="仿宋_GB2312" w:cs="宋体"/>
          <w:sz w:val="32"/>
          <w:szCs w:val="32"/>
        </w:rPr>
        <w:t xml:space="preserve">  本办法由公司董事会负责解释。本办法未尽事宜，按照有关法律法规、规范性文件和《公司章程》等相关规定执行。</w:t>
      </w:r>
    </w:p>
    <w:p w14:paraId="6561FCFB">
      <w:pPr>
        <w:autoSpaceDE w:val="0"/>
        <w:autoSpaceDN w:val="0"/>
        <w:spacing w:before="100" w:beforeAutospacing="1" w:after="100" w:afterAutospacing="1" w:line="580" w:lineRule="exact"/>
        <w:ind w:firstLine="707" w:firstLineChars="221"/>
        <w:contextualSpacing/>
        <w:rPr>
          <w:rFonts w:ascii="仿宋_GB2312" w:eastAsia="仿宋_GB2312"/>
          <w:sz w:val="32"/>
          <w:szCs w:val="32"/>
        </w:rPr>
      </w:pPr>
      <w:r>
        <w:rPr>
          <w:rFonts w:hint="eastAsia" w:ascii="黑体" w:hAnsi="黑体" w:eastAsia="黑体"/>
          <w:bCs/>
          <w:sz w:val="32"/>
          <w:szCs w:val="32"/>
        </w:rPr>
        <w:t>第十九条</w:t>
      </w:r>
      <w:r>
        <w:rPr>
          <w:rFonts w:hint="eastAsia" w:ascii="仿宋_GB2312" w:hAnsi="宋体" w:eastAsia="仿宋_GB2312" w:cs="宋体"/>
          <w:sz w:val="32"/>
          <w:szCs w:val="32"/>
        </w:rPr>
        <w:t xml:space="preserve">  </w:t>
      </w:r>
      <w:r>
        <w:rPr>
          <w:rFonts w:hint="eastAsia" w:ascii="仿宋_GB2312" w:eastAsia="仿宋_GB2312"/>
          <w:sz w:val="32"/>
          <w:szCs w:val="32"/>
        </w:rPr>
        <w:t>本办法自公司股东会审议通过之日起生效，并对2026年1月1日至股东会审议通过之日期间具有溯及力。</w:t>
      </w:r>
    </w:p>
    <w:p w14:paraId="3AEB3477">
      <w:pPr>
        <w:autoSpaceDE w:val="0"/>
        <w:autoSpaceDN w:val="0"/>
        <w:spacing w:before="100" w:beforeAutospacing="1" w:after="100" w:afterAutospacing="1" w:line="580" w:lineRule="exact"/>
        <w:ind w:firstLine="464" w:firstLineChars="221"/>
        <w:contextualSpacing/>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A71EB6-16BC-49D7-A9FB-C9600A881D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AC31CD1E-B8A6-4A45-8DC1-C5A4AEE62826}"/>
  </w:font>
  <w:font w:name="方正小标宋_GBK">
    <w:altName w:val="微软雅黑"/>
    <w:panose1 w:val="03000509000000000000"/>
    <w:charset w:val="86"/>
    <w:family w:val="script"/>
    <w:pitch w:val="default"/>
    <w:sig w:usb0="00000000" w:usb1="00000000" w:usb2="00000010" w:usb3="00000000" w:csb0="00040000" w:csb1="00000000"/>
    <w:embedRegular r:id="rId3" w:fontKey="{E3ABF958-9A58-42B0-9917-CE19C4C40E2E}"/>
  </w:font>
  <w:font w:name="Arial">
    <w:panose1 w:val="020B0604020202020204"/>
    <w:charset w:val="00"/>
    <w:family w:val="swiss"/>
    <w:pitch w:val="default"/>
    <w:sig w:usb0="E0002EFF" w:usb1="C000785B" w:usb2="00000009" w:usb3="00000000" w:csb0="400001FF" w:csb1="FFFF0000"/>
    <w:embedRegular r:id="rId4" w:fontKey="{7C6F0325-2AEF-4782-A8EF-8E1D53EFEE5A}"/>
  </w:font>
  <w:font w:name="仿宋_GB2312">
    <w:altName w:val="微软雅黑"/>
    <w:panose1 w:val="02010609030101010101"/>
    <w:charset w:val="86"/>
    <w:family w:val="modern"/>
    <w:pitch w:val="default"/>
    <w:sig w:usb0="00000001" w:usb1="080E0000" w:usb2="00000000" w:usb3="00000000" w:csb0="00040000" w:csb1="00000000"/>
    <w:embedRegular r:id="rId5" w:fontKey="{54695781-F84C-446C-850B-E1D195346347}"/>
  </w:font>
  <w:font w:name="方正仿宋_GB2312">
    <w:panose1 w:val="02000000000000000000"/>
    <w:charset w:val="86"/>
    <w:family w:val="auto"/>
    <w:pitch w:val="default"/>
    <w:sig w:usb0="A00002BF" w:usb1="184F6CFA" w:usb2="00000012" w:usb3="00000000" w:csb0="00040001" w:csb1="00000000"/>
    <w:embedRegular r:id="rId6" w:fontKey="{19D59A80-7603-4C42-987F-E3EDB5E4569B}"/>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C65FE">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92CFB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E92CFB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F56"/>
    <w:rsid w:val="00092576"/>
    <w:rsid w:val="000A3F4E"/>
    <w:rsid w:val="00304F4F"/>
    <w:rsid w:val="003129D2"/>
    <w:rsid w:val="00382B4C"/>
    <w:rsid w:val="00634384"/>
    <w:rsid w:val="00685717"/>
    <w:rsid w:val="008723F6"/>
    <w:rsid w:val="00891F10"/>
    <w:rsid w:val="00965E5A"/>
    <w:rsid w:val="00997926"/>
    <w:rsid w:val="009B5AE5"/>
    <w:rsid w:val="00B55C8F"/>
    <w:rsid w:val="00B80F56"/>
    <w:rsid w:val="00CC3DC8"/>
    <w:rsid w:val="00F66CB5"/>
    <w:rsid w:val="02E17DE0"/>
    <w:rsid w:val="03A26EFC"/>
    <w:rsid w:val="06096D60"/>
    <w:rsid w:val="07F208AD"/>
    <w:rsid w:val="08122CFD"/>
    <w:rsid w:val="0EDD0492"/>
    <w:rsid w:val="12600C94"/>
    <w:rsid w:val="1664317D"/>
    <w:rsid w:val="17F94F1D"/>
    <w:rsid w:val="1966229F"/>
    <w:rsid w:val="19BE5CBA"/>
    <w:rsid w:val="2BEA704C"/>
    <w:rsid w:val="32E30158"/>
    <w:rsid w:val="34877704"/>
    <w:rsid w:val="35107D1E"/>
    <w:rsid w:val="431A1DDD"/>
    <w:rsid w:val="4E5401B4"/>
    <w:rsid w:val="59E3656C"/>
    <w:rsid w:val="5CA007BD"/>
    <w:rsid w:val="62714595"/>
    <w:rsid w:val="63C65D78"/>
    <w:rsid w:val="65CA4081"/>
    <w:rsid w:val="71D47FC9"/>
    <w:rsid w:val="7C800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21"/>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2"/>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3"/>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4"/>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F5597" w:themeColor="accent1" w:themeShade="BF"/>
      <w:sz w:val="24"/>
      <w14:ligatures w14:val="standardContextual"/>
    </w:rPr>
  </w:style>
  <w:style w:type="paragraph" w:styleId="7">
    <w:name w:val="heading 6"/>
    <w:basedOn w:val="1"/>
    <w:next w:val="1"/>
    <w:link w:val="25"/>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F5597" w:themeColor="accent1" w:themeShade="BF"/>
      <w:sz w:val="22"/>
      <w14:ligatures w14:val="standardContextual"/>
    </w:rPr>
  </w:style>
  <w:style w:type="paragraph" w:styleId="8">
    <w:name w:val="heading 7"/>
    <w:basedOn w:val="1"/>
    <w:next w:val="1"/>
    <w:link w:val="26"/>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7"/>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8"/>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39"/>
    <w:semiHidden/>
    <w:unhideWhenUsed/>
    <w:qFormat/>
    <w:uiPriority w:val="99"/>
    <w:pPr>
      <w:jc w:val="left"/>
    </w:pPr>
  </w:style>
  <w:style w:type="paragraph" w:styleId="12">
    <w:name w:val="footer"/>
    <w:basedOn w:val="1"/>
    <w:unhideWhenUsed/>
    <w:qFormat/>
    <w:uiPriority w:val="99"/>
    <w:pPr>
      <w:tabs>
        <w:tab w:val="center" w:pos="4153"/>
        <w:tab w:val="right" w:pos="8306"/>
      </w:tabs>
      <w:snapToGrid w:val="0"/>
      <w:jc w:val="left"/>
    </w:pPr>
    <w:rPr>
      <w:sz w:val="18"/>
    </w:rPr>
  </w:style>
  <w:style w:type="paragraph" w:styleId="1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Subtitle"/>
    <w:basedOn w:val="1"/>
    <w:next w:val="1"/>
    <w:link w:val="30"/>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paragraph" w:styleId="16">
    <w:name w:val="annotation subject"/>
    <w:basedOn w:val="11"/>
    <w:next w:val="11"/>
    <w:link w:val="40"/>
    <w:semiHidden/>
    <w:unhideWhenUsed/>
    <w:qFormat/>
    <w:uiPriority w:val="99"/>
    <w:rPr>
      <w:b/>
      <w:bCs/>
    </w:rPr>
  </w:style>
  <w:style w:type="character" w:styleId="19">
    <w:name w:val="annotation reference"/>
    <w:basedOn w:val="18"/>
    <w:semiHidden/>
    <w:unhideWhenUsed/>
    <w:qFormat/>
    <w:uiPriority w:val="99"/>
    <w:rPr>
      <w:sz w:val="21"/>
      <w:szCs w:val="21"/>
    </w:rPr>
  </w:style>
  <w:style w:type="character" w:customStyle="1" w:styleId="20">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8"/>
    <w:link w:val="5"/>
    <w:semiHidden/>
    <w:qFormat/>
    <w:uiPriority w:val="9"/>
    <w:rPr>
      <w:rFonts w:cstheme="majorBidi"/>
      <w:color w:val="2F5597" w:themeColor="accent1" w:themeShade="BF"/>
      <w:sz w:val="28"/>
      <w:szCs w:val="28"/>
    </w:rPr>
  </w:style>
  <w:style w:type="character" w:customStyle="1" w:styleId="24">
    <w:name w:val="标题 5 字符"/>
    <w:basedOn w:val="18"/>
    <w:link w:val="6"/>
    <w:semiHidden/>
    <w:qFormat/>
    <w:uiPriority w:val="9"/>
    <w:rPr>
      <w:rFonts w:cstheme="majorBidi"/>
      <w:color w:val="2F5597" w:themeColor="accent1" w:themeShade="BF"/>
      <w:sz w:val="24"/>
    </w:rPr>
  </w:style>
  <w:style w:type="character" w:customStyle="1" w:styleId="25">
    <w:name w:val="标题 6 字符"/>
    <w:basedOn w:val="18"/>
    <w:link w:val="7"/>
    <w:semiHidden/>
    <w:qFormat/>
    <w:uiPriority w:val="9"/>
    <w:rPr>
      <w:rFonts w:cstheme="majorBidi"/>
      <w:b/>
      <w:bCs/>
      <w:color w:val="2F5597"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34">
    <w:name w:val="明显强调1"/>
    <w:basedOn w:val="18"/>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36">
    <w:name w:val="明显引用 字符"/>
    <w:basedOn w:val="18"/>
    <w:link w:val="35"/>
    <w:qFormat/>
    <w:uiPriority w:val="30"/>
    <w:rPr>
      <w:i/>
      <w:iCs/>
      <w:color w:val="2F5597" w:themeColor="accent1" w:themeShade="BF"/>
    </w:rPr>
  </w:style>
  <w:style w:type="character" w:customStyle="1" w:styleId="37">
    <w:name w:val="明显参考1"/>
    <w:basedOn w:val="18"/>
    <w:qFormat/>
    <w:uiPriority w:val="32"/>
    <w:rPr>
      <w:b/>
      <w:bCs/>
      <w:smallCaps/>
      <w:color w:val="2F5597" w:themeColor="accent1" w:themeShade="BF"/>
      <w:spacing w:val="5"/>
    </w:rPr>
  </w:style>
  <w:style w:type="paragraph" w:customStyle="1" w:styleId="3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39">
    <w:name w:val="批注文字 字符"/>
    <w:basedOn w:val="18"/>
    <w:link w:val="11"/>
    <w:semiHidden/>
    <w:qFormat/>
    <w:uiPriority w:val="99"/>
    <w:rPr>
      <w:rFonts w:ascii="Times New Roman" w:hAnsi="Times New Roman" w:eastAsia="宋体" w:cs="Times New Roman"/>
      <w:sz w:val="21"/>
      <w14:ligatures w14:val="none"/>
    </w:rPr>
  </w:style>
  <w:style w:type="character" w:customStyle="1" w:styleId="40">
    <w:name w:val="批注主题 字符"/>
    <w:basedOn w:val="39"/>
    <w:link w:val="16"/>
    <w:semiHidden/>
    <w:qFormat/>
    <w:uiPriority w:val="99"/>
    <w:rPr>
      <w:rFonts w:ascii="Times New Roman" w:hAnsi="Times New Roman" w:eastAsia="宋体" w:cs="Times New Roman"/>
      <w:b/>
      <w:bCs/>
      <w:sz w:val="21"/>
      <w14:ligatures w14:val="none"/>
    </w:rPr>
  </w:style>
  <w:style w:type="paragraph" w:customStyle="1" w:styleId="4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cf80277a-4ed4-42b0-9ca2-be9d449de03f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2D6E3DF5</paraID>
      <start>84</start>
      <end>85</end>
      <status>ignored</status>
      <modifiedWord/>
      <trackRevisions>false</trackRevisions>
    </reviewItem>
    <reviewItem>
      <errorID>dc8b4f61-9952-4c39-9ddb-ef22d6136a9a</errorID>
      <errorWord>及</errorWord>
      <group>L1_AI</group>
      <groupName>深度校对</groupName>
      <ability>L2_AI_Word</ability>
      <abilityName>字词纠错</abilityName>
      <candidateList>
        <item>和</item>
      </candidateList>
      <explain/>
      <paraID>5AE9663A</paraID>
      <start>35</start>
      <end>36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DBE34E-3F4C-4658-9E05-2A690DC31500}">
  <ds:schemaRefs/>
</ds:datastoreItem>
</file>

<file path=docProps/app.xml><?xml version="1.0" encoding="utf-8"?>
<Properties xmlns="http://schemas.openxmlformats.org/officeDocument/2006/extended-properties" xmlns:vt="http://schemas.openxmlformats.org/officeDocument/2006/docPropsVTypes">
  <Template>Normal</Template>
  <Pages>7</Pages>
  <Words>2707</Words>
  <Characters>2712</Characters>
  <Lines>74</Lines>
  <Paragraphs>66</Paragraphs>
  <TotalTime>22</TotalTime>
  <ScaleCrop>false</ScaleCrop>
  <LinksUpToDate>false</LinksUpToDate>
  <CharactersWithSpaces>2771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2026-04-09T01:51:00Z</dcterms:created>
  <dc:creator>383399917@qq.com</dc:creator>
  <cp:lastModifiedBy>卢柯言</cp:lastModifiedBy>
  <cp:lastPrinted>2026-04-09T08:49:00Z</cp:lastPrinted>
  <dcterms:modified xsi:type="dcterms:W3CDTF">2026-04-29T07:02:04Z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eyJoZGlkIjoiOTg2YzkxZThjZmMyNGM4MWIzNmIyYTU1MTAxMDg3YzEiLCJ1c2VySWQiOiIxNzA5ODM4NTA3In0=</vt:lpwstr>
  </property>
  <property fmtid="{D5CDD505-2E9C-101B-9397-08002B2CF9AE}" pid="3" name="KSOProductBuildVer">
    <vt:lpwstr>2052-12.1.0.25225</vt:lpwstr>
  </property>
  <property fmtid="{D5CDD505-2E9C-101B-9397-08002B2CF9AE}" pid="4" name="ICV">
    <vt:lpwstr>8E11194FAE3746738273708CB7F07A09_13</vt:lpwstr>
  </property>
</Properties>
</file>