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1EF25">
      <w:pPr>
        <w:ind w:firstLine="240" w:firstLineChars="100"/>
        <w:rPr>
          <w:rFonts w:asciiTheme="minorEastAsia" w:hAnsiTheme="minorEastAsia"/>
          <w:bCs/>
          <w:szCs w:val="24"/>
        </w:rPr>
      </w:pPr>
      <w:r>
        <w:rPr>
          <w:rFonts w:hint="eastAsia" w:asciiTheme="minorEastAsia" w:hAnsiTheme="minorEastAsia"/>
          <w:bCs/>
          <w:szCs w:val="24"/>
        </w:rPr>
        <w:t>证券代码：</w:t>
      </w:r>
      <w:sdt>
        <w:sdtPr>
          <w:rPr>
            <w:rFonts w:hint="eastAsia" w:asciiTheme="minorEastAsia" w:hAnsiTheme="minorEastAsia"/>
            <w:bCs/>
            <w:szCs w:val="24"/>
          </w:rPr>
          <w:alias w:val="公司代码"/>
          <w:tag w:val="_GBC_62ef04c8e14e4c76b304f7775b7d8722"/>
          <w:id w:val="147477448"/>
          <w:placeholder>
            <w:docPart w:val="GBC22222222222222222222222222222"/>
          </w:placeholder>
        </w:sdtPr>
        <w:sdtEndPr>
          <w:rPr>
            <w:rFonts w:hint="eastAsia" w:asciiTheme="minorEastAsia" w:hAnsiTheme="minorEastAsia"/>
            <w:bCs/>
            <w:szCs w:val="24"/>
          </w:rPr>
        </w:sdtEndPr>
        <w:sdtContent>
          <w:r>
            <w:rPr>
              <w:rFonts w:hint="eastAsia" w:asciiTheme="minorEastAsia" w:hAnsiTheme="minorEastAsia"/>
              <w:bCs/>
              <w:szCs w:val="24"/>
            </w:rPr>
            <w:t>600377</w:t>
          </w:r>
        </w:sdtContent>
      </w:sdt>
      <w:r>
        <w:rPr>
          <w:rFonts w:hint="eastAsia" w:asciiTheme="minorEastAsia" w:hAnsiTheme="minor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hint="eastAsia" w:asciiTheme="minorEastAsia" w:hAnsiTheme="minorEastAsia"/>
          <w:bCs/>
          <w:szCs w:val="24"/>
        </w:rPr>
        <w:t>证券简称：</w:t>
      </w:r>
      <w:sdt>
        <w:sdtPr>
          <w:rPr>
            <w:rFonts w:hint="eastAsia" w:asciiTheme="minorEastAsia" w:hAnsiTheme="minorEastAsia"/>
            <w:bCs/>
            <w:szCs w:val="24"/>
          </w:rPr>
          <w:alias w:val="公司简称"/>
          <w:tag w:val="_GBC_81c31f6c68a741c1acb30ff1595bc381"/>
          <w:id w:val="147477710"/>
          <w:placeholder>
            <w:docPart w:val="GBC22222222222222222222222222222"/>
          </w:placeholder>
        </w:sdtPr>
        <w:sdtEndPr>
          <w:rPr>
            <w:rFonts w:hint="eastAsia" w:asciiTheme="minorEastAsia" w:hAnsiTheme="minorEastAsia"/>
            <w:bCs/>
            <w:szCs w:val="24"/>
          </w:rPr>
        </w:sdtEndPr>
        <w:sdtContent>
          <w:r>
            <w:rPr>
              <w:rFonts w:hint="eastAsia" w:asciiTheme="minorEastAsia" w:hAnsiTheme="minorEastAsia"/>
              <w:bCs/>
              <w:szCs w:val="24"/>
            </w:rPr>
            <w:t>宁沪高速</w:t>
          </w:r>
        </w:sdtContent>
      </w:sdt>
      <w:r>
        <w:rPr>
          <w:rFonts w:hint="eastAsia" w:asciiTheme="minorEastAsia" w:hAnsiTheme="minor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hint="eastAsia" w:asciiTheme="minorEastAsia" w:hAnsiTheme="minorEastAsia"/>
          <w:bCs/>
          <w:szCs w:val="24"/>
        </w:rPr>
        <w:t>公告编号：</w:t>
      </w:r>
      <w:sdt>
        <w:sdtPr>
          <w:rPr>
            <w:rFonts w:hint="eastAsia" w:asciiTheme="minorEastAsia" w:hAnsiTheme="minorEastAsia"/>
            <w:bCs/>
            <w:szCs w:val="24"/>
          </w:rPr>
          <w:alias w:val="临时公告编号"/>
          <w:tag w:val="_GBC_51438e46cb944a2bb6b9cb5e9d53d512"/>
          <w:id w:val="147475119"/>
          <w:placeholder>
            <w:docPart w:val="GBC22222222222222222222222222222"/>
          </w:placeholder>
        </w:sdtPr>
        <w:sdtEndPr>
          <w:rPr>
            <w:rFonts w:hint="eastAsia" w:asciiTheme="minorEastAsia" w:hAnsiTheme="minorEastAsia"/>
            <w:bCs/>
            <w:szCs w:val="24"/>
          </w:rPr>
        </w:sdtEndPr>
        <w:sdtContent>
          <w:r>
            <w:rPr>
              <w:rFonts w:hint="eastAsia" w:asciiTheme="minorEastAsia" w:hAnsiTheme="minorEastAsia"/>
              <w:bCs/>
              <w:szCs w:val="24"/>
            </w:rPr>
            <w:t>2026-</w:t>
          </w:r>
          <w:r>
            <w:rPr>
              <w:rFonts w:hint="eastAsia" w:asciiTheme="minorEastAsia" w:hAnsiTheme="minorEastAsia"/>
              <w:bCs/>
              <w:szCs w:val="24"/>
              <w:lang w:val="en-US" w:eastAsia="zh-CN"/>
            </w:rPr>
            <w:t>024</w:t>
          </w:r>
        </w:sdtContent>
      </w:sdt>
      <w:r>
        <w:rPr>
          <w:rFonts w:hint="eastAsia" w:asciiTheme="minorEastAsia" w:hAnsiTheme="minorEastAsia"/>
          <w:bCs/>
          <w:szCs w:val="24"/>
        </w:rPr>
        <w:t xml:space="preserve"> </w:t>
      </w:r>
    </w:p>
    <w:p w14:paraId="39381ABE">
      <w:pPr>
        <w:ind w:firstLine="482"/>
        <w:jc w:val="right"/>
        <w:rPr>
          <w:rFonts w:asciiTheme="minorEastAsia" w:hAnsiTheme="minorEastAsia"/>
          <w:b/>
          <w:szCs w:val="24"/>
        </w:rPr>
      </w:pPr>
    </w:p>
    <w:p w14:paraId="292BFB47">
      <w:pPr>
        <w:adjustRightInd w:val="0"/>
        <w:snapToGrid w:val="0"/>
        <w:spacing w:line="360" w:lineRule="auto"/>
        <w:ind w:firstLine="723"/>
        <w:jc w:val="center"/>
        <w:rPr>
          <w:rFonts w:ascii="黑体" w:hAnsi="黑体" w:eastAsia="黑体"/>
          <w:b/>
          <w:color w:val="FF0000"/>
          <w:sz w:val="36"/>
          <w:szCs w:val="24"/>
        </w:rPr>
      </w:pPr>
      <w:r>
        <w:rPr>
          <w:rFonts w:hint="eastAsia" w:ascii="黑体" w:hAnsi="黑体" w:eastAsia="黑体"/>
          <w:b/>
          <w:color w:val="FF0000"/>
          <w:sz w:val="36"/>
          <w:szCs w:val="24"/>
        </w:rPr>
        <w:t>江苏宁沪高速公路股份有限公司</w:t>
      </w:r>
    </w:p>
    <w:p w14:paraId="0816EBF6">
      <w:pPr>
        <w:adjustRightInd w:val="0"/>
        <w:snapToGrid w:val="0"/>
        <w:spacing w:line="360" w:lineRule="auto"/>
        <w:ind w:firstLine="723"/>
        <w:jc w:val="center"/>
        <w:rPr>
          <w:rFonts w:ascii="黑体" w:hAnsi="黑体" w:eastAsia="黑体"/>
          <w:b/>
          <w:color w:val="FF0000"/>
          <w:sz w:val="36"/>
          <w:szCs w:val="24"/>
        </w:rPr>
      </w:pPr>
      <w:r>
        <w:rPr>
          <w:rFonts w:hint="eastAsia" w:ascii="黑体" w:hAnsi="黑体" w:eastAsia="黑体"/>
          <w:b/>
          <w:color w:val="FF0000"/>
          <w:sz w:val="36"/>
          <w:szCs w:val="24"/>
        </w:rPr>
        <w:t>对外投资公告</w:t>
      </w:r>
    </w:p>
    <w:p w14:paraId="074A38E4">
      <w:pPr>
        <w:pBdr>
          <w:top w:val="single" w:color="auto" w:sz="4" w:space="4"/>
          <w:left w:val="single" w:color="auto" w:sz="4" w:space="3"/>
          <w:bottom w:val="single" w:color="auto" w:sz="4" w:space="1"/>
          <w:right w:val="single" w:color="auto" w:sz="4" w:space="4"/>
        </w:pBdr>
        <w:adjustRightInd w:val="0"/>
        <w:snapToGrid w:val="0"/>
        <w:spacing w:line="360" w:lineRule="auto"/>
        <w:ind w:firstLine="480"/>
        <w:rPr>
          <w:rFonts w:asciiTheme="minorEastAsia" w:hAnsiTheme="minorEastAsia"/>
          <w:color w:val="000000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3AFEDA46">
      <w:pPr>
        <w:widowControl/>
        <w:adjustRightInd w:val="0"/>
        <w:snapToGrid w:val="0"/>
        <w:ind w:firstLine="480"/>
        <w:rPr>
          <w:rFonts w:cs="仿宋_GB2312" w:asciiTheme="minorEastAsia" w:hAnsiTheme="minorEastAsia"/>
          <w:szCs w:val="24"/>
        </w:rPr>
      </w:pPr>
    </w:p>
    <w:p w14:paraId="5ADA99DB">
      <w:pPr>
        <w:widowControl/>
        <w:adjustRightInd w:val="0"/>
        <w:snapToGrid w:val="0"/>
        <w:ind w:firstLine="0" w:firstLineChars="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重要内容提示：</w:t>
      </w:r>
    </w:p>
    <w:p w14:paraId="04D65564">
      <w:pPr>
        <w:pStyle w:val="19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firstLine="482"/>
        <w:rPr>
          <w:rFonts w:asciiTheme="minorEastAsia" w:hAnsiTheme="minorEastAsia"/>
          <w:bCs/>
          <w:color w:val="000000"/>
          <w:szCs w:val="24"/>
        </w:rPr>
      </w:pPr>
      <w:r>
        <w:rPr>
          <w:rFonts w:hint="eastAsia" w:asciiTheme="minorEastAsia" w:hAnsiTheme="minorEastAsia"/>
          <w:b/>
          <w:color w:val="000000"/>
          <w:szCs w:val="24"/>
        </w:rPr>
        <w:t>投资标的名称</w:t>
      </w:r>
      <w:r>
        <w:rPr>
          <w:rFonts w:asciiTheme="minorEastAsia" w:hAnsiTheme="minorEastAsia"/>
          <w:b/>
          <w:color w:val="000000"/>
          <w:szCs w:val="24"/>
        </w:rPr>
        <w:t>:</w:t>
      </w:r>
      <w:r>
        <w:rPr>
          <w:rFonts w:hint="eastAsia" w:asciiTheme="minorEastAsia" w:hAnsiTheme="minorEastAsia"/>
          <w:bCs/>
          <w:color w:val="000000"/>
          <w:szCs w:val="24"/>
        </w:rPr>
        <w:t>紫金信托有限责任公司（以下简称“紫金信托”）</w:t>
      </w:r>
    </w:p>
    <w:p w14:paraId="370D35BB">
      <w:pPr>
        <w:pStyle w:val="19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right="322" w:rightChars="134" w:firstLine="482"/>
        <w:rPr>
          <w:rFonts w:asciiTheme="minorEastAsia" w:hAnsiTheme="minorEastAsia"/>
          <w:bCs/>
          <w:color w:val="000000"/>
          <w:szCs w:val="24"/>
        </w:rPr>
      </w:pPr>
      <w:bookmarkStart w:id="0" w:name="_Hlk202542273"/>
      <w:r>
        <w:rPr>
          <w:rFonts w:hint="eastAsia" w:asciiTheme="minorEastAsia" w:hAnsiTheme="minorEastAsia"/>
          <w:b/>
          <w:color w:val="000000"/>
          <w:szCs w:val="24"/>
        </w:rPr>
        <w:t>投资金额</w:t>
      </w:r>
      <w:r>
        <w:rPr>
          <w:rFonts w:asciiTheme="minorEastAsia" w:hAnsiTheme="minorEastAsia"/>
          <w:b/>
          <w:color w:val="000000"/>
          <w:szCs w:val="24"/>
        </w:rPr>
        <w:t>:</w:t>
      </w:r>
      <w:r>
        <w:rPr>
          <w:rFonts w:hint="eastAsia" w:asciiTheme="minorEastAsia" w:hAnsiTheme="minorEastAsia"/>
          <w:bCs/>
          <w:color w:val="000000"/>
          <w:szCs w:val="24"/>
        </w:rPr>
        <w:t>本公司投资金额人民币50,000万元。</w:t>
      </w:r>
    </w:p>
    <w:p w14:paraId="787F87BD">
      <w:pPr>
        <w:pStyle w:val="19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right="322" w:rightChars="134" w:firstLine="482"/>
        <w:rPr>
          <w:rFonts w:asciiTheme="minorEastAsia" w:hAnsiTheme="minorEastAsia"/>
          <w:b/>
          <w:color w:val="000000"/>
          <w:szCs w:val="24"/>
        </w:rPr>
      </w:pPr>
      <w:r>
        <w:rPr>
          <w:rFonts w:hint="eastAsia" w:asciiTheme="minorEastAsia" w:hAnsiTheme="minorEastAsia"/>
          <w:b/>
          <w:color w:val="000000"/>
          <w:szCs w:val="24"/>
        </w:rPr>
        <w:t>交易实施尚需履行的审批及其他相关程序</w:t>
      </w:r>
    </w:p>
    <w:p w14:paraId="500DFEDC">
      <w:pPr>
        <w:tabs>
          <w:tab w:val="left" w:pos="-1260"/>
        </w:tabs>
        <w:adjustRightInd w:val="0"/>
        <w:snapToGrid w:val="0"/>
        <w:ind w:left="559" w:leftChars="233" w:firstLine="0" w:firstLineChars="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Cs/>
          <w:color w:val="000000"/>
          <w:szCs w:val="24"/>
        </w:rPr>
        <w:t>本次交易</w:t>
      </w:r>
      <w:r>
        <w:rPr>
          <w:rFonts w:hint="eastAsia" w:asciiTheme="minorEastAsia" w:hAnsiTheme="minorEastAsia"/>
          <w:bCs/>
          <w:szCs w:val="24"/>
        </w:rPr>
        <w:t>未达</w:t>
      </w:r>
      <w:r>
        <w:rPr>
          <w:rFonts w:hint="eastAsia" w:asciiTheme="minorEastAsia" w:hAnsiTheme="minorEastAsia"/>
          <w:bCs/>
          <w:color w:val="000000"/>
          <w:szCs w:val="24"/>
        </w:rPr>
        <w:t>到股东会审议标准。本次交易尚需获得国有资产监督管理部门、</w:t>
      </w:r>
      <w:r>
        <w:rPr>
          <w:rFonts w:hint="eastAsia" w:asciiTheme="minorEastAsia" w:hAnsiTheme="minorEastAsia"/>
          <w:bCs/>
          <w:color w:val="000000"/>
          <w:szCs w:val="24"/>
          <w:lang w:eastAsia="zh-CN"/>
        </w:rPr>
        <w:t>国家金融监督管理总局江苏监管局</w:t>
      </w:r>
      <w:r>
        <w:rPr>
          <w:rFonts w:hint="eastAsia" w:asciiTheme="minorEastAsia" w:hAnsiTheme="minorEastAsia"/>
          <w:bCs/>
          <w:color w:val="000000"/>
          <w:szCs w:val="24"/>
        </w:rPr>
        <w:t>批准后实施。交易成功与否存在不确定性，请投资者注意风险。本公司将根据后续进展情况及时予以披露。</w:t>
      </w:r>
      <w:bookmarkEnd w:id="0"/>
    </w:p>
    <w:p w14:paraId="55387398">
      <w:pPr>
        <w:widowControl/>
        <w:adjustRightInd w:val="0"/>
        <w:snapToGrid w:val="0"/>
        <w:spacing w:before="156" w:beforeLines="50" w:after="156" w:afterLines="50"/>
        <w:ind w:firstLine="562"/>
        <w:outlineLvl w:val="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一、对外投资概述</w:t>
      </w:r>
    </w:p>
    <w:p w14:paraId="7372FC8B">
      <w:pPr>
        <w:adjustRightInd w:val="0"/>
        <w:snapToGrid w:val="0"/>
        <w:spacing w:line="360" w:lineRule="auto"/>
        <w:ind w:firstLine="480"/>
        <w:outlineLvl w:val="2"/>
        <w:rPr>
          <w:rFonts w:asciiTheme="minorEastAsia" w:hAnsiTheme="minorEastAsia" w:cstheme="minorEastAsia"/>
          <w:color w:val="000000"/>
          <w:kern w:val="0"/>
          <w:szCs w:val="24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1、本次交易概况</w:t>
      </w:r>
    </w:p>
    <w:p w14:paraId="370A5551">
      <w:pPr>
        <w:adjustRightInd w:val="0"/>
        <w:snapToGrid w:val="0"/>
        <w:spacing w:line="360" w:lineRule="auto"/>
        <w:ind w:firstLine="480"/>
        <w:outlineLvl w:val="2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为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保障</w:t>
      </w:r>
      <w:r>
        <w:rPr>
          <w:rFonts w:hint="eastAsia" w:asciiTheme="minorEastAsia" w:hAnsiTheme="minorEastAsia" w:cstheme="minorEastAsia"/>
          <w:szCs w:val="24"/>
        </w:rPr>
        <w:t>公司在紫金信托的股东地位与权益，优化资产配置，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维护公司投资价值</w:t>
      </w:r>
      <w:r>
        <w:rPr>
          <w:rFonts w:hint="eastAsia" w:asciiTheme="minorEastAsia" w:hAnsiTheme="minorEastAsia" w:cstheme="minorEastAsia"/>
          <w:szCs w:val="24"/>
        </w:rPr>
        <w:t>，江苏宁沪高速公路股份有限公司（以下简称“本公司”）于2026年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szCs w:val="24"/>
        </w:rPr>
        <w:t>月2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9</w:t>
      </w:r>
      <w:r>
        <w:rPr>
          <w:rFonts w:hint="eastAsia" w:asciiTheme="minorEastAsia" w:hAnsiTheme="minorEastAsia" w:cstheme="minorEastAsia"/>
          <w:szCs w:val="24"/>
        </w:rPr>
        <w:t>日第十一届董事会第二十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一</w:t>
      </w:r>
      <w:r>
        <w:rPr>
          <w:rFonts w:hint="eastAsia" w:asciiTheme="minorEastAsia" w:hAnsiTheme="minorEastAsia" w:cstheme="minorEastAsia"/>
          <w:szCs w:val="24"/>
        </w:rPr>
        <w:t>次会议审议通过了《关于本公司参与紫金信托有限责任公司增资的议案》。本公司拟以自有资金</w:t>
      </w:r>
      <w:r>
        <w:rPr>
          <w:rFonts w:hint="eastAsia" w:asciiTheme="minorEastAsia" w:hAnsiTheme="minorEastAsia" w:cstheme="minorEastAsia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Cs w:val="24"/>
        </w:rPr>
        <w:t>出资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人民币</w:t>
      </w:r>
      <w:bookmarkStart w:id="1" w:name="_GoBack"/>
      <w:bookmarkEnd w:id="1"/>
      <w:r>
        <w:rPr>
          <w:rFonts w:hint="eastAsia" w:asciiTheme="minorEastAsia" w:hAnsiTheme="minorEastAsia" w:cstheme="minorEastAsia"/>
          <w:szCs w:val="24"/>
        </w:rPr>
        <w:t>50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,</w:t>
      </w:r>
      <w:r>
        <w:rPr>
          <w:rFonts w:hint="eastAsia" w:asciiTheme="minorEastAsia" w:hAnsiTheme="minorEastAsia" w:cstheme="minorEastAsia"/>
          <w:szCs w:val="24"/>
        </w:rPr>
        <w:t>000万元按原持股比例参与紫金信托现有股东增资。本公司拟与紫金信托及其股东共同签署增资协议。</w:t>
      </w:r>
    </w:p>
    <w:p w14:paraId="045BC4B8">
      <w:pPr>
        <w:widowControl/>
        <w:adjustRightInd w:val="0"/>
        <w:snapToGrid w:val="0"/>
        <w:spacing w:line="360" w:lineRule="auto"/>
        <w:ind w:firstLine="480"/>
        <w:outlineLvl w:val="2"/>
        <w:rPr>
          <w:rFonts w:asciiTheme="minorEastAsia" w:hAnsiTheme="minorEastAsia" w:cstheme="minorEastAsia"/>
          <w:color w:val="000000"/>
          <w:szCs w:val="24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2、本次交易的交易要素</w:t>
      </w:r>
    </w:p>
    <w:tbl>
      <w:tblPr>
        <w:tblStyle w:val="14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6795"/>
      </w:tblGrid>
      <w:tr w14:paraId="69392B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7" w:type="dxa"/>
            <w:vAlign w:val="center"/>
          </w:tcPr>
          <w:p w14:paraId="557A1C49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投资类型</w:t>
            </w:r>
          </w:p>
        </w:tc>
        <w:tc>
          <w:tcPr>
            <w:tcW w:w="6795" w:type="dxa"/>
            <w:vAlign w:val="center"/>
          </w:tcPr>
          <w:p w14:paraId="5E852C1A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□新设公司</w:t>
            </w:r>
          </w:p>
          <w:p w14:paraId="0E376B44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☑增资现有公司（</w:t>
            </w:r>
            <w:r>
              <w:rPr>
                <w:rFonts w:hint="eastAsia" w:asciiTheme="minorEastAsia" w:hAnsiTheme="minorEastAsia" w:cstheme="minorEastAsia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szCs w:val="24"/>
              </w:rPr>
              <w:t xml:space="preserve">同比例  </w:t>
            </w:r>
            <w:r>
              <w:rPr>
                <w:rFonts w:hint="eastAsia" w:asciiTheme="minorEastAsia" w:hAnsiTheme="minorEastAsia" w:cstheme="minorEastAsia"/>
                <w:szCs w:val="24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  <w:szCs w:val="24"/>
              </w:rPr>
              <w:t>非同比例）</w:t>
            </w:r>
          </w:p>
          <w:p w14:paraId="3FFF2013">
            <w:pPr>
              <w:widowControl/>
              <w:adjustRightInd w:val="0"/>
              <w:snapToGrid w:val="0"/>
              <w:spacing w:line="360" w:lineRule="auto"/>
              <w:ind w:left="511" w:leftChars="213" w:firstLine="240" w:firstLineChars="10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--增资前标的公司类型：□全资子公司  □控股子公司 ☑参股公司 □未持股公司</w:t>
            </w:r>
          </w:p>
          <w:p w14:paraId="7807BBE0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□投资新项目</w:t>
            </w:r>
          </w:p>
          <w:p w14:paraId="62E4F738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□其他：_________</w:t>
            </w:r>
          </w:p>
        </w:tc>
      </w:tr>
      <w:tr w14:paraId="3A26E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7" w:type="dxa"/>
            <w:vAlign w:val="center"/>
          </w:tcPr>
          <w:p w14:paraId="02999203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投资标的名称</w:t>
            </w:r>
          </w:p>
        </w:tc>
        <w:tc>
          <w:tcPr>
            <w:tcW w:w="6795" w:type="dxa"/>
            <w:vAlign w:val="center"/>
          </w:tcPr>
          <w:p w14:paraId="1747030E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紫金信托有限责任公司</w:t>
            </w:r>
          </w:p>
        </w:tc>
      </w:tr>
      <w:tr w14:paraId="31CFBC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7" w:type="dxa"/>
            <w:vAlign w:val="center"/>
          </w:tcPr>
          <w:p w14:paraId="07D75EC7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投资金额</w:t>
            </w:r>
          </w:p>
        </w:tc>
        <w:tc>
          <w:tcPr>
            <w:tcW w:w="6795" w:type="dxa"/>
            <w:vAlign w:val="center"/>
          </w:tcPr>
          <w:p w14:paraId="44E3B7EC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sym w:font="Wingdings 2" w:char="0052"/>
            </w:r>
            <w:r>
              <w:rPr>
                <w:rFonts w:hint="eastAsia" w:asciiTheme="minorEastAsia" w:hAnsiTheme="minorEastAsia" w:cstheme="minorEastAsia"/>
                <w:szCs w:val="24"/>
              </w:rPr>
              <w:t>已确定，具体金额（万元）：</w:t>
            </w:r>
            <w:r>
              <w:rPr>
                <w:rFonts w:hint="eastAsia" w:asciiTheme="minorEastAsia" w:hAnsiTheme="minorEastAsia" w:cstheme="minorEastAsia"/>
                <w:szCs w:val="24"/>
                <w:u w:val="single"/>
              </w:rPr>
              <w:t>50,000</w:t>
            </w:r>
            <w:r>
              <w:rPr>
                <w:rFonts w:hint="eastAsia" w:asciiTheme="minorEastAsia" w:hAnsiTheme="minorEastAsia" w:cstheme="minorEastAsia"/>
                <w:szCs w:val="24"/>
              </w:rPr>
              <w:t xml:space="preserve"> </w:t>
            </w:r>
          </w:p>
          <w:p w14:paraId="7366A127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Cs w:val="24"/>
              </w:rPr>
              <w:t>尚未确定</w:t>
            </w:r>
          </w:p>
        </w:tc>
      </w:tr>
      <w:tr w14:paraId="5450D0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7" w:type="dxa"/>
            <w:vAlign w:val="center"/>
          </w:tcPr>
          <w:p w14:paraId="54C59B09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出资方式</w:t>
            </w:r>
          </w:p>
        </w:tc>
        <w:tc>
          <w:tcPr>
            <w:tcW w:w="6795" w:type="dxa"/>
            <w:vAlign w:val="center"/>
          </w:tcPr>
          <w:p w14:paraId="1679E770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☑现金</w:t>
            </w:r>
          </w:p>
          <w:p w14:paraId="5631C81A">
            <w:pPr>
              <w:widowControl/>
              <w:adjustRightInd w:val="0"/>
              <w:snapToGrid w:val="0"/>
              <w:spacing w:line="360" w:lineRule="auto"/>
              <w:rPr>
                <w:rFonts w:asciiTheme="minorEastAsia" w:hAnsiTheme="minorEastAsia" w:cstheme="minorEastAsia"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Cs w:val="24"/>
              </w:rPr>
              <w:t>☑自有资金</w:t>
            </w:r>
          </w:p>
          <w:p w14:paraId="3E552F27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□募集资金</w:t>
            </w:r>
          </w:p>
          <w:p w14:paraId="62580C68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□银行贷款</w:t>
            </w:r>
          </w:p>
          <w:p w14:paraId="07D11F45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szCs w:val="24"/>
              </w:rPr>
              <w:t>其他：_____</w:t>
            </w:r>
          </w:p>
          <w:p w14:paraId="7216059F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□实物资产或无形资产</w:t>
            </w:r>
          </w:p>
          <w:p w14:paraId="33439B03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hint="eastAsia"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□股权</w:t>
            </w:r>
          </w:p>
          <w:p w14:paraId="31621D30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□其他：______</w:t>
            </w:r>
          </w:p>
        </w:tc>
      </w:tr>
      <w:tr w14:paraId="766BEE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7" w:type="dxa"/>
            <w:vAlign w:val="center"/>
          </w:tcPr>
          <w:p w14:paraId="02AD0E28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是否跨境</w:t>
            </w:r>
          </w:p>
        </w:tc>
        <w:tc>
          <w:tcPr>
            <w:tcW w:w="6795" w:type="dxa"/>
            <w:vAlign w:val="center"/>
          </w:tcPr>
          <w:p w14:paraId="0F002E13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□是  ☑否</w:t>
            </w:r>
          </w:p>
        </w:tc>
      </w:tr>
    </w:tbl>
    <w:p w14:paraId="67F95F57">
      <w:pPr>
        <w:spacing w:line="360" w:lineRule="auto"/>
        <w:ind w:firstLine="480"/>
        <w:rPr>
          <w:rFonts w:asciiTheme="minorEastAsia" w:hAnsiTheme="minorEastAsia" w:cstheme="minorEastAsia"/>
          <w:szCs w:val="24"/>
        </w:rPr>
      </w:pPr>
    </w:p>
    <w:p w14:paraId="5FFD46EF">
      <w:pPr>
        <w:numPr>
          <w:ilvl w:val="0"/>
          <w:numId w:val="2"/>
        </w:num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color w:val="000000"/>
          <w:kern w:val="0"/>
          <w:szCs w:val="24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本次交易审议情况</w:t>
      </w:r>
    </w:p>
    <w:p w14:paraId="1AF1BA37">
      <w:p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color w:val="000000"/>
          <w:kern w:val="0"/>
          <w:szCs w:val="24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根据《上海证券交易所股票上市规则》、《公司章程》及其他相关规定，本次投资事项在董事会授权决策范围内，</w:t>
      </w:r>
      <w:r>
        <w:rPr>
          <w:rFonts w:hint="eastAsia" w:asciiTheme="minorEastAsia" w:hAnsiTheme="minorEastAsia" w:cstheme="minorEastAsia"/>
          <w:szCs w:val="24"/>
        </w:rPr>
        <w:t>已</w:t>
      </w: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经本公司第十一届董事会第二十</w:t>
      </w:r>
      <w:r>
        <w:rPr>
          <w:rFonts w:hint="eastAsia" w:asciiTheme="minorEastAsia" w:hAnsiTheme="minorEastAsia" w:cstheme="minorEastAsia"/>
          <w:color w:val="000000"/>
          <w:kern w:val="0"/>
          <w:szCs w:val="24"/>
          <w:lang w:val="en-US" w:eastAsia="zh-CN"/>
        </w:rPr>
        <w:t>一</w:t>
      </w: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次会议审议并批准，无需股东会批准，但尚需提交国有资产监督管理部门、</w:t>
      </w:r>
      <w:r>
        <w:rPr>
          <w:rFonts w:hint="eastAsia" w:asciiTheme="minorEastAsia" w:hAnsiTheme="minorEastAsia" w:cstheme="minorEastAsia"/>
          <w:color w:val="000000"/>
          <w:kern w:val="0"/>
          <w:szCs w:val="24"/>
          <w:lang w:eastAsia="zh-CN"/>
        </w:rPr>
        <w:t>国家金融监督管理总局江苏监管局</w:t>
      </w: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批准后实施。</w:t>
      </w:r>
    </w:p>
    <w:p w14:paraId="643D4796">
      <w:p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color w:val="000000"/>
          <w:kern w:val="0"/>
          <w:szCs w:val="24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4"/>
        </w:rPr>
        <w:t>根据《上海证券交易所股票上市规则》、《上市公司重大资产重组管理办法》的有关规定，本次对外投资事项不构成重大资产重组，不属于关联交易。</w:t>
      </w:r>
    </w:p>
    <w:p w14:paraId="18D2AD9A">
      <w:p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color w:val="000000"/>
          <w:kern w:val="0"/>
          <w:szCs w:val="24"/>
        </w:rPr>
      </w:pPr>
    </w:p>
    <w:p w14:paraId="01FF3E92">
      <w:pPr>
        <w:widowControl/>
        <w:adjustRightInd w:val="0"/>
        <w:snapToGrid w:val="0"/>
        <w:spacing w:line="360" w:lineRule="auto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hint="eastAsia" w:asciiTheme="minorEastAsia" w:hAnsiTheme="minorEastAsia" w:cstheme="minorEastAsia"/>
          <w:b/>
          <w:bCs/>
          <w:szCs w:val="24"/>
        </w:rPr>
        <w:t>二、投资标的基本情况</w:t>
      </w:r>
    </w:p>
    <w:p w14:paraId="3EF09A49">
      <w:p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（一）投资标的概况</w:t>
      </w:r>
    </w:p>
    <w:p w14:paraId="4C1006D7">
      <w:pPr>
        <w:widowControl/>
        <w:adjustRightInd w:val="0"/>
        <w:snapToGrid w:val="0"/>
        <w:spacing w:line="360" w:lineRule="auto"/>
        <w:ind w:firstLine="480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紫金信托为一家依照中国法律登记并存续的有限责任公司，截至本公告披露日，公司注册资本为327,107.55万元，公司拟增加注册资本至399,992.47647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Cs w:val="24"/>
        </w:rPr>
        <w:t>万元，共增加注册资本72,884.92647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Cs w:val="24"/>
        </w:rPr>
        <w:t>万元。</w:t>
      </w:r>
    </w:p>
    <w:p w14:paraId="199EAFC2">
      <w:pPr>
        <w:widowControl/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（二）投资标的具体信息</w:t>
      </w:r>
    </w:p>
    <w:p w14:paraId="4121FC51">
      <w:pPr>
        <w:widowControl/>
        <w:adjustRightInd w:val="0"/>
        <w:snapToGrid w:val="0"/>
        <w:spacing w:line="360" w:lineRule="auto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hint="eastAsia" w:asciiTheme="minorEastAsia" w:hAnsiTheme="minorEastAsia" w:cstheme="minorEastAsia"/>
          <w:color w:val="000000"/>
          <w:szCs w:val="24"/>
        </w:rPr>
        <w:t>（1）增资标的基本情况</w:t>
      </w:r>
    </w:p>
    <w:tbl>
      <w:tblPr>
        <w:tblStyle w:val="14"/>
        <w:tblW w:w="853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5780"/>
      </w:tblGrid>
      <w:tr w14:paraId="27B637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54" w:type="dxa"/>
            <w:vAlign w:val="center"/>
          </w:tcPr>
          <w:p w14:paraId="55B7EE1F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投资类型</w:t>
            </w:r>
          </w:p>
        </w:tc>
        <w:tc>
          <w:tcPr>
            <w:tcW w:w="5780" w:type="dxa"/>
            <w:vAlign w:val="center"/>
          </w:tcPr>
          <w:p w14:paraId="5C95F74F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☑增资现有公司（</w:t>
            </w:r>
            <w:r>
              <w:rPr>
                <w:rFonts w:hint="eastAsia" w:asciiTheme="minorEastAsia" w:hAnsiTheme="minorEastAsia" w:cstheme="minorEastAsia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szCs w:val="24"/>
              </w:rPr>
              <w:t xml:space="preserve">同比例 </w:t>
            </w:r>
            <w:r>
              <w:rPr>
                <w:rFonts w:hint="eastAsia" w:asciiTheme="minorEastAsia" w:hAnsiTheme="minorEastAsia" w:cstheme="minorEastAsia"/>
                <w:szCs w:val="24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  <w:szCs w:val="24"/>
              </w:rPr>
              <w:t>非同比例）</w:t>
            </w:r>
          </w:p>
        </w:tc>
      </w:tr>
      <w:tr w14:paraId="75E0EA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754" w:type="dxa"/>
            <w:vAlign w:val="center"/>
          </w:tcPr>
          <w:p w14:paraId="634BEDCF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标的公司类型（增资前）</w:t>
            </w:r>
          </w:p>
        </w:tc>
        <w:tc>
          <w:tcPr>
            <w:tcW w:w="5780" w:type="dxa"/>
            <w:vAlign w:val="center"/>
          </w:tcPr>
          <w:p w14:paraId="24059EDF">
            <w:pPr>
              <w:widowControl/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sdt>
              <w:sdtPr>
                <w:rPr>
                  <w:rFonts w:hint="eastAsia" w:asciiTheme="minorEastAsia" w:hAnsiTheme="minorEastAsia" w:cstheme="minorEastAsia"/>
                  <w:szCs w:val="24"/>
                </w:rPr>
                <w:id w:val="147468670"/>
                <w:comboBox>
                  <w:listItem w:value="选择一项。"/>
                  <w:listItem w:displayText="全资子公司" w:value="全资子公司"/>
                  <w:listItem w:displayText="控股子公司" w:value="控股子公司"/>
                  <w:listItem w:displayText="参股公司" w:value="参股公司"/>
                  <w:listItem w:displayText="未持股公司" w:value="未持股公司"/>
                </w:comboBox>
              </w:sdtPr>
              <w:sdtEndPr>
                <w:rPr>
                  <w:rFonts w:hint="eastAsia" w:asciiTheme="minorEastAsia" w:hAnsiTheme="minorEastAsia" w:cstheme="minorEastAsia"/>
                  <w:szCs w:val="24"/>
                </w:rPr>
              </w:sdtEndPr>
              <w:sdtContent>
                <w:r>
                  <w:rPr>
                    <w:rFonts w:hint="eastAsia" w:asciiTheme="minorEastAsia" w:hAnsiTheme="minorEastAsia" w:cstheme="minorEastAsia"/>
                    <w:szCs w:val="24"/>
                  </w:rPr>
                  <w:t>参股公司</w:t>
                </w:r>
              </w:sdtContent>
            </w:sdt>
          </w:p>
        </w:tc>
      </w:tr>
      <w:tr w14:paraId="7125CA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754" w:type="dxa"/>
            <w:vAlign w:val="center"/>
          </w:tcPr>
          <w:p w14:paraId="40D3804D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法人/组织全称</w:t>
            </w:r>
          </w:p>
        </w:tc>
        <w:tc>
          <w:tcPr>
            <w:tcW w:w="5780" w:type="dxa"/>
            <w:vAlign w:val="center"/>
          </w:tcPr>
          <w:p w14:paraId="383657DB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紫金信托有限责任公司</w:t>
            </w:r>
          </w:p>
        </w:tc>
      </w:tr>
      <w:tr w14:paraId="1D863D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  <w:vAlign w:val="center"/>
          </w:tcPr>
          <w:p w14:paraId="4D78A5F6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统一社会信用代码</w:t>
            </w:r>
          </w:p>
        </w:tc>
        <w:tc>
          <w:tcPr>
            <w:tcW w:w="5780" w:type="dxa"/>
            <w:vAlign w:val="center"/>
          </w:tcPr>
          <w:p w14:paraId="5B8D3748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  <w:u w:val="single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 xml:space="preserve">☑ </w:t>
            </w:r>
            <w:r>
              <w:rPr>
                <w:rFonts w:hint="eastAsia" w:asciiTheme="minorEastAsia" w:hAnsiTheme="minorEastAsia" w:cstheme="minorEastAsia"/>
                <w:szCs w:val="24"/>
                <w:u w:val="single"/>
              </w:rPr>
              <w:t>91320100134922668M</w:t>
            </w:r>
          </w:p>
          <w:p w14:paraId="5DAAF53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□ 不适用</w:t>
            </w:r>
          </w:p>
        </w:tc>
      </w:tr>
      <w:tr w14:paraId="2C032F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4" w:type="dxa"/>
            <w:vAlign w:val="center"/>
          </w:tcPr>
          <w:p w14:paraId="278AD2F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法定代表人</w:t>
            </w:r>
          </w:p>
        </w:tc>
        <w:tc>
          <w:tcPr>
            <w:tcW w:w="5780" w:type="dxa"/>
            <w:vAlign w:val="center"/>
          </w:tcPr>
          <w:p w14:paraId="67AD2A32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高晓俊</w:t>
            </w:r>
          </w:p>
        </w:tc>
      </w:tr>
      <w:tr w14:paraId="1F3E4D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754" w:type="dxa"/>
            <w:vAlign w:val="center"/>
          </w:tcPr>
          <w:p w14:paraId="31850870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成立日期</w:t>
            </w:r>
          </w:p>
        </w:tc>
        <w:tc>
          <w:tcPr>
            <w:tcW w:w="5780" w:type="dxa"/>
            <w:vAlign w:val="center"/>
          </w:tcPr>
          <w:p w14:paraId="5BF8E34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1992/09/25</w:t>
            </w:r>
          </w:p>
        </w:tc>
      </w:tr>
      <w:tr w14:paraId="4C1830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754" w:type="dxa"/>
            <w:vAlign w:val="center"/>
          </w:tcPr>
          <w:p w14:paraId="078F56DB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注册资本</w:t>
            </w:r>
          </w:p>
        </w:tc>
        <w:tc>
          <w:tcPr>
            <w:tcW w:w="5780" w:type="dxa"/>
            <w:vAlign w:val="center"/>
          </w:tcPr>
          <w:p w14:paraId="4F6FCA24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人民币327,107.55万元</w:t>
            </w:r>
          </w:p>
        </w:tc>
      </w:tr>
      <w:tr w14:paraId="5FDC84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754" w:type="dxa"/>
            <w:vAlign w:val="center"/>
          </w:tcPr>
          <w:p w14:paraId="37263C97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实缴资本</w:t>
            </w:r>
          </w:p>
        </w:tc>
        <w:tc>
          <w:tcPr>
            <w:tcW w:w="5780" w:type="dxa"/>
            <w:vAlign w:val="center"/>
          </w:tcPr>
          <w:p w14:paraId="108B6EB9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人民币327,107.55万元</w:t>
            </w:r>
          </w:p>
        </w:tc>
      </w:tr>
      <w:tr w14:paraId="0F55F4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754" w:type="dxa"/>
            <w:vAlign w:val="center"/>
          </w:tcPr>
          <w:p w14:paraId="4E9786E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主要办公地址</w:t>
            </w:r>
          </w:p>
        </w:tc>
        <w:tc>
          <w:tcPr>
            <w:tcW w:w="5780" w:type="dxa"/>
            <w:vAlign w:val="center"/>
          </w:tcPr>
          <w:p w14:paraId="22B27AC2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南京市鼓楼区中山北路2号紫峰大厦30层</w:t>
            </w:r>
          </w:p>
        </w:tc>
      </w:tr>
      <w:tr w14:paraId="3850B3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754" w:type="dxa"/>
            <w:vAlign w:val="center"/>
          </w:tcPr>
          <w:p w14:paraId="68BF2754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控股股东/实际控制人</w:t>
            </w:r>
          </w:p>
        </w:tc>
        <w:tc>
          <w:tcPr>
            <w:tcW w:w="5780" w:type="dxa"/>
            <w:vAlign w:val="center"/>
          </w:tcPr>
          <w:p w14:paraId="62D24450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南京紫金投资集团有限责任公司</w:t>
            </w:r>
          </w:p>
        </w:tc>
      </w:tr>
      <w:tr w14:paraId="00FB3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754" w:type="dxa"/>
            <w:vAlign w:val="center"/>
          </w:tcPr>
          <w:p w14:paraId="6A22FE73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主营业务</w:t>
            </w:r>
          </w:p>
        </w:tc>
        <w:tc>
          <w:tcPr>
            <w:tcW w:w="5780" w:type="dxa"/>
            <w:vAlign w:val="center"/>
          </w:tcPr>
          <w:p w14:paraId="5C334E62">
            <w:pPr>
              <w:adjustRightInd w:val="0"/>
              <w:snapToGrid w:val="0"/>
              <w:spacing w:line="360" w:lineRule="auto"/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资金信托；动产信托；不动产信托；有价证券信托；其它财产或财产权信托；作为投资基金或者基金管理公司的发起人从事投资基金业务；经营企业资产的重组、购并及项目融资、公司理财、财务顾问等业务；受托经营国务院有关部门批准的证券承销业务；办理居间、咨询、资信调查业务；代保管及保管箱业务；以存放同业、拆放同业、贷款、租赁、投资方式运用固有财产；以固有财产为他人提供担保；从事同业拆借；法律法规规定或中国银行业监督管理委员会批准的其他业务。（外资比例低于25%）（依法须经批准的项目，经相关部门批准后方可开展经营活动）</w:t>
            </w:r>
          </w:p>
        </w:tc>
      </w:tr>
    </w:tbl>
    <w:p w14:paraId="3C849AAB">
      <w:pPr>
        <w:widowControl/>
        <w:adjustRightInd w:val="0"/>
        <w:snapToGrid w:val="0"/>
        <w:spacing w:line="360" w:lineRule="auto"/>
        <w:ind w:firstLine="480"/>
        <w:outlineLvl w:val="3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（2）增资标的最近一年又一期财务数据</w:t>
      </w:r>
    </w:p>
    <w:p w14:paraId="2D366A8B">
      <w:pPr>
        <w:widowControl/>
        <w:wordWrap w:val="0"/>
        <w:adjustRightInd w:val="0"/>
        <w:snapToGrid w:val="0"/>
        <w:spacing w:line="360" w:lineRule="auto"/>
        <w:ind w:firstLine="480"/>
        <w:jc w:val="right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单位：万元</w:t>
      </w:r>
    </w:p>
    <w:tbl>
      <w:tblPr>
        <w:tblStyle w:val="14"/>
        <w:tblW w:w="853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888"/>
        <w:gridCol w:w="2889"/>
      </w:tblGrid>
      <w:tr w14:paraId="78452E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73F60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科目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79B9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2025年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月31日</w:t>
            </w:r>
          </w:p>
          <w:p w14:paraId="192492FC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  <w:lang w:val="en-US" w:eastAsia="zh-CN"/>
              </w:rPr>
              <w:t>未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经审计）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291A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2024年12月31日</w:t>
            </w:r>
          </w:p>
          <w:p w14:paraId="024DE741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（经审计）</w:t>
            </w:r>
          </w:p>
        </w:tc>
      </w:tr>
      <w:tr w14:paraId="73C579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739D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资产总额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DD9F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1,390,347.04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31A2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1,239,833.82</w:t>
            </w:r>
          </w:p>
        </w:tc>
      </w:tr>
      <w:tr w14:paraId="33F200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EFFB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负债总额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96DE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286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410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8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56DB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246,906.32</w:t>
            </w:r>
          </w:p>
        </w:tc>
      </w:tr>
      <w:tr w14:paraId="4FC053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F2BB6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所有者权益总额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FC82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103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936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76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D253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992,927.50</w:t>
            </w:r>
          </w:p>
        </w:tc>
      </w:tr>
      <w:tr w14:paraId="6C5C76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739C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资产负债率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A04B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20.60%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4285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4"/>
              </w:rPr>
              <w:t>19.91%</w:t>
            </w:r>
          </w:p>
        </w:tc>
      </w:tr>
      <w:tr w14:paraId="2024C1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5E3D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科目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EC9F3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2025年1-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月</w:t>
            </w:r>
          </w:p>
          <w:p w14:paraId="34E88639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  <w:lang w:val="en-US" w:eastAsia="zh-CN"/>
              </w:rPr>
              <w:t>未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经审计）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4B88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2024年度</w:t>
            </w:r>
          </w:p>
          <w:p w14:paraId="38121B19">
            <w:pPr>
              <w:widowControl/>
              <w:spacing w:line="360" w:lineRule="auto"/>
              <w:ind w:firstLine="482"/>
              <w:textAlignment w:val="center"/>
              <w:rPr>
                <w:rFonts w:asciiTheme="minorEastAsia" w:hAnsiTheme="minorEastAsia" w:cstheme="minorEastAsia"/>
                <w:b/>
                <w:bCs/>
                <w:color w:val="auto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4"/>
              </w:rPr>
              <w:t>（经审计）</w:t>
            </w:r>
          </w:p>
        </w:tc>
      </w:tr>
      <w:tr w14:paraId="660F53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22886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营业收入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B4239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180,013.50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1E3E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173,015.44</w:t>
            </w:r>
          </w:p>
        </w:tc>
      </w:tr>
      <w:tr w14:paraId="69A70F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A446B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净利润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8E68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110,786.30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E3D11">
            <w:pPr>
              <w:widowControl/>
              <w:spacing w:line="360" w:lineRule="auto"/>
              <w:ind w:firstLine="480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104,111.15</w:t>
            </w:r>
          </w:p>
        </w:tc>
      </w:tr>
    </w:tbl>
    <w:p w14:paraId="2BEAE072">
      <w:pPr>
        <w:widowControl/>
        <w:adjustRightInd w:val="0"/>
        <w:snapToGrid w:val="0"/>
        <w:spacing w:line="360" w:lineRule="auto"/>
        <w:ind w:firstLine="480"/>
        <w:outlineLvl w:val="3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（3）增资前后股权结构</w:t>
      </w:r>
    </w:p>
    <w:p w14:paraId="04D45B45">
      <w:pPr>
        <w:widowControl/>
        <w:wordWrap w:val="0"/>
        <w:spacing w:line="360" w:lineRule="auto"/>
        <w:ind w:firstLine="6960" w:firstLineChars="2900"/>
        <w:textAlignment w:val="center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单位：万元</w:t>
      </w:r>
    </w:p>
    <w:tbl>
      <w:tblPr>
        <w:tblStyle w:val="14"/>
        <w:tblW w:w="499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694"/>
        <w:gridCol w:w="1426"/>
        <w:gridCol w:w="958"/>
        <w:gridCol w:w="1910"/>
        <w:gridCol w:w="958"/>
      </w:tblGrid>
      <w:tr w14:paraId="5B16E2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58" w:type="pct"/>
            <w:vMerge w:val="restart"/>
            <w:vAlign w:val="center"/>
          </w:tcPr>
          <w:p w14:paraId="54BA80FA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序号</w:t>
            </w:r>
          </w:p>
        </w:tc>
        <w:tc>
          <w:tcPr>
            <w:tcW w:w="1602" w:type="pct"/>
            <w:vMerge w:val="restart"/>
            <w:vAlign w:val="center"/>
          </w:tcPr>
          <w:p w14:paraId="11B8F1F4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股东名称</w:t>
            </w:r>
          </w:p>
        </w:tc>
        <w:tc>
          <w:tcPr>
            <w:tcW w:w="1383" w:type="pct"/>
            <w:gridSpan w:val="2"/>
            <w:vAlign w:val="center"/>
          </w:tcPr>
          <w:p w14:paraId="62298927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增资前</w:t>
            </w:r>
          </w:p>
        </w:tc>
        <w:tc>
          <w:tcPr>
            <w:tcW w:w="1655" w:type="pct"/>
            <w:gridSpan w:val="2"/>
            <w:vAlign w:val="center"/>
          </w:tcPr>
          <w:p w14:paraId="5C18567F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增资后</w:t>
            </w:r>
          </w:p>
        </w:tc>
      </w:tr>
      <w:tr w14:paraId="08460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58" w:type="pct"/>
            <w:vMerge w:val="continue"/>
            <w:vAlign w:val="center"/>
          </w:tcPr>
          <w:p w14:paraId="1EA178F1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</w:p>
        </w:tc>
        <w:tc>
          <w:tcPr>
            <w:tcW w:w="1602" w:type="pct"/>
            <w:vMerge w:val="continue"/>
            <w:vAlign w:val="center"/>
          </w:tcPr>
          <w:p w14:paraId="578BDA42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</w:p>
        </w:tc>
        <w:tc>
          <w:tcPr>
            <w:tcW w:w="800" w:type="pct"/>
            <w:vAlign w:val="center"/>
          </w:tcPr>
          <w:p w14:paraId="31BDE3BB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出资金额</w:t>
            </w:r>
          </w:p>
        </w:tc>
        <w:tc>
          <w:tcPr>
            <w:tcW w:w="583" w:type="pct"/>
            <w:vAlign w:val="center"/>
          </w:tcPr>
          <w:p w14:paraId="6FF29AA7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占比</w:t>
            </w:r>
          </w:p>
          <w:p w14:paraId="5C314E22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(%)</w:t>
            </w:r>
          </w:p>
        </w:tc>
        <w:tc>
          <w:tcPr>
            <w:tcW w:w="1072" w:type="pct"/>
            <w:vAlign w:val="center"/>
          </w:tcPr>
          <w:p w14:paraId="6B7033CF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出资金额</w:t>
            </w:r>
          </w:p>
        </w:tc>
        <w:tc>
          <w:tcPr>
            <w:tcW w:w="583" w:type="pct"/>
            <w:vAlign w:val="center"/>
          </w:tcPr>
          <w:p w14:paraId="522231EE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占比</w:t>
            </w:r>
          </w:p>
          <w:p w14:paraId="03051C48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4"/>
              </w:rPr>
              <w:t>(%)</w:t>
            </w:r>
          </w:p>
        </w:tc>
      </w:tr>
      <w:tr w14:paraId="2A7BB3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" w:type="pct"/>
            <w:vAlign w:val="center"/>
          </w:tcPr>
          <w:p w14:paraId="746A1982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</w:t>
            </w:r>
          </w:p>
        </w:tc>
        <w:tc>
          <w:tcPr>
            <w:tcW w:w="1602" w:type="pct"/>
            <w:vAlign w:val="center"/>
          </w:tcPr>
          <w:p w14:paraId="19EC8559">
            <w:pPr>
              <w:widowControl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南京紫金投资集团有限责任公司</w:t>
            </w:r>
          </w:p>
        </w:tc>
        <w:tc>
          <w:tcPr>
            <w:tcW w:w="800" w:type="pct"/>
            <w:vAlign w:val="center"/>
          </w:tcPr>
          <w:p w14:paraId="5C307459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165,734.53</w:t>
            </w:r>
          </w:p>
        </w:tc>
        <w:tc>
          <w:tcPr>
            <w:tcW w:w="583" w:type="pct"/>
            <w:vAlign w:val="center"/>
          </w:tcPr>
          <w:p w14:paraId="2723AC2A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50.67</w:t>
            </w:r>
          </w:p>
        </w:tc>
        <w:tc>
          <w:tcPr>
            <w:tcW w:w="1072" w:type="pct"/>
            <w:vAlign w:val="center"/>
          </w:tcPr>
          <w:p w14:paraId="3BB86FD1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205,456.814926</w:t>
            </w:r>
          </w:p>
        </w:tc>
        <w:tc>
          <w:tcPr>
            <w:tcW w:w="583" w:type="pct"/>
            <w:vAlign w:val="center"/>
          </w:tcPr>
          <w:p w14:paraId="0365180F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51.37</w:t>
            </w:r>
          </w:p>
        </w:tc>
      </w:tr>
      <w:tr w14:paraId="4675C6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" w:type="pct"/>
            <w:vAlign w:val="center"/>
          </w:tcPr>
          <w:p w14:paraId="18092A18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</w:t>
            </w:r>
          </w:p>
        </w:tc>
        <w:tc>
          <w:tcPr>
            <w:tcW w:w="1602" w:type="pct"/>
            <w:vAlign w:val="center"/>
          </w:tcPr>
          <w:p w14:paraId="470284BA">
            <w:pPr>
              <w:widowControl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三井住友信托银行股份有限公司</w:t>
            </w:r>
          </w:p>
        </w:tc>
        <w:tc>
          <w:tcPr>
            <w:tcW w:w="800" w:type="pct"/>
            <w:vAlign w:val="center"/>
          </w:tcPr>
          <w:p w14:paraId="5C52C64B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65,421.51</w:t>
            </w:r>
          </w:p>
        </w:tc>
        <w:tc>
          <w:tcPr>
            <w:tcW w:w="583" w:type="pct"/>
            <w:vAlign w:val="center"/>
          </w:tcPr>
          <w:p w14:paraId="3AB44BF2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20.00</w:t>
            </w:r>
          </w:p>
        </w:tc>
        <w:tc>
          <w:tcPr>
            <w:tcW w:w="1072" w:type="pct"/>
            <w:vAlign w:val="center"/>
          </w:tcPr>
          <w:p w14:paraId="2CA80D41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79,998.495294</w:t>
            </w:r>
          </w:p>
        </w:tc>
        <w:tc>
          <w:tcPr>
            <w:tcW w:w="583" w:type="pct"/>
            <w:vAlign w:val="center"/>
          </w:tcPr>
          <w:p w14:paraId="022F9AD5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20.00</w:t>
            </w:r>
          </w:p>
        </w:tc>
      </w:tr>
      <w:tr w14:paraId="0A16ED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" w:type="pct"/>
            <w:vAlign w:val="center"/>
          </w:tcPr>
          <w:p w14:paraId="3F13F229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3</w:t>
            </w:r>
          </w:p>
        </w:tc>
        <w:tc>
          <w:tcPr>
            <w:tcW w:w="1602" w:type="pct"/>
            <w:vAlign w:val="center"/>
          </w:tcPr>
          <w:p w14:paraId="5FF34F41">
            <w:pPr>
              <w:widowControl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江苏宁沪高速公路股份有限公司</w:t>
            </w:r>
          </w:p>
        </w:tc>
        <w:tc>
          <w:tcPr>
            <w:tcW w:w="800" w:type="pct"/>
            <w:vAlign w:val="center"/>
          </w:tcPr>
          <w:p w14:paraId="2484B8CE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65,421.51</w:t>
            </w:r>
          </w:p>
        </w:tc>
        <w:tc>
          <w:tcPr>
            <w:tcW w:w="583" w:type="pct"/>
            <w:vAlign w:val="center"/>
          </w:tcPr>
          <w:p w14:paraId="30EA4DEC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20.00</w:t>
            </w:r>
          </w:p>
        </w:tc>
        <w:tc>
          <w:tcPr>
            <w:tcW w:w="1072" w:type="pct"/>
            <w:vAlign w:val="center"/>
          </w:tcPr>
          <w:p w14:paraId="785772D2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79,998.495294</w:t>
            </w:r>
          </w:p>
        </w:tc>
        <w:tc>
          <w:tcPr>
            <w:tcW w:w="583" w:type="pct"/>
            <w:vAlign w:val="center"/>
          </w:tcPr>
          <w:p w14:paraId="7E839E88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20.00</w:t>
            </w:r>
          </w:p>
        </w:tc>
      </w:tr>
      <w:tr w14:paraId="62B4B4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" w:type="pct"/>
            <w:vAlign w:val="center"/>
          </w:tcPr>
          <w:p w14:paraId="00C4AD20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4</w:t>
            </w:r>
          </w:p>
        </w:tc>
        <w:tc>
          <w:tcPr>
            <w:tcW w:w="1602" w:type="pct"/>
            <w:vAlign w:val="center"/>
          </w:tcPr>
          <w:p w14:paraId="7F0FA805">
            <w:pPr>
              <w:widowControl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南京新工投资集团有限责任公司</w:t>
            </w:r>
          </w:p>
        </w:tc>
        <w:tc>
          <w:tcPr>
            <w:tcW w:w="800" w:type="pct"/>
            <w:vAlign w:val="center"/>
          </w:tcPr>
          <w:p w14:paraId="66D278EA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18,000.00</w:t>
            </w:r>
          </w:p>
        </w:tc>
        <w:tc>
          <w:tcPr>
            <w:tcW w:w="583" w:type="pct"/>
            <w:vAlign w:val="center"/>
          </w:tcPr>
          <w:p w14:paraId="75531169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5.50</w:t>
            </w:r>
          </w:p>
        </w:tc>
        <w:tc>
          <w:tcPr>
            <w:tcW w:w="1072" w:type="pct"/>
            <w:vAlign w:val="center"/>
          </w:tcPr>
          <w:p w14:paraId="79394C7C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22,008.670956</w:t>
            </w:r>
          </w:p>
        </w:tc>
        <w:tc>
          <w:tcPr>
            <w:tcW w:w="583" w:type="pct"/>
            <w:vAlign w:val="center"/>
          </w:tcPr>
          <w:p w14:paraId="5B730717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5.50</w:t>
            </w:r>
          </w:p>
        </w:tc>
      </w:tr>
      <w:tr w14:paraId="4661B1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" w:type="pct"/>
            <w:vAlign w:val="center"/>
          </w:tcPr>
          <w:p w14:paraId="1DEB2457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5</w:t>
            </w:r>
          </w:p>
        </w:tc>
        <w:tc>
          <w:tcPr>
            <w:tcW w:w="1602" w:type="pct"/>
            <w:vAlign w:val="center"/>
          </w:tcPr>
          <w:p w14:paraId="00ABA6B2">
            <w:pPr>
              <w:widowControl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三胞集团有限公司</w:t>
            </w:r>
          </w:p>
        </w:tc>
        <w:tc>
          <w:tcPr>
            <w:tcW w:w="800" w:type="pct"/>
            <w:vAlign w:val="center"/>
          </w:tcPr>
          <w:p w14:paraId="26D83518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12,530.00</w:t>
            </w:r>
          </w:p>
        </w:tc>
        <w:tc>
          <w:tcPr>
            <w:tcW w:w="583" w:type="pct"/>
            <w:vAlign w:val="center"/>
          </w:tcPr>
          <w:p w14:paraId="54ED435B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3.83</w:t>
            </w:r>
          </w:p>
        </w:tc>
        <w:tc>
          <w:tcPr>
            <w:tcW w:w="1072" w:type="pct"/>
            <w:vAlign w:val="center"/>
          </w:tcPr>
          <w:p w14:paraId="79AF069E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12,530.00</w:t>
            </w:r>
          </w:p>
        </w:tc>
        <w:tc>
          <w:tcPr>
            <w:tcW w:w="583" w:type="pct"/>
            <w:vAlign w:val="center"/>
          </w:tcPr>
          <w:p w14:paraId="20D3C196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hint="eastAsia" w:asciiTheme="minorEastAsia" w:hAnsiTheme="minorEastAsia" w:cstheme="minorEastAsia"/>
                <w:szCs w:val="24"/>
              </w:rPr>
              <w:t>3.13</w:t>
            </w:r>
          </w:p>
        </w:tc>
      </w:tr>
      <w:tr w14:paraId="6DE968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0" w:type="pct"/>
            <w:gridSpan w:val="2"/>
            <w:vAlign w:val="center"/>
          </w:tcPr>
          <w:p w14:paraId="2D9376B8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Cs w:val="24"/>
              </w:rPr>
              <w:t>合计</w:t>
            </w:r>
          </w:p>
        </w:tc>
        <w:tc>
          <w:tcPr>
            <w:tcW w:w="800" w:type="pct"/>
            <w:vAlign w:val="center"/>
          </w:tcPr>
          <w:p w14:paraId="61A7FC1D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b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Cs w:val="24"/>
              </w:rPr>
              <w:t>327,107.55</w:t>
            </w:r>
          </w:p>
        </w:tc>
        <w:tc>
          <w:tcPr>
            <w:tcW w:w="583" w:type="pct"/>
            <w:vAlign w:val="center"/>
          </w:tcPr>
          <w:p w14:paraId="04FF5A9D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Cs w:val="24"/>
              </w:rPr>
              <w:t>-</w:t>
            </w:r>
          </w:p>
        </w:tc>
        <w:tc>
          <w:tcPr>
            <w:tcW w:w="1072" w:type="pct"/>
            <w:vAlign w:val="center"/>
          </w:tcPr>
          <w:p w14:paraId="1B83E226">
            <w:pPr>
              <w:widowControl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asciiTheme="minorEastAsia" w:hAnsiTheme="minorEastAsia" w:cstheme="minorEastAsia"/>
                <w:b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Cs w:val="24"/>
              </w:rPr>
              <w:t>399,992.476470</w:t>
            </w:r>
          </w:p>
        </w:tc>
        <w:tc>
          <w:tcPr>
            <w:tcW w:w="583" w:type="pct"/>
            <w:vAlign w:val="center"/>
          </w:tcPr>
          <w:p w14:paraId="011B88F8">
            <w:pPr>
              <w:widowControl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asciiTheme="minorEastAsia" w:hAnsiTheme="minorEastAsia" w:cstheme="minorEastAsia"/>
                <w:b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szCs w:val="24"/>
              </w:rPr>
              <w:t>-</w:t>
            </w:r>
          </w:p>
        </w:tc>
      </w:tr>
    </w:tbl>
    <w:p w14:paraId="07B3AD54">
      <w:pPr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0D1E045E">
      <w:pPr>
        <w:adjustRightInd w:val="0"/>
        <w:snapToGrid w:val="0"/>
        <w:spacing w:line="360" w:lineRule="auto"/>
        <w:ind w:firstLine="480"/>
        <w:outlineLvl w:val="1"/>
        <w:rPr>
          <w:rFonts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（三）出资方式及相关情况</w:t>
      </w:r>
    </w:p>
    <w:p w14:paraId="573DD0DF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紫金信托本次拟募集资金250,000万元。其中72,884.926471万元计入注册资本、177,115.073529万元计入资本公积。增资后，注册资本由327,107.55万元增至399,992.476471万元。</w:t>
      </w:r>
    </w:p>
    <w:p w14:paraId="23256C6E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本次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增资原则上</w:t>
      </w:r>
      <w:r>
        <w:rPr>
          <w:rFonts w:hint="eastAsia" w:asciiTheme="minorEastAsia" w:hAnsiTheme="minorEastAsia" w:cstheme="minorEastAsia"/>
          <w:szCs w:val="24"/>
        </w:rPr>
        <w:t>采取现股东按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原持股</w:t>
      </w:r>
      <w:r>
        <w:rPr>
          <w:rFonts w:hint="eastAsia" w:asciiTheme="minorEastAsia" w:hAnsiTheme="minorEastAsia" w:cstheme="minorEastAsia"/>
          <w:szCs w:val="24"/>
        </w:rPr>
        <w:t>比例现金出资方式。股东三胞集团有限公司因自身原因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限制</w:t>
      </w:r>
      <w:r>
        <w:rPr>
          <w:rFonts w:hint="eastAsia" w:asciiTheme="minorEastAsia" w:hAnsiTheme="minorEastAsia" w:cstheme="minorEastAsia"/>
          <w:szCs w:val="24"/>
        </w:rPr>
        <w:t>不能出资，此部分由紫金信托大股东南京紫金投资集团有限责任公司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负责</w:t>
      </w:r>
      <w:r>
        <w:rPr>
          <w:rFonts w:hint="eastAsia" w:asciiTheme="minorEastAsia" w:hAnsiTheme="minorEastAsia" w:cstheme="minorEastAsia"/>
          <w:szCs w:val="24"/>
        </w:rPr>
        <w:t>承接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出资义务</w:t>
      </w:r>
      <w:r>
        <w:rPr>
          <w:rFonts w:hint="eastAsia" w:asciiTheme="minorEastAsia" w:hAnsiTheme="minorEastAsia" w:cstheme="minorEastAsia"/>
          <w:szCs w:val="24"/>
        </w:rPr>
        <w:t>，其他股东放弃优先认购权。各股东具体出资安排如下：</w:t>
      </w:r>
    </w:p>
    <w:p w14:paraId="511208DD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股东南京紫金投资集团有限责任公司本次出资136,250万元，其中39,722.284926万元计入紫金信托的注册资本，其余96,527.715074万元计入资本公积，持股比例由50.67%增至51.37%。</w:t>
      </w:r>
    </w:p>
    <w:p w14:paraId="46660580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股东三井住友信托银行股份有限公司本次出资50,000万元，其中14,576.985294万元计入紫金信托的注册资本，其余35,423.014706万元计入资本公积，持股比例不变，仍为20%。</w:t>
      </w:r>
    </w:p>
    <w:p w14:paraId="0EABDBC0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股东江苏宁沪高速公路股份有限公司本次出资50,000万元，其中14,576.985294万元计入紫金信托的注册资本，其余35,423.014706万元计入资本公积，持股比例不变，仍为20%。</w:t>
      </w:r>
    </w:p>
    <w:p w14:paraId="47333DEB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股东南京新工投资集团有限责任公司本次出资13,750万元，其中4,008.670956万元计入紫金信托的注册资本，其余9,741.329044万元计入资本公积，持股比例不变，仍为5.5%。</w:t>
      </w:r>
    </w:p>
    <w:p w14:paraId="64680B49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股东三胞集团有限公司持股比例由3.83%变更为3.13%。</w:t>
      </w:r>
    </w:p>
    <w:p w14:paraId="5B7B1E05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22F6D10C">
      <w:pPr>
        <w:widowControl/>
        <w:adjustRightInd w:val="0"/>
        <w:snapToGrid w:val="0"/>
        <w:spacing w:line="360" w:lineRule="auto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hint="eastAsia" w:asciiTheme="minorEastAsia" w:hAnsiTheme="minorEastAsia" w:cstheme="minorEastAsia"/>
          <w:b/>
          <w:bCs/>
          <w:szCs w:val="24"/>
        </w:rPr>
        <w:t>三、交易标的评估、定价情况</w:t>
      </w:r>
    </w:p>
    <w:p w14:paraId="416C1253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根据紫金信托聘请的金证（上海）资产评估有限公司于2026年1月出具的《紫金信托股东全部权益价值资产评估报告》（金证评报字【2026】第0011号），经收益法评估，紫金信托评估基准日2025年8月31日的股东全部权益价值评估结论为人民币112.20亿元，比审计后账面所有者权益增值35,425.64万元，增值率3.26%。紫金信托注册资本为327,107.55万元，每股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净资产</w:t>
      </w:r>
      <w:r>
        <w:rPr>
          <w:rFonts w:hint="eastAsia" w:asciiTheme="minorEastAsia" w:hAnsiTheme="minorEastAsia" w:cstheme="minorEastAsia"/>
          <w:szCs w:val="24"/>
        </w:rPr>
        <w:t>评估价约为3.43元。</w:t>
      </w:r>
    </w:p>
    <w:p w14:paraId="4428D052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0A30DCE4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ind w:firstLine="482"/>
        <w:outlineLvl w:val="0"/>
        <w:rPr>
          <w:rFonts w:hint="eastAsia" w:asciiTheme="minorEastAsia" w:hAnsiTheme="minorEastAsia" w:cstheme="minorEastAsia"/>
          <w:b/>
          <w:bCs/>
          <w:szCs w:val="24"/>
        </w:rPr>
      </w:pPr>
      <w:r>
        <w:rPr>
          <w:rFonts w:hint="eastAsia" w:asciiTheme="minorEastAsia" w:hAnsiTheme="minorEastAsia" w:cstheme="minorEastAsia"/>
          <w:b/>
          <w:bCs/>
          <w:szCs w:val="24"/>
        </w:rPr>
        <w:t>对外投资合同的主要内容</w:t>
      </w:r>
    </w:p>
    <w:p w14:paraId="7FD33A33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鉴于本次相关增资协议暂未完成正式签署，相关合作条款、权利义务及后续安排仍待各方最终协商确认。后续公司将严格按照监管规则及信息披露要求，待增资协议正式签署生效后，及时就本次事项进展及相关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协议内容</w:t>
      </w:r>
      <w:r>
        <w:rPr>
          <w:rFonts w:hint="eastAsia" w:asciiTheme="minorEastAsia" w:hAnsiTheme="minorEastAsia" w:cstheme="minorEastAsia"/>
          <w:szCs w:val="24"/>
        </w:rPr>
        <w:t>履行信息披露义务。</w:t>
      </w:r>
    </w:p>
    <w:p w14:paraId="08CA3C56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default" w:asciiTheme="minorEastAsia" w:hAnsiTheme="minorEastAsia" w:cstheme="minorEastAsia"/>
          <w:szCs w:val="24"/>
          <w:lang w:val="en-US" w:eastAsia="zh-CN"/>
        </w:rPr>
      </w:pPr>
    </w:p>
    <w:p w14:paraId="766465E4">
      <w:pPr>
        <w:autoSpaceDE w:val="0"/>
        <w:autoSpaceDN w:val="0"/>
        <w:adjustRightInd w:val="0"/>
        <w:snapToGrid w:val="0"/>
        <w:spacing w:line="360" w:lineRule="auto"/>
        <w:ind w:firstLine="482"/>
        <w:outlineLvl w:val="0"/>
        <w:rPr>
          <w:rFonts w:asciiTheme="minorEastAsia" w:hAnsiTheme="minorEastAsia" w:cstheme="minorEastAsia"/>
          <w:b/>
          <w:szCs w:val="24"/>
        </w:rPr>
      </w:pPr>
      <w:r>
        <w:rPr>
          <w:rFonts w:hint="eastAsia" w:asciiTheme="minorEastAsia" w:hAnsiTheme="minorEastAsia" w:cstheme="minorEastAsia"/>
          <w:b/>
          <w:bCs/>
          <w:szCs w:val="24"/>
        </w:rPr>
        <w:t>五、对外投资对上市公司的影响</w:t>
      </w:r>
    </w:p>
    <w:p w14:paraId="190C8F01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本公司参与紫金信托本轮增资，具有多重战略意义和长期价值。一是巩固股权结构，维持并强化在紫金信托的持股比例与治理话语权，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保障</w:t>
      </w:r>
      <w:r>
        <w:rPr>
          <w:rFonts w:hint="eastAsia" w:asciiTheme="minorEastAsia" w:hAnsiTheme="minorEastAsia" w:cstheme="minorEastAsia"/>
          <w:szCs w:val="24"/>
        </w:rPr>
        <w:t>公司在紫金信托公司治理中的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重要</w:t>
      </w:r>
      <w:r>
        <w:rPr>
          <w:rFonts w:hint="eastAsia" w:asciiTheme="minorEastAsia" w:hAnsiTheme="minorEastAsia" w:cstheme="minorEastAsia"/>
          <w:szCs w:val="24"/>
        </w:rPr>
        <w:t>地位；二是优化资产配置，进一步推动产融协同，深化交通产业与金融资本的融合发展，提升整体产业布局的战略深度；三是增强综合收益能力，</w:t>
      </w:r>
      <w:r>
        <w:rPr>
          <w:rFonts w:hint="eastAsia" w:asciiTheme="minorEastAsia" w:hAnsiTheme="minorEastAsia" w:cstheme="minorEastAsia"/>
          <w:szCs w:val="24"/>
          <w:lang w:val="en-US" w:eastAsia="zh-CN"/>
        </w:rPr>
        <w:t>通过</w:t>
      </w:r>
      <w:r>
        <w:rPr>
          <w:rFonts w:hint="eastAsia" w:asciiTheme="minorEastAsia" w:hAnsiTheme="minorEastAsia" w:cstheme="minorEastAsia"/>
          <w:szCs w:val="24"/>
        </w:rPr>
        <w:t>进一步增厚投资收益，实现金融投资收益反哺路桥主业的良性互动。</w:t>
      </w:r>
    </w:p>
    <w:p w14:paraId="470E2A96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本次对外投资不会对本公司资产及损益情况构成重大影响，不会导致公司合并报表范围发生变化，不存在损害本公司及广大股东利益的情形。</w:t>
      </w:r>
    </w:p>
    <w:p w14:paraId="0EA53886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2BDA8C11">
      <w:pPr>
        <w:autoSpaceDE w:val="0"/>
        <w:autoSpaceDN w:val="0"/>
        <w:adjustRightInd w:val="0"/>
        <w:snapToGrid w:val="0"/>
        <w:spacing w:line="360" w:lineRule="auto"/>
        <w:ind w:firstLine="482"/>
        <w:outlineLvl w:val="0"/>
        <w:rPr>
          <w:rStyle w:val="16"/>
        </w:rPr>
      </w:pPr>
      <w:r>
        <w:rPr>
          <w:rFonts w:hint="eastAsia" w:asciiTheme="minorEastAsia" w:hAnsiTheme="minorEastAsia" w:cstheme="minorEastAsia"/>
          <w:b/>
          <w:bCs/>
          <w:szCs w:val="24"/>
        </w:rPr>
        <w:t>六、对外投资的风险提示</w:t>
      </w:r>
    </w:p>
    <w:p w14:paraId="2774345D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本次交易尚需获得国有资产监督管理部门、</w:t>
      </w:r>
      <w:r>
        <w:rPr>
          <w:rFonts w:hint="eastAsia" w:asciiTheme="minorEastAsia" w:hAnsiTheme="minorEastAsia" w:cstheme="minorEastAsia"/>
          <w:szCs w:val="24"/>
          <w:lang w:eastAsia="zh-CN"/>
        </w:rPr>
        <w:t>国家金融监督管理总局江苏监管局</w:t>
      </w:r>
      <w:r>
        <w:rPr>
          <w:rFonts w:hint="eastAsia" w:asciiTheme="minorEastAsia" w:hAnsiTheme="minorEastAsia" w:cstheme="minorEastAsia"/>
          <w:szCs w:val="24"/>
        </w:rPr>
        <w:t>批准后实施。交易成功与否存在不确定性，请投资者注意风险。本公司将根据后续进展情况及时予以披露。</w:t>
      </w:r>
    </w:p>
    <w:p w14:paraId="2901C413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46104BD9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  <w:r>
        <w:rPr>
          <w:rFonts w:hint="eastAsia" w:asciiTheme="minorEastAsia" w:hAnsiTheme="minorEastAsia" w:cstheme="minorEastAsia"/>
          <w:szCs w:val="24"/>
        </w:rPr>
        <w:t>特此公告。</w:t>
      </w:r>
    </w:p>
    <w:p w14:paraId="18488ECE">
      <w:pPr>
        <w:widowControl/>
        <w:adjustRightInd w:val="0"/>
        <w:snapToGrid w:val="0"/>
        <w:spacing w:line="360" w:lineRule="auto"/>
        <w:ind w:firstLine="480"/>
        <w:outlineLvl w:val="1"/>
        <w:rPr>
          <w:rFonts w:hint="eastAsia" w:asciiTheme="minorEastAsia" w:hAnsiTheme="minorEastAsia" w:cstheme="minorEastAsia"/>
          <w:szCs w:val="24"/>
        </w:rPr>
      </w:pPr>
    </w:p>
    <w:p w14:paraId="0799815F">
      <w:pPr>
        <w:adjustRightInd w:val="0"/>
        <w:snapToGrid w:val="0"/>
        <w:ind w:firstLine="480"/>
        <w:jc w:val="right"/>
        <w:rPr>
          <w:rFonts w:cs="仿宋_GB2312" w:asciiTheme="minorEastAsia" w:hAnsiTheme="minorEastAsia"/>
          <w:szCs w:val="24"/>
        </w:rPr>
      </w:pPr>
      <w:r>
        <w:rPr>
          <w:rFonts w:hint="eastAsia" w:cs="仿宋_GB2312" w:asciiTheme="minorEastAsia" w:hAnsiTheme="minorEastAsia"/>
          <w:szCs w:val="24"/>
        </w:rPr>
        <w:t>江苏宁沪高速公路股份有限公司董事会</w:t>
      </w:r>
    </w:p>
    <w:p w14:paraId="065FA597">
      <w:pPr>
        <w:adjustRightInd w:val="0"/>
        <w:snapToGrid w:val="0"/>
        <w:ind w:firstLine="480"/>
        <w:jc w:val="right"/>
        <w:rPr>
          <w:rFonts w:asciiTheme="minorEastAsia" w:hAnsiTheme="minorEastAsia"/>
          <w:b/>
          <w:szCs w:val="24"/>
        </w:rPr>
      </w:pPr>
      <w:r>
        <w:rPr>
          <w:rFonts w:hint="eastAsia" w:cs="仿宋_GB2312" w:asciiTheme="minorEastAsia" w:hAnsiTheme="minorEastAsia"/>
          <w:szCs w:val="24"/>
        </w:rPr>
        <w:t>2026年</w:t>
      </w:r>
      <w:r>
        <w:rPr>
          <w:rFonts w:hint="eastAsia" w:cs="仿宋_GB2312" w:asciiTheme="minorEastAsia" w:hAnsiTheme="minorEastAsia"/>
          <w:szCs w:val="24"/>
          <w:lang w:val="en-US" w:eastAsia="zh-CN"/>
        </w:rPr>
        <w:t>4</w:t>
      </w:r>
      <w:r>
        <w:rPr>
          <w:rFonts w:hint="eastAsia" w:cs="仿宋_GB2312" w:asciiTheme="minorEastAsia" w:hAnsiTheme="minorEastAsia"/>
          <w:szCs w:val="24"/>
        </w:rPr>
        <w:t>月30日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37828"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34CC0"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07E19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27C99">
    <w:pPr>
      <w:pStyle w:val="10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15CFF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81853"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41533E"/>
    <w:multiLevelType w:val="singleLevel"/>
    <w:tmpl w:val="0F41533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D293B7B"/>
    <w:multiLevelType w:val="multilevel"/>
    <w:tmpl w:val="5D293B7B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abstractNum w:abstractNumId="2">
    <w:nsid w:val="7831493E"/>
    <w:multiLevelType w:val="singleLevel"/>
    <w:tmpl w:val="7831493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  <w:docVar w:name="RemovedBindingXPath" w:val="true"/>
  </w:docVars>
  <w:rsids>
    <w:rsidRoot w:val="008C5DB8"/>
    <w:rsid w:val="00004EF0"/>
    <w:rsid w:val="0000622B"/>
    <w:rsid w:val="00007894"/>
    <w:rsid w:val="00011B58"/>
    <w:rsid w:val="00011D6B"/>
    <w:rsid w:val="00011E7C"/>
    <w:rsid w:val="000134A9"/>
    <w:rsid w:val="00013C7A"/>
    <w:rsid w:val="00014DAA"/>
    <w:rsid w:val="0001513D"/>
    <w:rsid w:val="00016A68"/>
    <w:rsid w:val="00017DF4"/>
    <w:rsid w:val="000209EB"/>
    <w:rsid w:val="00023FE2"/>
    <w:rsid w:val="00024791"/>
    <w:rsid w:val="00024B0F"/>
    <w:rsid w:val="000316A0"/>
    <w:rsid w:val="000316DE"/>
    <w:rsid w:val="000318EE"/>
    <w:rsid w:val="000320FF"/>
    <w:rsid w:val="000329AD"/>
    <w:rsid w:val="00033287"/>
    <w:rsid w:val="00036E39"/>
    <w:rsid w:val="000415E2"/>
    <w:rsid w:val="00041AFF"/>
    <w:rsid w:val="00041B70"/>
    <w:rsid w:val="0005296D"/>
    <w:rsid w:val="0005330F"/>
    <w:rsid w:val="000552DE"/>
    <w:rsid w:val="00055BB1"/>
    <w:rsid w:val="00055D12"/>
    <w:rsid w:val="0005649D"/>
    <w:rsid w:val="00057954"/>
    <w:rsid w:val="00057AAF"/>
    <w:rsid w:val="0006154D"/>
    <w:rsid w:val="00061EF5"/>
    <w:rsid w:val="000657A0"/>
    <w:rsid w:val="00071209"/>
    <w:rsid w:val="00071335"/>
    <w:rsid w:val="000715B9"/>
    <w:rsid w:val="00071DCE"/>
    <w:rsid w:val="00071DFD"/>
    <w:rsid w:val="00071EFB"/>
    <w:rsid w:val="0007584E"/>
    <w:rsid w:val="0007700C"/>
    <w:rsid w:val="00083392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6AF6"/>
    <w:rsid w:val="00097314"/>
    <w:rsid w:val="000A0447"/>
    <w:rsid w:val="000A0B83"/>
    <w:rsid w:val="000A0BA2"/>
    <w:rsid w:val="000A173A"/>
    <w:rsid w:val="000A2CC0"/>
    <w:rsid w:val="000A2F81"/>
    <w:rsid w:val="000A5346"/>
    <w:rsid w:val="000A581B"/>
    <w:rsid w:val="000A777E"/>
    <w:rsid w:val="000A779D"/>
    <w:rsid w:val="000B1C0F"/>
    <w:rsid w:val="000B26F4"/>
    <w:rsid w:val="000B2D61"/>
    <w:rsid w:val="000B5402"/>
    <w:rsid w:val="000B61DD"/>
    <w:rsid w:val="000B6EFB"/>
    <w:rsid w:val="000C126A"/>
    <w:rsid w:val="000C1CD5"/>
    <w:rsid w:val="000C26F1"/>
    <w:rsid w:val="000C2BA7"/>
    <w:rsid w:val="000C4D9C"/>
    <w:rsid w:val="000C4F6E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1F34"/>
    <w:rsid w:val="000F2FE3"/>
    <w:rsid w:val="000F32A6"/>
    <w:rsid w:val="000F39F7"/>
    <w:rsid w:val="000F4243"/>
    <w:rsid w:val="000F5E24"/>
    <w:rsid w:val="00102EE0"/>
    <w:rsid w:val="00105374"/>
    <w:rsid w:val="00110400"/>
    <w:rsid w:val="00110C53"/>
    <w:rsid w:val="00110FD3"/>
    <w:rsid w:val="00111FD6"/>
    <w:rsid w:val="00117BC7"/>
    <w:rsid w:val="00120E15"/>
    <w:rsid w:val="00121EB3"/>
    <w:rsid w:val="00123A27"/>
    <w:rsid w:val="00130B19"/>
    <w:rsid w:val="0013329D"/>
    <w:rsid w:val="001345D6"/>
    <w:rsid w:val="00135412"/>
    <w:rsid w:val="00136B4D"/>
    <w:rsid w:val="00136CF2"/>
    <w:rsid w:val="00142572"/>
    <w:rsid w:val="00142BE7"/>
    <w:rsid w:val="001445A8"/>
    <w:rsid w:val="00144A2D"/>
    <w:rsid w:val="00145AE4"/>
    <w:rsid w:val="00146AE6"/>
    <w:rsid w:val="00147BA3"/>
    <w:rsid w:val="001509BD"/>
    <w:rsid w:val="00154ECD"/>
    <w:rsid w:val="00154F63"/>
    <w:rsid w:val="00156132"/>
    <w:rsid w:val="001627BA"/>
    <w:rsid w:val="001635C5"/>
    <w:rsid w:val="001656ED"/>
    <w:rsid w:val="001745A0"/>
    <w:rsid w:val="00174FAC"/>
    <w:rsid w:val="001763D0"/>
    <w:rsid w:val="00183AD3"/>
    <w:rsid w:val="00185D57"/>
    <w:rsid w:val="00186AC7"/>
    <w:rsid w:val="0019044B"/>
    <w:rsid w:val="00191625"/>
    <w:rsid w:val="00191AE4"/>
    <w:rsid w:val="00192312"/>
    <w:rsid w:val="00192FA9"/>
    <w:rsid w:val="00193328"/>
    <w:rsid w:val="001953C1"/>
    <w:rsid w:val="00196816"/>
    <w:rsid w:val="001A1F6F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403D"/>
    <w:rsid w:val="001C0B03"/>
    <w:rsid w:val="001C1F7E"/>
    <w:rsid w:val="001C20B5"/>
    <w:rsid w:val="001C2826"/>
    <w:rsid w:val="001C3E4D"/>
    <w:rsid w:val="001C3E6D"/>
    <w:rsid w:val="001C4E7D"/>
    <w:rsid w:val="001C61C9"/>
    <w:rsid w:val="001C6DB0"/>
    <w:rsid w:val="001D05A4"/>
    <w:rsid w:val="001D157D"/>
    <w:rsid w:val="001D269D"/>
    <w:rsid w:val="001D5AFC"/>
    <w:rsid w:val="001D5BCD"/>
    <w:rsid w:val="001D6ABC"/>
    <w:rsid w:val="001E1D88"/>
    <w:rsid w:val="001E6D93"/>
    <w:rsid w:val="001E75C4"/>
    <w:rsid w:val="001F2083"/>
    <w:rsid w:val="001F422F"/>
    <w:rsid w:val="001F6B2B"/>
    <w:rsid w:val="00202534"/>
    <w:rsid w:val="002048A3"/>
    <w:rsid w:val="00206BC7"/>
    <w:rsid w:val="00207652"/>
    <w:rsid w:val="00207743"/>
    <w:rsid w:val="00210883"/>
    <w:rsid w:val="00213781"/>
    <w:rsid w:val="00214ACE"/>
    <w:rsid w:val="00215E68"/>
    <w:rsid w:val="00216020"/>
    <w:rsid w:val="00216775"/>
    <w:rsid w:val="00221605"/>
    <w:rsid w:val="002217D3"/>
    <w:rsid w:val="00221C66"/>
    <w:rsid w:val="00224529"/>
    <w:rsid w:val="0022784F"/>
    <w:rsid w:val="00230F96"/>
    <w:rsid w:val="00231D36"/>
    <w:rsid w:val="0023234C"/>
    <w:rsid w:val="0023362A"/>
    <w:rsid w:val="00235174"/>
    <w:rsid w:val="002370D9"/>
    <w:rsid w:val="0024127B"/>
    <w:rsid w:val="002432E5"/>
    <w:rsid w:val="00244577"/>
    <w:rsid w:val="00250A64"/>
    <w:rsid w:val="00254100"/>
    <w:rsid w:val="00254558"/>
    <w:rsid w:val="0025534A"/>
    <w:rsid w:val="00260131"/>
    <w:rsid w:val="0026315D"/>
    <w:rsid w:val="00264A3A"/>
    <w:rsid w:val="00264CAD"/>
    <w:rsid w:val="002659BF"/>
    <w:rsid w:val="00265D6C"/>
    <w:rsid w:val="00265E5F"/>
    <w:rsid w:val="0026718A"/>
    <w:rsid w:val="00267592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87F68"/>
    <w:rsid w:val="00290FC6"/>
    <w:rsid w:val="002930BD"/>
    <w:rsid w:val="002948E5"/>
    <w:rsid w:val="00295147"/>
    <w:rsid w:val="00295A30"/>
    <w:rsid w:val="002969F3"/>
    <w:rsid w:val="00296B71"/>
    <w:rsid w:val="002A2075"/>
    <w:rsid w:val="002A20B3"/>
    <w:rsid w:val="002A3368"/>
    <w:rsid w:val="002A3520"/>
    <w:rsid w:val="002A40E8"/>
    <w:rsid w:val="002A5BD6"/>
    <w:rsid w:val="002A6062"/>
    <w:rsid w:val="002B03CC"/>
    <w:rsid w:val="002B0DEC"/>
    <w:rsid w:val="002B3233"/>
    <w:rsid w:val="002B3462"/>
    <w:rsid w:val="002B7FB0"/>
    <w:rsid w:val="002C0A13"/>
    <w:rsid w:val="002C1998"/>
    <w:rsid w:val="002C3B71"/>
    <w:rsid w:val="002C4298"/>
    <w:rsid w:val="002C51A6"/>
    <w:rsid w:val="002C578E"/>
    <w:rsid w:val="002C73D0"/>
    <w:rsid w:val="002D06DF"/>
    <w:rsid w:val="002D11F5"/>
    <w:rsid w:val="002D1C0D"/>
    <w:rsid w:val="002D7A46"/>
    <w:rsid w:val="002E0F85"/>
    <w:rsid w:val="002E17BB"/>
    <w:rsid w:val="002E3CFE"/>
    <w:rsid w:val="002E5862"/>
    <w:rsid w:val="002E673D"/>
    <w:rsid w:val="002E6FED"/>
    <w:rsid w:val="002F0218"/>
    <w:rsid w:val="002F36A0"/>
    <w:rsid w:val="002F4615"/>
    <w:rsid w:val="002F7887"/>
    <w:rsid w:val="003006FD"/>
    <w:rsid w:val="00300E0C"/>
    <w:rsid w:val="00303319"/>
    <w:rsid w:val="003068DE"/>
    <w:rsid w:val="00306C2E"/>
    <w:rsid w:val="00306CA5"/>
    <w:rsid w:val="003071F3"/>
    <w:rsid w:val="00311E9F"/>
    <w:rsid w:val="00317BC2"/>
    <w:rsid w:val="003216A9"/>
    <w:rsid w:val="0032367F"/>
    <w:rsid w:val="00323A21"/>
    <w:rsid w:val="0032458D"/>
    <w:rsid w:val="003253F1"/>
    <w:rsid w:val="00325654"/>
    <w:rsid w:val="0032604F"/>
    <w:rsid w:val="00331C12"/>
    <w:rsid w:val="00335113"/>
    <w:rsid w:val="0033790F"/>
    <w:rsid w:val="00337BE0"/>
    <w:rsid w:val="003402FE"/>
    <w:rsid w:val="003428F3"/>
    <w:rsid w:val="0034755D"/>
    <w:rsid w:val="00352FEF"/>
    <w:rsid w:val="0035344A"/>
    <w:rsid w:val="00353872"/>
    <w:rsid w:val="00354018"/>
    <w:rsid w:val="00355E1B"/>
    <w:rsid w:val="00356E10"/>
    <w:rsid w:val="00357EA0"/>
    <w:rsid w:val="00361700"/>
    <w:rsid w:val="00364663"/>
    <w:rsid w:val="003651DF"/>
    <w:rsid w:val="003653F5"/>
    <w:rsid w:val="00366CCD"/>
    <w:rsid w:val="00367453"/>
    <w:rsid w:val="00370B90"/>
    <w:rsid w:val="00374A19"/>
    <w:rsid w:val="00375B9C"/>
    <w:rsid w:val="00376606"/>
    <w:rsid w:val="003766EF"/>
    <w:rsid w:val="00383379"/>
    <w:rsid w:val="003843C8"/>
    <w:rsid w:val="0038738F"/>
    <w:rsid w:val="00393988"/>
    <w:rsid w:val="00394A8C"/>
    <w:rsid w:val="00395F09"/>
    <w:rsid w:val="00396692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F09"/>
    <w:rsid w:val="003B772C"/>
    <w:rsid w:val="003C0DA5"/>
    <w:rsid w:val="003C16A8"/>
    <w:rsid w:val="003C29C4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03CB"/>
    <w:rsid w:val="003F333E"/>
    <w:rsid w:val="003F59BF"/>
    <w:rsid w:val="003F619C"/>
    <w:rsid w:val="003F651E"/>
    <w:rsid w:val="004022C5"/>
    <w:rsid w:val="00404DF5"/>
    <w:rsid w:val="00405849"/>
    <w:rsid w:val="00405F2E"/>
    <w:rsid w:val="0040650F"/>
    <w:rsid w:val="004150E8"/>
    <w:rsid w:val="00423B5B"/>
    <w:rsid w:val="004240D4"/>
    <w:rsid w:val="00424E22"/>
    <w:rsid w:val="00425642"/>
    <w:rsid w:val="00426491"/>
    <w:rsid w:val="00427543"/>
    <w:rsid w:val="00430B69"/>
    <w:rsid w:val="00430E15"/>
    <w:rsid w:val="004339B4"/>
    <w:rsid w:val="0043754A"/>
    <w:rsid w:val="00437CE1"/>
    <w:rsid w:val="0044168F"/>
    <w:rsid w:val="00442A1B"/>
    <w:rsid w:val="004443A8"/>
    <w:rsid w:val="00444D15"/>
    <w:rsid w:val="004452CF"/>
    <w:rsid w:val="004462D1"/>
    <w:rsid w:val="00446E52"/>
    <w:rsid w:val="00447880"/>
    <w:rsid w:val="00456AB7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08F7"/>
    <w:rsid w:val="00482007"/>
    <w:rsid w:val="004824A9"/>
    <w:rsid w:val="0048261B"/>
    <w:rsid w:val="004844F6"/>
    <w:rsid w:val="0048475F"/>
    <w:rsid w:val="00484A20"/>
    <w:rsid w:val="00484CD8"/>
    <w:rsid w:val="00490CC5"/>
    <w:rsid w:val="00491D85"/>
    <w:rsid w:val="004923D4"/>
    <w:rsid w:val="00493080"/>
    <w:rsid w:val="0049605D"/>
    <w:rsid w:val="00496916"/>
    <w:rsid w:val="004A1747"/>
    <w:rsid w:val="004A1FDB"/>
    <w:rsid w:val="004A2D0E"/>
    <w:rsid w:val="004A330D"/>
    <w:rsid w:val="004A3F7D"/>
    <w:rsid w:val="004A4FC9"/>
    <w:rsid w:val="004A6E8A"/>
    <w:rsid w:val="004B1154"/>
    <w:rsid w:val="004B1C50"/>
    <w:rsid w:val="004B2D4F"/>
    <w:rsid w:val="004B35E5"/>
    <w:rsid w:val="004B6EAD"/>
    <w:rsid w:val="004B72D1"/>
    <w:rsid w:val="004B735F"/>
    <w:rsid w:val="004B744D"/>
    <w:rsid w:val="004C2C49"/>
    <w:rsid w:val="004C6011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E760B"/>
    <w:rsid w:val="004F0079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40A1"/>
    <w:rsid w:val="005173B0"/>
    <w:rsid w:val="00521184"/>
    <w:rsid w:val="00526671"/>
    <w:rsid w:val="00530B9D"/>
    <w:rsid w:val="00530BC3"/>
    <w:rsid w:val="00531550"/>
    <w:rsid w:val="0053277A"/>
    <w:rsid w:val="00533839"/>
    <w:rsid w:val="0053497E"/>
    <w:rsid w:val="005355FC"/>
    <w:rsid w:val="00536579"/>
    <w:rsid w:val="00536BBF"/>
    <w:rsid w:val="00537CD7"/>
    <w:rsid w:val="005411B5"/>
    <w:rsid w:val="00541D93"/>
    <w:rsid w:val="00543F21"/>
    <w:rsid w:val="00544318"/>
    <w:rsid w:val="005443EB"/>
    <w:rsid w:val="00545344"/>
    <w:rsid w:val="005465C2"/>
    <w:rsid w:val="00547C23"/>
    <w:rsid w:val="00550CD6"/>
    <w:rsid w:val="0055150E"/>
    <w:rsid w:val="005543F1"/>
    <w:rsid w:val="00554723"/>
    <w:rsid w:val="0055573D"/>
    <w:rsid w:val="00555DE5"/>
    <w:rsid w:val="00560B7B"/>
    <w:rsid w:val="00561A5A"/>
    <w:rsid w:val="005633F3"/>
    <w:rsid w:val="005658C9"/>
    <w:rsid w:val="005755D1"/>
    <w:rsid w:val="00580A5C"/>
    <w:rsid w:val="0058191C"/>
    <w:rsid w:val="00581D6A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4593"/>
    <w:rsid w:val="005A53C1"/>
    <w:rsid w:val="005A5B25"/>
    <w:rsid w:val="005A5C2E"/>
    <w:rsid w:val="005B236C"/>
    <w:rsid w:val="005B4D00"/>
    <w:rsid w:val="005B4EB2"/>
    <w:rsid w:val="005C0F43"/>
    <w:rsid w:val="005C1B88"/>
    <w:rsid w:val="005C5D26"/>
    <w:rsid w:val="005C6609"/>
    <w:rsid w:val="005D4820"/>
    <w:rsid w:val="005D5B49"/>
    <w:rsid w:val="005D6496"/>
    <w:rsid w:val="005D6A27"/>
    <w:rsid w:val="005D7D35"/>
    <w:rsid w:val="005E05A5"/>
    <w:rsid w:val="005E0600"/>
    <w:rsid w:val="005E0636"/>
    <w:rsid w:val="005E1DCC"/>
    <w:rsid w:val="005E1E6C"/>
    <w:rsid w:val="005E1F3C"/>
    <w:rsid w:val="005E2BF5"/>
    <w:rsid w:val="005E344D"/>
    <w:rsid w:val="005E70DF"/>
    <w:rsid w:val="005F0412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17F9F"/>
    <w:rsid w:val="006208E7"/>
    <w:rsid w:val="00621CB3"/>
    <w:rsid w:val="00622196"/>
    <w:rsid w:val="00624BC4"/>
    <w:rsid w:val="00630145"/>
    <w:rsid w:val="006310D7"/>
    <w:rsid w:val="006315A8"/>
    <w:rsid w:val="00637BBF"/>
    <w:rsid w:val="00637D27"/>
    <w:rsid w:val="00637D82"/>
    <w:rsid w:val="00640106"/>
    <w:rsid w:val="00641D09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39A1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87D54"/>
    <w:rsid w:val="00690A11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56A9"/>
    <w:rsid w:val="006B6815"/>
    <w:rsid w:val="006B6950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E69C1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7527"/>
    <w:rsid w:val="0071102F"/>
    <w:rsid w:val="00713304"/>
    <w:rsid w:val="007138A7"/>
    <w:rsid w:val="007138E6"/>
    <w:rsid w:val="00715DED"/>
    <w:rsid w:val="0072567D"/>
    <w:rsid w:val="007258B1"/>
    <w:rsid w:val="00726A8F"/>
    <w:rsid w:val="00730012"/>
    <w:rsid w:val="007303A5"/>
    <w:rsid w:val="007313FD"/>
    <w:rsid w:val="00732219"/>
    <w:rsid w:val="007324A9"/>
    <w:rsid w:val="0073307C"/>
    <w:rsid w:val="007360F2"/>
    <w:rsid w:val="00740988"/>
    <w:rsid w:val="00740AA9"/>
    <w:rsid w:val="00742BAB"/>
    <w:rsid w:val="0074531C"/>
    <w:rsid w:val="007456C7"/>
    <w:rsid w:val="007475E2"/>
    <w:rsid w:val="0075159E"/>
    <w:rsid w:val="00751CB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0224"/>
    <w:rsid w:val="007755A3"/>
    <w:rsid w:val="00783EEA"/>
    <w:rsid w:val="00783FAF"/>
    <w:rsid w:val="00792C7B"/>
    <w:rsid w:val="007951BF"/>
    <w:rsid w:val="0079698F"/>
    <w:rsid w:val="007A02EA"/>
    <w:rsid w:val="007A1462"/>
    <w:rsid w:val="007A1765"/>
    <w:rsid w:val="007A1EA2"/>
    <w:rsid w:val="007A4620"/>
    <w:rsid w:val="007A4CF8"/>
    <w:rsid w:val="007A580E"/>
    <w:rsid w:val="007A5EEB"/>
    <w:rsid w:val="007A63DB"/>
    <w:rsid w:val="007B0851"/>
    <w:rsid w:val="007B1BBD"/>
    <w:rsid w:val="007B2222"/>
    <w:rsid w:val="007B40F7"/>
    <w:rsid w:val="007B54AA"/>
    <w:rsid w:val="007C0558"/>
    <w:rsid w:val="007C0A48"/>
    <w:rsid w:val="007C270D"/>
    <w:rsid w:val="007C28AA"/>
    <w:rsid w:val="007C2908"/>
    <w:rsid w:val="007C3027"/>
    <w:rsid w:val="007C30A7"/>
    <w:rsid w:val="007C3493"/>
    <w:rsid w:val="007C4C7C"/>
    <w:rsid w:val="007C4D82"/>
    <w:rsid w:val="007C5260"/>
    <w:rsid w:val="007D43E7"/>
    <w:rsid w:val="007D6893"/>
    <w:rsid w:val="007E01D7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243A"/>
    <w:rsid w:val="00813917"/>
    <w:rsid w:val="00813F09"/>
    <w:rsid w:val="00814CAB"/>
    <w:rsid w:val="0081586E"/>
    <w:rsid w:val="00816032"/>
    <w:rsid w:val="00817481"/>
    <w:rsid w:val="00820210"/>
    <w:rsid w:val="00820C09"/>
    <w:rsid w:val="00821EE5"/>
    <w:rsid w:val="008222E6"/>
    <w:rsid w:val="008224C8"/>
    <w:rsid w:val="00822AA8"/>
    <w:rsid w:val="00823B30"/>
    <w:rsid w:val="008240B5"/>
    <w:rsid w:val="0082448C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5F95"/>
    <w:rsid w:val="0087074B"/>
    <w:rsid w:val="00871507"/>
    <w:rsid w:val="0087601E"/>
    <w:rsid w:val="00876218"/>
    <w:rsid w:val="00876CAD"/>
    <w:rsid w:val="008804AB"/>
    <w:rsid w:val="00882C4D"/>
    <w:rsid w:val="0088305F"/>
    <w:rsid w:val="00884BEA"/>
    <w:rsid w:val="0088525E"/>
    <w:rsid w:val="00885291"/>
    <w:rsid w:val="0088596B"/>
    <w:rsid w:val="00890879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594"/>
    <w:rsid w:val="008C6A69"/>
    <w:rsid w:val="008C6EF5"/>
    <w:rsid w:val="008C7C1D"/>
    <w:rsid w:val="008D068D"/>
    <w:rsid w:val="008D0764"/>
    <w:rsid w:val="008D19A4"/>
    <w:rsid w:val="008D27ED"/>
    <w:rsid w:val="008D3A24"/>
    <w:rsid w:val="008D75D1"/>
    <w:rsid w:val="008E2909"/>
    <w:rsid w:val="008E371A"/>
    <w:rsid w:val="008E4F0C"/>
    <w:rsid w:val="008E596B"/>
    <w:rsid w:val="008E60C6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54D9"/>
    <w:rsid w:val="00915C92"/>
    <w:rsid w:val="0091623C"/>
    <w:rsid w:val="00916FD9"/>
    <w:rsid w:val="009178E3"/>
    <w:rsid w:val="00921DA4"/>
    <w:rsid w:val="00926436"/>
    <w:rsid w:val="009278A1"/>
    <w:rsid w:val="00927CC9"/>
    <w:rsid w:val="009306FE"/>
    <w:rsid w:val="00930785"/>
    <w:rsid w:val="00930E04"/>
    <w:rsid w:val="00931325"/>
    <w:rsid w:val="0093179D"/>
    <w:rsid w:val="00932D84"/>
    <w:rsid w:val="00933ABB"/>
    <w:rsid w:val="00933BFC"/>
    <w:rsid w:val="00937A57"/>
    <w:rsid w:val="00941234"/>
    <w:rsid w:val="0094186D"/>
    <w:rsid w:val="00942575"/>
    <w:rsid w:val="0094357B"/>
    <w:rsid w:val="00945D56"/>
    <w:rsid w:val="00946D24"/>
    <w:rsid w:val="00947BA6"/>
    <w:rsid w:val="00947FFA"/>
    <w:rsid w:val="00950AAF"/>
    <w:rsid w:val="00951D84"/>
    <w:rsid w:val="00953922"/>
    <w:rsid w:val="009540D5"/>
    <w:rsid w:val="0095546D"/>
    <w:rsid w:val="00955841"/>
    <w:rsid w:val="0095624A"/>
    <w:rsid w:val="00957DA0"/>
    <w:rsid w:val="00961884"/>
    <w:rsid w:val="009628E8"/>
    <w:rsid w:val="00966207"/>
    <w:rsid w:val="00966C93"/>
    <w:rsid w:val="00966D57"/>
    <w:rsid w:val="00966F0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AB9"/>
    <w:rsid w:val="00977C25"/>
    <w:rsid w:val="009828C4"/>
    <w:rsid w:val="00983F0D"/>
    <w:rsid w:val="0099345F"/>
    <w:rsid w:val="00997254"/>
    <w:rsid w:val="009A1B98"/>
    <w:rsid w:val="009A240C"/>
    <w:rsid w:val="009A3BF1"/>
    <w:rsid w:val="009A5C7D"/>
    <w:rsid w:val="009A5DAF"/>
    <w:rsid w:val="009A673F"/>
    <w:rsid w:val="009A6874"/>
    <w:rsid w:val="009A7601"/>
    <w:rsid w:val="009B026F"/>
    <w:rsid w:val="009B1286"/>
    <w:rsid w:val="009B3ABD"/>
    <w:rsid w:val="009B7AEF"/>
    <w:rsid w:val="009C16F8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6BE"/>
    <w:rsid w:val="009F3885"/>
    <w:rsid w:val="009F3DA9"/>
    <w:rsid w:val="009F43ED"/>
    <w:rsid w:val="009F505D"/>
    <w:rsid w:val="009F5743"/>
    <w:rsid w:val="009F5C91"/>
    <w:rsid w:val="009F61D8"/>
    <w:rsid w:val="00A00EF8"/>
    <w:rsid w:val="00A056CC"/>
    <w:rsid w:val="00A06C7A"/>
    <w:rsid w:val="00A10C5C"/>
    <w:rsid w:val="00A11286"/>
    <w:rsid w:val="00A11394"/>
    <w:rsid w:val="00A203AC"/>
    <w:rsid w:val="00A20428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5B61"/>
    <w:rsid w:val="00A3732D"/>
    <w:rsid w:val="00A409D2"/>
    <w:rsid w:val="00A4105C"/>
    <w:rsid w:val="00A41507"/>
    <w:rsid w:val="00A41B30"/>
    <w:rsid w:val="00A41D14"/>
    <w:rsid w:val="00A4206C"/>
    <w:rsid w:val="00A43302"/>
    <w:rsid w:val="00A455B0"/>
    <w:rsid w:val="00A473BE"/>
    <w:rsid w:val="00A47ADF"/>
    <w:rsid w:val="00A47FE3"/>
    <w:rsid w:val="00A51842"/>
    <w:rsid w:val="00A52454"/>
    <w:rsid w:val="00A52A9E"/>
    <w:rsid w:val="00A530BC"/>
    <w:rsid w:val="00A5444C"/>
    <w:rsid w:val="00A5503D"/>
    <w:rsid w:val="00A62093"/>
    <w:rsid w:val="00A625EC"/>
    <w:rsid w:val="00A627A0"/>
    <w:rsid w:val="00A670B9"/>
    <w:rsid w:val="00A72546"/>
    <w:rsid w:val="00A74559"/>
    <w:rsid w:val="00A7526A"/>
    <w:rsid w:val="00A75709"/>
    <w:rsid w:val="00A76332"/>
    <w:rsid w:val="00A8232E"/>
    <w:rsid w:val="00A84995"/>
    <w:rsid w:val="00A85E4A"/>
    <w:rsid w:val="00A86143"/>
    <w:rsid w:val="00A86B82"/>
    <w:rsid w:val="00A87A5F"/>
    <w:rsid w:val="00A94E63"/>
    <w:rsid w:val="00A964BD"/>
    <w:rsid w:val="00A97182"/>
    <w:rsid w:val="00A979DD"/>
    <w:rsid w:val="00AA1C47"/>
    <w:rsid w:val="00AA3C83"/>
    <w:rsid w:val="00AA5E72"/>
    <w:rsid w:val="00AA6069"/>
    <w:rsid w:val="00AA7102"/>
    <w:rsid w:val="00AB02F5"/>
    <w:rsid w:val="00AB0831"/>
    <w:rsid w:val="00AB1F2F"/>
    <w:rsid w:val="00AB4698"/>
    <w:rsid w:val="00AB6B5F"/>
    <w:rsid w:val="00AC0223"/>
    <w:rsid w:val="00AC0EEE"/>
    <w:rsid w:val="00AC14B1"/>
    <w:rsid w:val="00AC4F9E"/>
    <w:rsid w:val="00AD1B3E"/>
    <w:rsid w:val="00AD1D01"/>
    <w:rsid w:val="00AD2B2A"/>
    <w:rsid w:val="00AD3133"/>
    <w:rsid w:val="00AD3237"/>
    <w:rsid w:val="00AD5304"/>
    <w:rsid w:val="00AD589B"/>
    <w:rsid w:val="00AD70C1"/>
    <w:rsid w:val="00AE16B6"/>
    <w:rsid w:val="00AE24BF"/>
    <w:rsid w:val="00AE3152"/>
    <w:rsid w:val="00AE34ED"/>
    <w:rsid w:val="00AE7837"/>
    <w:rsid w:val="00AF1BCF"/>
    <w:rsid w:val="00AF3530"/>
    <w:rsid w:val="00AF519C"/>
    <w:rsid w:val="00AF6BD7"/>
    <w:rsid w:val="00AF78B6"/>
    <w:rsid w:val="00B00964"/>
    <w:rsid w:val="00B0118B"/>
    <w:rsid w:val="00B02A59"/>
    <w:rsid w:val="00B03079"/>
    <w:rsid w:val="00B03C06"/>
    <w:rsid w:val="00B079F8"/>
    <w:rsid w:val="00B1112F"/>
    <w:rsid w:val="00B12B9F"/>
    <w:rsid w:val="00B16B54"/>
    <w:rsid w:val="00B21775"/>
    <w:rsid w:val="00B220C8"/>
    <w:rsid w:val="00B22974"/>
    <w:rsid w:val="00B232A4"/>
    <w:rsid w:val="00B2503F"/>
    <w:rsid w:val="00B25514"/>
    <w:rsid w:val="00B25E55"/>
    <w:rsid w:val="00B27668"/>
    <w:rsid w:val="00B30E28"/>
    <w:rsid w:val="00B36AB9"/>
    <w:rsid w:val="00B413F2"/>
    <w:rsid w:val="00B423B7"/>
    <w:rsid w:val="00B46BAB"/>
    <w:rsid w:val="00B47398"/>
    <w:rsid w:val="00B47730"/>
    <w:rsid w:val="00B47C6F"/>
    <w:rsid w:val="00B47D6F"/>
    <w:rsid w:val="00B47F45"/>
    <w:rsid w:val="00B50D6B"/>
    <w:rsid w:val="00B523BF"/>
    <w:rsid w:val="00B5278E"/>
    <w:rsid w:val="00B53683"/>
    <w:rsid w:val="00B53A02"/>
    <w:rsid w:val="00B555DE"/>
    <w:rsid w:val="00B6051E"/>
    <w:rsid w:val="00B70394"/>
    <w:rsid w:val="00B72F06"/>
    <w:rsid w:val="00B73783"/>
    <w:rsid w:val="00B737E2"/>
    <w:rsid w:val="00B73C2D"/>
    <w:rsid w:val="00B76C1C"/>
    <w:rsid w:val="00B82274"/>
    <w:rsid w:val="00B82B7A"/>
    <w:rsid w:val="00B82C84"/>
    <w:rsid w:val="00B84BB2"/>
    <w:rsid w:val="00B85437"/>
    <w:rsid w:val="00B87F35"/>
    <w:rsid w:val="00B92AE3"/>
    <w:rsid w:val="00B95321"/>
    <w:rsid w:val="00B95C11"/>
    <w:rsid w:val="00B96BA1"/>
    <w:rsid w:val="00B97B6F"/>
    <w:rsid w:val="00B97E3A"/>
    <w:rsid w:val="00BA07DF"/>
    <w:rsid w:val="00BA1185"/>
    <w:rsid w:val="00BA1417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1B15"/>
    <w:rsid w:val="00BC2958"/>
    <w:rsid w:val="00BC33E9"/>
    <w:rsid w:val="00BC4521"/>
    <w:rsid w:val="00BC5DE4"/>
    <w:rsid w:val="00BC7D3B"/>
    <w:rsid w:val="00BD129B"/>
    <w:rsid w:val="00BD13D3"/>
    <w:rsid w:val="00BD13DC"/>
    <w:rsid w:val="00BD27AB"/>
    <w:rsid w:val="00BD42DE"/>
    <w:rsid w:val="00BD4E92"/>
    <w:rsid w:val="00BD5079"/>
    <w:rsid w:val="00BD574A"/>
    <w:rsid w:val="00BD5E7C"/>
    <w:rsid w:val="00BE14A3"/>
    <w:rsid w:val="00BE17F4"/>
    <w:rsid w:val="00BE1AF3"/>
    <w:rsid w:val="00BE22B3"/>
    <w:rsid w:val="00BE422C"/>
    <w:rsid w:val="00BE614C"/>
    <w:rsid w:val="00BE67AE"/>
    <w:rsid w:val="00BE6B18"/>
    <w:rsid w:val="00BF17E1"/>
    <w:rsid w:val="00BF1E70"/>
    <w:rsid w:val="00BF2FE9"/>
    <w:rsid w:val="00BF47CB"/>
    <w:rsid w:val="00C01659"/>
    <w:rsid w:val="00C02066"/>
    <w:rsid w:val="00C027BB"/>
    <w:rsid w:val="00C034E6"/>
    <w:rsid w:val="00C062AE"/>
    <w:rsid w:val="00C06B3F"/>
    <w:rsid w:val="00C13F3C"/>
    <w:rsid w:val="00C144FC"/>
    <w:rsid w:val="00C154E0"/>
    <w:rsid w:val="00C1607F"/>
    <w:rsid w:val="00C16743"/>
    <w:rsid w:val="00C176BF"/>
    <w:rsid w:val="00C17AE0"/>
    <w:rsid w:val="00C3028C"/>
    <w:rsid w:val="00C30D11"/>
    <w:rsid w:val="00C31861"/>
    <w:rsid w:val="00C3330C"/>
    <w:rsid w:val="00C356F5"/>
    <w:rsid w:val="00C3656A"/>
    <w:rsid w:val="00C36CB8"/>
    <w:rsid w:val="00C415DA"/>
    <w:rsid w:val="00C446BC"/>
    <w:rsid w:val="00C448F8"/>
    <w:rsid w:val="00C44970"/>
    <w:rsid w:val="00C44CAA"/>
    <w:rsid w:val="00C455D0"/>
    <w:rsid w:val="00C4655E"/>
    <w:rsid w:val="00C47C71"/>
    <w:rsid w:val="00C50EFF"/>
    <w:rsid w:val="00C52357"/>
    <w:rsid w:val="00C525BD"/>
    <w:rsid w:val="00C52D17"/>
    <w:rsid w:val="00C53580"/>
    <w:rsid w:val="00C5565E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2929"/>
    <w:rsid w:val="00C73B95"/>
    <w:rsid w:val="00C740AB"/>
    <w:rsid w:val="00C742FA"/>
    <w:rsid w:val="00C7509C"/>
    <w:rsid w:val="00C76965"/>
    <w:rsid w:val="00C76AE5"/>
    <w:rsid w:val="00C81131"/>
    <w:rsid w:val="00C81E8F"/>
    <w:rsid w:val="00C823B5"/>
    <w:rsid w:val="00C823BD"/>
    <w:rsid w:val="00C823C0"/>
    <w:rsid w:val="00C828D4"/>
    <w:rsid w:val="00C82ADF"/>
    <w:rsid w:val="00C85898"/>
    <w:rsid w:val="00C85B23"/>
    <w:rsid w:val="00C85DFC"/>
    <w:rsid w:val="00C87D04"/>
    <w:rsid w:val="00C87EFC"/>
    <w:rsid w:val="00C914B2"/>
    <w:rsid w:val="00C93E0F"/>
    <w:rsid w:val="00C96AA0"/>
    <w:rsid w:val="00C96B4E"/>
    <w:rsid w:val="00C9754C"/>
    <w:rsid w:val="00CA0CE1"/>
    <w:rsid w:val="00CA1153"/>
    <w:rsid w:val="00CA40B0"/>
    <w:rsid w:val="00CA5963"/>
    <w:rsid w:val="00CA5F3C"/>
    <w:rsid w:val="00CA5FB8"/>
    <w:rsid w:val="00CA6285"/>
    <w:rsid w:val="00CA62D8"/>
    <w:rsid w:val="00CB23BD"/>
    <w:rsid w:val="00CB3998"/>
    <w:rsid w:val="00CB5618"/>
    <w:rsid w:val="00CB577A"/>
    <w:rsid w:val="00CC290D"/>
    <w:rsid w:val="00CC483E"/>
    <w:rsid w:val="00CC5D70"/>
    <w:rsid w:val="00CD0519"/>
    <w:rsid w:val="00CD09B1"/>
    <w:rsid w:val="00CD2075"/>
    <w:rsid w:val="00CD3E21"/>
    <w:rsid w:val="00CD4E82"/>
    <w:rsid w:val="00CD5F14"/>
    <w:rsid w:val="00CD6A04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3748"/>
    <w:rsid w:val="00D15067"/>
    <w:rsid w:val="00D16C7C"/>
    <w:rsid w:val="00D16E03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47561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5C70"/>
    <w:rsid w:val="00D662D3"/>
    <w:rsid w:val="00D6663F"/>
    <w:rsid w:val="00D6718D"/>
    <w:rsid w:val="00D67AAC"/>
    <w:rsid w:val="00D70021"/>
    <w:rsid w:val="00D70156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87D4E"/>
    <w:rsid w:val="00D9330E"/>
    <w:rsid w:val="00D96F13"/>
    <w:rsid w:val="00D97EEB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4B6B"/>
    <w:rsid w:val="00DE6293"/>
    <w:rsid w:val="00DE6C13"/>
    <w:rsid w:val="00DE71AD"/>
    <w:rsid w:val="00DF0B58"/>
    <w:rsid w:val="00DF13E9"/>
    <w:rsid w:val="00DF3259"/>
    <w:rsid w:val="00DF3935"/>
    <w:rsid w:val="00DF5923"/>
    <w:rsid w:val="00E00586"/>
    <w:rsid w:val="00E03013"/>
    <w:rsid w:val="00E05768"/>
    <w:rsid w:val="00E06E01"/>
    <w:rsid w:val="00E07261"/>
    <w:rsid w:val="00E163F5"/>
    <w:rsid w:val="00E16CF4"/>
    <w:rsid w:val="00E17AAA"/>
    <w:rsid w:val="00E17F8B"/>
    <w:rsid w:val="00E2023C"/>
    <w:rsid w:val="00E254DE"/>
    <w:rsid w:val="00E279C7"/>
    <w:rsid w:val="00E27F47"/>
    <w:rsid w:val="00E337B2"/>
    <w:rsid w:val="00E36046"/>
    <w:rsid w:val="00E368C1"/>
    <w:rsid w:val="00E42686"/>
    <w:rsid w:val="00E45713"/>
    <w:rsid w:val="00E479A0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5797A"/>
    <w:rsid w:val="00E6298D"/>
    <w:rsid w:val="00E641C3"/>
    <w:rsid w:val="00E64429"/>
    <w:rsid w:val="00E65054"/>
    <w:rsid w:val="00E6534B"/>
    <w:rsid w:val="00E66780"/>
    <w:rsid w:val="00E6678D"/>
    <w:rsid w:val="00E705B8"/>
    <w:rsid w:val="00E711DA"/>
    <w:rsid w:val="00E7715F"/>
    <w:rsid w:val="00E773DC"/>
    <w:rsid w:val="00E810AC"/>
    <w:rsid w:val="00E828AC"/>
    <w:rsid w:val="00E87A46"/>
    <w:rsid w:val="00E87CC3"/>
    <w:rsid w:val="00E91098"/>
    <w:rsid w:val="00E9210B"/>
    <w:rsid w:val="00E94DD4"/>
    <w:rsid w:val="00EA3AE2"/>
    <w:rsid w:val="00EA4CD3"/>
    <w:rsid w:val="00EA4FFB"/>
    <w:rsid w:val="00EA6164"/>
    <w:rsid w:val="00EA7A01"/>
    <w:rsid w:val="00EA7CCD"/>
    <w:rsid w:val="00EB154B"/>
    <w:rsid w:val="00EB234D"/>
    <w:rsid w:val="00EB51F0"/>
    <w:rsid w:val="00EB5C44"/>
    <w:rsid w:val="00EB5FE0"/>
    <w:rsid w:val="00EC185B"/>
    <w:rsid w:val="00EC428E"/>
    <w:rsid w:val="00EC50AD"/>
    <w:rsid w:val="00ED0449"/>
    <w:rsid w:val="00ED1087"/>
    <w:rsid w:val="00ED5A7B"/>
    <w:rsid w:val="00ED6F2A"/>
    <w:rsid w:val="00ED769C"/>
    <w:rsid w:val="00EE1AAB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609"/>
    <w:rsid w:val="00F2023C"/>
    <w:rsid w:val="00F20512"/>
    <w:rsid w:val="00F23425"/>
    <w:rsid w:val="00F23596"/>
    <w:rsid w:val="00F244D4"/>
    <w:rsid w:val="00F26062"/>
    <w:rsid w:val="00F330F8"/>
    <w:rsid w:val="00F33EA5"/>
    <w:rsid w:val="00F350B8"/>
    <w:rsid w:val="00F36088"/>
    <w:rsid w:val="00F378BC"/>
    <w:rsid w:val="00F37EDA"/>
    <w:rsid w:val="00F4014E"/>
    <w:rsid w:val="00F41415"/>
    <w:rsid w:val="00F437CD"/>
    <w:rsid w:val="00F4394B"/>
    <w:rsid w:val="00F447D2"/>
    <w:rsid w:val="00F44A63"/>
    <w:rsid w:val="00F44EFB"/>
    <w:rsid w:val="00F45334"/>
    <w:rsid w:val="00F47327"/>
    <w:rsid w:val="00F476B3"/>
    <w:rsid w:val="00F477AC"/>
    <w:rsid w:val="00F479E9"/>
    <w:rsid w:val="00F51A25"/>
    <w:rsid w:val="00F52FDD"/>
    <w:rsid w:val="00F533E4"/>
    <w:rsid w:val="00F5587C"/>
    <w:rsid w:val="00F56CFF"/>
    <w:rsid w:val="00F57183"/>
    <w:rsid w:val="00F600C5"/>
    <w:rsid w:val="00F618BE"/>
    <w:rsid w:val="00F62F7C"/>
    <w:rsid w:val="00F64C77"/>
    <w:rsid w:val="00F66586"/>
    <w:rsid w:val="00F6669E"/>
    <w:rsid w:val="00F666D6"/>
    <w:rsid w:val="00F67D23"/>
    <w:rsid w:val="00F7320A"/>
    <w:rsid w:val="00F74046"/>
    <w:rsid w:val="00F74248"/>
    <w:rsid w:val="00F74414"/>
    <w:rsid w:val="00F75D20"/>
    <w:rsid w:val="00F80FF3"/>
    <w:rsid w:val="00F87EFB"/>
    <w:rsid w:val="00F90C71"/>
    <w:rsid w:val="00F91F35"/>
    <w:rsid w:val="00F922A6"/>
    <w:rsid w:val="00F94792"/>
    <w:rsid w:val="00F95401"/>
    <w:rsid w:val="00F96A74"/>
    <w:rsid w:val="00FA2572"/>
    <w:rsid w:val="00FA28FE"/>
    <w:rsid w:val="00FA4372"/>
    <w:rsid w:val="00FA5CE2"/>
    <w:rsid w:val="00FB0403"/>
    <w:rsid w:val="00FB33C3"/>
    <w:rsid w:val="00FB4B64"/>
    <w:rsid w:val="00FB5F54"/>
    <w:rsid w:val="00FB6C04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5FD"/>
    <w:rsid w:val="00FF2991"/>
    <w:rsid w:val="00FF4DF1"/>
    <w:rsid w:val="00FF5B20"/>
    <w:rsid w:val="00FF5D8D"/>
    <w:rsid w:val="0172010E"/>
    <w:rsid w:val="021D04ED"/>
    <w:rsid w:val="02925373"/>
    <w:rsid w:val="03194519"/>
    <w:rsid w:val="05406214"/>
    <w:rsid w:val="06EB0BBA"/>
    <w:rsid w:val="099B5E8A"/>
    <w:rsid w:val="09B01C47"/>
    <w:rsid w:val="0A546A76"/>
    <w:rsid w:val="0CA05FA3"/>
    <w:rsid w:val="101A1610"/>
    <w:rsid w:val="12966EC3"/>
    <w:rsid w:val="15A5233F"/>
    <w:rsid w:val="162D4293"/>
    <w:rsid w:val="16E0133B"/>
    <w:rsid w:val="18F9261C"/>
    <w:rsid w:val="1A8C400A"/>
    <w:rsid w:val="1B50328A"/>
    <w:rsid w:val="1BD379AF"/>
    <w:rsid w:val="1F982676"/>
    <w:rsid w:val="21920158"/>
    <w:rsid w:val="2263272C"/>
    <w:rsid w:val="23CE6516"/>
    <w:rsid w:val="26761D5F"/>
    <w:rsid w:val="26971D6D"/>
    <w:rsid w:val="26BE379D"/>
    <w:rsid w:val="29FD33E2"/>
    <w:rsid w:val="2C9D5C03"/>
    <w:rsid w:val="2D2C20F4"/>
    <w:rsid w:val="2DA57465"/>
    <w:rsid w:val="2E840E29"/>
    <w:rsid w:val="2FA50B4A"/>
    <w:rsid w:val="30A47560"/>
    <w:rsid w:val="31945827"/>
    <w:rsid w:val="31A32F06"/>
    <w:rsid w:val="31A506F2"/>
    <w:rsid w:val="32485077"/>
    <w:rsid w:val="32A933D3"/>
    <w:rsid w:val="37135440"/>
    <w:rsid w:val="39AF6B99"/>
    <w:rsid w:val="3ABD7878"/>
    <w:rsid w:val="3AD60C5E"/>
    <w:rsid w:val="3CDB255C"/>
    <w:rsid w:val="3DE02561"/>
    <w:rsid w:val="3E512100"/>
    <w:rsid w:val="40820EE0"/>
    <w:rsid w:val="416707CB"/>
    <w:rsid w:val="425A06EF"/>
    <w:rsid w:val="43AC4C52"/>
    <w:rsid w:val="46BA3E8B"/>
    <w:rsid w:val="480800BA"/>
    <w:rsid w:val="4A1C41B3"/>
    <w:rsid w:val="4A541B9F"/>
    <w:rsid w:val="4C856040"/>
    <w:rsid w:val="4CAA019C"/>
    <w:rsid w:val="50D92DFE"/>
    <w:rsid w:val="514F2937"/>
    <w:rsid w:val="545F4E70"/>
    <w:rsid w:val="54EA5187"/>
    <w:rsid w:val="54FC7620"/>
    <w:rsid w:val="560C332E"/>
    <w:rsid w:val="56CD51B3"/>
    <w:rsid w:val="57790E97"/>
    <w:rsid w:val="57984065"/>
    <w:rsid w:val="599C2C1B"/>
    <w:rsid w:val="59F74D0A"/>
    <w:rsid w:val="5B13515F"/>
    <w:rsid w:val="5B2829B8"/>
    <w:rsid w:val="5C590EB4"/>
    <w:rsid w:val="5E522449"/>
    <w:rsid w:val="5ECB14BA"/>
    <w:rsid w:val="5FBC4017"/>
    <w:rsid w:val="5FC133DB"/>
    <w:rsid w:val="62141EE8"/>
    <w:rsid w:val="638906B4"/>
    <w:rsid w:val="63EE2AC7"/>
    <w:rsid w:val="65341ECF"/>
    <w:rsid w:val="655A2308"/>
    <w:rsid w:val="65C50EF1"/>
    <w:rsid w:val="67BC69EF"/>
    <w:rsid w:val="67CE71DC"/>
    <w:rsid w:val="68585D79"/>
    <w:rsid w:val="6B024DD6"/>
    <w:rsid w:val="73992E44"/>
    <w:rsid w:val="7417655A"/>
    <w:rsid w:val="75137DDD"/>
    <w:rsid w:val="75AB3F56"/>
    <w:rsid w:val="76050D35"/>
    <w:rsid w:val="78EA4ED7"/>
    <w:rsid w:val="7CB8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0"/>
    <w:semiHidden/>
    <w:unhideWhenUsed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4"/>
    <w:qFormat/>
    <w:uiPriority w:val="0"/>
    <w:rPr>
      <w:rFonts w:ascii="宋体" w:eastAsia="宋体"/>
      <w:sz w:val="18"/>
      <w:szCs w:val="18"/>
    </w:r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Body Text"/>
    <w:basedOn w:val="1"/>
    <w:link w:val="39"/>
    <w:qFormat/>
    <w:uiPriority w:val="0"/>
    <w:pPr>
      <w:spacing w:after="120"/>
    </w:p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Cs w:val="24"/>
    </w:rPr>
  </w:style>
  <w:style w:type="paragraph" w:styleId="12">
    <w:name w:val="annotation subject"/>
    <w:basedOn w:val="6"/>
    <w:next w:val="6"/>
    <w:link w:val="34"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character" w:customStyle="1" w:styleId="17">
    <w:name w:val="批注框文本 Char"/>
    <w:basedOn w:val="15"/>
    <w:link w:val="8"/>
    <w:semiHidden/>
    <w:qFormat/>
    <w:uiPriority w:val="99"/>
    <w:rPr>
      <w:sz w:val="18"/>
      <w:szCs w:val="18"/>
    </w:rPr>
  </w:style>
  <w:style w:type="character" w:customStyle="1" w:styleId="18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styleId="20">
    <w:name w:val="Placeholder Text"/>
    <w:basedOn w:val="15"/>
    <w:semiHidden/>
    <w:qFormat/>
    <w:uiPriority w:val="99"/>
    <w:rPr>
      <w:color w:val="auto"/>
    </w:rPr>
  </w:style>
  <w:style w:type="character" w:customStyle="1" w:styleId="21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3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文档结构图 Char"/>
    <w:basedOn w:val="15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5">
    <w:name w:val="样式1"/>
    <w:qFormat/>
    <w:uiPriority w:val="1"/>
  </w:style>
  <w:style w:type="character" w:customStyle="1" w:styleId="26">
    <w:name w:val="样式2"/>
    <w:basedOn w:val="25"/>
    <w:qFormat/>
    <w:uiPriority w:val="1"/>
  </w:style>
  <w:style w:type="character" w:customStyle="1" w:styleId="27">
    <w:name w:val="样式3"/>
    <w:basedOn w:val="25"/>
    <w:qFormat/>
    <w:uiPriority w:val="1"/>
  </w:style>
  <w:style w:type="character" w:customStyle="1" w:styleId="28">
    <w:name w:val="样式4"/>
    <w:basedOn w:val="25"/>
    <w:qFormat/>
    <w:uiPriority w:val="1"/>
  </w:style>
  <w:style w:type="character" w:customStyle="1" w:styleId="29">
    <w:name w:val="样式5"/>
    <w:basedOn w:val="25"/>
    <w:qFormat/>
    <w:uiPriority w:val="1"/>
  </w:style>
  <w:style w:type="character" w:customStyle="1" w:styleId="30">
    <w:name w:val="样式6"/>
    <w:basedOn w:val="28"/>
    <w:qFormat/>
    <w:uiPriority w:val="1"/>
  </w:style>
  <w:style w:type="character" w:customStyle="1" w:styleId="31">
    <w:name w:val="样式7"/>
    <w:basedOn w:val="28"/>
    <w:qFormat/>
    <w:uiPriority w:val="1"/>
  </w:style>
  <w:style w:type="character" w:customStyle="1" w:styleId="32">
    <w:name w:val="批注文字 Char"/>
    <w:basedOn w:val="15"/>
    <w:link w:val="6"/>
    <w:qFormat/>
    <w:uiPriority w:val="0"/>
  </w:style>
  <w:style w:type="paragraph" w:customStyle="1" w:styleId="33">
    <w:name w:val="p0"/>
    <w:basedOn w:val="1"/>
    <w:qFormat/>
    <w:uiPriority w:val="0"/>
    <w:pPr>
      <w:widowControl/>
    </w:pPr>
    <w:rPr>
      <w:rFonts w:ascii="Book Antiqua" w:hAnsi="Book Antiqua" w:eastAsia="宋体" w:cs="宋体"/>
      <w:kern w:val="0"/>
      <w:szCs w:val="24"/>
    </w:rPr>
  </w:style>
  <w:style w:type="character" w:customStyle="1" w:styleId="34">
    <w:name w:val="批注主题 Char"/>
    <w:basedOn w:val="32"/>
    <w:link w:val="12"/>
    <w:semiHidden/>
    <w:qFormat/>
    <w:uiPriority w:val="99"/>
    <w:rPr>
      <w:b/>
      <w:bCs/>
    </w:rPr>
  </w:style>
  <w:style w:type="table" w:customStyle="1" w:styleId="35">
    <w:name w:val="网格型1"/>
    <w:basedOn w:val="13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网格型2"/>
    <w:basedOn w:val="13"/>
    <w:qFormat/>
    <w:uiPriority w:val="0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Table Paragraph"/>
    <w:basedOn w:val="1"/>
    <w:qFormat/>
    <w:uiPriority w:val="1"/>
  </w:style>
  <w:style w:type="table" w:customStyle="1" w:styleId="3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正文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24"/>
      <w:szCs w:val="22"/>
    </w:rPr>
  </w:style>
  <w:style w:type="character" w:customStyle="1" w:styleId="40">
    <w:name w:val="标题 3 Char"/>
    <w:basedOn w:val="15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glossaryDocument" Target="glossary/document.xml"/><Relationship Id="rId17" Type="http://schemas.openxmlformats.org/officeDocument/2006/relationships/fontTable" Target="fontTable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song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GBC2222222222222222222222222222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F4D198-6E5A-4764-ABDF-5237BDAD87BF}"/>
      </w:docPartPr>
      <w:docPartBody>
        <w:p w14:paraId="228A26D2">
          <w:r>
            <w:rPr>
              <w:rStyle w:val="4"/>
              <w:rFonts w:hint="eastAsia"/>
              <w:color w:val="333399"/>
              <w:u w:val="single"/>
            </w:rPr>
            <w:t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A10E8A"/>
    <w:rsid w:val="00017DF4"/>
    <w:rsid w:val="00032CF6"/>
    <w:rsid w:val="000343D6"/>
    <w:rsid w:val="0004422D"/>
    <w:rsid w:val="00044B12"/>
    <w:rsid w:val="00051238"/>
    <w:rsid w:val="00061EF5"/>
    <w:rsid w:val="00064914"/>
    <w:rsid w:val="000777D0"/>
    <w:rsid w:val="00083392"/>
    <w:rsid w:val="00091B04"/>
    <w:rsid w:val="000927E9"/>
    <w:rsid w:val="000B72CA"/>
    <w:rsid w:val="000D5200"/>
    <w:rsid w:val="000E3071"/>
    <w:rsid w:val="00111BD1"/>
    <w:rsid w:val="00121EB3"/>
    <w:rsid w:val="00145670"/>
    <w:rsid w:val="0016580D"/>
    <w:rsid w:val="00167A16"/>
    <w:rsid w:val="0019225F"/>
    <w:rsid w:val="001C4E7D"/>
    <w:rsid w:val="001D5BCD"/>
    <w:rsid w:val="001D6115"/>
    <w:rsid w:val="001D6EF3"/>
    <w:rsid w:val="002143E6"/>
    <w:rsid w:val="00256D89"/>
    <w:rsid w:val="00267098"/>
    <w:rsid w:val="00282A8F"/>
    <w:rsid w:val="00282D66"/>
    <w:rsid w:val="002E6255"/>
    <w:rsid w:val="00306E3D"/>
    <w:rsid w:val="00316D69"/>
    <w:rsid w:val="00317F77"/>
    <w:rsid w:val="0033790F"/>
    <w:rsid w:val="00354018"/>
    <w:rsid w:val="0036106E"/>
    <w:rsid w:val="00376DD0"/>
    <w:rsid w:val="003810DE"/>
    <w:rsid w:val="00383379"/>
    <w:rsid w:val="003906EF"/>
    <w:rsid w:val="0039206D"/>
    <w:rsid w:val="003A6721"/>
    <w:rsid w:val="003B04EC"/>
    <w:rsid w:val="003B50D8"/>
    <w:rsid w:val="003C29C4"/>
    <w:rsid w:val="003D385E"/>
    <w:rsid w:val="003F2D0A"/>
    <w:rsid w:val="00414008"/>
    <w:rsid w:val="00416E44"/>
    <w:rsid w:val="0043069B"/>
    <w:rsid w:val="00446E52"/>
    <w:rsid w:val="00456AB7"/>
    <w:rsid w:val="004573BC"/>
    <w:rsid w:val="0049097E"/>
    <w:rsid w:val="00495DE2"/>
    <w:rsid w:val="004A1379"/>
    <w:rsid w:val="004A2790"/>
    <w:rsid w:val="004A4D38"/>
    <w:rsid w:val="004A7768"/>
    <w:rsid w:val="004B104B"/>
    <w:rsid w:val="004B2A73"/>
    <w:rsid w:val="004B3D86"/>
    <w:rsid w:val="004B72D1"/>
    <w:rsid w:val="004E1D2B"/>
    <w:rsid w:val="004E2C00"/>
    <w:rsid w:val="004E760B"/>
    <w:rsid w:val="00505B16"/>
    <w:rsid w:val="005140A1"/>
    <w:rsid w:val="00524560"/>
    <w:rsid w:val="00531550"/>
    <w:rsid w:val="005409B4"/>
    <w:rsid w:val="00541ABD"/>
    <w:rsid w:val="0058301E"/>
    <w:rsid w:val="0058791E"/>
    <w:rsid w:val="005A02F7"/>
    <w:rsid w:val="005B1E3A"/>
    <w:rsid w:val="005D54A9"/>
    <w:rsid w:val="005F0412"/>
    <w:rsid w:val="00602E7D"/>
    <w:rsid w:val="00633C9B"/>
    <w:rsid w:val="00642713"/>
    <w:rsid w:val="00645CB1"/>
    <w:rsid w:val="00655627"/>
    <w:rsid w:val="006639A1"/>
    <w:rsid w:val="00687612"/>
    <w:rsid w:val="006B7BE4"/>
    <w:rsid w:val="006E69C1"/>
    <w:rsid w:val="00734AD3"/>
    <w:rsid w:val="00742BAB"/>
    <w:rsid w:val="00752860"/>
    <w:rsid w:val="00765580"/>
    <w:rsid w:val="00777D46"/>
    <w:rsid w:val="00780325"/>
    <w:rsid w:val="00781254"/>
    <w:rsid w:val="0078693E"/>
    <w:rsid w:val="007A02EA"/>
    <w:rsid w:val="007A1611"/>
    <w:rsid w:val="007A4890"/>
    <w:rsid w:val="007B03CC"/>
    <w:rsid w:val="007B1DA5"/>
    <w:rsid w:val="007C7D34"/>
    <w:rsid w:val="007E4DF1"/>
    <w:rsid w:val="00800822"/>
    <w:rsid w:val="00805E2F"/>
    <w:rsid w:val="00823B30"/>
    <w:rsid w:val="008444EF"/>
    <w:rsid w:val="00846FD4"/>
    <w:rsid w:val="00851D98"/>
    <w:rsid w:val="00882BAE"/>
    <w:rsid w:val="00890879"/>
    <w:rsid w:val="008E3B35"/>
    <w:rsid w:val="008E60C6"/>
    <w:rsid w:val="00932870"/>
    <w:rsid w:val="0095546D"/>
    <w:rsid w:val="00966F07"/>
    <w:rsid w:val="00977AB9"/>
    <w:rsid w:val="009830BF"/>
    <w:rsid w:val="00985796"/>
    <w:rsid w:val="00996F77"/>
    <w:rsid w:val="009A3853"/>
    <w:rsid w:val="009C514E"/>
    <w:rsid w:val="00A10E8A"/>
    <w:rsid w:val="00A3150D"/>
    <w:rsid w:val="00A35B61"/>
    <w:rsid w:val="00A41B15"/>
    <w:rsid w:val="00A71077"/>
    <w:rsid w:val="00A76F92"/>
    <w:rsid w:val="00A808AB"/>
    <w:rsid w:val="00A86D8A"/>
    <w:rsid w:val="00A9159D"/>
    <w:rsid w:val="00AA1850"/>
    <w:rsid w:val="00AA1CD6"/>
    <w:rsid w:val="00AB46B1"/>
    <w:rsid w:val="00AE60AC"/>
    <w:rsid w:val="00B03079"/>
    <w:rsid w:val="00BA1417"/>
    <w:rsid w:val="00BA50F1"/>
    <w:rsid w:val="00BC1B15"/>
    <w:rsid w:val="00BD611D"/>
    <w:rsid w:val="00C01254"/>
    <w:rsid w:val="00C1573E"/>
    <w:rsid w:val="00C3656A"/>
    <w:rsid w:val="00C67793"/>
    <w:rsid w:val="00C72929"/>
    <w:rsid w:val="00C80B79"/>
    <w:rsid w:val="00C823B5"/>
    <w:rsid w:val="00C858A4"/>
    <w:rsid w:val="00CA0358"/>
    <w:rsid w:val="00CB6A47"/>
    <w:rsid w:val="00D047C8"/>
    <w:rsid w:val="00D157C4"/>
    <w:rsid w:val="00D26A94"/>
    <w:rsid w:val="00D4207A"/>
    <w:rsid w:val="00D711C1"/>
    <w:rsid w:val="00D74505"/>
    <w:rsid w:val="00D839D6"/>
    <w:rsid w:val="00D87D4E"/>
    <w:rsid w:val="00DA4389"/>
    <w:rsid w:val="00DB1BD1"/>
    <w:rsid w:val="00DC38EF"/>
    <w:rsid w:val="00DD166E"/>
    <w:rsid w:val="00DF2409"/>
    <w:rsid w:val="00DF5923"/>
    <w:rsid w:val="00E1206B"/>
    <w:rsid w:val="00E717CD"/>
    <w:rsid w:val="00E93D68"/>
    <w:rsid w:val="00EA05B6"/>
    <w:rsid w:val="00EE0BEA"/>
    <w:rsid w:val="00EF1232"/>
    <w:rsid w:val="00F059B3"/>
    <w:rsid w:val="00F143C9"/>
    <w:rsid w:val="00F44EFB"/>
    <w:rsid w:val="00F47327"/>
    <w:rsid w:val="00F476B3"/>
    <w:rsid w:val="00F50397"/>
    <w:rsid w:val="00F62F7C"/>
    <w:rsid w:val="00F66586"/>
    <w:rsid w:val="00F774E5"/>
    <w:rsid w:val="00F8162A"/>
    <w:rsid w:val="00FB76F7"/>
    <w:rsid w:val="00FD227C"/>
    <w:rsid w:val="00FD3FDE"/>
    <w:rsid w:val="00FF0CAF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c:sections xmlns:sc="http://mapping.word.org/2014/section/customize"/>
</file>

<file path=customXml/item2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3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]]></m:sse>
</m:mapping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]]></t:sse>
</t:template>
</file>

<file path=customXml/itemProps1.xml><?xml version="1.0" encoding="utf-8"?>
<ds:datastoreItem xmlns:ds="http://schemas.openxmlformats.org/officeDocument/2006/customXml" ds:itemID="{9E6C2AC4-246B-4BED-A91A-2DD25BFFB1EA}">
  <ds:schemaRefs/>
</ds:datastoreItem>
</file>

<file path=customXml/itemProps2.xml><?xml version="1.0" encoding="utf-8"?>
<ds:datastoreItem xmlns:ds="http://schemas.openxmlformats.org/officeDocument/2006/customXml" ds:itemID="{BA98B501-917D-472D-AC19-F30F1EB82784}">
  <ds:schemaRefs/>
</ds:datastoreItem>
</file>

<file path=customXml/itemProps3.xml><?xml version="1.0" encoding="utf-8"?>
<ds:datastoreItem xmlns:ds="http://schemas.openxmlformats.org/officeDocument/2006/customXml" ds:itemID="{21E9777B-9A59-48F7-B61F-A182151EA27B}">
  <ds:schemaRefs/>
</ds:datastoreItem>
</file>

<file path=customXml/itemProps4.xml><?xml version="1.0" encoding="utf-8"?>
<ds:datastoreItem xmlns:ds="http://schemas.openxmlformats.org/officeDocument/2006/customXml" ds:itemID="{517c3064-0010-47f7-9a1b-75999ea57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Pages>6</Pages>
  <Words>1400</Words>
  <Characters>1562</Characters>
  <Lines>37</Lines>
  <Paragraphs>10</Paragraphs>
  <TotalTime>6</TotalTime>
  <ScaleCrop>false</ScaleCrop>
  <LinksUpToDate>false</LinksUpToDate>
  <CharactersWithSpaces>1585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2026-03-18T03:09:00Z</dcterms:created>
  <dc:creator>yangzhiquan</dc:creator>
  <cp:lastModifiedBy>卢柯言</cp:lastModifiedBy>
  <dcterms:modified xsi:type="dcterms:W3CDTF">2026-04-29T08:53:38Z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eyJoZGlkIjoiM2NmMmIwMWIxYzAyZmZiMWZlOTY3NTcxZmU2NzhhZTEiLCJ1c2VySWQiOiIxNjcyMzMwMzQ3In0=</vt:lpwstr>
  </property>
  <property fmtid="{D5CDD505-2E9C-101B-9397-08002B2CF9AE}" pid="3" name="KSOProductBuildVer">
    <vt:lpwstr>2052-12.1.0.25225</vt:lpwstr>
  </property>
  <property fmtid="{D5CDD505-2E9C-101B-9397-08002B2CF9AE}" pid="4" name="ICV">
    <vt:lpwstr>79BA90EE84334901B239CC6FDC6F75BE_13</vt:lpwstr>
  </property>
</Properties>
</file>