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2CC84">
      <w:pPr>
        <w:ind w:firstLine="480"/>
        <w:rPr>
          <w:rFonts w:hint="eastAsia" w:asciiTheme="minorEastAsia" w:hAnsiTheme="minorEastAsia"/>
          <w:bCs/>
          <w:szCs w:val="24"/>
        </w:rPr>
      </w:pPr>
      <w:r>
        <w:rPr>
          <w:rFonts w:hint="eastAsia" w:asciiTheme="minorEastAsia" w:hAnsiTheme="minorEastAsia"/>
          <w:bCs/>
          <w:szCs w:val="24"/>
        </w:rPr>
        <w:t>证券代码：</w:t>
      </w:r>
      <w:sdt>
        <w:sdtPr>
          <w:rPr>
            <w:rFonts w:hint="eastAsia" w:asciiTheme="minorEastAsia" w:hAnsiTheme="minorEastAsia"/>
            <w:bCs/>
            <w:szCs w:val="24"/>
          </w:rPr>
          <w:alias w:val="公司代码"/>
          <w:tag w:val="_GBC_62ef04c8e14e4c76b304f7775b7d8722"/>
          <w:id w:val="147472856"/>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600377</w:t>
          </w:r>
        </w:sdtContent>
      </w:sdt>
      <w:r>
        <w:rPr>
          <w:rFonts w:hint="eastAsia" w:asciiTheme="minorEastAsia" w:hAnsiTheme="minorEastAsia"/>
          <w:bCs/>
          <w:szCs w:val="24"/>
        </w:rPr>
        <w:t xml:space="preserve">   </w:t>
      </w:r>
      <w:r>
        <w:rPr>
          <w:rFonts w:asciiTheme="minorEastAsia" w:hAnsiTheme="minorEastAsia"/>
          <w:bCs/>
          <w:szCs w:val="24"/>
        </w:rPr>
        <w:t xml:space="preserve">  </w:t>
      </w:r>
      <w:r>
        <w:rPr>
          <w:rFonts w:hint="eastAsia" w:asciiTheme="minorEastAsia" w:hAnsiTheme="minorEastAsia"/>
          <w:bCs/>
          <w:szCs w:val="24"/>
        </w:rPr>
        <w:t>证券简称：</w:t>
      </w:r>
      <w:sdt>
        <w:sdtPr>
          <w:rPr>
            <w:rFonts w:hint="eastAsia" w:asciiTheme="minorEastAsia" w:hAnsiTheme="minorEastAsia"/>
            <w:bCs/>
            <w:szCs w:val="24"/>
          </w:rPr>
          <w:alias w:val="公司简称"/>
          <w:tag w:val="_GBC_81c31f6c68a741c1acb30ff1595bc381"/>
          <w:id w:val="147455452"/>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宁沪高速</w:t>
          </w:r>
        </w:sdtContent>
      </w:sdt>
      <w:r>
        <w:rPr>
          <w:rFonts w:hint="eastAsia" w:asciiTheme="minorEastAsia" w:hAnsiTheme="minorEastAsia"/>
          <w:bCs/>
          <w:szCs w:val="24"/>
        </w:rPr>
        <w:t xml:space="preserve">   </w:t>
      </w:r>
      <w:r>
        <w:rPr>
          <w:rFonts w:asciiTheme="minorEastAsia" w:hAnsiTheme="minorEastAsia"/>
          <w:bCs/>
          <w:szCs w:val="24"/>
        </w:rPr>
        <w:t xml:space="preserve">  </w:t>
      </w:r>
      <w:r>
        <w:rPr>
          <w:rFonts w:hint="eastAsia" w:asciiTheme="minorEastAsia" w:hAnsiTheme="minorEastAsia"/>
          <w:bCs/>
          <w:szCs w:val="24"/>
        </w:rPr>
        <w:t>公告编号：</w:t>
      </w:r>
      <w:sdt>
        <w:sdtPr>
          <w:rPr>
            <w:rFonts w:hint="eastAsia" w:asciiTheme="minorEastAsia" w:hAnsiTheme="minorEastAsia"/>
            <w:bCs/>
            <w:szCs w:val="24"/>
          </w:rPr>
          <w:alias w:val="临时公告编号"/>
          <w:tag w:val="_GBC_51438e46cb944a2bb6b9cb5e9d53d512"/>
          <w:id w:val="147454684"/>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2026-0</w:t>
          </w:r>
          <w:r>
            <w:rPr>
              <w:rFonts w:hint="eastAsia" w:asciiTheme="minorEastAsia" w:hAnsiTheme="minorEastAsia"/>
              <w:bCs/>
              <w:szCs w:val="24"/>
              <w:lang w:val="en-US" w:eastAsia="zh-CN"/>
            </w:rPr>
            <w:t>23</w:t>
          </w:r>
        </w:sdtContent>
      </w:sdt>
    </w:p>
    <w:p w14:paraId="2DACC2AA">
      <w:pPr>
        <w:ind w:firstLine="0" w:firstLineChars="0"/>
        <w:rPr>
          <w:rFonts w:hint="eastAsia" w:ascii="黑体" w:hAnsi="黑体" w:eastAsia="黑体"/>
          <w:b/>
          <w:sz w:val="36"/>
          <w:szCs w:val="36"/>
        </w:rPr>
      </w:pPr>
    </w:p>
    <w:p w14:paraId="57B4BE03">
      <w:pPr>
        <w:adjustRightInd w:val="0"/>
        <w:snapToGrid w:val="0"/>
        <w:spacing w:line="360" w:lineRule="auto"/>
        <w:ind w:firstLine="723"/>
        <w:jc w:val="center"/>
        <w:rPr>
          <w:rFonts w:hint="eastAsia" w:ascii="黑体" w:hAnsi="黑体" w:eastAsia="黑体"/>
          <w:b/>
          <w:color w:val="FF0000"/>
          <w:sz w:val="36"/>
          <w:szCs w:val="24"/>
        </w:rPr>
      </w:pPr>
      <w:r>
        <w:rPr>
          <w:rFonts w:hint="eastAsia" w:ascii="黑体" w:hAnsi="黑体" w:eastAsia="黑体"/>
          <w:b/>
          <w:color w:val="FF0000"/>
          <w:sz w:val="36"/>
          <w:szCs w:val="24"/>
        </w:rPr>
        <w:t>江苏宁沪高速公路股份有限公司</w:t>
      </w:r>
    </w:p>
    <w:p w14:paraId="4BEA5327">
      <w:pPr>
        <w:adjustRightInd w:val="0"/>
        <w:snapToGrid w:val="0"/>
        <w:spacing w:line="360" w:lineRule="auto"/>
        <w:ind w:firstLine="643"/>
        <w:jc w:val="center"/>
        <w:rPr>
          <w:rFonts w:hint="eastAsia" w:ascii="黑体" w:hAnsi="黑体" w:eastAsia="黑体"/>
          <w:b/>
          <w:color w:val="FF0000"/>
          <w:sz w:val="32"/>
          <w:szCs w:val="32"/>
          <w:lang w:val="ru-RU"/>
        </w:rPr>
      </w:pPr>
      <w:r>
        <w:rPr>
          <w:rFonts w:hint="eastAsia" w:ascii="黑体" w:hAnsi="黑体" w:eastAsia="黑体"/>
          <w:b/>
          <w:color w:val="FF0000"/>
          <w:sz w:val="32"/>
          <w:szCs w:val="32"/>
        </w:rPr>
        <w:t>关于面向专业投资者公开发行公司债券预案公</w:t>
      </w:r>
      <w:r>
        <w:rPr>
          <w:rFonts w:hint="eastAsia" w:ascii="黑体" w:hAnsi="黑体" w:eastAsia="黑体"/>
          <w:b/>
          <w:color w:val="FF0000"/>
          <w:sz w:val="32"/>
          <w:szCs w:val="32"/>
          <w:lang w:val="ru-RU"/>
        </w:rPr>
        <w:t>告</w:t>
      </w:r>
    </w:p>
    <w:p w14:paraId="7784E5BE">
      <w:pPr>
        <w:pBdr>
          <w:top w:val="single" w:color="auto" w:sz="4" w:space="4"/>
          <w:left w:val="single" w:color="auto" w:sz="4" w:space="3"/>
          <w:bottom w:val="single" w:color="auto" w:sz="4" w:space="1"/>
          <w:right w:val="single" w:color="auto" w:sz="4" w:space="4"/>
        </w:pBdr>
        <w:adjustRightInd w:val="0"/>
        <w:snapToGrid w:val="0"/>
        <w:spacing w:line="360" w:lineRule="auto"/>
        <w:ind w:firstLine="480"/>
        <w:rPr>
          <w:rFonts w:hint="eastAsia" w:asciiTheme="minorEastAsia" w:hAnsiTheme="minorEastAsia"/>
          <w:color w:val="000000"/>
          <w:szCs w:val="24"/>
        </w:rPr>
      </w:pPr>
      <w:r>
        <w:rPr>
          <w:rFonts w:hint="eastAsia" w:cs="宋体" w:asciiTheme="minorEastAsia" w:hAnsiTheme="minorEastAsia"/>
          <w:color w:val="000000"/>
          <w:kern w:val="0"/>
          <w:szCs w:val="24"/>
        </w:rPr>
        <w:t>本公司董事会及全体董事保证本公告内容不存在任何虚假记载、误导性陈述或者重大遗漏，并对其内容的真实性、准确性和</w:t>
      </w:r>
      <w:bookmarkStart w:id="10" w:name="_GoBack"/>
      <w:bookmarkEnd w:id="10"/>
      <w:r>
        <w:rPr>
          <w:rFonts w:hint="eastAsia" w:cs="宋体" w:asciiTheme="minorEastAsia" w:hAnsiTheme="minorEastAsia"/>
          <w:color w:val="000000"/>
          <w:kern w:val="0"/>
          <w:szCs w:val="24"/>
        </w:rPr>
        <w:t>完整性承担法律责任。</w:t>
      </w:r>
    </w:p>
    <w:p w14:paraId="406E9D6A">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江苏宁沪高速公路股份有限公司（以下简称“</w:t>
      </w:r>
      <w:r>
        <w:rPr>
          <w:rFonts w:hint="eastAsia" w:asciiTheme="minorEastAsia" w:hAnsiTheme="minorEastAsia" w:cstheme="minorEastAsia"/>
          <w:szCs w:val="24"/>
        </w:rPr>
        <w:t>公司</w:t>
      </w:r>
      <w:r>
        <w:rPr>
          <w:rFonts w:hint="eastAsia" w:asciiTheme="minorEastAsia" w:hAnsiTheme="minorEastAsia" w:cstheme="minorEastAsia"/>
          <w:szCs w:val="24"/>
          <w:lang w:val="zh-TW"/>
        </w:rPr>
        <w:t>”）拟面向专业投资者公开发行公司债券，并于</w:t>
      </w:r>
      <w:r>
        <w:rPr>
          <w:rFonts w:hint="eastAsia" w:asciiTheme="minorEastAsia" w:hAnsiTheme="minorEastAsia" w:cstheme="minorEastAsia"/>
          <w:szCs w:val="24"/>
          <w:lang w:val="en-US" w:eastAsia="zh-CN"/>
        </w:rPr>
        <w:t>2026</w:t>
      </w:r>
      <w:r>
        <w:rPr>
          <w:rFonts w:hint="eastAsia" w:asciiTheme="minorEastAsia" w:hAnsiTheme="minorEastAsia" w:cstheme="minorEastAsia"/>
          <w:szCs w:val="24"/>
          <w:lang w:val="zh-TW"/>
        </w:rPr>
        <w:t>年</w:t>
      </w:r>
      <w:r>
        <w:rPr>
          <w:rFonts w:hint="eastAsia" w:asciiTheme="minorEastAsia" w:hAnsiTheme="minorEastAsia" w:cstheme="minorEastAsia"/>
          <w:szCs w:val="24"/>
          <w:lang w:val="en-US" w:eastAsia="zh-CN"/>
        </w:rPr>
        <w:t>4</w:t>
      </w:r>
      <w:r>
        <w:rPr>
          <w:rFonts w:hint="eastAsia" w:asciiTheme="minorEastAsia" w:hAnsiTheme="minorEastAsia" w:cstheme="minorEastAsia"/>
          <w:szCs w:val="24"/>
          <w:lang w:val="zh-TW"/>
        </w:rPr>
        <w:t>月</w:t>
      </w:r>
      <w:r>
        <w:rPr>
          <w:rFonts w:hint="eastAsia" w:asciiTheme="minorEastAsia" w:hAnsiTheme="minorEastAsia" w:cstheme="minorEastAsia"/>
          <w:szCs w:val="24"/>
          <w:lang w:val="en-US" w:eastAsia="zh-CN"/>
        </w:rPr>
        <w:t>29</w:t>
      </w:r>
      <w:r>
        <w:rPr>
          <w:rFonts w:hint="eastAsia" w:asciiTheme="minorEastAsia" w:hAnsiTheme="minorEastAsia" w:cstheme="minorEastAsia"/>
          <w:szCs w:val="24"/>
          <w:lang w:val="zh-TW"/>
        </w:rPr>
        <w:t>日召开第</w:t>
      </w:r>
      <w:r>
        <w:rPr>
          <w:rFonts w:hint="eastAsia" w:asciiTheme="minorEastAsia" w:hAnsiTheme="minorEastAsia" w:cstheme="minorEastAsia"/>
          <w:szCs w:val="24"/>
          <w:lang w:val="en-US" w:eastAsia="zh-CN"/>
        </w:rPr>
        <w:t>十一</w:t>
      </w:r>
      <w:r>
        <w:rPr>
          <w:rFonts w:hint="eastAsia" w:asciiTheme="minorEastAsia" w:hAnsiTheme="minorEastAsia" w:cstheme="minorEastAsia"/>
          <w:szCs w:val="24"/>
          <w:lang w:val="zh-TW"/>
        </w:rPr>
        <w:t>届董事会第</w:t>
      </w:r>
      <w:r>
        <w:rPr>
          <w:rFonts w:hint="eastAsia" w:asciiTheme="minorEastAsia" w:hAnsiTheme="minorEastAsia" w:cstheme="minorEastAsia"/>
          <w:szCs w:val="24"/>
          <w:lang w:val="en-US" w:eastAsia="zh-CN"/>
        </w:rPr>
        <w:t>二十一</w:t>
      </w:r>
      <w:r>
        <w:rPr>
          <w:rFonts w:hint="eastAsia" w:asciiTheme="minorEastAsia" w:hAnsiTheme="minorEastAsia" w:cstheme="minorEastAsia"/>
          <w:szCs w:val="24"/>
          <w:lang w:val="zh-TW"/>
        </w:rPr>
        <w:t>次会议，审议通过了《关于公司公开发行公司债券的议案》。公司本次拟公开发行公司债券事项尚需提请股东大会审议，现将相关发行预案公告如下。</w:t>
      </w:r>
    </w:p>
    <w:p w14:paraId="6E99BADB">
      <w:pPr>
        <w:adjustRightInd w:val="0"/>
        <w:snapToGrid w:val="0"/>
        <w:ind w:firstLine="482"/>
        <w:jc w:val="left"/>
        <w:rPr>
          <w:rFonts w:hint="eastAsia" w:asciiTheme="minorEastAsia" w:hAnsiTheme="minorEastAsia" w:cstheme="minorEastAsia"/>
          <w:b/>
          <w:bCs/>
          <w:szCs w:val="24"/>
        </w:rPr>
      </w:pPr>
      <w:bookmarkStart w:id="0" w:name="bookmark2"/>
      <w:r>
        <w:rPr>
          <w:rFonts w:hint="eastAsia" w:asciiTheme="minorEastAsia" w:hAnsiTheme="minorEastAsia" w:cstheme="minorEastAsia"/>
          <w:b/>
          <w:bCs/>
          <w:szCs w:val="24"/>
          <w:lang w:val="zh-TW"/>
        </w:rPr>
        <w:t>一、关于公司符合公开发行公司债券条件的说明</w:t>
      </w:r>
      <w:bookmarkEnd w:id="0"/>
    </w:p>
    <w:p w14:paraId="1AA24B1D">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根据《中华人民共和国公司法》《中华人民共和国证券法》以及《公司债券发行与交易管理办法》等有关法律、法规和规范性文件的规定，公司符合公开发行公司债券相关政策以及法律、法规规定的条件与要求，具备公开发行公司债券的资格。</w:t>
      </w:r>
    </w:p>
    <w:p w14:paraId="5F284C35">
      <w:pPr>
        <w:adjustRightInd w:val="0"/>
        <w:snapToGrid w:val="0"/>
        <w:ind w:firstLine="482"/>
        <w:jc w:val="left"/>
        <w:rPr>
          <w:rFonts w:hint="eastAsia" w:asciiTheme="minorEastAsia" w:hAnsiTheme="minorEastAsia" w:cstheme="minorEastAsia"/>
          <w:b/>
          <w:bCs/>
          <w:szCs w:val="24"/>
          <w:lang w:val="zh-TW"/>
        </w:rPr>
      </w:pPr>
      <w:bookmarkStart w:id="1" w:name="bookmark3"/>
      <w:r>
        <w:rPr>
          <w:rFonts w:hint="eastAsia" w:asciiTheme="minorEastAsia" w:hAnsiTheme="minorEastAsia" w:cstheme="minorEastAsia"/>
          <w:b/>
          <w:bCs/>
          <w:szCs w:val="24"/>
          <w:lang w:val="zh-TW"/>
        </w:rPr>
        <w:t>二、本次发行概况</w:t>
      </w:r>
      <w:bookmarkEnd w:id="1"/>
    </w:p>
    <w:p w14:paraId="280081B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为满足公司经营和业务发展的需要，进一步拓宽融资渠道，降低融资成本，公司拟面向专业投资者公开发行公司债券，发行方案具体如下：</w:t>
      </w:r>
    </w:p>
    <w:p w14:paraId="367C477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（一）发行规模</w:t>
      </w:r>
    </w:p>
    <w:p w14:paraId="58CF0DE7">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本次公开发行公司债券拟注册发行总额不超过人民币80亿元(含80亿元)，具体发行规模将提请股东会授权董事会根据公司资金需求情况和发行时市场情况，在上述范围内确定。</w:t>
      </w:r>
    </w:p>
    <w:p w14:paraId="1A55370E">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（二）票面金额及发行价格</w:t>
      </w:r>
    </w:p>
    <w:p w14:paraId="522DC949">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本次公开发行的公司债券面值为100元，按面值平价发行。</w:t>
      </w:r>
    </w:p>
    <w:p w14:paraId="418FCE03">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（三）发行方式</w:t>
      </w:r>
    </w:p>
    <w:p w14:paraId="44DF106C">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本次债券采用公开发行方式，经证监会注册后，可一次或分期发行；具体发行方式、发行时间，将提请股东会授权董事会根据公司资金需求情况和发行时的市场情况确定。</w:t>
      </w:r>
    </w:p>
    <w:p w14:paraId="3C85D614">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（四）债券期限及品种</w:t>
      </w:r>
    </w:p>
    <w:p w14:paraId="757284BF">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本次公开发行公司债券的期限不超过30年（含30年），可为单一期限品种或多种期限混合品种，本次公开发行公司债券的具体期限构成和发行规模将提请股东会授权董事会根据公司资金需求情况和发行时的市场情况确定。</w:t>
      </w:r>
    </w:p>
    <w:p w14:paraId="455B782A">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（五）债券利率</w:t>
      </w:r>
    </w:p>
    <w:p w14:paraId="611DC8EF">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本次公开发行的公司债券票面利率为固定利率（可根据需求调整为浮动利率/可调整利率）。</w:t>
      </w:r>
    </w:p>
    <w:p w14:paraId="4EB2655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（六）债券的还本付息方式</w:t>
      </w:r>
    </w:p>
    <w:p w14:paraId="2CE5D53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司债券采用单利按年计息，不计复利，逾期不另计息。每年付息一次，到期一次还本，最后一期利息随本金的兑付一起支付。具体还本付息方式提请股东会授权董事会根据公司资金需求情况和发行时的市场情况确定。</w:t>
      </w:r>
    </w:p>
    <w:p w14:paraId="0831F521">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（七）赎回或回售条款</w:t>
      </w:r>
    </w:p>
    <w:p w14:paraId="7F95AB68">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本次公司债券发行是否涉及赎回条款或回售条款及相关条款，具体内容将提请股东会授权董事会根据相关规定和市场情况确定。</w:t>
      </w:r>
    </w:p>
    <w:p w14:paraId="2BDDAC5E">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（八）担保条款</w:t>
      </w:r>
    </w:p>
    <w:p w14:paraId="722A6817">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本次债券发行为无担保发行。</w:t>
      </w:r>
    </w:p>
    <w:p w14:paraId="5FE8214E">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（九）募集资金用途</w:t>
      </w:r>
    </w:p>
    <w:p w14:paraId="67529D5A">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公司债券的募集资金拟用于并购、子公司增资、股权投资、偿还有息债务、补充流动资金、项目建设及法律法规允许的其他用途。具体募集资金用途将提请股东会授权董事会根据公司资金需求情况和公司财务结构确定。</w:t>
      </w:r>
    </w:p>
    <w:p w14:paraId="676B74B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（十）承销方式</w:t>
      </w:r>
    </w:p>
    <w:p w14:paraId="206A57D8">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本次发行公司债券由主承销商负责组建承销团，以余额包销的方式承销。</w:t>
      </w:r>
    </w:p>
    <w:p w14:paraId="2AB8C380">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（十一）交易流通场所</w:t>
      </w:r>
    </w:p>
    <w:p w14:paraId="0D30CAAA">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本次公开发行公司债券议案通过并发行后，公司将向上海证券交易所、证监会提出关于本次公司债券上市交易的申请。将提请股东会授权董事会根据上海证券交易所、证监会的相关规定办理上市交易事宜。</w:t>
      </w:r>
    </w:p>
    <w:p w14:paraId="23DB81F9">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（十二）偿债保障措施</w:t>
      </w:r>
    </w:p>
    <w:p w14:paraId="3715F95C">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公司将严格按照募集说明书约定，按时足额支付债券本息；同时通过优化债务结构、保障经营现金流、设立偿债专户等措施，确保本次债券本息偿付。</w:t>
      </w:r>
    </w:p>
    <w:p w14:paraId="610C1856">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（十三）决议的有效期</w:t>
      </w:r>
    </w:p>
    <w:p w14:paraId="280E73E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本次公开发行公司债券决议自本公司股东会审批通过之日起至本次公司债券批文到期日之间有效。</w:t>
      </w:r>
    </w:p>
    <w:p w14:paraId="4D807A5F">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（十四）关于本次发行公司债券的授权事项</w:t>
      </w:r>
    </w:p>
    <w:p w14:paraId="54E35D1C">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为保证本次公开发行公司债券工作能够有序、高效地进行，将提请股东会授权董事会及董事会授权人士在有关法律、法规允许的范围内，以及届时的市场条件，从维护公司股东利益最大化的原则出发，全权办理本次发行公司债券的全部事宜，包括但不限于：</w:t>
      </w:r>
    </w:p>
    <w:p w14:paraId="3177E9C4">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1、在法律、法规允许的范围内，根据公司和市场的具体情况，制定本次发行公司债券的具体发行方案以及修订、调整本次发行公司债券的发行条款，包括但不限于具体发行规模、债券期限和品种、发行价格、债券利率或其确定方式、发行时机、发行期数及规模、是否设置回售条款和赎回条款、是否向公司股东配售及具体安排、评级安排、担保事项、还本付息、偿债保障措施、交易流通安排、确定承销安排等与发行条款有关的一切事宜，以及在股东会批准的用途范围内决定募集资金的具体使用等事宜；</w:t>
      </w:r>
    </w:p>
    <w:p w14:paraId="604FE1F0">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2、决定聘请参与本次发行的中介机构，执行就本次公司债券发行及申请上市交易所有必要的步骤（包括但不限于签署所有必要的法律文件；编制及向监管机构报送有关申请文件；并取得监管机构的批准，为本次发行债券选择债券受托管理人；签署受托管理协议以及制定债券持有人会议规则；办理本次发行公司债券有关的其它事项；在本次公司债券发行完成后，根据有关证券交易所的相关规定，决定和办理本次发行的公司债券上市的相关事宜；根据适用的监管规则进行必要的相关信息披露）及在董事会已就本次公司债券发行及上市作出任何上述步骤的情况下，批准、确认及追认该等步骤；</w:t>
      </w:r>
    </w:p>
    <w:p w14:paraId="739B96F1">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3、如监管部门对发行政策发生变化或市场条件发生变化，除涉及有关法律、法规及《公司章程》规定必须由股东会重新决定的事项外，授权董事会根据监管部门的意见对本次发行的具体方案等相关事项进行相应调整；</w:t>
      </w:r>
    </w:p>
    <w:p w14:paraId="32FA84D3">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4、在市场环境和政策法规发生重大变化时，根据实际情况决定是否继续开展本次公司债券发行工作；</w:t>
      </w:r>
    </w:p>
    <w:p w14:paraId="4FC6746F">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5、在本次债券存续期内办理还本付息等事项；</w:t>
      </w:r>
    </w:p>
    <w:p w14:paraId="0B6DA1BE">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6、与相关商业银行商谈开设募集资金专项账户事宜，并根据项目进展情况及时与主承销商、存放募集资金的商业银行签订募集资金专户存储三方监管协议；</w:t>
      </w:r>
    </w:p>
    <w:p w14:paraId="07E29A38">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7、办理与本次公开公司债券申报、发行及交易流通有关的其他事项；</w:t>
      </w:r>
    </w:p>
    <w:p w14:paraId="1B42FF8F">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8、本授权期限自股东会审议通过之日至上述授权事项办理完毕之日止。</w:t>
      </w:r>
    </w:p>
    <w:p w14:paraId="7452C0AD">
      <w:pPr>
        <w:adjustRightInd w:val="0"/>
        <w:snapToGrid w:val="0"/>
        <w:ind w:firstLine="482"/>
        <w:jc w:val="left"/>
        <w:rPr>
          <w:rFonts w:hint="eastAsia" w:asciiTheme="minorEastAsia" w:hAnsiTheme="minorEastAsia" w:cstheme="minorEastAsia"/>
          <w:b/>
          <w:bCs/>
          <w:szCs w:val="24"/>
          <w:lang w:val="zh-TW"/>
        </w:rPr>
      </w:pPr>
      <w:bookmarkStart w:id="2" w:name="bookmark4"/>
      <w:r>
        <w:rPr>
          <w:rFonts w:hint="eastAsia" w:asciiTheme="minorEastAsia" w:hAnsiTheme="minorEastAsia" w:cstheme="minorEastAsia"/>
          <w:b/>
          <w:bCs/>
          <w:szCs w:val="24"/>
          <w:lang w:val="zh-TW"/>
        </w:rPr>
        <w:t>三、公司简要财务会计信息</w:t>
      </w:r>
      <w:bookmarkEnd w:id="2"/>
    </w:p>
    <w:p w14:paraId="25B6A1B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（一）公司最近三年合并范围变化情况</w:t>
      </w:r>
    </w:p>
    <w:p w14:paraId="6A6790EC">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1、公司2023年合并范围情况</w:t>
      </w:r>
    </w:p>
    <w:p w14:paraId="222F8F98">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报告期内，公司合并范围较2022年末增加1户，减少1户。</w:t>
      </w:r>
    </w:p>
    <w:p w14:paraId="15A4763D">
      <w:pPr>
        <w:widowControl/>
        <w:snapToGrid w:val="0"/>
        <w:spacing w:before="156" w:beforeLines="50" w:line="360" w:lineRule="auto"/>
        <w:ind w:firstLine="0" w:firstLineChars="0"/>
        <w:jc w:val="center"/>
        <w:rPr>
          <w:rFonts w:ascii="Times New Roman" w:hAnsi="Times New Roman" w:eastAsia="宋体" w:cs="Times New Roman"/>
          <w:b/>
          <w:bCs/>
          <w:color w:val="000000"/>
          <w:kern w:val="0"/>
          <w:sz w:val="21"/>
        </w:rPr>
      </w:pPr>
      <w:r>
        <w:rPr>
          <w:rFonts w:ascii="Times New Roman" w:hAnsi="Times New Roman" w:eastAsia="宋体" w:cs="Times New Roman"/>
          <w:b/>
          <w:bCs/>
          <w:color w:val="000000"/>
          <w:kern w:val="0"/>
          <w:sz w:val="21"/>
        </w:rPr>
        <w:t>表：截至202</w:t>
      </w:r>
      <w:r>
        <w:rPr>
          <w:rFonts w:hint="eastAsia" w:ascii="Times New Roman" w:hAnsi="Times New Roman" w:eastAsia="宋体" w:cs="Times New Roman"/>
          <w:b/>
          <w:bCs/>
          <w:color w:val="000000"/>
          <w:kern w:val="0"/>
          <w:sz w:val="21"/>
        </w:rPr>
        <w:t>3</w:t>
      </w:r>
      <w:r>
        <w:rPr>
          <w:rFonts w:ascii="Times New Roman" w:hAnsi="Times New Roman" w:eastAsia="宋体" w:cs="Times New Roman"/>
          <w:b/>
          <w:bCs/>
          <w:color w:val="000000"/>
          <w:kern w:val="0"/>
          <w:sz w:val="21"/>
        </w:rPr>
        <w:t>年末</w:t>
      </w:r>
      <w:r>
        <w:rPr>
          <w:rFonts w:hint="eastAsia" w:ascii="Times New Roman" w:hAnsi="Times New Roman" w:eastAsia="宋体" w:cs="Times New Roman"/>
          <w:b/>
          <w:bCs/>
          <w:color w:val="000000"/>
          <w:kern w:val="0"/>
          <w:sz w:val="21"/>
        </w:rPr>
        <w:t>公司</w:t>
      </w:r>
      <w:r>
        <w:rPr>
          <w:rFonts w:ascii="Times New Roman" w:hAnsi="Times New Roman" w:eastAsia="宋体" w:cs="Times New Roman"/>
          <w:b/>
          <w:bCs/>
          <w:color w:val="000000"/>
          <w:kern w:val="0"/>
          <w:sz w:val="21"/>
        </w:rPr>
        <w:t>合并报表</w:t>
      </w:r>
      <w:r>
        <w:rPr>
          <w:rFonts w:hint="eastAsia" w:ascii="Times New Roman" w:hAnsi="Times New Roman" w:eastAsia="宋体" w:cs="Times New Roman"/>
          <w:b/>
          <w:bCs/>
          <w:color w:val="000000"/>
          <w:kern w:val="0"/>
          <w:sz w:val="21"/>
        </w:rPr>
        <w:t>范围</w:t>
      </w:r>
      <w:r>
        <w:rPr>
          <w:rFonts w:ascii="Times New Roman" w:hAnsi="Times New Roman" w:eastAsia="宋体" w:cs="Times New Roman"/>
          <w:b/>
          <w:bCs/>
          <w:color w:val="000000"/>
          <w:kern w:val="0"/>
          <w:sz w:val="21"/>
        </w:rPr>
        <w:t>的</w:t>
      </w:r>
      <w:r>
        <w:rPr>
          <w:rFonts w:hint="eastAsia" w:ascii="Times New Roman" w:hAnsi="Times New Roman" w:eastAsia="宋体" w:cs="Times New Roman"/>
          <w:b/>
          <w:bCs/>
          <w:color w:val="000000"/>
          <w:kern w:val="0"/>
          <w:sz w:val="21"/>
        </w:rPr>
        <w:t>变动</w:t>
      </w:r>
      <w:r>
        <w:rPr>
          <w:rFonts w:ascii="Times New Roman" w:hAnsi="Times New Roman" w:eastAsia="宋体" w:cs="Times New Roman"/>
          <w:b/>
          <w:bCs/>
          <w:color w:val="000000"/>
          <w:kern w:val="0"/>
          <w:sz w:val="21"/>
        </w:rPr>
        <w:t>情况</w:t>
      </w:r>
    </w:p>
    <w:tbl>
      <w:tblPr>
        <w:tblStyle w:val="13"/>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3647"/>
        <w:gridCol w:w="1300"/>
        <w:gridCol w:w="1984"/>
        <w:gridCol w:w="1597"/>
      </w:tblGrid>
      <w:tr w14:paraId="25AA0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blHeader/>
          <w:jc w:val="center"/>
        </w:trPr>
        <w:tc>
          <w:tcPr>
            <w:tcW w:w="3647" w:type="dxa"/>
            <w:vAlign w:val="center"/>
          </w:tcPr>
          <w:p w14:paraId="6158C897">
            <w:pPr>
              <w:widowControl/>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企业名称</w:t>
            </w:r>
          </w:p>
        </w:tc>
        <w:tc>
          <w:tcPr>
            <w:tcW w:w="1300" w:type="dxa"/>
            <w:vAlign w:val="center"/>
          </w:tcPr>
          <w:p w14:paraId="26143F2B">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hint="eastAsia" w:ascii="Times New Roman" w:hAnsi="Times New Roman" w:eastAsia="宋体" w:cs="Times New Roman"/>
                <w:b/>
                <w:bCs/>
                <w:snapToGrid w:val="0"/>
                <w:kern w:val="0"/>
                <w:sz w:val="21"/>
                <w:szCs w:val="21"/>
              </w:rPr>
              <w:t>持股比例（%）</w:t>
            </w:r>
          </w:p>
        </w:tc>
        <w:tc>
          <w:tcPr>
            <w:tcW w:w="1984" w:type="dxa"/>
            <w:vAlign w:val="center"/>
          </w:tcPr>
          <w:p w14:paraId="71C82730">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注册资本（万元）</w:t>
            </w:r>
            <w:r>
              <w:rPr>
                <w:rStyle w:val="18"/>
                <w:rFonts w:ascii="Times New Roman" w:hAnsi="Times New Roman" w:eastAsia="宋体" w:cs="Times New Roman"/>
                <w:b/>
                <w:bCs/>
                <w:snapToGrid w:val="0"/>
                <w:kern w:val="0"/>
                <w:sz w:val="21"/>
                <w:szCs w:val="21"/>
              </w:rPr>
              <w:footnoteReference w:id="0"/>
            </w:r>
          </w:p>
        </w:tc>
        <w:tc>
          <w:tcPr>
            <w:tcW w:w="1597" w:type="dxa"/>
            <w:vAlign w:val="center"/>
          </w:tcPr>
          <w:p w14:paraId="26946316">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hint="eastAsia" w:ascii="Times New Roman" w:hAnsi="Times New Roman" w:eastAsia="宋体" w:cs="Times New Roman"/>
                <w:b/>
                <w:bCs/>
                <w:snapToGrid w:val="0"/>
                <w:kern w:val="0"/>
                <w:sz w:val="21"/>
                <w:szCs w:val="21"/>
              </w:rPr>
              <w:t>变动</w:t>
            </w:r>
            <w:r>
              <w:rPr>
                <w:rFonts w:ascii="Times New Roman" w:hAnsi="Times New Roman" w:eastAsia="宋体" w:cs="Times New Roman"/>
                <w:b/>
                <w:bCs/>
                <w:snapToGrid w:val="0"/>
                <w:kern w:val="0"/>
                <w:sz w:val="21"/>
                <w:szCs w:val="21"/>
              </w:rPr>
              <w:t>原因</w:t>
            </w:r>
          </w:p>
        </w:tc>
      </w:tr>
      <w:tr w14:paraId="6E282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06BCD01C">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苏交控清洁能源宿迁有限公司</w:t>
            </w:r>
          </w:p>
        </w:tc>
        <w:tc>
          <w:tcPr>
            <w:tcW w:w="1300" w:type="dxa"/>
            <w:vAlign w:val="center"/>
          </w:tcPr>
          <w:p w14:paraId="14888623">
            <w:pPr>
              <w:widowControl/>
              <w:tabs>
                <w:tab w:val="left" w:pos="525"/>
                <w:tab w:val="center" w:pos="5670"/>
                <w:tab w:val="right" w:pos="7655"/>
              </w:tabs>
              <w:spacing w:line="240" w:lineRule="auto"/>
              <w:ind w:firstLine="0" w:firstLineChars="0"/>
              <w:jc w:val="center"/>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65</w:t>
            </w:r>
            <w:r>
              <w:rPr>
                <w:rFonts w:ascii="Times New Roman" w:hAnsi="Times New Roman" w:eastAsia="宋体" w:cs="Times New Roman"/>
                <w:snapToGrid w:val="0"/>
                <w:sz w:val="21"/>
                <w:szCs w:val="21"/>
              </w:rPr>
              <w:t>.00</w:t>
            </w:r>
          </w:p>
        </w:tc>
        <w:tc>
          <w:tcPr>
            <w:tcW w:w="1984" w:type="dxa"/>
            <w:vAlign w:val="center"/>
          </w:tcPr>
          <w:p w14:paraId="548E9686">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2,000</w:t>
            </w:r>
          </w:p>
        </w:tc>
        <w:tc>
          <w:tcPr>
            <w:tcW w:w="1597" w:type="dxa"/>
            <w:vAlign w:val="center"/>
          </w:tcPr>
          <w:p w14:paraId="7D317A27">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ascii="Times New Roman" w:hAnsi="Times New Roman" w:eastAsia="宋体" w:cs="Times New Roman"/>
                <w:snapToGrid w:val="0"/>
                <w:kern w:val="0"/>
                <w:sz w:val="21"/>
                <w:szCs w:val="21"/>
              </w:rPr>
              <w:t>新设立</w:t>
            </w:r>
            <w:r>
              <w:rPr>
                <w:rFonts w:hint="eastAsia" w:ascii="Times New Roman" w:hAnsi="Times New Roman" w:eastAsia="宋体" w:cs="Times New Roman"/>
                <w:snapToGrid w:val="0"/>
                <w:kern w:val="0"/>
                <w:sz w:val="21"/>
                <w:szCs w:val="21"/>
              </w:rPr>
              <w:t>，纳入合并报表范围</w:t>
            </w:r>
          </w:p>
        </w:tc>
      </w:tr>
      <w:tr w14:paraId="6EFE5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150B3A67">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宁沪商业保理（广州）有限公司</w:t>
            </w:r>
            <w:r>
              <w:rPr>
                <w:rStyle w:val="18"/>
                <w:rFonts w:ascii="Times New Roman" w:hAnsi="Times New Roman" w:eastAsia="宋体" w:cs="Times New Roman"/>
                <w:snapToGrid w:val="0"/>
                <w:kern w:val="0"/>
                <w:sz w:val="21"/>
                <w:szCs w:val="21"/>
              </w:rPr>
              <w:footnoteReference w:id="1"/>
            </w:r>
          </w:p>
        </w:tc>
        <w:tc>
          <w:tcPr>
            <w:tcW w:w="1300" w:type="dxa"/>
            <w:vAlign w:val="center"/>
          </w:tcPr>
          <w:p w14:paraId="6ACC472D">
            <w:pPr>
              <w:widowControl/>
              <w:tabs>
                <w:tab w:val="left" w:pos="525"/>
                <w:tab w:val="center" w:pos="5670"/>
                <w:tab w:val="right" w:pos="7655"/>
              </w:tabs>
              <w:spacing w:line="240" w:lineRule="auto"/>
              <w:ind w:firstLine="0" w:firstLineChars="0"/>
              <w:jc w:val="center"/>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100.00</w:t>
            </w:r>
          </w:p>
        </w:tc>
        <w:tc>
          <w:tcPr>
            <w:tcW w:w="1984" w:type="dxa"/>
            <w:vAlign w:val="center"/>
          </w:tcPr>
          <w:p w14:paraId="39D3674F">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9,000</w:t>
            </w:r>
          </w:p>
        </w:tc>
        <w:tc>
          <w:tcPr>
            <w:tcW w:w="1597" w:type="dxa"/>
            <w:vAlign w:val="center"/>
          </w:tcPr>
          <w:p w14:paraId="7E2F1325">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股权转让，不再纳入合并报表范围</w:t>
            </w:r>
          </w:p>
        </w:tc>
      </w:tr>
    </w:tbl>
    <w:p w14:paraId="2F4DBA9F">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2、公司2024年合并范围情况</w:t>
      </w:r>
    </w:p>
    <w:p w14:paraId="53FD3E67">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报告期内，公司合并范围较2023年末增加2户。</w:t>
      </w:r>
    </w:p>
    <w:p w14:paraId="354FCAB0">
      <w:pPr>
        <w:widowControl/>
        <w:snapToGrid w:val="0"/>
        <w:spacing w:before="156" w:beforeLines="50" w:line="360" w:lineRule="auto"/>
        <w:ind w:firstLine="0" w:firstLineChars="0"/>
        <w:jc w:val="center"/>
        <w:rPr>
          <w:rFonts w:ascii="Times New Roman" w:hAnsi="Times New Roman" w:eastAsia="宋体" w:cs="Times New Roman"/>
          <w:b/>
          <w:bCs/>
          <w:color w:val="000000"/>
          <w:kern w:val="0"/>
          <w:sz w:val="21"/>
        </w:rPr>
      </w:pPr>
      <w:r>
        <w:rPr>
          <w:rFonts w:ascii="Times New Roman" w:hAnsi="Times New Roman" w:eastAsia="宋体" w:cs="Times New Roman"/>
          <w:b/>
          <w:bCs/>
          <w:color w:val="000000"/>
          <w:kern w:val="0"/>
          <w:sz w:val="21"/>
        </w:rPr>
        <w:t>表：截至202</w:t>
      </w:r>
      <w:r>
        <w:rPr>
          <w:rFonts w:hint="eastAsia" w:ascii="Times New Roman" w:hAnsi="Times New Roman" w:eastAsia="宋体" w:cs="Times New Roman"/>
          <w:b/>
          <w:bCs/>
          <w:color w:val="000000"/>
          <w:kern w:val="0"/>
          <w:sz w:val="21"/>
        </w:rPr>
        <w:t>4</w:t>
      </w:r>
      <w:r>
        <w:rPr>
          <w:rFonts w:ascii="Times New Roman" w:hAnsi="Times New Roman" w:eastAsia="宋体" w:cs="Times New Roman"/>
          <w:b/>
          <w:bCs/>
          <w:color w:val="000000"/>
          <w:kern w:val="0"/>
          <w:sz w:val="21"/>
        </w:rPr>
        <w:t>年末</w:t>
      </w:r>
      <w:r>
        <w:rPr>
          <w:rFonts w:hint="eastAsia" w:ascii="Times New Roman" w:hAnsi="Times New Roman" w:eastAsia="宋体" w:cs="Times New Roman"/>
          <w:b/>
          <w:bCs/>
          <w:color w:val="000000"/>
          <w:kern w:val="0"/>
          <w:sz w:val="21"/>
        </w:rPr>
        <w:t>公司</w:t>
      </w:r>
      <w:r>
        <w:rPr>
          <w:rFonts w:ascii="Times New Roman" w:hAnsi="Times New Roman" w:eastAsia="宋体" w:cs="Times New Roman"/>
          <w:b/>
          <w:bCs/>
          <w:color w:val="000000"/>
          <w:kern w:val="0"/>
          <w:sz w:val="21"/>
        </w:rPr>
        <w:t>新纳入合并报表的</w:t>
      </w:r>
      <w:r>
        <w:rPr>
          <w:rFonts w:hint="eastAsia" w:ascii="Times New Roman" w:hAnsi="Times New Roman" w:eastAsia="宋体" w:cs="Times New Roman"/>
          <w:b/>
          <w:bCs/>
          <w:color w:val="000000"/>
          <w:kern w:val="0"/>
          <w:sz w:val="21"/>
        </w:rPr>
        <w:t>主要子公司情况</w:t>
      </w:r>
    </w:p>
    <w:tbl>
      <w:tblPr>
        <w:tblStyle w:val="13"/>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3647"/>
        <w:gridCol w:w="1300"/>
        <w:gridCol w:w="1984"/>
        <w:gridCol w:w="1597"/>
      </w:tblGrid>
      <w:tr w14:paraId="34F15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blHeader/>
          <w:jc w:val="center"/>
        </w:trPr>
        <w:tc>
          <w:tcPr>
            <w:tcW w:w="3647" w:type="dxa"/>
            <w:vAlign w:val="center"/>
          </w:tcPr>
          <w:p w14:paraId="511F9089">
            <w:pPr>
              <w:widowControl/>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企业名称</w:t>
            </w:r>
          </w:p>
        </w:tc>
        <w:tc>
          <w:tcPr>
            <w:tcW w:w="1300" w:type="dxa"/>
            <w:vAlign w:val="center"/>
          </w:tcPr>
          <w:p w14:paraId="42F8C65D">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hint="eastAsia" w:ascii="Times New Roman" w:hAnsi="Times New Roman" w:eastAsia="宋体" w:cs="Times New Roman"/>
                <w:b/>
                <w:bCs/>
                <w:snapToGrid w:val="0"/>
                <w:kern w:val="0"/>
                <w:sz w:val="21"/>
                <w:szCs w:val="21"/>
              </w:rPr>
              <w:t>持股比例（%）</w:t>
            </w:r>
          </w:p>
        </w:tc>
        <w:tc>
          <w:tcPr>
            <w:tcW w:w="1984" w:type="dxa"/>
            <w:vAlign w:val="center"/>
          </w:tcPr>
          <w:p w14:paraId="5CDEBB85">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注册资本（万元）</w:t>
            </w:r>
            <w:r>
              <w:rPr>
                <w:rStyle w:val="18"/>
                <w:rFonts w:ascii="Times New Roman" w:hAnsi="Times New Roman" w:eastAsia="宋体" w:cs="Times New Roman"/>
                <w:b/>
                <w:bCs/>
                <w:snapToGrid w:val="0"/>
                <w:kern w:val="0"/>
                <w:sz w:val="21"/>
                <w:szCs w:val="21"/>
              </w:rPr>
              <w:footnoteReference w:id="2"/>
            </w:r>
          </w:p>
        </w:tc>
        <w:tc>
          <w:tcPr>
            <w:tcW w:w="1597" w:type="dxa"/>
            <w:vAlign w:val="center"/>
          </w:tcPr>
          <w:p w14:paraId="67CCC012">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纳入原因</w:t>
            </w:r>
          </w:p>
        </w:tc>
      </w:tr>
      <w:tr w14:paraId="620EB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2A5C1C45">
            <w:pPr>
              <w:widowControl/>
              <w:tabs>
                <w:tab w:val="left" w:pos="525"/>
                <w:tab w:val="center" w:pos="5670"/>
                <w:tab w:val="right" w:pos="7655"/>
              </w:tabs>
              <w:adjustRightInd w:val="0"/>
              <w:spacing w:line="240" w:lineRule="auto"/>
              <w:ind w:firstLine="0" w:firstLineChars="0"/>
              <w:jc w:val="lef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江苏锡太高速公路有限公司</w:t>
            </w:r>
          </w:p>
        </w:tc>
        <w:tc>
          <w:tcPr>
            <w:tcW w:w="1300" w:type="dxa"/>
            <w:vAlign w:val="center"/>
          </w:tcPr>
          <w:p w14:paraId="2AB55783">
            <w:pPr>
              <w:widowControl/>
              <w:tabs>
                <w:tab w:val="left" w:pos="525"/>
                <w:tab w:val="center" w:pos="5670"/>
                <w:tab w:val="right" w:pos="7655"/>
              </w:tabs>
              <w:spacing w:line="240" w:lineRule="auto"/>
              <w:ind w:firstLine="0" w:firstLineChars="0"/>
              <w:jc w:val="right"/>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50</w:t>
            </w:r>
            <w:r>
              <w:rPr>
                <w:rFonts w:ascii="Times New Roman" w:hAnsi="Times New Roman" w:eastAsia="宋体" w:cs="Times New Roman"/>
                <w:snapToGrid w:val="0"/>
                <w:sz w:val="21"/>
                <w:szCs w:val="21"/>
              </w:rPr>
              <w:t>.00</w:t>
            </w:r>
          </w:p>
        </w:tc>
        <w:tc>
          <w:tcPr>
            <w:tcW w:w="1984" w:type="dxa"/>
            <w:vAlign w:val="center"/>
          </w:tcPr>
          <w:p w14:paraId="09EB0B45">
            <w:pPr>
              <w:widowControl/>
              <w:tabs>
                <w:tab w:val="left" w:pos="525"/>
                <w:tab w:val="center" w:pos="5670"/>
                <w:tab w:val="right" w:pos="7655"/>
              </w:tabs>
              <w:adjustRightInd w:val="0"/>
              <w:spacing w:line="240" w:lineRule="auto"/>
              <w:ind w:firstLine="0" w:firstLineChars="0"/>
              <w:jc w:val="righ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650,000</w:t>
            </w:r>
          </w:p>
        </w:tc>
        <w:tc>
          <w:tcPr>
            <w:tcW w:w="1597" w:type="dxa"/>
            <w:vAlign w:val="center"/>
          </w:tcPr>
          <w:p w14:paraId="191BFEE8">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ascii="Times New Roman" w:hAnsi="Times New Roman" w:eastAsia="宋体" w:cs="Times New Roman"/>
                <w:snapToGrid w:val="0"/>
                <w:kern w:val="0"/>
                <w:sz w:val="21"/>
                <w:szCs w:val="21"/>
              </w:rPr>
              <w:t>新设立</w:t>
            </w:r>
          </w:p>
        </w:tc>
      </w:tr>
      <w:tr w14:paraId="5B055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6A89ED89">
            <w:pPr>
              <w:widowControl/>
              <w:tabs>
                <w:tab w:val="left" w:pos="525"/>
                <w:tab w:val="center" w:pos="5670"/>
                <w:tab w:val="right" w:pos="7655"/>
              </w:tabs>
              <w:adjustRightInd w:val="0"/>
              <w:spacing w:line="240" w:lineRule="auto"/>
              <w:ind w:firstLine="0" w:firstLineChars="0"/>
              <w:jc w:val="lef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江苏丹金高速公路有限公司</w:t>
            </w:r>
          </w:p>
        </w:tc>
        <w:tc>
          <w:tcPr>
            <w:tcW w:w="1300" w:type="dxa"/>
            <w:vAlign w:val="center"/>
          </w:tcPr>
          <w:p w14:paraId="486A8686">
            <w:pPr>
              <w:widowControl/>
              <w:tabs>
                <w:tab w:val="left" w:pos="525"/>
                <w:tab w:val="center" w:pos="5670"/>
                <w:tab w:val="right" w:pos="7655"/>
              </w:tabs>
              <w:spacing w:line="240" w:lineRule="auto"/>
              <w:ind w:firstLine="0" w:firstLineChars="0"/>
              <w:jc w:val="right"/>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74.60</w:t>
            </w:r>
          </w:p>
        </w:tc>
        <w:tc>
          <w:tcPr>
            <w:tcW w:w="1984" w:type="dxa"/>
            <w:vAlign w:val="center"/>
          </w:tcPr>
          <w:p w14:paraId="39B78FC8">
            <w:pPr>
              <w:widowControl/>
              <w:tabs>
                <w:tab w:val="left" w:pos="525"/>
                <w:tab w:val="center" w:pos="5670"/>
                <w:tab w:val="right" w:pos="7655"/>
              </w:tabs>
              <w:adjustRightInd w:val="0"/>
              <w:spacing w:line="240" w:lineRule="auto"/>
              <w:ind w:firstLine="0" w:firstLineChars="0"/>
              <w:jc w:val="righ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170,400</w:t>
            </w:r>
          </w:p>
        </w:tc>
        <w:tc>
          <w:tcPr>
            <w:tcW w:w="1597" w:type="dxa"/>
            <w:vAlign w:val="center"/>
          </w:tcPr>
          <w:p w14:paraId="5213C1F9">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新设立</w:t>
            </w:r>
          </w:p>
        </w:tc>
      </w:tr>
    </w:tbl>
    <w:p w14:paraId="75FCEFB9">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3、公司2025年合并范围情况</w:t>
      </w:r>
    </w:p>
    <w:p w14:paraId="0385958E">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报告期内，公司合并范围较2024年末增加1户，减少2户。</w:t>
      </w:r>
    </w:p>
    <w:p w14:paraId="36C71A1D">
      <w:pPr>
        <w:widowControl/>
        <w:snapToGrid w:val="0"/>
        <w:spacing w:before="156" w:beforeLines="50" w:line="360" w:lineRule="auto"/>
        <w:ind w:firstLine="0" w:firstLineChars="0"/>
        <w:jc w:val="center"/>
        <w:rPr>
          <w:rFonts w:ascii="Times New Roman" w:hAnsi="Times New Roman" w:eastAsia="宋体" w:cs="Times New Roman"/>
          <w:b/>
          <w:bCs/>
          <w:color w:val="000000"/>
          <w:kern w:val="0"/>
          <w:sz w:val="21"/>
        </w:rPr>
      </w:pPr>
      <w:r>
        <w:rPr>
          <w:rFonts w:ascii="Times New Roman" w:hAnsi="Times New Roman" w:eastAsia="宋体" w:cs="Times New Roman"/>
          <w:b/>
          <w:bCs/>
          <w:color w:val="000000"/>
          <w:kern w:val="0"/>
          <w:sz w:val="21"/>
        </w:rPr>
        <w:t>表：截至202</w:t>
      </w:r>
      <w:r>
        <w:rPr>
          <w:rFonts w:hint="eastAsia" w:ascii="Times New Roman" w:hAnsi="Times New Roman" w:eastAsia="宋体" w:cs="Times New Roman"/>
          <w:b/>
          <w:bCs/>
          <w:color w:val="000000"/>
          <w:kern w:val="0"/>
          <w:sz w:val="21"/>
        </w:rPr>
        <w:t>5</w:t>
      </w:r>
      <w:r>
        <w:rPr>
          <w:rFonts w:ascii="Times New Roman" w:hAnsi="Times New Roman" w:eastAsia="宋体" w:cs="Times New Roman"/>
          <w:b/>
          <w:bCs/>
          <w:color w:val="000000"/>
          <w:kern w:val="0"/>
          <w:sz w:val="21"/>
        </w:rPr>
        <w:t>年末</w:t>
      </w:r>
      <w:r>
        <w:rPr>
          <w:rFonts w:hint="eastAsia" w:ascii="Times New Roman" w:hAnsi="Times New Roman" w:eastAsia="宋体" w:cs="Times New Roman"/>
          <w:b/>
          <w:bCs/>
          <w:color w:val="000000"/>
          <w:kern w:val="0"/>
          <w:sz w:val="21"/>
        </w:rPr>
        <w:t>公司</w:t>
      </w:r>
      <w:r>
        <w:rPr>
          <w:rFonts w:ascii="Times New Roman" w:hAnsi="Times New Roman" w:eastAsia="宋体" w:cs="Times New Roman"/>
          <w:b/>
          <w:bCs/>
          <w:color w:val="000000"/>
          <w:kern w:val="0"/>
          <w:sz w:val="21"/>
        </w:rPr>
        <w:t>合并报表</w:t>
      </w:r>
      <w:r>
        <w:rPr>
          <w:rFonts w:hint="eastAsia" w:ascii="Times New Roman" w:hAnsi="Times New Roman" w:eastAsia="宋体" w:cs="Times New Roman"/>
          <w:b/>
          <w:bCs/>
          <w:color w:val="000000"/>
          <w:kern w:val="0"/>
          <w:sz w:val="21"/>
        </w:rPr>
        <w:t>范围</w:t>
      </w:r>
      <w:r>
        <w:rPr>
          <w:rFonts w:ascii="Times New Roman" w:hAnsi="Times New Roman" w:eastAsia="宋体" w:cs="Times New Roman"/>
          <w:b/>
          <w:bCs/>
          <w:color w:val="000000"/>
          <w:kern w:val="0"/>
          <w:sz w:val="21"/>
        </w:rPr>
        <w:t>的</w:t>
      </w:r>
      <w:r>
        <w:rPr>
          <w:rFonts w:hint="eastAsia" w:ascii="Times New Roman" w:hAnsi="Times New Roman" w:eastAsia="宋体" w:cs="Times New Roman"/>
          <w:b/>
          <w:bCs/>
          <w:color w:val="000000"/>
          <w:kern w:val="0"/>
          <w:sz w:val="21"/>
        </w:rPr>
        <w:t>变动情况</w:t>
      </w:r>
    </w:p>
    <w:tbl>
      <w:tblPr>
        <w:tblStyle w:val="13"/>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3647"/>
        <w:gridCol w:w="1300"/>
        <w:gridCol w:w="1984"/>
        <w:gridCol w:w="1597"/>
      </w:tblGrid>
      <w:tr w14:paraId="14C9E4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blHeader/>
          <w:jc w:val="center"/>
        </w:trPr>
        <w:tc>
          <w:tcPr>
            <w:tcW w:w="3647" w:type="dxa"/>
            <w:vAlign w:val="center"/>
          </w:tcPr>
          <w:p w14:paraId="0F41A6DA">
            <w:pPr>
              <w:widowControl/>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企业名称</w:t>
            </w:r>
          </w:p>
        </w:tc>
        <w:tc>
          <w:tcPr>
            <w:tcW w:w="1300" w:type="dxa"/>
            <w:vAlign w:val="center"/>
          </w:tcPr>
          <w:p w14:paraId="64AAA447">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hint="eastAsia" w:ascii="Times New Roman" w:hAnsi="Times New Roman" w:eastAsia="宋体" w:cs="Times New Roman"/>
                <w:b/>
                <w:bCs/>
                <w:snapToGrid w:val="0"/>
                <w:kern w:val="0"/>
                <w:sz w:val="21"/>
                <w:szCs w:val="21"/>
              </w:rPr>
              <w:t>持股比例（%）</w:t>
            </w:r>
          </w:p>
        </w:tc>
        <w:tc>
          <w:tcPr>
            <w:tcW w:w="1984" w:type="dxa"/>
            <w:vAlign w:val="center"/>
          </w:tcPr>
          <w:p w14:paraId="016D22A5">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ascii="Times New Roman" w:hAnsi="Times New Roman" w:eastAsia="宋体" w:cs="Times New Roman"/>
                <w:b/>
                <w:bCs/>
                <w:snapToGrid w:val="0"/>
                <w:kern w:val="0"/>
                <w:sz w:val="21"/>
                <w:szCs w:val="21"/>
              </w:rPr>
              <w:t>注册资本（万元）</w:t>
            </w:r>
          </w:p>
        </w:tc>
        <w:tc>
          <w:tcPr>
            <w:tcW w:w="1597" w:type="dxa"/>
            <w:vAlign w:val="center"/>
          </w:tcPr>
          <w:p w14:paraId="52D6C82A">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b/>
                <w:bCs/>
                <w:snapToGrid w:val="0"/>
                <w:kern w:val="0"/>
                <w:sz w:val="21"/>
                <w:szCs w:val="21"/>
              </w:rPr>
            </w:pPr>
            <w:r>
              <w:rPr>
                <w:rFonts w:hint="eastAsia" w:ascii="Times New Roman" w:hAnsi="Times New Roman" w:eastAsia="宋体" w:cs="Times New Roman"/>
                <w:b/>
                <w:bCs/>
                <w:snapToGrid w:val="0"/>
                <w:kern w:val="0"/>
                <w:sz w:val="21"/>
                <w:szCs w:val="21"/>
              </w:rPr>
              <w:t>变动</w:t>
            </w:r>
            <w:r>
              <w:rPr>
                <w:rFonts w:ascii="Times New Roman" w:hAnsi="Times New Roman" w:eastAsia="宋体" w:cs="Times New Roman"/>
                <w:b/>
                <w:bCs/>
                <w:snapToGrid w:val="0"/>
                <w:kern w:val="0"/>
                <w:sz w:val="21"/>
                <w:szCs w:val="21"/>
              </w:rPr>
              <w:t>原因</w:t>
            </w:r>
          </w:p>
        </w:tc>
      </w:tr>
      <w:tr w14:paraId="685AA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20464D42">
            <w:pPr>
              <w:widowControl/>
              <w:tabs>
                <w:tab w:val="left" w:pos="525"/>
                <w:tab w:val="center" w:pos="5670"/>
                <w:tab w:val="right" w:pos="7655"/>
              </w:tabs>
              <w:adjustRightInd w:val="0"/>
              <w:spacing w:line="240" w:lineRule="auto"/>
              <w:ind w:firstLine="0" w:firstLineChars="0"/>
              <w:jc w:val="lef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苏交控风力发电（泗阳）有限公司</w:t>
            </w:r>
          </w:p>
        </w:tc>
        <w:tc>
          <w:tcPr>
            <w:tcW w:w="1300" w:type="dxa"/>
            <w:vAlign w:val="center"/>
          </w:tcPr>
          <w:p w14:paraId="440EA6EE">
            <w:pPr>
              <w:widowControl/>
              <w:tabs>
                <w:tab w:val="left" w:pos="525"/>
                <w:tab w:val="center" w:pos="5670"/>
                <w:tab w:val="right" w:pos="7655"/>
              </w:tabs>
              <w:spacing w:line="240" w:lineRule="auto"/>
              <w:ind w:firstLine="0" w:firstLineChars="0"/>
              <w:jc w:val="right"/>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55</w:t>
            </w:r>
            <w:r>
              <w:rPr>
                <w:rFonts w:ascii="Times New Roman" w:hAnsi="Times New Roman" w:eastAsia="宋体" w:cs="Times New Roman"/>
                <w:snapToGrid w:val="0"/>
                <w:sz w:val="21"/>
                <w:szCs w:val="21"/>
              </w:rPr>
              <w:t>.00</w:t>
            </w:r>
          </w:p>
        </w:tc>
        <w:tc>
          <w:tcPr>
            <w:tcW w:w="1984" w:type="dxa"/>
            <w:vAlign w:val="center"/>
          </w:tcPr>
          <w:p w14:paraId="0126DD05">
            <w:pPr>
              <w:widowControl/>
              <w:tabs>
                <w:tab w:val="left" w:pos="525"/>
                <w:tab w:val="center" w:pos="5670"/>
                <w:tab w:val="right" w:pos="7655"/>
              </w:tabs>
              <w:adjustRightInd w:val="0"/>
              <w:spacing w:line="240" w:lineRule="auto"/>
              <w:ind w:firstLine="0" w:firstLineChars="0"/>
              <w:jc w:val="righ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18,000</w:t>
            </w:r>
            <w:r>
              <w:rPr>
                <w:rFonts w:ascii="Times New Roman" w:hAnsi="Times New Roman" w:eastAsia="宋体" w:cs="Times New Roman"/>
                <w:snapToGrid w:val="0"/>
                <w:kern w:val="0"/>
                <w:sz w:val="21"/>
                <w:szCs w:val="21"/>
              </w:rPr>
              <w:t xml:space="preserve"> </w:t>
            </w:r>
          </w:p>
        </w:tc>
        <w:tc>
          <w:tcPr>
            <w:tcW w:w="1597" w:type="dxa"/>
            <w:vAlign w:val="center"/>
          </w:tcPr>
          <w:p w14:paraId="4AF9B327">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ascii="Times New Roman" w:hAnsi="Times New Roman" w:eastAsia="宋体" w:cs="Times New Roman"/>
                <w:snapToGrid w:val="0"/>
                <w:kern w:val="0"/>
                <w:sz w:val="21"/>
                <w:szCs w:val="21"/>
              </w:rPr>
              <w:t>新设立</w:t>
            </w:r>
            <w:r>
              <w:rPr>
                <w:rFonts w:hint="eastAsia" w:ascii="Times New Roman" w:hAnsi="Times New Roman" w:eastAsia="宋体" w:cs="Times New Roman"/>
                <w:snapToGrid w:val="0"/>
                <w:kern w:val="0"/>
                <w:sz w:val="21"/>
                <w:szCs w:val="21"/>
              </w:rPr>
              <w:t>，纳入合并报表范围</w:t>
            </w:r>
          </w:p>
        </w:tc>
      </w:tr>
      <w:tr w14:paraId="3AADE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7953578F">
            <w:pPr>
              <w:widowControl/>
              <w:tabs>
                <w:tab w:val="left" w:pos="525"/>
                <w:tab w:val="center" w:pos="5670"/>
                <w:tab w:val="right" w:pos="7655"/>
              </w:tabs>
              <w:adjustRightInd w:val="0"/>
              <w:spacing w:line="240" w:lineRule="auto"/>
              <w:ind w:firstLine="0" w:firstLineChars="0"/>
              <w:jc w:val="left"/>
              <w:rPr>
                <w:rFonts w:ascii="Times New Roman" w:hAnsi="Times New Roman" w:eastAsia="宋体" w:cs="Times New Roman"/>
                <w:snapToGrid w:val="0"/>
                <w:kern w:val="0"/>
                <w:sz w:val="21"/>
                <w:szCs w:val="21"/>
              </w:rPr>
            </w:pPr>
            <w:r>
              <w:rPr>
                <w:rFonts w:hint="eastAsia" w:ascii="Times New Roman" w:hAnsi="Times New Roman" w:eastAsia="宋体" w:cs="楷体"/>
                <w:color w:val="000000"/>
                <w:kern w:val="0"/>
                <w:sz w:val="21"/>
                <w:szCs w:val="21"/>
                <w:lang w:bidi="ar"/>
              </w:rPr>
              <w:t>宁沪置业（苏州）有限公司</w:t>
            </w:r>
          </w:p>
        </w:tc>
        <w:tc>
          <w:tcPr>
            <w:tcW w:w="1300" w:type="dxa"/>
            <w:vAlign w:val="center"/>
          </w:tcPr>
          <w:p w14:paraId="0D53148B">
            <w:pPr>
              <w:widowControl/>
              <w:tabs>
                <w:tab w:val="left" w:pos="525"/>
                <w:tab w:val="center" w:pos="5670"/>
                <w:tab w:val="right" w:pos="7655"/>
              </w:tabs>
              <w:spacing w:line="240" w:lineRule="auto"/>
              <w:ind w:firstLine="0" w:firstLineChars="0"/>
              <w:jc w:val="right"/>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100.00</w:t>
            </w:r>
          </w:p>
        </w:tc>
        <w:tc>
          <w:tcPr>
            <w:tcW w:w="1984" w:type="dxa"/>
            <w:vAlign w:val="center"/>
          </w:tcPr>
          <w:p w14:paraId="4747DB42">
            <w:pPr>
              <w:widowControl/>
              <w:tabs>
                <w:tab w:val="left" w:pos="525"/>
                <w:tab w:val="center" w:pos="5670"/>
                <w:tab w:val="right" w:pos="7655"/>
              </w:tabs>
              <w:adjustRightInd w:val="0"/>
              <w:spacing w:line="240" w:lineRule="auto"/>
              <w:ind w:firstLine="0" w:firstLineChars="0"/>
              <w:jc w:val="righ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10,000</w:t>
            </w:r>
          </w:p>
        </w:tc>
        <w:tc>
          <w:tcPr>
            <w:tcW w:w="1597" w:type="dxa"/>
            <w:vAlign w:val="center"/>
          </w:tcPr>
          <w:p w14:paraId="2AB346BF">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注销，不再纳入合并报表范围</w:t>
            </w:r>
          </w:p>
        </w:tc>
      </w:tr>
      <w:tr w14:paraId="08C38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jc w:val="center"/>
        </w:trPr>
        <w:tc>
          <w:tcPr>
            <w:tcW w:w="3647" w:type="dxa"/>
            <w:vAlign w:val="center"/>
          </w:tcPr>
          <w:p w14:paraId="3CF9A8D4">
            <w:pPr>
              <w:widowControl/>
              <w:tabs>
                <w:tab w:val="left" w:pos="525"/>
                <w:tab w:val="center" w:pos="5670"/>
                <w:tab w:val="right" w:pos="7655"/>
              </w:tabs>
              <w:adjustRightInd w:val="0"/>
              <w:spacing w:line="240" w:lineRule="auto"/>
              <w:ind w:firstLine="0" w:firstLineChars="0"/>
              <w:jc w:val="left"/>
              <w:rPr>
                <w:rFonts w:ascii="Times New Roman" w:hAnsi="Times New Roman" w:eastAsia="宋体" w:cs="Times New Roman"/>
                <w:snapToGrid w:val="0"/>
                <w:kern w:val="0"/>
                <w:sz w:val="21"/>
                <w:szCs w:val="21"/>
              </w:rPr>
            </w:pPr>
            <w:r>
              <w:rPr>
                <w:rFonts w:hint="eastAsia" w:ascii="Times New Roman" w:hAnsi="Times New Roman" w:eastAsia="宋体" w:cs="楷体"/>
                <w:color w:val="000000"/>
                <w:kern w:val="0"/>
                <w:sz w:val="21"/>
                <w:szCs w:val="21"/>
                <w:lang w:bidi="ar"/>
              </w:rPr>
              <w:t>无锡市靖澄广告有限公司</w:t>
            </w:r>
          </w:p>
        </w:tc>
        <w:tc>
          <w:tcPr>
            <w:tcW w:w="1300" w:type="dxa"/>
            <w:vAlign w:val="center"/>
          </w:tcPr>
          <w:p w14:paraId="50CEA342">
            <w:pPr>
              <w:widowControl/>
              <w:tabs>
                <w:tab w:val="left" w:pos="525"/>
                <w:tab w:val="center" w:pos="5670"/>
                <w:tab w:val="right" w:pos="7655"/>
              </w:tabs>
              <w:spacing w:line="240" w:lineRule="auto"/>
              <w:ind w:firstLine="0" w:firstLineChars="0"/>
              <w:jc w:val="right"/>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85.00</w:t>
            </w:r>
          </w:p>
        </w:tc>
        <w:tc>
          <w:tcPr>
            <w:tcW w:w="1984" w:type="dxa"/>
            <w:vAlign w:val="center"/>
          </w:tcPr>
          <w:p w14:paraId="2259F771">
            <w:pPr>
              <w:widowControl/>
              <w:tabs>
                <w:tab w:val="left" w:pos="525"/>
                <w:tab w:val="center" w:pos="5670"/>
                <w:tab w:val="right" w:pos="7655"/>
              </w:tabs>
              <w:adjustRightInd w:val="0"/>
              <w:spacing w:line="240" w:lineRule="auto"/>
              <w:ind w:firstLine="0" w:firstLineChars="0"/>
              <w:jc w:val="right"/>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100</w:t>
            </w:r>
          </w:p>
        </w:tc>
        <w:tc>
          <w:tcPr>
            <w:tcW w:w="1597" w:type="dxa"/>
            <w:vAlign w:val="center"/>
          </w:tcPr>
          <w:p w14:paraId="70766312">
            <w:pPr>
              <w:widowControl/>
              <w:tabs>
                <w:tab w:val="left" w:pos="525"/>
                <w:tab w:val="center" w:pos="5670"/>
                <w:tab w:val="right" w:pos="7655"/>
              </w:tabs>
              <w:adjustRightInd w:val="0"/>
              <w:spacing w:line="240" w:lineRule="auto"/>
              <w:ind w:firstLine="0" w:firstLineChars="0"/>
              <w:jc w:val="center"/>
              <w:rPr>
                <w:rFonts w:ascii="Times New Roman" w:hAnsi="Times New Roman" w:eastAsia="宋体" w:cs="Times New Roman"/>
                <w:snapToGrid w:val="0"/>
                <w:kern w:val="0"/>
                <w:sz w:val="21"/>
                <w:szCs w:val="21"/>
              </w:rPr>
            </w:pPr>
            <w:r>
              <w:rPr>
                <w:rFonts w:hint="eastAsia" w:ascii="Times New Roman" w:hAnsi="Times New Roman" w:eastAsia="宋体" w:cs="Times New Roman"/>
                <w:snapToGrid w:val="0"/>
                <w:kern w:val="0"/>
                <w:sz w:val="21"/>
                <w:szCs w:val="21"/>
              </w:rPr>
              <w:t>注销，不再纳入合并报表范围</w:t>
            </w:r>
          </w:p>
        </w:tc>
      </w:tr>
    </w:tbl>
    <w:p w14:paraId="50E442C7">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（二）公司最近三年的资产负债表、利润表及现金流量表</w:t>
      </w:r>
    </w:p>
    <w:p w14:paraId="5FE2B63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公司2023年度、2024年度和2025年度的财务报告经毕马威华振会计师事务所（特殊普通合伙）审计，并分别出具了编号为“毕马威华振审字第2403447号”、“毕马威华振审字第2507839号”和“毕马威华振审字第2606084号”标准无保留意见的审计报告。如无特别说明，以下引用的2023年度、2024年度和2025年度财务数据来源于公司经审计的2023年度、2024年度、2025年度审计报告。</w:t>
      </w:r>
    </w:p>
    <w:p w14:paraId="17763C39">
      <w:pPr>
        <w:adjustRightInd w:val="0"/>
        <w:snapToGrid w:val="0"/>
        <w:ind w:firstLine="480"/>
        <w:jc w:val="left"/>
        <w:rPr>
          <w:rFonts w:hint="eastAsia" w:asciiTheme="minorEastAsia" w:hAnsiTheme="minorEastAsia" w:cstheme="minorEastAsia"/>
          <w:szCs w:val="24"/>
        </w:rPr>
      </w:pPr>
      <w:bookmarkStart w:id="3" w:name="_Hlk100192143"/>
      <w:r>
        <w:rPr>
          <w:rFonts w:hint="eastAsia" w:asciiTheme="minorEastAsia" w:hAnsiTheme="minorEastAsia" w:cstheme="minorEastAsia"/>
          <w:szCs w:val="24"/>
          <w:lang w:val="zh-TW"/>
        </w:rPr>
        <w:t>1、公司最近三年的合并财务报表</w:t>
      </w:r>
    </w:p>
    <w:p w14:paraId="2DF10610">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（1）最近三年合并资产负债表</w:t>
      </w:r>
    </w:p>
    <w:p w14:paraId="128265D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904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400"/>
        <w:gridCol w:w="1880"/>
        <w:gridCol w:w="1880"/>
        <w:gridCol w:w="1880"/>
      </w:tblGrid>
      <w:tr w14:paraId="4D98E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400" w:type="dxa"/>
            <w:noWrap/>
            <w:vAlign w:val="center"/>
          </w:tcPr>
          <w:p w14:paraId="2F8A7ECB">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项目</w:t>
            </w:r>
          </w:p>
        </w:tc>
        <w:tc>
          <w:tcPr>
            <w:tcW w:w="1880" w:type="dxa"/>
            <w:noWrap/>
            <w:vAlign w:val="center"/>
          </w:tcPr>
          <w:p w14:paraId="6F2EEB5D">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2025年末</w:t>
            </w:r>
          </w:p>
        </w:tc>
        <w:tc>
          <w:tcPr>
            <w:tcW w:w="1880" w:type="dxa"/>
            <w:noWrap/>
            <w:vAlign w:val="center"/>
          </w:tcPr>
          <w:p w14:paraId="760842C5">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2024年末</w:t>
            </w:r>
          </w:p>
        </w:tc>
        <w:tc>
          <w:tcPr>
            <w:tcW w:w="1880" w:type="dxa"/>
            <w:noWrap/>
            <w:vAlign w:val="center"/>
          </w:tcPr>
          <w:p w14:paraId="35F686AA">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2023年末</w:t>
            </w:r>
          </w:p>
        </w:tc>
      </w:tr>
      <w:tr w14:paraId="08304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EFF3D5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流动资产：</w:t>
            </w:r>
          </w:p>
        </w:tc>
        <w:tc>
          <w:tcPr>
            <w:tcW w:w="1880" w:type="dxa"/>
            <w:noWrap/>
            <w:vAlign w:val="center"/>
          </w:tcPr>
          <w:p w14:paraId="20E1DEF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143497C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40AEAD0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5677D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019A8D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货币资金</w:t>
            </w:r>
          </w:p>
        </w:tc>
        <w:tc>
          <w:tcPr>
            <w:tcW w:w="1880" w:type="dxa"/>
            <w:noWrap/>
            <w:vAlign w:val="center"/>
          </w:tcPr>
          <w:p w14:paraId="336F710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61,125.87 </w:t>
            </w:r>
          </w:p>
        </w:tc>
        <w:tc>
          <w:tcPr>
            <w:tcW w:w="1880" w:type="dxa"/>
            <w:noWrap/>
            <w:vAlign w:val="center"/>
          </w:tcPr>
          <w:p w14:paraId="554F544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86,447.00 </w:t>
            </w:r>
          </w:p>
        </w:tc>
        <w:tc>
          <w:tcPr>
            <w:tcW w:w="1880" w:type="dxa"/>
            <w:noWrap/>
            <w:vAlign w:val="center"/>
          </w:tcPr>
          <w:p w14:paraId="5F623AD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86,216.11 </w:t>
            </w:r>
          </w:p>
        </w:tc>
      </w:tr>
      <w:tr w14:paraId="6D9B5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ECA6E0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交易性金融资产</w:t>
            </w:r>
          </w:p>
        </w:tc>
        <w:tc>
          <w:tcPr>
            <w:tcW w:w="1880" w:type="dxa"/>
            <w:noWrap/>
            <w:vAlign w:val="center"/>
          </w:tcPr>
          <w:p w14:paraId="46EC635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184,086.91 </w:t>
            </w:r>
          </w:p>
        </w:tc>
        <w:tc>
          <w:tcPr>
            <w:tcW w:w="1880" w:type="dxa"/>
            <w:noWrap/>
            <w:vAlign w:val="center"/>
          </w:tcPr>
          <w:p w14:paraId="75AB645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312,189.66 </w:t>
            </w:r>
          </w:p>
        </w:tc>
        <w:tc>
          <w:tcPr>
            <w:tcW w:w="1880" w:type="dxa"/>
            <w:noWrap/>
            <w:vAlign w:val="center"/>
          </w:tcPr>
          <w:p w14:paraId="4B35E4E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366,358.64 </w:t>
            </w:r>
          </w:p>
        </w:tc>
      </w:tr>
      <w:tr w14:paraId="719D4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B5F900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应收票据及应收账款</w:t>
            </w:r>
          </w:p>
        </w:tc>
        <w:tc>
          <w:tcPr>
            <w:tcW w:w="1880" w:type="dxa"/>
            <w:noWrap/>
            <w:vAlign w:val="center"/>
          </w:tcPr>
          <w:p w14:paraId="1C247A2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210,422.11 </w:t>
            </w:r>
          </w:p>
        </w:tc>
        <w:tc>
          <w:tcPr>
            <w:tcW w:w="1880" w:type="dxa"/>
            <w:noWrap/>
            <w:vAlign w:val="center"/>
          </w:tcPr>
          <w:p w14:paraId="3E6F643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187,645.59 </w:t>
            </w:r>
          </w:p>
        </w:tc>
        <w:tc>
          <w:tcPr>
            <w:tcW w:w="1880" w:type="dxa"/>
            <w:noWrap/>
            <w:vAlign w:val="center"/>
          </w:tcPr>
          <w:p w14:paraId="52646C5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165,869.34 </w:t>
            </w:r>
          </w:p>
        </w:tc>
      </w:tr>
      <w:tr w14:paraId="08E7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9E223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其中：应收票据</w:t>
            </w:r>
          </w:p>
        </w:tc>
        <w:tc>
          <w:tcPr>
            <w:tcW w:w="1880" w:type="dxa"/>
            <w:noWrap/>
            <w:vAlign w:val="center"/>
          </w:tcPr>
          <w:p w14:paraId="338B981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461.10 </w:t>
            </w:r>
          </w:p>
        </w:tc>
        <w:tc>
          <w:tcPr>
            <w:tcW w:w="1880" w:type="dxa"/>
            <w:noWrap/>
            <w:vAlign w:val="center"/>
          </w:tcPr>
          <w:p w14:paraId="0D57B6B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1,317.15 </w:t>
            </w:r>
          </w:p>
        </w:tc>
        <w:tc>
          <w:tcPr>
            <w:tcW w:w="1880" w:type="dxa"/>
            <w:noWrap/>
            <w:vAlign w:val="center"/>
          </w:tcPr>
          <w:p w14:paraId="7909D2C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866.31 </w:t>
            </w:r>
          </w:p>
        </w:tc>
      </w:tr>
      <w:tr w14:paraId="4354D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1E08E1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应收账款</w:t>
            </w:r>
          </w:p>
        </w:tc>
        <w:tc>
          <w:tcPr>
            <w:tcW w:w="1880" w:type="dxa"/>
            <w:noWrap/>
            <w:vAlign w:val="center"/>
          </w:tcPr>
          <w:p w14:paraId="0EB80C1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209,961.00 </w:t>
            </w:r>
          </w:p>
        </w:tc>
        <w:tc>
          <w:tcPr>
            <w:tcW w:w="1880" w:type="dxa"/>
            <w:noWrap/>
            <w:vAlign w:val="center"/>
          </w:tcPr>
          <w:p w14:paraId="45B4418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186,328.45 </w:t>
            </w:r>
          </w:p>
        </w:tc>
        <w:tc>
          <w:tcPr>
            <w:tcW w:w="1880" w:type="dxa"/>
            <w:noWrap/>
            <w:vAlign w:val="center"/>
          </w:tcPr>
          <w:p w14:paraId="2F43490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165,003.03 </w:t>
            </w:r>
          </w:p>
        </w:tc>
      </w:tr>
      <w:tr w14:paraId="3AC5F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8EC5EC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预付款项</w:t>
            </w:r>
          </w:p>
        </w:tc>
        <w:tc>
          <w:tcPr>
            <w:tcW w:w="1880" w:type="dxa"/>
            <w:noWrap/>
            <w:vAlign w:val="center"/>
          </w:tcPr>
          <w:p w14:paraId="0EFD2DF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967.73 </w:t>
            </w:r>
          </w:p>
        </w:tc>
        <w:tc>
          <w:tcPr>
            <w:tcW w:w="1880" w:type="dxa"/>
            <w:noWrap/>
            <w:vAlign w:val="center"/>
          </w:tcPr>
          <w:p w14:paraId="21DA557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868.95 </w:t>
            </w:r>
          </w:p>
        </w:tc>
        <w:tc>
          <w:tcPr>
            <w:tcW w:w="1880" w:type="dxa"/>
            <w:noWrap/>
            <w:vAlign w:val="center"/>
          </w:tcPr>
          <w:p w14:paraId="500DC18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611.26 </w:t>
            </w:r>
          </w:p>
        </w:tc>
      </w:tr>
      <w:tr w14:paraId="050E1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8CEF4D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其他应收款合计</w:t>
            </w:r>
          </w:p>
        </w:tc>
        <w:tc>
          <w:tcPr>
            <w:tcW w:w="1880" w:type="dxa"/>
            <w:noWrap/>
            <w:vAlign w:val="center"/>
          </w:tcPr>
          <w:p w14:paraId="1693E1C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8,223.56 </w:t>
            </w:r>
          </w:p>
        </w:tc>
        <w:tc>
          <w:tcPr>
            <w:tcW w:w="1880" w:type="dxa"/>
            <w:noWrap/>
            <w:vAlign w:val="center"/>
          </w:tcPr>
          <w:p w14:paraId="42496AE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31,203.27 </w:t>
            </w:r>
          </w:p>
        </w:tc>
        <w:tc>
          <w:tcPr>
            <w:tcW w:w="1880" w:type="dxa"/>
            <w:noWrap/>
            <w:vAlign w:val="center"/>
          </w:tcPr>
          <w:p w14:paraId="15980BE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6,158.97 </w:t>
            </w:r>
          </w:p>
        </w:tc>
      </w:tr>
      <w:tr w14:paraId="7DDF81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9EC5E2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应收股利</w:t>
            </w:r>
          </w:p>
        </w:tc>
        <w:tc>
          <w:tcPr>
            <w:tcW w:w="1880" w:type="dxa"/>
            <w:noWrap/>
            <w:vAlign w:val="center"/>
          </w:tcPr>
          <w:p w14:paraId="4BE4025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1,427.29 </w:t>
            </w:r>
          </w:p>
        </w:tc>
        <w:tc>
          <w:tcPr>
            <w:tcW w:w="1880" w:type="dxa"/>
            <w:noWrap/>
            <w:vAlign w:val="center"/>
          </w:tcPr>
          <w:p w14:paraId="0539873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25,897.79 </w:t>
            </w:r>
          </w:p>
        </w:tc>
        <w:tc>
          <w:tcPr>
            <w:tcW w:w="1880" w:type="dxa"/>
            <w:noWrap/>
            <w:vAlign w:val="center"/>
          </w:tcPr>
          <w:p w14:paraId="0B05F04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1,926.29 </w:t>
            </w:r>
          </w:p>
        </w:tc>
      </w:tr>
      <w:tr w14:paraId="31BBD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2721DF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w:t>
            </w:r>
          </w:p>
        </w:tc>
        <w:tc>
          <w:tcPr>
            <w:tcW w:w="1880" w:type="dxa"/>
            <w:noWrap/>
            <w:vAlign w:val="center"/>
          </w:tcPr>
          <w:p w14:paraId="6EF405C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6,796.26 </w:t>
            </w:r>
          </w:p>
        </w:tc>
        <w:tc>
          <w:tcPr>
            <w:tcW w:w="1880" w:type="dxa"/>
            <w:noWrap/>
            <w:vAlign w:val="center"/>
          </w:tcPr>
          <w:p w14:paraId="228DE7C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5,305.47 </w:t>
            </w:r>
          </w:p>
        </w:tc>
        <w:tc>
          <w:tcPr>
            <w:tcW w:w="1880" w:type="dxa"/>
            <w:noWrap/>
            <w:vAlign w:val="center"/>
          </w:tcPr>
          <w:p w14:paraId="39028BD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4,232.68 </w:t>
            </w:r>
          </w:p>
        </w:tc>
      </w:tr>
      <w:tr w14:paraId="632EC2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F593F7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存货</w:t>
            </w:r>
          </w:p>
        </w:tc>
        <w:tc>
          <w:tcPr>
            <w:tcW w:w="1880" w:type="dxa"/>
            <w:noWrap/>
            <w:vAlign w:val="center"/>
          </w:tcPr>
          <w:p w14:paraId="6DE4F57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187,622.35 </w:t>
            </w:r>
          </w:p>
        </w:tc>
        <w:tc>
          <w:tcPr>
            <w:tcW w:w="1880" w:type="dxa"/>
            <w:noWrap/>
            <w:vAlign w:val="center"/>
          </w:tcPr>
          <w:p w14:paraId="03AB029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199,954.15 </w:t>
            </w:r>
          </w:p>
        </w:tc>
        <w:tc>
          <w:tcPr>
            <w:tcW w:w="1880" w:type="dxa"/>
            <w:noWrap/>
            <w:vAlign w:val="center"/>
          </w:tcPr>
          <w:p w14:paraId="528F6B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223,824.67 </w:t>
            </w:r>
          </w:p>
        </w:tc>
      </w:tr>
      <w:tr w14:paraId="20EBB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3F799F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一年内到期的非流动资产</w:t>
            </w:r>
          </w:p>
        </w:tc>
        <w:tc>
          <w:tcPr>
            <w:tcW w:w="1880" w:type="dxa"/>
            <w:noWrap/>
            <w:vAlign w:val="center"/>
          </w:tcPr>
          <w:p w14:paraId="1CD988B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6,160.63 </w:t>
            </w:r>
          </w:p>
        </w:tc>
        <w:tc>
          <w:tcPr>
            <w:tcW w:w="1880" w:type="dxa"/>
            <w:noWrap/>
            <w:vAlign w:val="center"/>
          </w:tcPr>
          <w:p w14:paraId="605ED05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12,143.69 </w:t>
            </w:r>
          </w:p>
        </w:tc>
        <w:tc>
          <w:tcPr>
            <w:tcW w:w="1880" w:type="dxa"/>
            <w:noWrap/>
            <w:vAlign w:val="center"/>
          </w:tcPr>
          <w:p w14:paraId="306B56C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11,972.36 </w:t>
            </w:r>
          </w:p>
        </w:tc>
      </w:tr>
      <w:tr w14:paraId="624C7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F22EF4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其他流动资产</w:t>
            </w:r>
          </w:p>
        </w:tc>
        <w:tc>
          <w:tcPr>
            <w:tcW w:w="1880" w:type="dxa"/>
            <w:noWrap/>
            <w:vAlign w:val="center"/>
          </w:tcPr>
          <w:p w14:paraId="4A418F2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16,097.48 </w:t>
            </w:r>
          </w:p>
        </w:tc>
        <w:tc>
          <w:tcPr>
            <w:tcW w:w="1880" w:type="dxa"/>
            <w:noWrap/>
            <w:vAlign w:val="center"/>
          </w:tcPr>
          <w:p w14:paraId="501E367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8,917.26 </w:t>
            </w:r>
          </w:p>
        </w:tc>
        <w:tc>
          <w:tcPr>
            <w:tcW w:w="1880" w:type="dxa"/>
            <w:noWrap/>
            <w:vAlign w:val="center"/>
          </w:tcPr>
          <w:p w14:paraId="321B746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12,665.90 </w:t>
            </w:r>
          </w:p>
        </w:tc>
      </w:tr>
      <w:tr w14:paraId="032470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9ED1E3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流动资产合计</w:t>
            </w:r>
          </w:p>
        </w:tc>
        <w:tc>
          <w:tcPr>
            <w:tcW w:w="1880" w:type="dxa"/>
            <w:noWrap/>
            <w:vAlign w:val="center"/>
          </w:tcPr>
          <w:p w14:paraId="08ACC28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674,706.63 </w:t>
            </w:r>
          </w:p>
        </w:tc>
        <w:tc>
          <w:tcPr>
            <w:tcW w:w="1880" w:type="dxa"/>
            <w:noWrap/>
            <w:vAlign w:val="center"/>
          </w:tcPr>
          <w:p w14:paraId="66B0794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839,369.56 </w:t>
            </w:r>
          </w:p>
        </w:tc>
        <w:tc>
          <w:tcPr>
            <w:tcW w:w="1880" w:type="dxa"/>
            <w:noWrap/>
            <w:vAlign w:val="center"/>
          </w:tcPr>
          <w:p w14:paraId="1B28B13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873,677.26 </w:t>
            </w:r>
          </w:p>
        </w:tc>
      </w:tr>
      <w:tr w14:paraId="7C688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7F59045">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非流动资产：</w:t>
            </w:r>
          </w:p>
        </w:tc>
        <w:tc>
          <w:tcPr>
            <w:tcW w:w="1880" w:type="dxa"/>
            <w:noWrap/>
            <w:vAlign w:val="center"/>
          </w:tcPr>
          <w:p w14:paraId="12AC6D6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7BEECE9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1377F7C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6DFF3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130566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长期应收款</w:t>
            </w:r>
          </w:p>
        </w:tc>
        <w:tc>
          <w:tcPr>
            <w:tcW w:w="1880" w:type="dxa"/>
            <w:noWrap/>
            <w:vAlign w:val="center"/>
          </w:tcPr>
          <w:p w14:paraId="466FFE8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184F2C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461FBA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5,943.69 </w:t>
            </w:r>
          </w:p>
        </w:tc>
      </w:tr>
      <w:tr w14:paraId="4B884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2489D0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长期股权投资</w:t>
            </w:r>
          </w:p>
        </w:tc>
        <w:tc>
          <w:tcPr>
            <w:tcW w:w="1880" w:type="dxa"/>
            <w:noWrap/>
            <w:vAlign w:val="center"/>
          </w:tcPr>
          <w:p w14:paraId="66BCB83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1,352,248.01 </w:t>
            </w:r>
          </w:p>
        </w:tc>
        <w:tc>
          <w:tcPr>
            <w:tcW w:w="1880" w:type="dxa"/>
            <w:noWrap/>
            <w:vAlign w:val="center"/>
          </w:tcPr>
          <w:p w14:paraId="70F4B38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1,275,674.96 </w:t>
            </w:r>
          </w:p>
        </w:tc>
        <w:tc>
          <w:tcPr>
            <w:tcW w:w="1880" w:type="dxa"/>
            <w:noWrap/>
            <w:vAlign w:val="center"/>
          </w:tcPr>
          <w:p w14:paraId="76984B2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1,188,258.32 </w:t>
            </w:r>
          </w:p>
        </w:tc>
      </w:tr>
      <w:tr w14:paraId="63525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70B0C2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其他权益工具投资</w:t>
            </w:r>
          </w:p>
        </w:tc>
        <w:tc>
          <w:tcPr>
            <w:tcW w:w="1880" w:type="dxa"/>
            <w:noWrap/>
            <w:vAlign w:val="center"/>
          </w:tcPr>
          <w:p w14:paraId="0DDDBA9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1,093,276.89 </w:t>
            </w:r>
          </w:p>
        </w:tc>
        <w:tc>
          <w:tcPr>
            <w:tcW w:w="1880" w:type="dxa"/>
            <w:noWrap/>
            <w:vAlign w:val="center"/>
          </w:tcPr>
          <w:p w14:paraId="0E4CE45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1,006,827.56 </w:t>
            </w:r>
          </w:p>
        </w:tc>
        <w:tc>
          <w:tcPr>
            <w:tcW w:w="1880" w:type="dxa"/>
            <w:noWrap/>
            <w:vAlign w:val="center"/>
          </w:tcPr>
          <w:p w14:paraId="36E0A62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682,298.97 </w:t>
            </w:r>
          </w:p>
        </w:tc>
      </w:tr>
      <w:tr w14:paraId="33522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A3832A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其他非流动金融资产</w:t>
            </w:r>
          </w:p>
        </w:tc>
        <w:tc>
          <w:tcPr>
            <w:tcW w:w="1880" w:type="dxa"/>
            <w:noWrap/>
            <w:vAlign w:val="center"/>
          </w:tcPr>
          <w:p w14:paraId="08FB81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183,684.18 </w:t>
            </w:r>
          </w:p>
        </w:tc>
        <w:tc>
          <w:tcPr>
            <w:tcW w:w="1880" w:type="dxa"/>
            <w:noWrap/>
            <w:vAlign w:val="center"/>
          </w:tcPr>
          <w:p w14:paraId="33B69A8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201,961.66 </w:t>
            </w:r>
          </w:p>
        </w:tc>
        <w:tc>
          <w:tcPr>
            <w:tcW w:w="1880" w:type="dxa"/>
            <w:noWrap/>
            <w:vAlign w:val="center"/>
          </w:tcPr>
          <w:p w14:paraId="7F53222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291,237.80 </w:t>
            </w:r>
          </w:p>
        </w:tc>
      </w:tr>
      <w:tr w14:paraId="27400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2D65EA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投资性房地产</w:t>
            </w:r>
          </w:p>
        </w:tc>
        <w:tc>
          <w:tcPr>
            <w:tcW w:w="1880" w:type="dxa"/>
            <w:noWrap/>
            <w:vAlign w:val="center"/>
          </w:tcPr>
          <w:p w14:paraId="24FAB79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53,087.07 </w:t>
            </w:r>
          </w:p>
        </w:tc>
        <w:tc>
          <w:tcPr>
            <w:tcW w:w="1880" w:type="dxa"/>
            <w:noWrap/>
            <w:vAlign w:val="center"/>
          </w:tcPr>
          <w:p w14:paraId="4160E97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44,114.31 </w:t>
            </w:r>
          </w:p>
        </w:tc>
        <w:tc>
          <w:tcPr>
            <w:tcW w:w="1880" w:type="dxa"/>
            <w:noWrap/>
            <w:vAlign w:val="center"/>
          </w:tcPr>
          <w:p w14:paraId="3DE8CE5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28,898.67 </w:t>
            </w:r>
          </w:p>
        </w:tc>
      </w:tr>
      <w:tr w14:paraId="1D9AC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F8E822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固定资产合计</w:t>
            </w:r>
          </w:p>
        </w:tc>
        <w:tc>
          <w:tcPr>
            <w:tcW w:w="1880" w:type="dxa"/>
            <w:noWrap/>
            <w:vAlign w:val="center"/>
          </w:tcPr>
          <w:p w14:paraId="7924B60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783,882.25 </w:t>
            </w:r>
          </w:p>
        </w:tc>
        <w:tc>
          <w:tcPr>
            <w:tcW w:w="1880" w:type="dxa"/>
            <w:noWrap/>
            <w:vAlign w:val="center"/>
          </w:tcPr>
          <w:p w14:paraId="10677DB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727,566.10 </w:t>
            </w:r>
          </w:p>
        </w:tc>
        <w:tc>
          <w:tcPr>
            <w:tcW w:w="1880" w:type="dxa"/>
            <w:noWrap/>
            <w:vAlign w:val="center"/>
          </w:tcPr>
          <w:p w14:paraId="6D4F7DD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759,504.49 </w:t>
            </w:r>
          </w:p>
        </w:tc>
      </w:tr>
      <w:tr w14:paraId="4D351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645B91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其中：固定资产</w:t>
            </w:r>
          </w:p>
        </w:tc>
        <w:tc>
          <w:tcPr>
            <w:tcW w:w="1880" w:type="dxa"/>
            <w:noWrap/>
            <w:vAlign w:val="center"/>
          </w:tcPr>
          <w:p w14:paraId="4BD9E6C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783,745.99 </w:t>
            </w:r>
          </w:p>
        </w:tc>
        <w:tc>
          <w:tcPr>
            <w:tcW w:w="1880" w:type="dxa"/>
            <w:noWrap/>
            <w:vAlign w:val="center"/>
          </w:tcPr>
          <w:p w14:paraId="0176D76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727,496.66 </w:t>
            </w:r>
          </w:p>
        </w:tc>
        <w:tc>
          <w:tcPr>
            <w:tcW w:w="1880" w:type="dxa"/>
            <w:noWrap/>
            <w:vAlign w:val="center"/>
          </w:tcPr>
          <w:p w14:paraId="4731667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759,307.01 </w:t>
            </w:r>
          </w:p>
        </w:tc>
      </w:tr>
      <w:tr w14:paraId="4A14D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A0D0E7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固定资产清理</w:t>
            </w:r>
          </w:p>
        </w:tc>
        <w:tc>
          <w:tcPr>
            <w:tcW w:w="1880" w:type="dxa"/>
            <w:noWrap/>
            <w:vAlign w:val="center"/>
          </w:tcPr>
          <w:p w14:paraId="31F16E5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136.26 </w:t>
            </w:r>
          </w:p>
        </w:tc>
        <w:tc>
          <w:tcPr>
            <w:tcW w:w="1880" w:type="dxa"/>
            <w:noWrap/>
            <w:vAlign w:val="center"/>
          </w:tcPr>
          <w:p w14:paraId="1622911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69.44 </w:t>
            </w:r>
          </w:p>
        </w:tc>
        <w:tc>
          <w:tcPr>
            <w:tcW w:w="1880" w:type="dxa"/>
            <w:noWrap/>
            <w:vAlign w:val="center"/>
          </w:tcPr>
          <w:p w14:paraId="4723F90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197.49 </w:t>
            </w:r>
          </w:p>
        </w:tc>
      </w:tr>
      <w:tr w14:paraId="29BFA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DBBE6F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在建工程合计</w:t>
            </w:r>
          </w:p>
        </w:tc>
        <w:tc>
          <w:tcPr>
            <w:tcW w:w="1880" w:type="dxa"/>
            <w:noWrap/>
            <w:vAlign w:val="center"/>
          </w:tcPr>
          <w:p w14:paraId="4C98045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49,318.95 </w:t>
            </w:r>
          </w:p>
        </w:tc>
        <w:tc>
          <w:tcPr>
            <w:tcW w:w="1880" w:type="dxa"/>
            <w:noWrap/>
            <w:vAlign w:val="center"/>
          </w:tcPr>
          <w:p w14:paraId="7EEA83E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12,836.51 </w:t>
            </w:r>
          </w:p>
        </w:tc>
        <w:tc>
          <w:tcPr>
            <w:tcW w:w="1880" w:type="dxa"/>
            <w:noWrap/>
            <w:vAlign w:val="center"/>
          </w:tcPr>
          <w:p w14:paraId="05D3CF2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8,769.38 </w:t>
            </w:r>
          </w:p>
        </w:tc>
      </w:tr>
      <w:tr w14:paraId="6CC4E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987744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其中：在建工程</w:t>
            </w:r>
          </w:p>
        </w:tc>
        <w:tc>
          <w:tcPr>
            <w:tcW w:w="1880" w:type="dxa"/>
            <w:noWrap/>
            <w:vAlign w:val="center"/>
          </w:tcPr>
          <w:p w14:paraId="1C8507F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49,318.95 </w:t>
            </w:r>
          </w:p>
        </w:tc>
        <w:tc>
          <w:tcPr>
            <w:tcW w:w="1880" w:type="dxa"/>
            <w:noWrap/>
            <w:vAlign w:val="center"/>
          </w:tcPr>
          <w:p w14:paraId="369024D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12,836.51 </w:t>
            </w:r>
          </w:p>
        </w:tc>
        <w:tc>
          <w:tcPr>
            <w:tcW w:w="1880" w:type="dxa"/>
            <w:noWrap/>
            <w:vAlign w:val="center"/>
          </w:tcPr>
          <w:p w14:paraId="52E315B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8,769.38 </w:t>
            </w:r>
          </w:p>
        </w:tc>
      </w:tr>
      <w:tr w14:paraId="18259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921A40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使用权资产</w:t>
            </w:r>
          </w:p>
        </w:tc>
        <w:tc>
          <w:tcPr>
            <w:tcW w:w="1880" w:type="dxa"/>
            <w:noWrap/>
            <w:vAlign w:val="center"/>
          </w:tcPr>
          <w:p w14:paraId="7A9D924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3,586.79 </w:t>
            </w:r>
          </w:p>
        </w:tc>
        <w:tc>
          <w:tcPr>
            <w:tcW w:w="1880" w:type="dxa"/>
            <w:noWrap/>
            <w:vAlign w:val="center"/>
          </w:tcPr>
          <w:p w14:paraId="0A00A3E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2,431.50 </w:t>
            </w:r>
          </w:p>
        </w:tc>
        <w:tc>
          <w:tcPr>
            <w:tcW w:w="1880" w:type="dxa"/>
            <w:noWrap/>
            <w:vAlign w:val="center"/>
          </w:tcPr>
          <w:p w14:paraId="559D8C8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2,688.76 </w:t>
            </w:r>
          </w:p>
        </w:tc>
      </w:tr>
      <w:tr w14:paraId="58D58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5C5598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无形资产</w:t>
            </w:r>
          </w:p>
        </w:tc>
        <w:tc>
          <w:tcPr>
            <w:tcW w:w="1880" w:type="dxa"/>
            <w:noWrap/>
            <w:vAlign w:val="center"/>
          </w:tcPr>
          <w:p w14:paraId="2F098D9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5,361,866.08 </w:t>
            </w:r>
          </w:p>
        </w:tc>
        <w:tc>
          <w:tcPr>
            <w:tcW w:w="1880" w:type="dxa"/>
            <w:noWrap/>
            <w:vAlign w:val="center"/>
          </w:tcPr>
          <w:p w14:paraId="1C893D4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4,798,812.45 </w:t>
            </w:r>
          </w:p>
        </w:tc>
        <w:tc>
          <w:tcPr>
            <w:tcW w:w="1880" w:type="dxa"/>
            <w:noWrap/>
            <w:vAlign w:val="center"/>
          </w:tcPr>
          <w:p w14:paraId="5801D1A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3,986,169.97 </w:t>
            </w:r>
          </w:p>
        </w:tc>
      </w:tr>
      <w:tr w14:paraId="45F09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1F7CDB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长期待摊费用</w:t>
            </w:r>
          </w:p>
        </w:tc>
        <w:tc>
          <w:tcPr>
            <w:tcW w:w="1880" w:type="dxa"/>
            <w:noWrap/>
            <w:vAlign w:val="center"/>
          </w:tcPr>
          <w:p w14:paraId="6A9B660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416.37 </w:t>
            </w:r>
          </w:p>
        </w:tc>
        <w:tc>
          <w:tcPr>
            <w:tcW w:w="1880" w:type="dxa"/>
            <w:noWrap/>
            <w:vAlign w:val="center"/>
          </w:tcPr>
          <w:p w14:paraId="66A5189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946.67 </w:t>
            </w:r>
          </w:p>
        </w:tc>
        <w:tc>
          <w:tcPr>
            <w:tcW w:w="1880" w:type="dxa"/>
            <w:noWrap/>
            <w:vAlign w:val="center"/>
          </w:tcPr>
          <w:p w14:paraId="66AE409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1,620.44 </w:t>
            </w:r>
          </w:p>
        </w:tc>
      </w:tr>
      <w:tr w14:paraId="645F4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9CAAEC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递延所得税资产</w:t>
            </w:r>
          </w:p>
        </w:tc>
        <w:tc>
          <w:tcPr>
            <w:tcW w:w="1880" w:type="dxa"/>
            <w:noWrap/>
            <w:vAlign w:val="center"/>
          </w:tcPr>
          <w:p w14:paraId="2FA0C37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19,194.12 </w:t>
            </w:r>
          </w:p>
        </w:tc>
        <w:tc>
          <w:tcPr>
            <w:tcW w:w="1880" w:type="dxa"/>
            <w:noWrap/>
            <w:vAlign w:val="center"/>
          </w:tcPr>
          <w:p w14:paraId="45769F2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19,174.49 </w:t>
            </w:r>
          </w:p>
        </w:tc>
        <w:tc>
          <w:tcPr>
            <w:tcW w:w="1880" w:type="dxa"/>
            <w:noWrap/>
            <w:vAlign w:val="center"/>
          </w:tcPr>
          <w:p w14:paraId="72C400C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18,675.16 </w:t>
            </w:r>
          </w:p>
        </w:tc>
      </w:tr>
      <w:tr w14:paraId="3606B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659591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其他非流动资产</w:t>
            </w:r>
          </w:p>
        </w:tc>
        <w:tc>
          <w:tcPr>
            <w:tcW w:w="1880" w:type="dxa"/>
            <w:noWrap/>
            <w:vAlign w:val="center"/>
          </w:tcPr>
          <w:p w14:paraId="1CBC0A0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63,631.78 </w:t>
            </w:r>
          </w:p>
        </w:tc>
        <w:tc>
          <w:tcPr>
            <w:tcW w:w="1880" w:type="dxa"/>
            <w:noWrap/>
            <w:vAlign w:val="center"/>
          </w:tcPr>
          <w:p w14:paraId="74D937E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58,891.74 </w:t>
            </w:r>
          </w:p>
        </w:tc>
        <w:tc>
          <w:tcPr>
            <w:tcW w:w="1880" w:type="dxa"/>
            <w:noWrap/>
            <w:vAlign w:val="center"/>
          </w:tcPr>
          <w:p w14:paraId="4C42B42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18,401.49 </w:t>
            </w:r>
          </w:p>
        </w:tc>
      </w:tr>
      <w:tr w14:paraId="0C1B2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B96FBB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非流动资产合计</w:t>
            </w:r>
          </w:p>
        </w:tc>
        <w:tc>
          <w:tcPr>
            <w:tcW w:w="1880" w:type="dxa"/>
            <w:noWrap/>
            <w:vAlign w:val="center"/>
          </w:tcPr>
          <w:p w14:paraId="2A448A6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8,964,192.51 </w:t>
            </w:r>
          </w:p>
        </w:tc>
        <w:tc>
          <w:tcPr>
            <w:tcW w:w="1880" w:type="dxa"/>
            <w:noWrap/>
            <w:vAlign w:val="center"/>
          </w:tcPr>
          <w:p w14:paraId="227E7E37">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8,149,237.96 </w:t>
            </w:r>
          </w:p>
        </w:tc>
        <w:tc>
          <w:tcPr>
            <w:tcW w:w="1880" w:type="dxa"/>
            <w:noWrap/>
            <w:vAlign w:val="center"/>
          </w:tcPr>
          <w:p w14:paraId="69BCD3E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6,992,467.13 </w:t>
            </w:r>
          </w:p>
        </w:tc>
      </w:tr>
      <w:tr w14:paraId="12E91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842273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资产总计</w:t>
            </w:r>
          </w:p>
        </w:tc>
        <w:tc>
          <w:tcPr>
            <w:tcW w:w="1880" w:type="dxa"/>
            <w:noWrap/>
            <w:vAlign w:val="center"/>
          </w:tcPr>
          <w:p w14:paraId="6CE645E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9,638,899.14 </w:t>
            </w:r>
          </w:p>
        </w:tc>
        <w:tc>
          <w:tcPr>
            <w:tcW w:w="1880" w:type="dxa"/>
            <w:noWrap/>
            <w:vAlign w:val="center"/>
          </w:tcPr>
          <w:p w14:paraId="5915D86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8,988,607.52 </w:t>
            </w:r>
          </w:p>
        </w:tc>
        <w:tc>
          <w:tcPr>
            <w:tcW w:w="1880" w:type="dxa"/>
            <w:noWrap/>
            <w:vAlign w:val="center"/>
          </w:tcPr>
          <w:p w14:paraId="361D08D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7,866,144.39 </w:t>
            </w:r>
          </w:p>
        </w:tc>
      </w:tr>
      <w:tr w14:paraId="7F3A2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4136DA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流动负债：</w:t>
            </w:r>
          </w:p>
        </w:tc>
        <w:tc>
          <w:tcPr>
            <w:tcW w:w="1880" w:type="dxa"/>
            <w:noWrap/>
            <w:vAlign w:val="center"/>
          </w:tcPr>
          <w:p w14:paraId="4863486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23DCBCD5">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6644FA1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36E1B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58F99A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短期借款</w:t>
            </w:r>
          </w:p>
        </w:tc>
        <w:tc>
          <w:tcPr>
            <w:tcW w:w="1880" w:type="dxa"/>
            <w:noWrap/>
            <w:vAlign w:val="center"/>
          </w:tcPr>
          <w:p w14:paraId="2105830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50,029.89 </w:t>
            </w:r>
          </w:p>
        </w:tc>
        <w:tc>
          <w:tcPr>
            <w:tcW w:w="1880" w:type="dxa"/>
            <w:noWrap/>
            <w:vAlign w:val="center"/>
          </w:tcPr>
          <w:p w14:paraId="6B80F07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40,028.11 </w:t>
            </w:r>
          </w:p>
        </w:tc>
        <w:tc>
          <w:tcPr>
            <w:tcW w:w="1880" w:type="dxa"/>
            <w:noWrap/>
            <w:vAlign w:val="center"/>
          </w:tcPr>
          <w:p w14:paraId="4C9623A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100,398.72 </w:t>
            </w:r>
          </w:p>
        </w:tc>
      </w:tr>
      <w:tr w14:paraId="2405C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B5135B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应付票据及应付账款</w:t>
            </w:r>
          </w:p>
        </w:tc>
        <w:tc>
          <w:tcPr>
            <w:tcW w:w="1880" w:type="dxa"/>
            <w:noWrap/>
            <w:vAlign w:val="center"/>
          </w:tcPr>
          <w:p w14:paraId="4586244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376,341.06 </w:t>
            </w:r>
          </w:p>
        </w:tc>
        <w:tc>
          <w:tcPr>
            <w:tcW w:w="1880" w:type="dxa"/>
            <w:noWrap/>
            <w:vAlign w:val="center"/>
          </w:tcPr>
          <w:p w14:paraId="462A116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231,975.32 </w:t>
            </w:r>
          </w:p>
        </w:tc>
        <w:tc>
          <w:tcPr>
            <w:tcW w:w="1880" w:type="dxa"/>
            <w:noWrap/>
            <w:vAlign w:val="center"/>
          </w:tcPr>
          <w:p w14:paraId="56EB82C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294,752.03 </w:t>
            </w:r>
          </w:p>
        </w:tc>
      </w:tr>
      <w:tr w14:paraId="539D3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C4298D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其中：应付票据</w:t>
            </w:r>
          </w:p>
        </w:tc>
        <w:tc>
          <w:tcPr>
            <w:tcW w:w="1880" w:type="dxa"/>
            <w:noWrap/>
            <w:vAlign w:val="center"/>
          </w:tcPr>
          <w:p w14:paraId="71EDF19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05A930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27,930.00 </w:t>
            </w:r>
          </w:p>
        </w:tc>
        <w:tc>
          <w:tcPr>
            <w:tcW w:w="1880" w:type="dxa"/>
            <w:noWrap/>
            <w:vAlign w:val="center"/>
          </w:tcPr>
          <w:p w14:paraId="3DC898D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25,290.00 </w:t>
            </w:r>
          </w:p>
        </w:tc>
      </w:tr>
      <w:tr w14:paraId="6DABE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265951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应付账款</w:t>
            </w:r>
          </w:p>
        </w:tc>
        <w:tc>
          <w:tcPr>
            <w:tcW w:w="1880" w:type="dxa"/>
            <w:noWrap/>
            <w:vAlign w:val="center"/>
          </w:tcPr>
          <w:p w14:paraId="1E164F8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376,341.06 </w:t>
            </w:r>
          </w:p>
        </w:tc>
        <w:tc>
          <w:tcPr>
            <w:tcW w:w="1880" w:type="dxa"/>
            <w:noWrap/>
            <w:vAlign w:val="center"/>
          </w:tcPr>
          <w:p w14:paraId="58F6C22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204,045.32 </w:t>
            </w:r>
          </w:p>
        </w:tc>
        <w:tc>
          <w:tcPr>
            <w:tcW w:w="1880" w:type="dxa"/>
            <w:noWrap/>
            <w:vAlign w:val="center"/>
          </w:tcPr>
          <w:p w14:paraId="0D82CAD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269,462.03 </w:t>
            </w:r>
          </w:p>
        </w:tc>
      </w:tr>
      <w:tr w14:paraId="6092D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60F184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预收款项</w:t>
            </w:r>
          </w:p>
        </w:tc>
        <w:tc>
          <w:tcPr>
            <w:tcW w:w="1880" w:type="dxa"/>
            <w:noWrap/>
            <w:vAlign w:val="center"/>
          </w:tcPr>
          <w:p w14:paraId="3C2250A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3,833.95 </w:t>
            </w:r>
          </w:p>
        </w:tc>
        <w:tc>
          <w:tcPr>
            <w:tcW w:w="1880" w:type="dxa"/>
            <w:noWrap/>
            <w:vAlign w:val="center"/>
          </w:tcPr>
          <w:p w14:paraId="0B7CE4D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2,151.69 </w:t>
            </w:r>
          </w:p>
        </w:tc>
        <w:tc>
          <w:tcPr>
            <w:tcW w:w="1880" w:type="dxa"/>
            <w:noWrap/>
            <w:vAlign w:val="center"/>
          </w:tcPr>
          <w:p w14:paraId="5163111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2,139.81 </w:t>
            </w:r>
          </w:p>
        </w:tc>
      </w:tr>
      <w:tr w14:paraId="1D210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C289E8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合同负债</w:t>
            </w:r>
          </w:p>
        </w:tc>
        <w:tc>
          <w:tcPr>
            <w:tcW w:w="1880" w:type="dxa"/>
            <w:noWrap/>
            <w:vAlign w:val="center"/>
          </w:tcPr>
          <w:p w14:paraId="3D55B94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679.65 </w:t>
            </w:r>
          </w:p>
        </w:tc>
        <w:tc>
          <w:tcPr>
            <w:tcW w:w="1880" w:type="dxa"/>
            <w:noWrap/>
            <w:vAlign w:val="center"/>
          </w:tcPr>
          <w:p w14:paraId="1CB1500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2,916.25 </w:t>
            </w:r>
          </w:p>
        </w:tc>
        <w:tc>
          <w:tcPr>
            <w:tcW w:w="1880" w:type="dxa"/>
            <w:noWrap/>
            <w:vAlign w:val="center"/>
          </w:tcPr>
          <w:p w14:paraId="5957ECB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3,966.24 </w:t>
            </w:r>
          </w:p>
        </w:tc>
      </w:tr>
      <w:tr w14:paraId="710EE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86DFDE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应付职工薪酬</w:t>
            </w:r>
          </w:p>
        </w:tc>
        <w:tc>
          <w:tcPr>
            <w:tcW w:w="1880" w:type="dxa"/>
            <w:noWrap/>
            <w:vAlign w:val="center"/>
          </w:tcPr>
          <w:p w14:paraId="4EB3315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1,022.79 </w:t>
            </w:r>
          </w:p>
        </w:tc>
        <w:tc>
          <w:tcPr>
            <w:tcW w:w="1880" w:type="dxa"/>
            <w:noWrap/>
            <w:vAlign w:val="center"/>
          </w:tcPr>
          <w:p w14:paraId="4B795C1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817.03 </w:t>
            </w:r>
          </w:p>
        </w:tc>
        <w:tc>
          <w:tcPr>
            <w:tcW w:w="1880" w:type="dxa"/>
            <w:noWrap/>
            <w:vAlign w:val="center"/>
          </w:tcPr>
          <w:p w14:paraId="09CF4EC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790.62 </w:t>
            </w:r>
          </w:p>
        </w:tc>
      </w:tr>
      <w:tr w14:paraId="04DEA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3497E5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应交税费</w:t>
            </w:r>
          </w:p>
        </w:tc>
        <w:tc>
          <w:tcPr>
            <w:tcW w:w="1880" w:type="dxa"/>
            <w:noWrap/>
            <w:vAlign w:val="center"/>
          </w:tcPr>
          <w:p w14:paraId="15819C3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26,629.13 </w:t>
            </w:r>
          </w:p>
        </w:tc>
        <w:tc>
          <w:tcPr>
            <w:tcW w:w="1880" w:type="dxa"/>
            <w:noWrap/>
            <w:vAlign w:val="center"/>
          </w:tcPr>
          <w:p w14:paraId="2852A91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26,628.06 </w:t>
            </w:r>
          </w:p>
        </w:tc>
        <w:tc>
          <w:tcPr>
            <w:tcW w:w="1880" w:type="dxa"/>
            <w:noWrap/>
            <w:vAlign w:val="center"/>
          </w:tcPr>
          <w:p w14:paraId="062CEF2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22,863.10 </w:t>
            </w:r>
          </w:p>
        </w:tc>
      </w:tr>
      <w:tr w14:paraId="6DD8B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D71465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其他应付款合计</w:t>
            </w:r>
          </w:p>
        </w:tc>
        <w:tc>
          <w:tcPr>
            <w:tcW w:w="1880" w:type="dxa"/>
            <w:noWrap/>
            <w:vAlign w:val="center"/>
          </w:tcPr>
          <w:p w14:paraId="2DA3546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33,545.67 </w:t>
            </w:r>
          </w:p>
        </w:tc>
        <w:tc>
          <w:tcPr>
            <w:tcW w:w="1880" w:type="dxa"/>
            <w:noWrap/>
            <w:vAlign w:val="center"/>
          </w:tcPr>
          <w:p w14:paraId="6DEA28F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31,801.37 </w:t>
            </w:r>
          </w:p>
        </w:tc>
        <w:tc>
          <w:tcPr>
            <w:tcW w:w="1880" w:type="dxa"/>
            <w:noWrap/>
            <w:vAlign w:val="center"/>
          </w:tcPr>
          <w:p w14:paraId="4B32905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34,184.15 </w:t>
            </w:r>
          </w:p>
        </w:tc>
      </w:tr>
      <w:tr w14:paraId="31D31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E6505D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其中：应付利息</w:t>
            </w:r>
          </w:p>
        </w:tc>
        <w:tc>
          <w:tcPr>
            <w:tcW w:w="1880" w:type="dxa"/>
            <w:noWrap/>
            <w:vAlign w:val="center"/>
          </w:tcPr>
          <w:p w14:paraId="749CFF2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45F5B8B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EBCF36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65370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959467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应付股利</w:t>
            </w:r>
          </w:p>
        </w:tc>
        <w:tc>
          <w:tcPr>
            <w:tcW w:w="1880" w:type="dxa"/>
            <w:noWrap/>
            <w:vAlign w:val="center"/>
          </w:tcPr>
          <w:p w14:paraId="40F0A39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11,805.62 </w:t>
            </w:r>
          </w:p>
        </w:tc>
        <w:tc>
          <w:tcPr>
            <w:tcW w:w="1880" w:type="dxa"/>
            <w:noWrap/>
            <w:vAlign w:val="center"/>
          </w:tcPr>
          <w:p w14:paraId="6AC17ED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11,704.06 </w:t>
            </w:r>
          </w:p>
        </w:tc>
        <w:tc>
          <w:tcPr>
            <w:tcW w:w="1880" w:type="dxa"/>
            <w:noWrap/>
            <w:vAlign w:val="center"/>
          </w:tcPr>
          <w:p w14:paraId="1C2C293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10,561.79 </w:t>
            </w:r>
          </w:p>
        </w:tc>
      </w:tr>
      <w:tr w14:paraId="3B3C2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AAB8F4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其他应付款</w:t>
            </w:r>
          </w:p>
        </w:tc>
        <w:tc>
          <w:tcPr>
            <w:tcW w:w="1880" w:type="dxa"/>
            <w:noWrap/>
            <w:vAlign w:val="center"/>
          </w:tcPr>
          <w:p w14:paraId="72A36F5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21,740.05 </w:t>
            </w:r>
          </w:p>
        </w:tc>
        <w:tc>
          <w:tcPr>
            <w:tcW w:w="1880" w:type="dxa"/>
            <w:noWrap/>
            <w:vAlign w:val="center"/>
          </w:tcPr>
          <w:p w14:paraId="02F2C4A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20,097.31 </w:t>
            </w:r>
          </w:p>
        </w:tc>
        <w:tc>
          <w:tcPr>
            <w:tcW w:w="1880" w:type="dxa"/>
            <w:noWrap/>
            <w:vAlign w:val="center"/>
          </w:tcPr>
          <w:p w14:paraId="366E298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23,622.36 </w:t>
            </w:r>
          </w:p>
        </w:tc>
      </w:tr>
      <w:tr w14:paraId="31900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D9C8ED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一年内到期的非流动负债</w:t>
            </w:r>
          </w:p>
        </w:tc>
        <w:tc>
          <w:tcPr>
            <w:tcW w:w="1880" w:type="dxa"/>
            <w:noWrap/>
            <w:vAlign w:val="center"/>
          </w:tcPr>
          <w:p w14:paraId="4A202E8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273,458.11 </w:t>
            </w:r>
          </w:p>
        </w:tc>
        <w:tc>
          <w:tcPr>
            <w:tcW w:w="1880" w:type="dxa"/>
            <w:noWrap/>
            <w:vAlign w:val="center"/>
          </w:tcPr>
          <w:p w14:paraId="4FA7121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869,066.68 </w:t>
            </w:r>
          </w:p>
        </w:tc>
        <w:tc>
          <w:tcPr>
            <w:tcW w:w="1880" w:type="dxa"/>
            <w:noWrap/>
            <w:vAlign w:val="center"/>
          </w:tcPr>
          <w:p w14:paraId="576DFD0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303,121.02 </w:t>
            </w:r>
          </w:p>
        </w:tc>
      </w:tr>
      <w:tr w14:paraId="7C193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DFCE77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其他流动负债</w:t>
            </w:r>
          </w:p>
        </w:tc>
        <w:tc>
          <w:tcPr>
            <w:tcW w:w="1880" w:type="dxa"/>
            <w:noWrap/>
            <w:vAlign w:val="center"/>
          </w:tcPr>
          <w:p w14:paraId="6A49C39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382,074.92 </w:t>
            </w:r>
          </w:p>
        </w:tc>
        <w:tc>
          <w:tcPr>
            <w:tcW w:w="1880" w:type="dxa"/>
            <w:noWrap/>
            <w:vAlign w:val="center"/>
          </w:tcPr>
          <w:p w14:paraId="2AE214C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413,266.19 </w:t>
            </w:r>
          </w:p>
        </w:tc>
        <w:tc>
          <w:tcPr>
            <w:tcW w:w="1880" w:type="dxa"/>
            <w:noWrap/>
            <w:vAlign w:val="center"/>
          </w:tcPr>
          <w:p w14:paraId="3E451A9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192,728.15 </w:t>
            </w:r>
          </w:p>
        </w:tc>
      </w:tr>
      <w:tr w14:paraId="335E0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E5CB41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流动负债合计</w:t>
            </w:r>
          </w:p>
        </w:tc>
        <w:tc>
          <w:tcPr>
            <w:tcW w:w="1880" w:type="dxa"/>
            <w:noWrap/>
            <w:vAlign w:val="center"/>
          </w:tcPr>
          <w:p w14:paraId="757553E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1,147,615.17 </w:t>
            </w:r>
          </w:p>
        </w:tc>
        <w:tc>
          <w:tcPr>
            <w:tcW w:w="1880" w:type="dxa"/>
            <w:noWrap/>
            <w:vAlign w:val="center"/>
          </w:tcPr>
          <w:p w14:paraId="311FDF3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1,618,650.71 </w:t>
            </w:r>
          </w:p>
        </w:tc>
        <w:tc>
          <w:tcPr>
            <w:tcW w:w="1880" w:type="dxa"/>
            <w:noWrap/>
            <w:vAlign w:val="center"/>
          </w:tcPr>
          <w:p w14:paraId="2EC414C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954,943.84 </w:t>
            </w:r>
          </w:p>
        </w:tc>
      </w:tr>
      <w:tr w14:paraId="702D4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A13890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非流动负债：</w:t>
            </w:r>
          </w:p>
        </w:tc>
        <w:tc>
          <w:tcPr>
            <w:tcW w:w="1880" w:type="dxa"/>
            <w:noWrap/>
            <w:vAlign w:val="center"/>
          </w:tcPr>
          <w:p w14:paraId="1A7BF62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209E391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7101E14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0E3CF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47D962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长期借款</w:t>
            </w:r>
          </w:p>
        </w:tc>
        <w:tc>
          <w:tcPr>
            <w:tcW w:w="1880" w:type="dxa"/>
            <w:noWrap/>
            <w:vAlign w:val="center"/>
          </w:tcPr>
          <w:p w14:paraId="30F73FF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1,965,158.72 </w:t>
            </w:r>
          </w:p>
        </w:tc>
        <w:tc>
          <w:tcPr>
            <w:tcW w:w="1880" w:type="dxa"/>
            <w:noWrap/>
            <w:vAlign w:val="center"/>
          </w:tcPr>
          <w:p w14:paraId="185EF8F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1,935,781.95 </w:t>
            </w:r>
          </w:p>
        </w:tc>
        <w:tc>
          <w:tcPr>
            <w:tcW w:w="1880" w:type="dxa"/>
            <w:noWrap/>
            <w:vAlign w:val="center"/>
          </w:tcPr>
          <w:p w14:paraId="0E81378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1,944,910.10 </w:t>
            </w:r>
          </w:p>
        </w:tc>
      </w:tr>
      <w:tr w14:paraId="55551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4902BC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应付债券</w:t>
            </w:r>
          </w:p>
        </w:tc>
        <w:tc>
          <w:tcPr>
            <w:tcW w:w="1880" w:type="dxa"/>
            <w:noWrap/>
            <w:vAlign w:val="center"/>
          </w:tcPr>
          <w:p w14:paraId="39EC953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599,524.47 </w:t>
            </w:r>
          </w:p>
        </w:tc>
        <w:tc>
          <w:tcPr>
            <w:tcW w:w="1880" w:type="dxa"/>
            <w:noWrap/>
            <w:vAlign w:val="center"/>
          </w:tcPr>
          <w:p w14:paraId="4426091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99,930.03 </w:t>
            </w:r>
          </w:p>
        </w:tc>
        <w:tc>
          <w:tcPr>
            <w:tcW w:w="1880" w:type="dxa"/>
            <w:noWrap/>
            <w:vAlign w:val="center"/>
          </w:tcPr>
          <w:p w14:paraId="0238BA7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798,420.65 </w:t>
            </w:r>
          </w:p>
        </w:tc>
      </w:tr>
      <w:tr w14:paraId="0B44A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D185B6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租赁负债</w:t>
            </w:r>
          </w:p>
        </w:tc>
        <w:tc>
          <w:tcPr>
            <w:tcW w:w="1880" w:type="dxa"/>
            <w:noWrap/>
            <w:vAlign w:val="center"/>
          </w:tcPr>
          <w:p w14:paraId="6A770CF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2,984.27 </w:t>
            </w:r>
          </w:p>
        </w:tc>
        <w:tc>
          <w:tcPr>
            <w:tcW w:w="1880" w:type="dxa"/>
            <w:noWrap/>
            <w:vAlign w:val="center"/>
          </w:tcPr>
          <w:p w14:paraId="7438CF9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1,645.93 </w:t>
            </w:r>
          </w:p>
        </w:tc>
        <w:tc>
          <w:tcPr>
            <w:tcW w:w="1880" w:type="dxa"/>
            <w:noWrap/>
            <w:vAlign w:val="center"/>
          </w:tcPr>
          <w:p w14:paraId="4281DE9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1,850.78 </w:t>
            </w:r>
          </w:p>
        </w:tc>
      </w:tr>
      <w:tr w14:paraId="1DD0D3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4186CB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长期应付款合计</w:t>
            </w:r>
          </w:p>
        </w:tc>
        <w:tc>
          <w:tcPr>
            <w:tcW w:w="1880" w:type="dxa"/>
            <w:noWrap/>
            <w:vAlign w:val="center"/>
          </w:tcPr>
          <w:p w14:paraId="1810792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6,615.48 </w:t>
            </w:r>
          </w:p>
        </w:tc>
        <w:tc>
          <w:tcPr>
            <w:tcW w:w="1880" w:type="dxa"/>
            <w:noWrap/>
            <w:vAlign w:val="center"/>
          </w:tcPr>
          <w:p w14:paraId="4B03EB7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6,798.41 </w:t>
            </w:r>
          </w:p>
        </w:tc>
        <w:tc>
          <w:tcPr>
            <w:tcW w:w="1880" w:type="dxa"/>
            <w:noWrap/>
            <w:vAlign w:val="center"/>
          </w:tcPr>
          <w:p w14:paraId="706CED1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6,973.30 </w:t>
            </w:r>
          </w:p>
        </w:tc>
      </w:tr>
      <w:tr w14:paraId="47665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F3FE34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其中：长期应付款</w:t>
            </w:r>
          </w:p>
        </w:tc>
        <w:tc>
          <w:tcPr>
            <w:tcW w:w="1880" w:type="dxa"/>
            <w:noWrap/>
            <w:vAlign w:val="center"/>
          </w:tcPr>
          <w:p w14:paraId="00FE787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6,615.48 </w:t>
            </w:r>
          </w:p>
        </w:tc>
        <w:tc>
          <w:tcPr>
            <w:tcW w:w="1880" w:type="dxa"/>
            <w:noWrap/>
            <w:vAlign w:val="center"/>
          </w:tcPr>
          <w:p w14:paraId="3D60B2F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6,798.41 </w:t>
            </w:r>
          </w:p>
        </w:tc>
        <w:tc>
          <w:tcPr>
            <w:tcW w:w="1880" w:type="dxa"/>
            <w:noWrap/>
            <w:vAlign w:val="center"/>
          </w:tcPr>
          <w:p w14:paraId="41BE94F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6,973.30 </w:t>
            </w:r>
          </w:p>
        </w:tc>
      </w:tr>
      <w:tr w14:paraId="010F3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B659F2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预计负债</w:t>
            </w:r>
          </w:p>
        </w:tc>
        <w:tc>
          <w:tcPr>
            <w:tcW w:w="1880" w:type="dxa"/>
            <w:noWrap/>
            <w:vAlign w:val="center"/>
          </w:tcPr>
          <w:p w14:paraId="44974F0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BBF40F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32C2EE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073E9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0C9DB1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递延所得税负债</w:t>
            </w:r>
          </w:p>
        </w:tc>
        <w:tc>
          <w:tcPr>
            <w:tcW w:w="1880" w:type="dxa"/>
            <w:noWrap/>
            <w:vAlign w:val="center"/>
          </w:tcPr>
          <w:p w14:paraId="1AE5F1F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145,368.64 </w:t>
            </w:r>
          </w:p>
        </w:tc>
        <w:tc>
          <w:tcPr>
            <w:tcW w:w="1880" w:type="dxa"/>
            <w:noWrap/>
            <w:vAlign w:val="center"/>
          </w:tcPr>
          <w:p w14:paraId="027F9CE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125,384.96 </w:t>
            </w:r>
          </w:p>
        </w:tc>
        <w:tc>
          <w:tcPr>
            <w:tcW w:w="1880" w:type="dxa"/>
            <w:noWrap/>
            <w:vAlign w:val="center"/>
          </w:tcPr>
          <w:p w14:paraId="74B2B7B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64,018.19 </w:t>
            </w:r>
          </w:p>
        </w:tc>
      </w:tr>
      <w:tr w14:paraId="78C9E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06FF7AF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递延收益-非流动负债</w:t>
            </w:r>
          </w:p>
        </w:tc>
        <w:tc>
          <w:tcPr>
            <w:tcW w:w="1880" w:type="dxa"/>
            <w:noWrap/>
            <w:vAlign w:val="center"/>
          </w:tcPr>
          <w:p w14:paraId="121C122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12,772.13 </w:t>
            </w:r>
          </w:p>
        </w:tc>
        <w:tc>
          <w:tcPr>
            <w:tcW w:w="1880" w:type="dxa"/>
            <w:noWrap/>
            <w:vAlign w:val="center"/>
          </w:tcPr>
          <w:p w14:paraId="59F1D25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4,948.71 </w:t>
            </w:r>
          </w:p>
        </w:tc>
        <w:tc>
          <w:tcPr>
            <w:tcW w:w="1880" w:type="dxa"/>
            <w:noWrap/>
            <w:vAlign w:val="center"/>
          </w:tcPr>
          <w:p w14:paraId="2D1E26F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6,176.74 </w:t>
            </w:r>
          </w:p>
        </w:tc>
      </w:tr>
      <w:tr w14:paraId="20F2C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4676E6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其他非流动负债</w:t>
            </w:r>
          </w:p>
        </w:tc>
        <w:tc>
          <w:tcPr>
            <w:tcW w:w="1880" w:type="dxa"/>
            <w:noWrap/>
            <w:vAlign w:val="center"/>
          </w:tcPr>
          <w:p w14:paraId="3F02B8B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260,764.00 </w:t>
            </w:r>
          </w:p>
        </w:tc>
        <w:tc>
          <w:tcPr>
            <w:tcW w:w="1880" w:type="dxa"/>
            <w:noWrap/>
            <w:vAlign w:val="center"/>
          </w:tcPr>
          <w:p w14:paraId="667400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222,068.00 </w:t>
            </w:r>
          </w:p>
        </w:tc>
        <w:tc>
          <w:tcPr>
            <w:tcW w:w="1880" w:type="dxa"/>
            <w:noWrap/>
            <w:vAlign w:val="center"/>
          </w:tcPr>
          <w:p w14:paraId="0B56EDF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27C07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C93DF1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非流动负债合计</w:t>
            </w:r>
          </w:p>
        </w:tc>
        <w:tc>
          <w:tcPr>
            <w:tcW w:w="1880" w:type="dxa"/>
            <w:noWrap/>
            <w:vAlign w:val="center"/>
          </w:tcPr>
          <w:p w14:paraId="6FE1708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2,993,187.71 </w:t>
            </w:r>
          </w:p>
        </w:tc>
        <w:tc>
          <w:tcPr>
            <w:tcW w:w="1880" w:type="dxa"/>
            <w:noWrap/>
            <w:vAlign w:val="center"/>
          </w:tcPr>
          <w:p w14:paraId="36A6033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2,396,558.00 </w:t>
            </w:r>
          </w:p>
        </w:tc>
        <w:tc>
          <w:tcPr>
            <w:tcW w:w="1880" w:type="dxa"/>
            <w:noWrap/>
            <w:vAlign w:val="center"/>
          </w:tcPr>
          <w:p w14:paraId="19D5523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2,822,349.76 </w:t>
            </w:r>
          </w:p>
        </w:tc>
      </w:tr>
      <w:tr w14:paraId="74407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1E7C9BA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负债合计</w:t>
            </w:r>
          </w:p>
        </w:tc>
        <w:tc>
          <w:tcPr>
            <w:tcW w:w="1880" w:type="dxa"/>
            <w:noWrap/>
            <w:vAlign w:val="center"/>
          </w:tcPr>
          <w:p w14:paraId="2D6BE0C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4,140,802.89 </w:t>
            </w:r>
          </w:p>
        </w:tc>
        <w:tc>
          <w:tcPr>
            <w:tcW w:w="1880" w:type="dxa"/>
            <w:noWrap/>
            <w:vAlign w:val="center"/>
          </w:tcPr>
          <w:p w14:paraId="1E9A47D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4,015,208.71 </w:t>
            </w:r>
          </w:p>
        </w:tc>
        <w:tc>
          <w:tcPr>
            <w:tcW w:w="1880" w:type="dxa"/>
            <w:noWrap/>
            <w:vAlign w:val="center"/>
          </w:tcPr>
          <w:p w14:paraId="1FC218D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3,777,293.61 </w:t>
            </w:r>
          </w:p>
        </w:tc>
      </w:tr>
      <w:tr w14:paraId="03FEA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7B0350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所有者权益：</w:t>
            </w:r>
          </w:p>
        </w:tc>
        <w:tc>
          <w:tcPr>
            <w:tcW w:w="1880" w:type="dxa"/>
            <w:noWrap/>
            <w:vAlign w:val="center"/>
          </w:tcPr>
          <w:p w14:paraId="6DEEB9A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7A56699A">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601E430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550CD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B6BF32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股本</w:t>
            </w:r>
          </w:p>
        </w:tc>
        <w:tc>
          <w:tcPr>
            <w:tcW w:w="1880" w:type="dxa"/>
            <w:noWrap/>
            <w:vAlign w:val="center"/>
          </w:tcPr>
          <w:p w14:paraId="575BCDF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c>
          <w:tcPr>
            <w:tcW w:w="1880" w:type="dxa"/>
            <w:noWrap/>
            <w:vAlign w:val="center"/>
          </w:tcPr>
          <w:p w14:paraId="77FA9DA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c>
          <w:tcPr>
            <w:tcW w:w="1880" w:type="dxa"/>
            <w:noWrap/>
            <w:vAlign w:val="center"/>
          </w:tcPr>
          <w:p w14:paraId="647E1C3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r>
      <w:tr w14:paraId="70C911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83A616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资本公积</w:t>
            </w:r>
          </w:p>
        </w:tc>
        <w:tc>
          <w:tcPr>
            <w:tcW w:w="1880" w:type="dxa"/>
            <w:noWrap/>
            <w:vAlign w:val="center"/>
          </w:tcPr>
          <w:p w14:paraId="22B7597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982,551.51 </w:t>
            </w:r>
          </w:p>
        </w:tc>
        <w:tc>
          <w:tcPr>
            <w:tcW w:w="1880" w:type="dxa"/>
            <w:noWrap/>
            <w:vAlign w:val="center"/>
          </w:tcPr>
          <w:p w14:paraId="6EEF70F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982,220.79 </w:t>
            </w:r>
          </w:p>
        </w:tc>
        <w:tc>
          <w:tcPr>
            <w:tcW w:w="1880" w:type="dxa"/>
            <w:noWrap/>
            <w:vAlign w:val="center"/>
          </w:tcPr>
          <w:p w14:paraId="72CE561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980,124.17 </w:t>
            </w:r>
          </w:p>
        </w:tc>
      </w:tr>
      <w:tr w14:paraId="1F48ED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6CB941D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其他综合收益</w:t>
            </w:r>
          </w:p>
        </w:tc>
        <w:tc>
          <w:tcPr>
            <w:tcW w:w="1880" w:type="dxa"/>
            <w:noWrap/>
            <w:vAlign w:val="center"/>
          </w:tcPr>
          <w:p w14:paraId="1A20B7E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440,031.09 </w:t>
            </w:r>
          </w:p>
        </w:tc>
        <w:tc>
          <w:tcPr>
            <w:tcW w:w="1880" w:type="dxa"/>
            <w:noWrap/>
            <w:vAlign w:val="center"/>
          </w:tcPr>
          <w:p w14:paraId="743B825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368,532.06 </w:t>
            </w:r>
          </w:p>
        </w:tc>
        <w:tc>
          <w:tcPr>
            <w:tcW w:w="1880" w:type="dxa"/>
            <w:noWrap/>
            <w:vAlign w:val="center"/>
          </w:tcPr>
          <w:p w14:paraId="2A05102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167,710.89 </w:t>
            </w:r>
          </w:p>
        </w:tc>
      </w:tr>
      <w:tr w14:paraId="16B84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BC658F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专项储备</w:t>
            </w:r>
          </w:p>
        </w:tc>
        <w:tc>
          <w:tcPr>
            <w:tcW w:w="1880" w:type="dxa"/>
            <w:noWrap/>
            <w:vAlign w:val="center"/>
          </w:tcPr>
          <w:p w14:paraId="1350735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563.47 </w:t>
            </w:r>
          </w:p>
        </w:tc>
        <w:tc>
          <w:tcPr>
            <w:tcW w:w="1880" w:type="dxa"/>
            <w:noWrap/>
            <w:vAlign w:val="center"/>
          </w:tcPr>
          <w:p w14:paraId="1066C35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347.04 </w:t>
            </w:r>
          </w:p>
        </w:tc>
        <w:tc>
          <w:tcPr>
            <w:tcW w:w="1880" w:type="dxa"/>
            <w:noWrap/>
            <w:vAlign w:val="center"/>
          </w:tcPr>
          <w:p w14:paraId="5161243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209.02 </w:t>
            </w:r>
          </w:p>
        </w:tc>
      </w:tr>
      <w:tr w14:paraId="496FB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35DB280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盈余公积</w:t>
            </w:r>
          </w:p>
        </w:tc>
        <w:tc>
          <w:tcPr>
            <w:tcW w:w="1880" w:type="dxa"/>
            <w:noWrap/>
            <w:vAlign w:val="center"/>
          </w:tcPr>
          <w:p w14:paraId="339A4E2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455,339.62 </w:t>
            </w:r>
          </w:p>
        </w:tc>
        <w:tc>
          <w:tcPr>
            <w:tcW w:w="1880" w:type="dxa"/>
            <w:noWrap/>
            <w:vAlign w:val="center"/>
          </w:tcPr>
          <w:p w14:paraId="41B448C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435,945.93 </w:t>
            </w:r>
          </w:p>
        </w:tc>
        <w:tc>
          <w:tcPr>
            <w:tcW w:w="1880" w:type="dxa"/>
            <w:noWrap/>
            <w:vAlign w:val="center"/>
          </w:tcPr>
          <w:p w14:paraId="3C59507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418,328.02 </w:t>
            </w:r>
          </w:p>
        </w:tc>
      </w:tr>
      <w:tr w14:paraId="29FE9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5DDE6E2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一般风险准备</w:t>
            </w:r>
          </w:p>
        </w:tc>
        <w:tc>
          <w:tcPr>
            <w:tcW w:w="1880" w:type="dxa"/>
            <w:noWrap/>
            <w:vAlign w:val="center"/>
          </w:tcPr>
          <w:p w14:paraId="3935B0A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BC6DD9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730E64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1E4E9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845B1A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未分配利润</w:t>
            </w:r>
          </w:p>
        </w:tc>
        <w:tc>
          <w:tcPr>
            <w:tcW w:w="1880" w:type="dxa"/>
            <w:noWrap/>
            <w:vAlign w:val="center"/>
          </w:tcPr>
          <w:p w14:paraId="14BC106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1,762,002.74 </w:t>
            </w:r>
          </w:p>
        </w:tc>
        <w:tc>
          <w:tcPr>
            <w:tcW w:w="1880" w:type="dxa"/>
            <w:noWrap/>
            <w:vAlign w:val="center"/>
          </w:tcPr>
          <w:p w14:paraId="0DCE31F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1,568,859.00 </w:t>
            </w:r>
          </w:p>
        </w:tc>
        <w:tc>
          <w:tcPr>
            <w:tcW w:w="1880" w:type="dxa"/>
            <w:noWrap/>
            <w:vAlign w:val="center"/>
          </w:tcPr>
          <w:p w14:paraId="3A605FF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1,328,581.88 </w:t>
            </w:r>
          </w:p>
        </w:tc>
      </w:tr>
      <w:tr w14:paraId="0AD88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48B4ACC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归属于母公司所有者权益合计</w:t>
            </w:r>
          </w:p>
        </w:tc>
        <w:tc>
          <w:tcPr>
            <w:tcW w:w="1880" w:type="dxa"/>
            <w:noWrap/>
            <w:vAlign w:val="center"/>
          </w:tcPr>
          <w:p w14:paraId="56561B5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4,144,263.18 </w:t>
            </w:r>
          </w:p>
        </w:tc>
        <w:tc>
          <w:tcPr>
            <w:tcW w:w="1880" w:type="dxa"/>
            <w:noWrap/>
            <w:vAlign w:val="center"/>
          </w:tcPr>
          <w:p w14:paraId="40640E3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3,859,679.57 </w:t>
            </w:r>
          </w:p>
        </w:tc>
        <w:tc>
          <w:tcPr>
            <w:tcW w:w="1880" w:type="dxa"/>
            <w:noWrap/>
            <w:vAlign w:val="center"/>
          </w:tcPr>
          <w:p w14:paraId="5982D2A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3,398,728.73 </w:t>
            </w:r>
          </w:p>
        </w:tc>
      </w:tr>
      <w:tr w14:paraId="0F317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2FAA903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少数股东权益</w:t>
            </w:r>
          </w:p>
        </w:tc>
        <w:tc>
          <w:tcPr>
            <w:tcW w:w="1880" w:type="dxa"/>
            <w:noWrap/>
            <w:vAlign w:val="center"/>
          </w:tcPr>
          <w:p w14:paraId="3D6B6EC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1,353,833.07 </w:t>
            </w:r>
          </w:p>
        </w:tc>
        <w:tc>
          <w:tcPr>
            <w:tcW w:w="1880" w:type="dxa"/>
            <w:noWrap/>
            <w:vAlign w:val="center"/>
          </w:tcPr>
          <w:p w14:paraId="5D8608E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1,113,719.25 </w:t>
            </w:r>
          </w:p>
        </w:tc>
        <w:tc>
          <w:tcPr>
            <w:tcW w:w="1880" w:type="dxa"/>
            <w:noWrap/>
            <w:vAlign w:val="center"/>
          </w:tcPr>
          <w:p w14:paraId="7A11929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690,122.06 </w:t>
            </w:r>
          </w:p>
        </w:tc>
      </w:tr>
      <w:tr w14:paraId="14929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00" w:type="dxa"/>
            <w:noWrap/>
            <w:vAlign w:val="center"/>
          </w:tcPr>
          <w:p w14:paraId="7777CC8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所有者权益合计</w:t>
            </w:r>
          </w:p>
        </w:tc>
        <w:tc>
          <w:tcPr>
            <w:tcW w:w="1880" w:type="dxa"/>
            <w:noWrap/>
            <w:vAlign w:val="center"/>
          </w:tcPr>
          <w:p w14:paraId="49EE7897">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5,498,096.25 </w:t>
            </w:r>
          </w:p>
        </w:tc>
        <w:tc>
          <w:tcPr>
            <w:tcW w:w="1880" w:type="dxa"/>
            <w:noWrap/>
            <w:vAlign w:val="center"/>
          </w:tcPr>
          <w:p w14:paraId="5C95040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4,973,398.81 </w:t>
            </w:r>
          </w:p>
        </w:tc>
        <w:tc>
          <w:tcPr>
            <w:tcW w:w="1880" w:type="dxa"/>
            <w:noWrap/>
            <w:vAlign w:val="center"/>
          </w:tcPr>
          <w:p w14:paraId="5BC7A1A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4,088,850.79 </w:t>
            </w:r>
          </w:p>
        </w:tc>
      </w:tr>
    </w:tbl>
    <w:p w14:paraId="55FA4155">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（2）最近三年合并利润表</w:t>
      </w:r>
    </w:p>
    <w:p w14:paraId="7CA94BB1">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105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60"/>
        <w:gridCol w:w="1880"/>
        <w:gridCol w:w="1880"/>
        <w:gridCol w:w="1880"/>
      </w:tblGrid>
      <w:tr w14:paraId="6D783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blHeader/>
          <w:jc w:val="center"/>
        </w:trPr>
        <w:tc>
          <w:tcPr>
            <w:tcW w:w="4860" w:type="dxa"/>
            <w:noWrap/>
            <w:vAlign w:val="center"/>
          </w:tcPr>
          <w:p w14:paraId="05C9C223">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1880" w:type="dxa"/>
            <w:noWrap/>
            <w:vAlign w:val="center"/>
          </w:tcPr>
          <w:p w14:paraId="28295D82">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1880" w:type="dxa"/>
            <w:noWrap/>
            <w:vAlign w:val="center"/>
          </w:tcPr>
          <w:p w14:paraId="55F4FED2">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1880" w:type="dxa"/>
            <w:noWrap/>
            <w:vAlign w:val="center"/>
          </w:tcPr>
          <w:p w14:paraId="32E099C7">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0B969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828756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一、营业总收入</w:t>
            </w:r>
          </w:p>
        </w:tc>
        <w:tc>
          <w:tcPr>
            <w:tcW w:w="1880" w:type="dxa"/>
            <w:noWrap/>
            <w:vAlign w:val="center"/>
          </w:tcPr>
          <w:p w14:paraId="032BE0C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2,028,919.98 </w:t>
            </w:r>
          </w:p>
        </w:tc>
        <w:tc>
          <w:tcPr>
            <w:tcW w:w="1880" w:type="dxa"/>
            <w:noWrap/>
            <w:vAlign w:val="center"/>
          </w:tcPr>
          <w:p w14:paraId="455B2AA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2,319,820.44 </w:t>
            </w:r>
          </w:p>
        </w:tc>
        <w:tc>
          <w:tcPr>
            <w:tcW w:w="1880" w:type="dxa"/>
            <w:noWrap/>
            <w:vAlign w:val="center"/>
          </w:tcPr>
          <w:p w14:paraId="557F316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1,519,201.02 </w:t>
            </w:r>
          </w:p>
        </w:tc>
      </w:tr>
      <w:tr w14:paraId="4EB4D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C3B031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其中：营业收入</w:t>
            </w:r>
          </w:p>
        </w:tc>
        <w:tc>
          <w:tcPr>
            <w:tcW w:w="1880" w:type="dxa"/>
            <w:noWrap/>
            <w:vAlign w:val="center"/>
          </w:tcPr>
          <w:p w14:paraId="6EF2481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2,028,919.98 </w:t>
            </w:r>
          </w:p>
        </w:tc>
        <w:tc>
          <w:tcPr>
            <w:tcW w:w="1880" w:type="dxa"/>
            <w:noWrap/>
            <w:vAlign w:val="center"/>
          </w:tcPr>
          <w:p w14:paraId="5FC3B5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2,319,820.44 </w:t>
            </w:r>
          </w:p>
        </w:tc>
        <w:tc>
          <w:tcPr>
            <w:tcW w:w="1880" w:type="dxa"/>
            <w:noWrap/>
            <w:vAlign w:val="center"/>
          </w:tcPr>
          <w:p w14:paraId="721C9C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1,519,201.02 </w:t>
            </w:r>
          </w:p>
        </w:tc>
      </w:tr>
      <w:tr w14:paraId="5C741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09EFDD1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二、营业总成本</w:t>
            </w:r>
          </w:p>
        </w:tc>
        <w:tc>
          <w:tcPr>
            <w:tcW w:w="1880" w:type="dxa"/>
            <w:noWrap/>
            <w:vAlign w:val="center"/>
          </w:tcPr>
          <w:p w14:paraId="5201A5E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1,539,674.83 </w:t>
            </w:r>
          </w:p>
        </w:tc>
        <w:tc>
          <w:tcPr>
            <w:tcW w:w="1880" w:type="dxa"/>
            <w:noWrap/>
            <w:vAlign w:val="center"/>
          </w:tcPr>
          <w:p w14:paraId="2446740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1,848,165.17 </w:t>
            </w:r>
          </w:p>
        </w:tc>
        <w:tc>
          <w:tcPr>
            <w:tcW w:w="1880" w:type="dxa"/>
            <w:noWrap/>
            <w:vAlign w:val="center"/>
          </w:tcPr>
          <w:p w14:paraId="3DDCD8C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1,105,396.62 </w:t>
            </w:r>
          </w:p>
        </w:tc>
      </w:tr>
      <w:tr w14:paraId="6A805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C01D5C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其中：营业成本</w:t>
            </w:r>
          </w:p>
        </w:tc>
        <w:tc>
          <w:tcPr>
            <w:tcW w:w="1880" w:type="dxa"/>
            <w:noWrap/>
            <w:vAlign w:val="center"/>
          </w:tcPr>
          <w:p w14:paraId="1D74146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1,418,801.13 </w:t>
            </w:r>
          </w:p>
        </w:tc>
        <w:tc>
          <w:tcPr>
            <w:tcW w:w="1880" w:type="dxa"/>
            <w:noWrap/>
            <w:vAlign w:val="center"/>
          </w:tcPr>
          <w:p w14:paraId="09409CA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1,710,100.15 </w:t>
            </w:r>
          </w:p>
        </w:tc>
        <w:tc>
          <w:tcPr>
            <w:tcW w:w="1880" w:type="dxa"/>
            <w:noWrap/>
            <w:vAlign w:val="center"/>
          </w:tcPr>
          <w:p w14:paraId="0EC65A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958,068.48 </w:t>
            </w:r>
          </w:p>
        </w:tc>
      </w:tr>
      <w:tr w14:paraId="6B86B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9E34C4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税金及附加</w:t>
            </w:r>
          </w:p>
        </w:tc>
        <w:tc>
          <w:tcPr>
            <w:tcW w:w="1880" w:type="dxa"/>
            <w:noWrap/>
            <w:vAlign w:val="center"/>
          </w:tcPr>
          <w:p w14:paraId="7FF3521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8,866.01 </w:t>
            </w:r>
          </w:p>
        </w:tc>
        <w:tc>
          <w:tcPr>
            <w:tcW w:w="1880" w:type="dxa"/>
            <w:noWrap/>
            <w:vAlign w:val="center"/>
          </w:tcPr>
          <w:p w14:paraId="34A0D2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11,944.15 </w:t>
            </w:r>
          </w:p>
        </w:tc>
        <w:tc>
          <w:tcPr>
            <w:tcW w:w="1880" w:type="dxa"/>
            <w:noWrap/>
            <w:vAlign w:val="center"/>
          </w:tcPr>
          <w:p w14:paraId="18AE232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5,337.80 </w:t>
            </w:r>
          </w:p>
        </w:tc>
      </w:tr>
      <w:tr w14:paraId="0EC31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A7F92A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销售费用</w:t>
            </w:r>
          </w:p>
        </w:tc>
        <w:tc>
          <w:tcPr>
            <w:tcW w:w="1880" w:type="dxa"/>
            <w:noWrap/>
            <w:vAlign w:val="center"/>
          </w:tcPr>
          <w:p w14:paraId="7B2A7FE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574.67 </w:t>
            </w:r>
          </w:p>
        </w:tc>
        <w:tc>
          <w:tcPr>
            <w:tcW w:w="1880" w:type="dxa"/>
            <w:noWrap/>
            <w:vAlign w:val="center"/>
          </w:tcPr>
          <w:p w14:paraId="287A0D0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594.37 </w:t>
            </w:r>
          </w:p>
        </w:tc>
        <w:tc>
          <w:tcPr>
            <w:tcW w:w="1880" w:type="dxa"/>
            <w:noWrap/>
            <w:vAlign w:val="center"/>
          </w:tcPr>
          <w:p w14:paraId="6D5270E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1,002.70 </w:t>
            </w:r>
          </w:p>
        </w:tc>
      </w:tr>
      <w:tr w14:paraId="33DE3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CF496C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管理费用</w:t>
            </w:r>
          </w:p>
        </w:tc>
        <w:tc>
          <w:tcPr>
            <w:tcW w:w="1880" w:type="dxa"/>
            <w:noWrap/>
            <w:vAlign w:val="center"/>
          </w:tcPr>
          <w:p w14:paraId="7E486A8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28,205.11 </w:t>
            </w:r>
          </w:p>
        </w:tc>
        <w:tc>
          <w:tcPr>
            <w:tcW w:w="1880" w:type="dxa"/>
            <w:noWrap/>
            <w:vAlign w:val="center"/>
          </w:tcPr>
          <w:p w14:paraId="3B2C16D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29,860.49 </w:t>
            </w:r>
          </w:p>
        </w:tc>
        <w:tc>
          <w:tcPr>
            <w:tcW w:w="1880" w:type="dxa"/>
            <w:noWrap/>
            <w:vAlign w:val="center"/>
          </w:tcPr>
          <w:p w14:paraId="2575D0F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28,350.62 </w:t>
            </w:r>
          </w:p>
        </w:tc>
      </w:tr>
      <w:tr w14:paraId="12BDC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F9B423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研发费用</w:t>
            </w:r>
          </w:p>
        </w:tc>
        <w:tc>
          <w:tcPr>
            <w:tcW w:w="1880" w:type="dxa"/>
            <w:noWrap/>
            <w:vAlign w:val="center"/>
          </w:tcPr>
          <w:p w14:paraId="3248A5A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9.18 </w:t>
            </w:r>
          </w:p>
        </w:tc>
        <w:tc>
          <w:tcPr>
            <w:tcW w:w="1880" w:type="dxa"/>
            <w:noWrap/>
            <w:vAlign w:val="center"/>
          </w:tcPr>
          <w:p w14:paraId="2807D7C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4FEEAF0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40603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1532342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财务费用</w:t>
            </w:r>
          </w:p>
        </w:tc>
        <w:tc>
          <w:tcPr>
            <w:tcW w:w="1880" w:type="dxa"/>
            <w:noWrap/>
            <w:vAlign w:val="center"/>
          </w:tcPr>
          <w:p w14:paraId="420852D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83,218.72 </w:t>
            </w:r>
          </w:p>
        </w:tc>
        <w:tc>
          <w:tcPr>
            <w:tcW w:w="1880" w:type="dxa"/>
            <w:noWrap/>
            <w:vAlign w:val="center"/>
          </w:tcPr>
          <w:p w14:paraId="545E567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95,666.02 </w:t>
            </w:r>
          </w:p>
        </w:tc>
        <w:tc>
          <w:tcPr>
            <w:tcW w:w="1880" w:type="dxa"/>
            <w:noWrap/>
            <w:vAlign w:val="center"/>
          </w:tcPr>
          <w:p w14:paraId="42292AE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112,637.02 </w:t>
            </w:r>
          </w:p>
        </w:tc>
      </w:tr>
      <w:tr w14:paraId="1289D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6689E3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其中：利息费用</w:t>
            </w:r>
          </w:p>
        </w:tc>
        <w:tc>
          <w:tcPr>
            <w:tcW w:w="1880" w:type="dxa"/>
            <w:noWrap/>
            <w:vAlign w:val="center"/>
          </w:tcPr>
          <w:p w14:paraId="3689E91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83,899.49 </w:t>
            </w:r>
          </w:p>
        </w:tc>
        <w:tc>
          <w:tcPr>
            <w:tcW w:w="1880" w:type="dxa"/>
            <w:noWrap/>
            <w:vAlign w:val="center"/>
          </w:tcPr>
          <w:p w14:paraId="63BFD3A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96,348.35 </w:t>
            </w:r>
          </w:p>
        </w:tc>
        <w:tc>
          <w:tcPr>
            <w:tcW w:w="1880" w:type="dxa"/>
            <w:noWrap/>
            <w:vAlign w:val="center"/>
          </w:tcPr>
          <w:p w14:paraId="51284FC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107,608.88 </w:t>
            </w:r>
          </w:p>
        </w:tc>
      </w:tr>
      <w:tr w14:paraId="58FD4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E1E91B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利息收入</w:t>
            </w:r>
          </w:p>
        </w:tc>
        <w:tc>
          <w:tcPr>
            <w:tcW w:w="1880" w:type="dxa"/>
            <w:noWrap/>
            <w:vAlign w:val="center"/>
          </w:tcPr>
          <w:p w14:paraId="05C7DF2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1,371.12 </w:t>
            </w:r>
          </w:p>
        </w:tc>
        <w:tc>
          <w:tcPr>
            <w:tcW w:w="1880" w:type="dxa"/>
            <w:noWrap/>
            <w:vAlign w:val="center"/>
          </w:tcPr>
          <w:p w14:paraId="5FC7FF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2,090.35 </w:t>
            </w:r>
          </w:p>
        </w:tc>
        <w:tc>
          <w:tcPr>
            <w:tcW w:w="1880" w:type="dxa"/>
            <w:noWrap/>
            <w:vAlign w:val="center"/>
          </w:tcPr>
          <w:p w14:paraId="1694794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2,898.66 </w:t>
            </w:r>
          </w:p>
        </w:tc>
      </w:tr>
      <w:tr w14:paraId="5AA64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06ABF88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加：公允价值变动收益</w:t>
            </w:r>
          </w:p>
        </w:tc>
        <w:tc>
          <w:tcPr>
            <w:tcW w:w="1880" w:type="dxa"/>
            <w:noWrap/>
            <w:vAlign w:val="center"/>
          </w:tcPr>
          <w:p w14:paraId="0E6A16C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-4,162.13 </w:t>
            </w:r>
          </w:p>
        </w:tc>
        <w:tc>
          <w:tcPr>
            <w:tcW w:w="1880" w:type="dxa"/>
            <w:noWrap/>
            <w:vAlign w:val="center"/>
          </w:tcPr>
          <w:p w14:paraId="16F8B1E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-14,969.86 </w:t>
            </w:r>
          </w:p>
        </w:tc>
        <w:tc>
          <w:tcPr>
            <w:tcW w:w="1880" w:type="dxa"/>
            <w:noWrap/>
            <w:vAlign w:val="center"/>
          </w:tcPr>
          <w:p w14:paraId="5DCE9E9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8,593.75 </w:t>
            </w:r>
          </w:p>
        </w:tc>
      </w:tr>
      <w:tr w14:paraId="7A34E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6F9B35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投资收益</w:t>
            </w:r>
          </w:p>
        </w:tc>
        <w:tc>
          <w:tcPr>
            <w:tcW w:w="1880" w:type="dxa"/>
            <w:noWrap/>
            <w:vAlign w:val="center"/>
          </w:tcPr>
          <w:p w14:paraId="246260D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125,460.32 </w:t>
            </w:r>
          </w:p>
        </w:tc>
        <w:tc>
          <w:tcPr>
            <w:tcW w:w="1880" w:type="dxa"/>
            <w:noWrap/>
            <w:vAlign w:val="center"/>
          </w:tcPr>
          <w:p w14:paraId="6D299CC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177,996.67 </w:t>
            </w:r>
          </w:p>
        </w:tc>
        <w:tc>
          <w:tcPr>
            <w:tcW w:w="1880" w:type="dxa"/>
            <w:noWrap/>
            <w:vAlign w:val="center"/>
          </w:tcPr>
          <w:p w14:paraId="706F55A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146,458.21 </w:t>
            </w:r>
          </w:p>
        </w:tc>
      </w:tr>
      <w:tr w14:paraId="6CBF1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98CAEB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其中：对联营企业和合营企业的投资收益</w:t>
            </w:r>
          </w:p>
        </w:tc>
        <w:tc>
          <w:tcPr>
            <w:tcW w:w="1880" w:type="dxa"/>
            <w:noWrap/>
            <w:vAlign w:val="center"/>
          </w:tcPr>
          <w:p w14:paraId="0517F28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78,957.13 </w:t>
            </w:r>
          </w:p>
        </w:tc>
        <w:tc>
          <w:tcPr>
            <w:tcW w:w="1880" w:type="dxa"/>
            <w:noWrap/>
            <w:vAlign w:val="center"/>
          </w:tcPr>
          <w:p w14:paraId="02C11B6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90,714.64 </w:t>
            </w:r>
          </w:p>
        </w:tc>
        <w:tc>
          <w:tcPr>
            <w:tcW w:w="1880" w:type="dxa"/>
            <w:noWrap/>
            <w:vAlign w:val="center"/>
          </w:tcPr>
          <w:p w14:paraId="45446A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84,667.90 </w:t>
            </w:r>
          </w:p>
        </w:tc>
      </w:tr>
      <w:tr w14:paraId="27033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7A356EE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资产处置收益</w:t>
            </w:r>
          </w:p>
        </w:tc>
        <w:tc>
          <w:tcPr>
            <w:tcW w:w="1880" w:type="dxa"/>
            <w:noWrap/>
            <w:vAlign w:val="center"/>
          </w:tcPr>
          <w:p w14:paraId="6EED279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-36.13 </w:t>
            </w:r>
          </w:p>
        </w:tc>
        <w:tc>
          <w:tcPr>
            <w:tcW w:w="1880" w:type="dxa"/>
            <w:noWrap/>
            <w:vAlign w:val="center"/>
          </w:tcPr>
          <w:p w14:paraId="1B143C7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1,154.32 </w:t>
            </w:r>
          </w:p>
        </w:tc>
        <w:tc>
          <w:tcPr>
            <w:tcW w:w="1880" w:type="dxa"/>
            <w:noWrap/>
            <w:vAlign w:val="center"/>
          </w:tcPr>
          <w:p w14:paraId="7261A4F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1,340.42 </w:t>
            </w:r>
          </w:p>
        </w:tc>
      </w:tr>
      <w:tr w14:paraId="2B24A1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07C156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资产减值损失</w:t>
            </w:r>
          </w:p>
        </w:tc>
        <w:tc>
          <w:tcPr>
            <w:tcW w:w="1880" w:type="dxa"/>
            <w:noWrap/>
            <w:vAlign w:val="center"/>
          </w:tcPr>
          <w:p w14:paraId="734F18E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3C7ACD4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-2,363.94 </w:t>
            </w:r>
          </w:p>
        </w:tc>
        <w:tc>
          <w:tcPr>
            <w:tcW w:w="1880" w:type="dxa"/>
            <w:noWrap/>
            <w:vAlign w:val="center"/>
          </w:tcPr>
          <w:p w14:paraId="4E22E1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-1,459.48 </w:t>
            </w:r>
          </w:p>
        </w:tc>
      </w:tr>
      <w:tr w14:paraId="7B672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75D79D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信用减值损失</w:t>
            </w:r>
          </w:p>
        </w:tc>
        <w:tc>
          <w:tcPr>
            <w:tcW w:w="1880" w:type="dxa"/>
            <w:noWrap/>
            <w:vAlign w:val="center"/>
          </w:tcPr>
          <w:p w14:paraId="1818376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-3,203.16 </w:t>
            </w:r>
          </w:p>
        </w:tc>
        <w:tc>
          <w:tcPr>
            <w:tcW w:w="1880" w:type="dxa"/>
            <w:noWrap/>
            <w:vAlign w:val="center"/>
          </w:tcPr>
          <w:p w14:paraId="74130FE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-1,008.19 </w:t>
            </w:r>
          </w:p>
        </w:tc>
        <w:tc>
          <w:tcPr>
            <w:tcW w:w="1880" w:type="dxa"/>
            <w:noWrap/>
            <w:vAlign w:val="center"/>
          </w:tcPr>
          <w:p w14:paraId="1A564A2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-2,043.15 </w:t>
            </w:r>
          </w:p>
        </w:tc>
      </w:tr>
      <w:tr w14:paraId="2C8C7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E7DA80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其他收益</w:t>
            </w:r>
          </w:p>
        </w:tc>
        <w:tc>
          <w:tcPr>
            <w:tcW w:w="1880" w:type="dxa"/>
            <w:noWrap/>
            <w:vAlign w:val="center"/>
          </w:tcPr>
          <w:p w14:paraId="75A333A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6,689.97 </w:t>
            </w:r>
          </w:p>
        </w:tc>
        <w:tc>
          <w:tcPr>
            <w:tcW w:w="1880" w:type="dxa"/>
            <w:noWrap/>
            <w:vAlign w:val="center"/>
          </w:tcPr>
          <w:p w14:paraId="1101B98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1,555.62 </w:t>
            </w:r>
          </w:p>
        </w:tc>
        <w:tc>
          <w:tcPr>
            <w:tcW w:w="1880" w:type="dxa"/>
            <w:noWrap/>
            <w:vAlign w:val="center"/>
          </w:tcPr>
          <w:p w14:paraId="0A384A7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3,083.81 </w:t>
            </w:r>
          </w:p>
        </w:tc>
      </w:tr>
      <w:tr w14:paraId="4734F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42FB2F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三、营业利润</w:t>
            </w:r>
          </w:p>
        </w:tc>
        <w:tc>
          <w:tcPr>
            <w:tcW w:w="1880" w:type="dxa"/>
            <w:noWrap/>
            <w:vAlign w:val="center"/>
          </w:tcPr>
          <w:p w14:paraId="54F0F34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613,994.01 </w:t>
            </w:r>
          </w:p>
        </w:tc>
        <w:tc>
          <w:tcPr>
            <w:tcW w:w="1880" w:type="dxa"/>
            <w:noWrap/>
            <w:vAlign w:val="center"/>
          </w:tcPr>
          <w:p w14:paraId="3AB21DA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634,019.88 </w:t>
            </w:r>
          </w:p>
        </w:tc>
        <w:tc>
          <w:tcPr>
            <w:tcW w:w="1880" w:type="dxa"/>
            <w:noWrap/>
            <w:vAlign w:val="center"/>
          </w:tcPr>
          <w:p w14:paraId="5E2832E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569,777.96 </w:t>
            </w:r>
          </w:p>
        </w:tc>
      </w:tr>
      <w:tr w14:paraId="1DF1C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4EED3A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加：营业外收入</w:t>
            </w:r>
          </w:p>
        </w:tc>
        <w:tc>
          <w:tcPr>
            <w:tcW w:w="1880" w:type="dxa"/>
            <w:noWrap/>
            <w:vAlign w:val="center"/>
          </w:tcPr>
          <w:p w14:paraId="693A77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1,163.08 </w:t>
            </w:r>
          </w:p>
        </w:tc>
        <w:tc>
          <w:tcPr>
            <w:tcW w:w="1880" w:type="dxa"/>
            <w:noWrap/>
            <w:vAlign w:val="center"/>
          </w:tcPr>
          <w:p w14:paraId="030073D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1,193.77 </w:t>
            </w:r>
          </w:p>
        </w:tc>
        <w:tc>
          <w:tcPr>
            <w:tcW w:w="1880" w:type="dxa"/>
            <w:noWrap/>
            <w:vAlign w:val="center"/>
          </w:tcPr>
          <w:p w14:paraId="4368939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1,395.77 </w:t>
            </w:r>
          </w:p>
        </w:tc>
      </w:tr>
      <w:tr w14:paraId="3CE20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F2C9D2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减：营业外支出</w:t>
            </w:r>
          </w:p>
        </w:tc>
        <w:tc>
          <w:tcPr>
            <w:tcW w:w="1880" w:type="dxa"/>
            <w:noWrap/>
            <w:vAlign w:val="center"/>
          </w:tcPr>
          <w:p w14:paraId="4D94E4D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4,599.92 </w:t>
            </w:r>
          </w:p>
        </w:tc>
        <w:tc>
          <w:tcPr>
            <w:tcW w:w="1880" w:type="dxa"/>
            <w:noWrap/>
            <w:vAlign w:val="center"/>
          </w:tcPr>
          <w:p w14:paraId="641CBF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3,531.12 </w:t>
            </w:r>
          </w:p>
        </w:tc>
        <w:tc>
          <w:tcPr>
            <w:tcW w:w="1880" w:type="dxa"/>
            <w:noWrap/>
            <w:vAlign w:val="center"/>
          </w:tcPr>
          <w:p w14:paraId="3DD8AFE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3,946.26 </w:t>
            </w:r>
          </w:p>
        </w:tc>
      </w:tr>
      <w:tr w14:paraId="53967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76B64B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四、利润总额</w:t>
            </w:r>
          </w:p>
        </w:tc>
        <w:tc>
          <w:tcPr>
            <w:tcW w:w="1880" w:type="dxa"/>
            <w:noWrap/>
            <w:vAlign w:val="center"/>
          </w:tcPr>
          <w:p w14:paraId="7E049B3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610,557.17 </w:t>
            </w:r>
          </w:p>
        </w:tc>
        <w:tc>
          <w:tcPr>
            <w:tcW w:w="1880" w:type="dxa"/>
            <w:noWrap/>
            <w:vAlign w:val="center"/>
          </w:tcPr>
          <w:p w14:paraId="11C4B20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631,682.54 </w:t>
            </w:r>
          </w:p>
        </w:tc>
        <w:tc>
          <w:tcPr>
            <w:tcW w:w="1880" w:type="dxa"/>
            <w:noWrap/>
            <w:vAlign w:val="center"/>
          </w:tcPr>
          <w:p w14:paraId="41ED9C6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567,227.46 </w:t>
            </w:r>
          </w:p>
        </w:tc>
      </w:tr>
      <w:tr w14:paraId="1C6CC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E4777D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减：所得税费用</w:t>
            </w:r>
          </w:p>
        </w:tc>
        <w:tc>
          <w:tcPr>
            <w:tcW w:w="1880" w:type="dxa"/>
            <w:noWrap/>
            <w:vAlign w:val="center"/>
          </w:tcPr>
          <w:p w14:paraId="26CC894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128,415.35 </w:t>
            </w:r>
          </w:p>
        </w:tc>
        <w:tc>
          <w:tcPr>
            <w:tcW w:w="1880" w:type="dxa"/>
            <w:noWrap/>
            <w:vAlign w:val="center"/>
          </w:tcPr>
          <w:p w14:paraId="0FBC634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114,641.83 </w:t>
            </w:r>
          </w:p>
        </w:tc>
        <w:tc>
          <w:tcPr>
            <w:tcW w:w="1880" w:type="dxa"/>
            <w:noWrap/>
            <w:vAlign w:val="center"/>
          </w:tcPr>
          <w:p w14:paraId="4938A05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106,264.94 </w:t>
            </w:r>
          </w:p>
        </w:tc>
      </w:tr>
      <w:tr w14:paraId="20BA9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14B0E5D3">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五、净利润</w:t>
            </w:r>
          </w:p>
        </w:tc>
        <w:tc>
          <w:tcPr>
            <w:tcW w:w="1880" w:type="dxa"/>
            <w:noWrap/>
            <w:vAlign w:val="center"/>
          </w:tcPr>
          <w:p w14:paraId="616D845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482,141.83 </w:t>
            </w:r>
          </w:p>
        </w:tc>
        <w:tc>
          <w:tcPr>
            <w:tcW w:w="1880" w:type="dxa"/>
            <w:noWrap/>
            <w:vAlign w:val="center"/>
          </w:tcPr>
          <w:p w14:paraId="417A589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517,040.71 </w:t>
            </w:r>
          </w:p>
        </w:tc>
        <w:tc>
          <w:tcPr>
            <w:tcW w:w="1880" w:type="dxa"/>
            <w:noWrap/>
            <w:vAlign w:val="center"/>
          </w:tcPr>
          <w:p w14:paraId="0DA57D0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460,962.52 </w:t>
            </w:r>
          </w:p>
        </w:tc>
      </w:tr>
      <w:tr w14:paraId="35D57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12C198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归属于母公司所有者的净利润</w:t>
            </w:r>
          </w:p>
        </w:tc>
        <w:tc>
          <w:tcPr>
            <w:tcW w:w="1880" w:type="dxa"/>
            <w:noWrap/>
            <w:vAlign w:val="center"/>
          </w:tcPr>
          <w:p w14:paraId="03DCC51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459,387.06 </w:t>
            </w:r>
          </w:p>
        </w:tc>
        <w:tc>
          <w:tcPr>
            <w:tcW w:w="1880" w:type="dxa"/>
            <w:noWrap/>
            <w:vAlign w:val="center"/>
          </w:tcPr>
          <w:p w14:paraId="4780A8F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494,669.16 </w:t>
            </w:r>
          </w:p>
        </w:tc>
        <w:tc>
          <w:tcPr>
            <w:tcW w:w="1880" w:type="dxa"/>
            <w:noWrap/>
            <w:vAlign w:val="center"/>
          </w:tcPr>
          <w:p w14:paraId="2DDDECE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441,327.16 </w:t>
            </w:r>
          </w:p>
        </w:tc>
      </w:tr>
      <w:tr w14:paraId="23F0D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85ABB6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少数股东损益</w:t>
            </w:r>
          </w:p>
        </w:tc>
        <w:tc>
          <w:tcPr>
            <w:tcW w:w="1880" w:type="dxa"/>
            <w:noWrap/>
            <w:vAlign w:val="center"/>
          </w:tcPr>
          <w:p w14:paraId="2BD3F67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22,754.77 </w:t>
            </w:r>
          </w:p>
        </w:tc>
        <w:tc>
          <w:tcPr>
            <w:tcW w:w="1880" w:type="dxa"/>
            <w:noWrap/>
            <w:vAlign w:val="center"/>
          </w:tcPr>
          <w:p w14:paraId="7DA33F3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22,371.55 </w:t>
            </w:r>
          </w:p>
        </w:tc>
        <w:tc>
          <w:tcPr>
            <w:tcW w:w="1880" w:type="dxa"/>
            <w:noWrap/>
            <w:vAlign w:val="center"/>
          </w:tcPr>
          <w:p w14:paraId="7ABC46B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19,635.36 </w:t>
            </w:r>
          </w:p>
        </w:tc>
      </w:tr>
    </w:tbl>
    <w:p w14:paraId="68D9048C">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（3）最近三年合并现金流量表</w:t>
      </w:r>
    </w:p>
    <w:p w14:paraId="68905403">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106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72"/>
        <w:gridCol w:w="1880"/>
        <w:gridCol w:w="1880"/>
        <w:gridCol w:w="1880"/>
      </w:tblGrid>
      <w:tr w14:paraId="314E2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972" w:type="dxa"/>
            <w:noWrap/>
            <w:vAlign w:val="center"/>
          </w:tcPr>
          <w:p w14:paraId="03F3D92D">
            <w:pPr>
              <w:widowControl/>
              <w:spacing w:line="240" w:lineRule="auto"/>
              <w:ind w:firstLine="0" w:firstLineChars="0"/>
              <w:jc w:val="center"/>
              <w:rPr>
                <w:rFonts w:hint="eastAsia" w:ascii="宋体" w:hAnsi="宋体" w:eastAsia="宋体" w:cs="宋体"/>
                <w:b/>
                <w:bCs/>
                <w:color w:val="000000"/>
                <w:kern w:val="0"/>
                <w:sz w:val="21"/>
                <w:szCs w:val="21"/>
              </w:rPr>
            </w:pPr>
            <w:bookmarkStart w:id="4" w:name="_Hlk101215607"/>
            <w:r>
              <w:rPr>
                <w:rFonts w:hint="eastAsia" w:ascii="宋体" w:hAnsi="宋体" w:eastAsia="宋体" w:cs="宋体"/>
                <w:b/>
                <w:bCs/>
                <w:color w:val="000000"/>
                <w:kern w:val="0"/>
                <w:sz w:val="21"/>
                <w:szCs w:val="21"/>
              </w:rPr>
              <w:t>项目</w:t>
            </w:r>
          </w:p>
        </w:tc>
        <w:tc>
          <w:tcPr>
            <w:tcW w:w="1880" w:type="dxa"/>
            <w:noWrap/>
            <w:vAlign w:val="center"/>
          </w:tcPr>
          <w:p w14:paraId="3CDF3DE8">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1880" w:type="dxa"/>
            <w:noWrap/>
            <w:vAlign w:val="center"/>
          </w:tcPr>
          <w:p w14:paraId="5B56CDB6">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1880" w:type="dxa"/>
            <w:noWrap/>
            <w:vAlign w:val="center"/>
          </w:tcPr>
          <w:p w14:paraId="2C1EB68E">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73648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1F37E90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一、经营活动产生的现金流量：</w:t>
            </w:r>
          </w:p>
        </w:tc>
        <w:tc>
          <w:tcPr>
            <w:tcW w:w="1880" w:type="dxa"/>
            <w:noWrap/>
            <w:vAlign w:val="center"/>
          </w:tcPr>
          <w:p w14:paraId="3EF4607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4026107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0F52B7D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6F80A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7256252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销售商品、提供劳务收到的现金</w:t>
            </w:r>
          </w:p>
        </w:tc>
        <w:tc>
          <w:tcPr>
            <w:tcW w:w="1880" w:type="dxa"/>
            <w:noWrap/>
            <w:vAlign w:val="center"/>
          </w:tcPr>
          <w:p w14:paraId="6DDB40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1,264,102.72 </w:t>
            </w:r>
          </w:p>
        </w:tc>
        <w:tc>
          <w:tcPr>
            <w:tcW w:w="1880" w:type="dxa"/>
            <w:noWrap/>
            <w:vAlign w:val="center"/>
          </w:tcPr>
          <w:p w14:paraId="0F4EDC0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1,289,748.26 </w:t>
            </w:r>
          </w:p>
        </w:tc>
        <w:tc>
          <w:tcPr>
            <w:tcW w:w="1880" w:type="dxa"/>
            <w:noWrap/>
            <w:vAlign w:val="center"/>
          </w:tcPr>
          <w:p w14:paraId="5F5C359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1,280,589.78 </w:t>
            </w:r>
          </w:p>
        </w:tc>
      </w:tr>
      <w:tr w14:paraId="0E425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3488BD0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收到的税费返还</w:t>
            </w:r>
          </w:p>
        </w:tc>
        <w:tc>
          <w:tcPr>
            <w:tcW w:w="1880" w:type="dxa"/>
            <w:noWrap/>
            <w:vAlign w:val="center"/>
          </w:tcPr>
          <w:p w14:paraId="7CC9B40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3.27 </w:t>
            </w:r>
          </w:p>
        </w:tc>
        <w:tc>
          <w:tcPr>
            <w:tcW w:w="1880" w:type="dxa"/>
            <w:noWrap/>
            <w:vAlign w:val="center"/>
          </w:tcPr>
          <w:p w14:paraId="610D3B2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881.00 </w:t>
            </w:r>
          </w:p>
        </w:tc>
        <w:tc>
          <w:tcPr>
            <w:tcW w:w="1880" w:type="dxa"/>
            <w:noWrap/>
            <w:vAlign w:val="center"/>
          </w:tcPr>
          <w:p w14:paraId="53A223C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7,701.10 </w:t>
            </w:r>
          </w:p>
        </w:tc>
      </w:tr>
      <w:tr w14:paraId="11A3D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2117DB0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收到其他与经营活动有关的现金</w:t>
            </w:r>
          </w:p>
        </w:tc>
        <w:tc>
          <w:tcPr>
            <w:tcW w:w="1880" w:type="dxa"/>
            <w:noWrap/>
            <w:vAlign w:val="center"/>
          </w:tcPr>
          <w:p w14:paraId="2B39834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22,474.15 </w:t>
            </w:r>
          </w:p>
        </w:tc>
        <w:tc>
          <w:tcPr>
            <w:tcW w:w="1880" w:type="dxa"/>
            <w:noWrap/>
            <w:vAlign w:val="center"/>
          </w:tcPr>
          <w:p w14:paraId="586E842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3,828.05 </w:t>
            </w:r>
          </w:p>
        </w:tc>
        <w:tc>
          <w:tcPr>
            <w:tcW w:w="1880" w:type="dxa"/>
            <w:noWrap/>
            <w:vAlign w:val="center"/>
          </w:tcPr>
          <w:p w14:paraId="22CF9C1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48,805.65 </w:t>
            </w:r>
          </w:p>
        </w:tc>
      </w:tr>
      <w:tr w14:paraId="2172F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58A607B">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经营活动现金流入小计</w:t>
            </w:r>
          </w:p>
        </w:tc>
        <w:tc>
          <w:tcPr>
            <w:tcW w:w="1880" w:type="dxa"/>
            <w:noWrap/>
            <w:vAlign w:val="center"/>
          </w:tcPr>
          <w:p w14:paraId="38A42A0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1,286,580.14 </w:t>
            </w:r>
          </w:p>
        </w:tc>
        <w:tc>
          <w:tcPr>
            <w:tcW w:w="1880" w:type="dxa"/>
            <w:noWrap/>
            <w:vAlign w:val="center"/>
          </w:tcPr>
          <w:p w14:paraId="0CECEBC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1,294,457.31 </w:t>
            </w:r>
          </w:p>
        </w:tc>
        <w:tc>
          <w:tcPr>
            <w:tcW w:w="1880" w:type="dxa"/>
            <w:noWrap/>
            <w:vAlign w:val="center"/>
          </w:tcPr>
          <w:p w14:paraId="781D91E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1,337,096.52 </w:t>
            </w:r>
          </w:p>
        </w:tc>
      </w:tr>
      <w:tr w14:paraId="47514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2F8217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购买商品、接受劳务支付的现金</w:t>
            </w:r>
          </w:p>
        </w:tc>
        <w:tc>
          <w:tcPr>
            <w:tcW w:w="1880" w:type="dxa"/>
            <w:noWrap/>
            <w:vAlign w:val="center"/>
          </w:tcPr>
          <w:p w14:paraId="14291B3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248,193.27 </w:t>
            </w:r>
          </w:p>
        </w:tc>
        <w:tc>
          <w:tcPr>
            <w:tcW w:w="1880" w:type="dxa"/>
            <w:noWrap/>
            <w:vAlign w:val="center"/>
          </w:tcPr>
          <w:p w14:paraId="0804E06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329,298.72 </w:t>
            </w:r>
          </w:p>
        </w:tc>
        <w:tc>
          <w:tcPr>
            <w:tcW w:w="1880" w:type="dxa"/>
            <w:noWrap/>
            <w:vAlign w:val="center"/>
          </w:tcPr>
          <w:p w14:paraId="3E225CD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272,956.22 </w:t>
            </w:r>
          </w:p>
        </w:tc>
      </w:tr>
      <w:tr w14:paraId="0F376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13C3A79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支付给职工以及为职工支付的现金</w:t>
            </w:r>
          </w:p>
        </w:tc>
        <w:tc>
          <w:tcPr>
            <w:tcW w:w="1880" w:type="dxa"/>
            <w:noWrap/>
            <w:vAlign w:val="center"/>
          </w:tcPr>
          <w:p w14:paraId="54020FE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143,082.34 </w:t>
            </w:r>
          </w:p>
        </w:tc>
        <w:tc>
          <w:tcPr>
            <w:tcW w:w="1880" w:type="dxa"/>
            <w:noWrap/>
            <w:vAlign w:val="center"/>
          </w:tcPr>
          <w:p w14:paraId="6E299B1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142,042.45 </w:t>
            </w:r>
          </w:p>
        </w:tc>
        <w:tc>
          <w:tcPr>
            <w:tcW w:w="1880" w:type="dxa"/>
            <w:noWrap/>
            <w:vAlign w:val="center"/>
          </w:tcPr>
          <w:p w14:paraId="4D2E95D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136,701.41 </w:t>
            </w:r>
          </w:p>
        </w:tc>
      </w:tr>
      <w:tr w14:paraId="2A37F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AB76E5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支付的各项税费</w:t>
            </w:r>
          </w:p>
        </w:tc>
        <w:tc>
          <w:tcPr>
            <w:tcW w:w="1880" w:type="dxa"/>
            <w:noWrap/>
            <w:vAlign w:val="center"/>
          </w:tcPr>
          <w:p w14:paraId="4A11FA3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198,401.31 </w:t>
            </w:r>
          </w:p>
        </w:tc>
        <w:tc>
          <w:tcPr>
            <w:tcW w:w="1880" w:type="dxa"/>
            <w:noWrap/>
            <w:vAlign w:val="center"/>
          </w:tcPr>
          <w:p w14:paraId="2EB909A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174,798.33 </w:t>
            </w:r>
          </w:p>
        </w:tc>
        <w:tc>
          <w:tcPr>
            <w:tcW w:w="1880" w:type="dxa"/>
            <w:noWrap/>
            <w:vAlign w:val="center"/>
          </w:tcPr>
          <w:p w14:paraId="0BB4980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149,814.00 </w:t>
            </w:r>
          </w:p>
        </w:tc>
      </w:tr>
      <w:tr w14:paraId="674C1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403D02E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支付其他与经营活动有关的现金</w:t>
            </w:r>
          </w:p>
        </w:tc>
        <w:tc>
          <w:tcPr>
            <w:tcW w:w="1880" w:type="dxa"/>
            <w:noWrap/>
            <w:vAlign w:val="center"/>
          </w:tcPr>
          <w:p w14:paraId="7FA43CF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20,739.34 </w:t>
            </w:r>
          </w:p>
        </w:tc>
        <w:tc>
          <w:tcPr>
            <w:tcW w:w="1880" w:type="dxa"/>
            <w:noWrap/>
            <w:vAlign w:val="center"/>
          </w:tcPr>
          <w:p w14:paraId="5AC3B7A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16,697.57 </w:t>
            </w:r>
          </w:p>
        </w:tc>
        <w:tc>
          <w:tcPr>
            <w:tcW w:w="1880" w:type="dxa"/>
            <w:noWrap/>
            <w:vAlign w:val="center"/>
          </w:tcPr>
          <w:p w14:paraId="21697F7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38,382.49 </w:t>
            </w:r>
          </w:p>
        </w:tc>
      </w:tr>
      <w:tr w14:paraId="72EBC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E20EB7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经营活动现金流出小计</w:t>
            </w:r>
          </w:p>
        </w:tc>
        <w:tc>
          <w:tcPr>
            <w:tcW w:w="1880" w:type="dxa"/>
            <w:noWrap/>
            <w:vAlign w:val="center"/>
          </w:tcPr>
          <w:p w14:paraId="7FF5F67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610,416.26 </w:t>
            </w:r>
          </w:p>
        </w:tc>
        <w:tc>
          <w:tcPr>
            <w:tcW w:w="1880" w:type="dxa"/>
            <w:noWrap/>
            <w:vAlign w:val="center"/>
          </w:tcPr>
          <w:p w14:paraId="19FD22F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662,837.07 </w:t>
            </w:r>
          </w:p>
        </w:tc>
        <w:tc>
          <w:tcPr>
            <w:tcW w:w="1880" w:type="dxa"/>
            <w:noWrap/>
            <w:vAlign w:val="center"/>
          </w:tcPr>
          <w:p w14:paraId="1F32978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597,854.11 </w:t>
            </w:r>
          </w:p>
        </w:tc>
      </w:tr>
      <w:tr w14:paraId="19FD1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97C720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经营活动产生的现金流量净额</w:t>
            </w:r>
          </w:p>
        </w:tc>
        <w:tc>
          <w:tcPr>
            <w:tcW w:w="1880" w:type="dxa"/>
            <w:noWrap/>
            <w:vAlign w:val="center"/>
          </w:tcPr>
          <w:p w14:paraId="1630306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676,163.87 </w:t>
            </w:r>
          </w:p>
        </w:tc>
        <w:tc>
          <w:tcPr>
            <w:tcW w:w="1880" w:type="dxa"/>
            <w:noWrap/>
            <w:vAlign w:val="center"/>
          </w:tcPr>
          <w:p w14:paraId="51BE4E9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631,620.24 </w:t>
            </w:r>
          </w:p>
        </w:tc>
        <w:tc>
          <w:tcPr>
            <w:tcW w:w="1880" w:type="dxa"/>
            <w:noWrap/>
            <w:vAlign w:val="center"/>
          </w:tcPr>
          <w:p w14:paraId="0CD9C8E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739,242.41 </w:t>
            </w:r>
          </w:p>
        </w:tc>
      </w:tr>
      <w:tr w14:paraId="2AB4F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1E1FCE0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二、投资活动产生的现金流量：</w:t>
            </w:r>
          </w:p>
        </w:tc>
        <w:tc>
          <w:tcPr>
            <w:tcW w:w="1880" w:type="dxa"/>
            <w:noWrap/>
            <w:vAlign w:val="center"/>
          </w:tcPr>
          <w:p w14:paraId="452EC9F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2F07CFA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59B5B38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246F7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7BD6FA0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收回投资收到的现金</w:t>
            </w:r>
          </w:p>
        </w:tc>
        <w:tc>
          <w:tcPr>
            <w:tcW w:w="1880" w:type="dxa"/>
            <w:noWrap/>
            <w:vAlign w:val="center"/>
          </w:tcPr>
          <w:p w14:paraId="0141D96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1,309,204.53 </w:t>
            </w:r>
          </w:p>
        </w:tc>
        <w:tc>
          <w:tcPr>
            <w:tcW w:w="1880" w:type="dxa"/>
            <w:noWrap/>
            <w:vAlign w:val="center"/>
          </w:tcPr>
          <w:p w14:paraId="563DDA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2,169,006.98 </w:t>
            </w:r>
          </w:p>
        </w:tc>
        <w:tc>
          <w:tcPr>
            <w:tcW w:w="1880" w:type="dxa"/>
            <w:noWrap/>
            <w:vAlign w:val="center"/>
          </w:tcPr>
          <w:p w14:paraId="1DE9911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1,723,404.38 </w:t>
            </w:r>
          </w:p>
        </w:tc>
      </w:tr>
      <w:tr w14:paraId="54E3A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478B6F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取得投资收益收到的现金</w:t>
            </w:r>
          </w:p>
        </w:tc>
        <w:tc>
          <w:tcPr>
            <w:tcW w:w="1880" w:type="dxa"/>
            <w:noWrap/>
            <w:vAlign w:val="center"/>
          </w:tcPr>
          <w:p w14:paraId="0610F6C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86,466.00 </w:t>
            </w:r>
          </w:p>
        </w:tc>
        <w:tc>
          <w:tcPr>
            <w:tcW w:w="1880" w:type="dxa"/>
            <w:noWrap/>
            <w:vAlign w:val="center"/>
          </w:tcPr>
          <w:p w14:paraId="53D9101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78,168.63 </w:t>
            </w:r>
          </w:p>
        </w:tc>
        <w:tc>
          <w:tcPr>
            <w:tcW w:w="1880" w:type="dxa"/>
            <w:noWrap/>
            <w:vAlign w:val="center"/>
          </w:tcPr>
          <w:p w14:paraId="494AC7E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76,523.87 </w:t>
            </w:r>
          </w:p>
        </w:tc>
      </w:tr>
      <w:tr w14:paraId="76DAF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3D7D432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处置固定资产、无形资产和其他长期资产收回的现金净额</w:t>
            </w:r>
          </w:p>
        </w:tc>
        <w:tc>
          <w:tcPr>
            <w:tcW w:w="1880" w:type="dxa"/>
            <w:noWrap/>
            <w:vAlign w:val="center"/>
          </w:tcPr>
          <w:p w14:paraId="0985647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3,244.54 </w:t>
            </w:r>
          </w:p>
        </w:tc>
        <w:tc>
          <w:tcPr>
            <w:tcW w:w="1880" w:type="dxa"/>
            <w:noWrap/>
            <w:vAlign w:val="center"/>
          </w:tcPr>
          <w:p w14:paraId="5D6BFF6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310.46 </w:t>
            </w:r>
          </w:p>
        </w:tc>
        <w:tc>
          <w:tcPr>
            <w:tcW w:w="1880" w:type="dxa"/>
            <w:noWrap/>
            <w:vAlign w:val="center"/>
          </w:tcPr>
          <w:p w14:paraId="1331C18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1,403.46 </w:t>
            </w:r>
          </w:p>
        </w:tc>
      </w:tr>
      <w:tr w14:paraId="690B3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49EA010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处置子公司及其他营业单位收到的现金净额</w:t>
            </w:r>
          </w:p>
        </w:tc>
        <w:tc>
          <w:tcPr>
            <w:tcW w:w="1880" w:type="dxa"/>
            <w:noWrap/>
            <w:vAlign w:val="center"/>
          </w:tcPr>
          <w:p w14:paraId="3135D56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948161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D85975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28,459.58 </w:t>
            </w:r>
          </w:p>
        </w:tc>
      </w:tr>
      <w:tr w14:paraId="770EC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DAD9DE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收到其他与投资活动有关的现金</w:t>
            </w:r>
          </w:p>
        </w:tc>
        <w:tc>
          <w:tcPr>
            <w:tcW w:w="1880" w:type="dxa"/>
            <w:noWrap/>
            <w:vAlign w:val="center"/>
          </w:tcPr>
          <w:p w14:paraId="388F0DF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6317AA5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1DEF0E9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5580E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0C4DF1F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投资活动现金流入小计</w:t>
            </w:r>
          </w:p>
        </w:tc>
        <w:tc>
          <w:tcPr>
            <w:tcW w:w="1880" w:type="dxa"/>
            <w:noWrap/>
            <w:vAlign w:val="center"/>
          </w:tcPr>
          <w:p w14:paraId="2549134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1,398,915.07 </w:t>
            </w:r>
          </w:p>
        </w:tc>
        <w:tc>
          <w:tcPr>
            <w:tcW w:w="1880" w:type="dxa"/>
            <w:noWrap/>
            <w:vAlign w:val="center"/>
          </w:tcPr>
          <w:p w14:paraId="7F76917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2,247,486.07 </w:t>
            </w:r>
          </w:p>
        </w:tc>
        <w:tc>
          <w:tcPr>
            <w:tcW w:w="1880" w:type="dxa"/>
            <w:noWrap/>
            <w:vAlign w:val="center"/>
          </w:tcPr>
          <w:p w14:paraId="02B7854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1,829,791.30 </w:t>
            </w:r>
          </w:p>
        </w:tc>
      </w:tr>
      <w:tr w14:paraId="4362E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4D7D80B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购建固定资产、无形资产和其他长期资产支付的现金</w:t>
            </w:r>
          </w:p>
        </w:tc>
        <w:tc>
          <w:tcPr>
            <w:tcW w:w="1880" w:type="dxa"/>
            <w:noWrap/>
            <w:vAlign w:val="center"/>
          </w:tcPr>
          <w:p w14:paraId="62C0E85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762,633.02 </w:t>
            </w:r>
          </w:p>
        </w:tc>
        <w:tc>
          <w:tcPr>
            <w:tcW w:w="1880" w:type="dxa"/>
            <w:noWrap/>
            <w:vAlign w:val="center"/>
          </w:tcPr>
          <w:p w14:paraId="1D9F34D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1,080,228.76 </w:t>
            </w:r>
          </w:p>
        </w:tc>
        <w:tc>
          <w:tcPr>
            <w:tcW w:w="1880" w:type="dxa"/>
            <w:noWrap/>
            <w:vAlign w:val="center"/>
          </w:tcPr>
          <w:p w14:paraId="7FBAFC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380,437.68 </w:t>
            </w:r>
          </w:p>
        </w:tc>
      </w:tr>
      <w:tr w14:paraId="23D83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4508D31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投资支付的现金</w:t>
            </w:r>
          </w:p>
        </w:tc>
        <w:tc>
          <w:tcPr>
            <w:tcW w:w="1880" w:type="dxa"/>
            <w:noWrap/>
            <w:vAlign w:val="center"/>
          </w:tcPr>
          <w:p w14:paraId="7E97599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1,168,471.43 </w:t>
            </w:r>
          </w:p>
        </w:tc>
        <w:tc>
          <w:tcPr>
            <w:tcW w:w="1880" w:type="dxa"/>
            <w:noWrap/>
            <w:vAlign w:val="center"/>
          </w:tcPr>
          <w:p w14:paraId="0F56060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2,106,012.58 </w:t>
            </w:r>
          </w:p>
        </w:tc>
        <w:tc>
          <w:tcPr>
            <w:tcW w:w="1880" w:type="dxa"/>
            <w:noWrap/>
            <w:vAlign w:val="center"/>
          </w:tcPr>
          <w:p w14:paraId="7232D9B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1,737,209.48 </w:t>
            </w:r>
          </w:p>
        </w:tc>
      </w:tr>
      <w:tr w14:paraId="15B1B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37CE6BD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取得子公司及其他营业单位支付的现金净额</w:t>
            </w:r>
          </w:p>
        </w:tc>
        <w:tc>
          <w:tcPr>
            <w:tcW w:w="1880" w:type="dxa"/>
            <w:noWrap/>
            <w:vAlign w:val="center"/>
          </w:tcPr>
          <w:p w14:paraId="050B679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219252A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0579334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4ED21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E9F4EE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支付其他与投资活动有关的现金</w:t>
            </w:r>
          </w:p>
        </w:tc>
        <w:tc>
          <w:tcPr>
            <w:tcW w:w="1880" w:type="dxa"/>
            <w:noWrap/>
            <w:vAlign w:val="center"/>
          </w:tcPr>
          <w:p w14:paraId="20A2AD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1BE854C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3B08773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6C71D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D1D976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投资活动现金流出小计</w:t>
            </w:r>
          </w:p>
        </w:tc>
        <w:tc>
          <w:tcPr>
            <w:tcW w:w="1880" w:type="dxa"/>
            <w:noWrap/>
            <w:vAlign w:val="center"/>
          </w:tcPr>
          <w:p w14:paraId="234687D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1,931,104.45 </w:t>
            </w:r>
          </w:p>
        </w:tc>
        <w:tc>
          <w:tcPr>
            <w:tcW w:w="1880" w:type="dxa"/>
            <w:noWrap/>
            <w:vAlign w:val="center"/>
          </w:tcPr>
          <w:p w14:paraId="63D5FDC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3,186,241.34 </w:t>
            </w:r>
          </w:p>
        </w:tc>
        <w:tc>
          <w:tcPr>
            <w:tcW w:w="1880" w:type="dxa"/>
            <w:noWrap/>
            <w:vAlign w:val="center"/>
          </w:tcPr>
          <w:p w14:paraId="2375776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2,117,647.15 </w:t>
            </w:r>
          </w:p>
        </w:tc>
      </w:tr>
      <w:tr w14:paraId="5EF63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76C87F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投资活动产生的现金流量净额</w:t>
            </w:r>
          </w:p>
        </w:tc>
        <w:tc>
          <w:tcPr>
            <w:tcW w:w="1880" w:type="dxa"/>
            <w:noWrap/>
            <w:vAlign w:val="center"/>
          </w:tcPr>
          <w:p w14:paraId="49A954C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-532,189.38 </w:t>
            </w:r>
          </w:p>
        </w:tc>
        <w:tc>
          <w:tcPr>
            <w:tcW w:w="1880" w:type="dxa"/>
            <w:noWrap/>
            <w:vAlign w:val="center"/>
          </w:tcPr>
          <w:p w14:paraId="0025BFF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-938,755.27 </w:t>
            </w:r>
          </w:p>
        </w:tc>
        <w:tc>
          <w:tcPr>
            <w:tcW w:w="1880" w:type="dxa"/>
            <w:noWrap/>
            <w:vAlign w:val="center"/>
          </w:tcPr>
          <w:p w14:paraId="43423BA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-287,855.85 </w:t>
            </w:r>
          </w:p>
        </w:tc>
      </w:tr>
      <w:tr w14:paraId="32E3F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274BCB1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三、筹资活动产生的现金流量：</w:t>
            </w:r>
          </w:p>
        </w:tc>
        <w:tc>
          <w:tcPr>
            <w:tcW w:w="1880" w:type="dxa"/>
            <w:noWrap/>
            <w:vAlign w:val="center"/>
          </w:tcPr>
          <w:p w14:paraId="21BBC83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3BFDA88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0D37DB4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72542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DF4207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吸收投资收到的现金</w:t>
            </w:r>
          </w:p>
        </w:tc>
        <w:tc>
          <w:tcPr>
            <w:tcW w:w="1880" w:type="dxa"/>
            <w:noWrap/>
            <w:vAlign w:val="center"/>
          </w:tcPr>
          <w:p w14:paraId="498F6F3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222,912.58 </w:t>
            </w:r>
          </w:p>
        </w:tc>
        <w:tc>
          <w:tcPr>
            <w:tcW w:w="1880" w:type="dxa"/>
            <w:noWrap/>
            <w:vAlign w:val="center"/>
          </w:tcPr>
          <w:p w14:paraId="1EAB85E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403,415.32 </w:t>
            </w:r>
          </w:p>
        </w:tc>
        <w:tc>
          <w:tcPr>
            <w:tcW w:w="1880" w:type="dxa"/>
            <w:noWrap/>
            <w:vAlign w:val="center"/>
          </w:tcPr>
          <w:p w14:paraId="353CA35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70,291.60 </w:t>
            </w:r>
          </w:p>
        </w:tc>
      </w:tr>
      <w:tr w14:paraId="43D61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2242FFC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其中：子公司吸收少数股东投资收到的现金</w:t>
            </w:r>
          </w:p>
        </w:tc>
        <w:tc>
          <w:tcPr>
            <w:tcW w:w="1880" w:type="dxa"/>
            <w:noWrap/>
            <w:vAlign w:val="center"/>
          </w:tcPr>
          <w:p w14:paraId="7F5A625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222,912.58 </w:t>
            </w:r>
          </w:p>
        </w:tc>
        <w:tc>
          <w:tcPr>
            <w:tcW w:w="1880" w:type="dxa"/>
            <w:noWrap/>
            <w:vAlign w:val="center"/>
          </w:tcPr>
          <w:p w14:paraId="497C35B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403,415.32 </w:t>
            </w:r>
          </w:p>
        </w:tc>
        <w:tc>
          <w:tcPr>
            <w:tcW w:w="1880" w:type="dxa"/>
            <w:noWrap/>
            <w:vAlign w:val="center"/>
          </w:tcPr>
          <w:p w14:paraId="3D24B2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70,291.60 </w:t>
            </w:r>
          </w:p>
        </w:tc>
      </w:tr>
      <w:tr w14:paraId="6D832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0720F53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取得借款收到的现金</w:t>
            </w:r>
          </w:p>
        </w:tc>
        <w:tc>
          <w:tcPr>
            <w:tcW w:w="1880" w:type="dxa"/>
            <w:noWrap/>
            <w:vAlign w:val="center"/>
          </w:tcPr>
          <w:p w14:paraId="166BEF8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570,464.00 </w:t>
            </w:r>
          </w:p>
        </w:tc>
        <w:tc>
          <w:tcPr>
            <w:tcW w:w="1880" w:type="dxa"/>
            <w:noWrap/>
            <w:vAlign w:val="center"/>
          </w:tcPr>
          <w:p w14:paraId="45D1293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955,491.70 </w:t>
            </w:r>
          </w:p>
        </w:tc>
        <w:tc>
          <w:tcPr>
            <w:tcW w:w="1880" w:type="dxa"/>
            <w:noWrap/>
            <w:vAlign w:val="center"/>
          </w:tcPr>
          <w:p w14:paraId="04272A0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787,113.89 </w:t>
            </w:r>
          </w:p>
        </w:tc>
      </w:tr>
      <w:tr w14:paraId="5C06F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5BA183D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发行债券收到的现金</w:t>
            </w:r>
          </w:p>
        </w:tc>
        <w:tc>
          <w:tcPr>
            <w:tcW w:w="1880" w:type="dxa"/>
            <w:noWrap/>
            <w:vAlign w:val="center"/>
          </w:tcPr>
          <w:p w14:paraId="5E4B25F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1,115,000.00 </w:t>
            </w:r>
          </w:p>
        </w:tc>
        <w:tc>
          <w:tcPr>
            <w:tcW w:w="1880" w:type="dxa"/>
            <w:noWrap/>
            <w:vAlign w:val="center"/>
          </w:tcPr>
          <w:p w14:paraId="03FC7FA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1,191,100.00 </w:t>
            </w:r>
          </w:p>
        </w:tc>
        <w:tc>
          <w:tcPr>
            <w:tcW w:w="1880" w:type="dxa"/>
            <w:noWrap/>
            <w:vAlign w:val="center"/>
          </w:tcPr>
          <w:p w14:paraId="08B9D40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1,205,000.00 </w:t>
            </w:r>
          </w:p>
        </w:tc>
      </w:tr>
      <w:tr w14:paraId="41FD1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1214094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筹资活动现金流入小计</w:t>
            </w:r>
          </w:p>
        </w:tc>
        <w:tc>
          <w:tcPr>
            <w:tcW w:w="1880" w:type="dxa"/>
            <w:noWrap/>
            <w:vAlign w:val="center"/>
          </w:tcPr>
          <w:p w14:paraId="25B43C9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1,908,376.58 </w:t>
            </w:r>
          </w:p>
        </w:tc>
        <w:tc>
          <w:tcPr>
            <w:tcW w:w="1880" w:type="dxa"/>
            <w:noWrap/>
            <w:vAlign w:val="center"/>
          </w:tcPr>
          <w:p w14:paraId="0E8519E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2,550,007.02 </w:t>
            </w:r>
          </w:p>
        </w:tc>
        <w:tc>
          <w:tcPr>
            <w:tcW w:w="1880" w:type="dxa"/>
            <w:noWrap/>
            <w:vAlign w:val="center"/>
          </w:tcPr>
          <w:p w14:paraId="233EF9A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2,062,405.49 </w:t>
            </w:r>
          </w:p>
        </w:tc>
      </w:tr>
      <w:tr w14:paraId="3011F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267553D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偿还债务支付的现金</w:t>
            </w:r>
          </w:p>
        </w:tc>
        <w:tc>
          <w:tcPr>
            <w:tcW w:w="1880" w:type="dxa"/>
            <w:noWrap/>
            <w:vAlign w:val="center"/>
          </w:tcPr>
          <w:p w14:paraId="7E1D8D5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1,733,601.55 </w:t>
            </w:r>
          </w:p>
        </w:tc>
        <w:tc>
          <w:tcPr>
            <w:tcW w:w="1880" w:type="dxa"/>
            <w:noWrap/>
            <w:vAlign w:val="center"/>
          </w:tcPr>
          <w:p w14:paraId="4EC4D5B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1,903,875.47 </w:t>
            </w:r>
          </w:p>
        </w:tc>
        <w:tc>
          <w:tcPr>
            <w:tcW w:w="1880" w:type="dxa"/>
            <w:noWrap/>
            <w:vAlign w:val="center"/>
          </w:tcPr>
          <w:p w14:paraId="7048B34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2,177,473.80 </w:t>
            </w:r>
          </w:p>
        </w:tc>
      </w:tr>
      <w:tr w14:paraId="777CD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3C639F6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分配股利、利润或偿付利息支付的现金</w:t>
            </w:r>
          </w:p>
        </w:tc>
        <w:tc>
          <w:tcPr>
            <w:tcW w:w="1880" w:type="dxa"/>
            <w:noWrap/>
            <w:vAlign w:val="center"/>
          </w:tcPr>
          <w:p w14:paraId="54E7A50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342,288.97 </w:t>
            </w:r>
          </w:p>
        </w:tc>
        <w:tc>
          <w:tcPr>
            <w:tcW w:w="1880" w:type="dxa"/>
            <w:noWrap/>
            <w:vAlign w:val="center"/>
          </w:tcPr>
          <w:p w14:paraId="55B329F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337,473.19 </w:t>
            </w:r>
          </w:p>
        </w:tc>
        <w:tc>
          <w:tcPr>
            <w:tcW w:w="1880" w:type="dxa"/>
            <w:noWrap/>
            <w:vAlign w:val="center"/>
          </w:tcPr>
          <w:p w14:paraId="555D4DC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344,858.37 </w:t>
            </w:r>
          </w:p>
        </w:tc>
      </w:tr>
      <w:tr w14:paraId="19261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0B373FF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其中：子公司支付给少数股东的股利、利润</w:t>
            </w:r>
          </w:p>
        </w:tc>
        <w:tc>
          <w:tcPr>
            <w:tcW w:w="1880" w:type="dxa"/>
            <w:noWrap/>
            <w:vAlign w:val="center"/>
          </w:tcPr>
          <w:p w14:paraId="619DAC7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10,234.99 </w:t>
            </w:r>
          </w:p>
        </w:tc>
        <w:tc>
          <w:tcPr>
            <w:tcW w:w="1880" w:type="dxa"/>
            <w:noWrap/>
            <w:vAlign w:val="center"/>
          </w:tcPr>
          <w:p w14:paraId="78EF155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4,444.56 </w:t>
            </w:r>
          </w:p>
        </w:tc>
        <w:tc>
          <w:tcPr>
            <w:tcW w:w="1880" w:type="dxa"/>
            <w:noWrap/>
            <w:vAlign w:val="center"/>
          </w:tcPr>
          <w:p w14:paraId="0713AED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4,196.53 </w:t>
            </w:r>
          </w:p>
        </w:tc>
      </w:tr>
      <w:tr w14:paraId="54A3C1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57AACD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支付其他与筹资活动有关的现金</w:t>
            </w:r>
          </w:p>
        </w:tc>
        <w:tc>
          <w:tcPr>
            <w:tcW w:w="1880" w:type="dxa"/>
            <w:noWrap/>
            <w:vAlign w:val="center"/>
          </w:tcPr>
          <w:p w14:paraId="2E46D32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292.71 </w:t>
            </w:r>
          </w:p>
        </w:tc>
        <w:tc>
          <w:tcPr>
            <w:tcW w:w="1880" w:type="dxa"/>
            <w:noWrap/>
            <w:vAlign w:val="center"/>
          </w:tcPr>
          <w:p w14:paraId="6E1E9D4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535.06 </w:t>
            </w:r>
          </w:p>
        </w:tc>
        <w:tc>
          <w:tcPr>
            <w:tcW w:w="1880" w:type="dxa"/>
            <w:noWrap/>
            <w:vAlign w:val="center"/>
          </w:tcPr>
          <w:p w14:paraId="2785D75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600.80 </w:t>
            </w:r>
          </w:p>
        </w:tc>
      </w:tr>
      <w:tr w14:paraId="2DFD4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293F9C95">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筹资活动现金流出小计</w:t>
            </w:r>
          </w:p>
        </w:tc>
        <w:tc>
          <w:tcPr>
            <w:tcW w:w="1880" w:type="dxa"/>
            <w:noWrap/>
            <w:vAlign w:val="center"/>
          </w:tcPr>
          <w:p w14:paraId="0866C5E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2,076,183.22 </w:t>
            </w:r>
          </w:p>
        </w:tc>
        <w:tc>
          <w:tcPr>
            <w:tcW w:w="1880" w:type="dxa"/>
            <w:noWrap/>
            <w:vAlign w:val="center"/>
          </w:tcPr>
          <w:p w14:paraId="69C2736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2,241,883.72 </w:t>
            </w:r>
          </w:p>
        </w:tc>
        <w:tc>
          <w:tcPr>
            <w:tcW w:w="1880" w:type="dxa"/>
            <w:noWrap/>
            <w:vAlign w:val="center"/>
          </w:tcPr>
          <w:p w14:paraId="63D2EDE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2,522,932.98 </w:t>
            </w:r>
          </w:p>
        </w:tc>
      </w:tr>
      <w:tr w14:paraId="4C9A9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89D934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筹资活动产生的现金流量净额</w:t>
            </w:r>
          </w:p>
        </w:tc>
        <w:tc>
          <w:tcPr>
            <w:tcW w:w="1880" w:type="dxa"/>
            <w:noWrap/>
            <w:vAlign w:val="center"/>
          </w:tcPr>
          <w:p w14:paraId="0027D4A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-167,806.65 </w:t>
            </w:r>
          </w:p>
        </w:tc>
        <w:tc>
          <w:tcPr>
            <w:tcW w:w="1880" w:type="dxa"/>
            <w:noWrap/>
            <w:vAlign w:val="center"/>
          </w:tcPr>
          <w:p w14:paraId="1316A81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308,123.30 </w:t>
            </w:r>
          </w:p>
        </w:tc>
        <w:tc>
          <w:tcPr>
            <w:tcW w:w="1880" w:type="dxa"/>
            <w:noWrap/>
            <w:vAlign w:val="center"/>
          </w:tcPr>
          <w:p w14:paraId="673A8F5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-460,527.49 </w:t>
            </w:r>
          </w:p>
        </w:tc>
      </w:tr>
      <w:tr w14:paraId="4151D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6177229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四、汇率变动对现金及现金等价物的影响</w:t>
            </w:r>
          </w:p>
        </w:tc>
        <w:tc>
          <w:tcPr>
            <w:tcW w:w="1880" w:type="dxa"/>
            <w:noWrap/>
            <w:vAlign w:val="center"/>
          </w:tcPr>
          <w:p w14:paraId="3276746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c>
          <w:tcPr>
            <w:tcW w:w="1880" w:type="dxa"/>
            <w:noWrap/>
            <w:vAlign w:val="center"/>
          </w:tcPr>
          <w:p w14:paraId="055CC88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c>
          <w:tcPr>
            <w:tcW w:w="1880" w:type="dxa"/>
            <w:noWrap/>
            <w:vAlign w:val="center"/>
          </w:tcPr>
          <w:p w14:paraId="5385712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r>
      <w:tr w14:paraId="1217A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7CD284DB">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五、现金及现金等价物净增加额</w:t>
            </w:r>
          </w:p>
        </w:tc>
        <w:tc>
          <w:tcPr>
            <w:tcW w:w="1880" w:type="dxa"/>
            <w:noWrap/>
            <w:vAlign w:val="center"/>
          </w:tcPr>
          <w:p w14:paraId="333FBF0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-23,832.15 </w:t>
            </w:r>
          </w:p>
        </w:tc>
        <w:tc>
          <w:tcPr>
            <w:tcW w:w="1880" w:type="dxa"/>
            <w:noWrap/>
            <w:vAlign w:val="center"/>
          </w:tcPr>
          <w:p w14:paraId="2F8FE73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988.28 </w:t>
            </w:r>
          </w:p>
        </w:tc>
        <w:tc>
          <w:tcPr>
            <w:tcW w:w="1880" w:type="dxa"/>
            <w:noWrap/>
            <w:vAlign w:val="center"/>
          </w:tcPr>
          <w:p w14:paraId="3EA66FB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-9,140.93 </w:t>
            </w:r>
          </w:p>
        </w:tc>
      </w:tr>
      <w:tr w14:paraId="10348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3096D0E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加：期初现金及现金等价物余额</w:t>
            </w:r>
          </w:p>
        </w:tc>
        <w:tc>
          <w:tcPr>
            <w:tcW w:w="1880" w:type="dxa"/>
            <w:noWrap/>
            <w:vAlign w:val="center"/>
          </w:tcPr>
          <w:p w14:paraId="24D8905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84,348.63 </w:t>
            </w:r>
          </w:p>
        </w:tc>
        <w:tc>
          <w:tcPr>
            <w:tcW w:w="1880" w:type="dxa"/>
            <w:noWrap/>
            <w:vAlign w:val="center"/>
          </w:tcPr>
          <w:p w14:paraId="23257D4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83,360.35 </w:t>
            </w:r>
          </w:p>
        </w:tc>
        <w:tc>
          <w:tcPr>
            <w:tcW w:w="1880" w:type="dxa"/>
            <w:noWrap/>
            <w:vAlign w:val="center"/>
          </w:tcPr>
          <w:p w14:paraId="7044887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92,501.29 </w:t>
            </w:r>
          </w:p>
        </w:tc>
      </w:tr>
      <w:tr w14:paraId="44592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72" w:type="dxa"/>
            <w:noWrap/>
            <w:vAlign w:val="center"/>
          </w:tcPr>
          <w:p w14:paraId="4B65B00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六、期末现金及现金等价物余额</w:t>
            </w:r>
          </w:p>
        </w:tc>
        <w:tc>
          <w:tcPr>
            <w:tcW w:w="1880" w:type="dxa"/>
            <w:noWrap/>
            <w:vAlign w:val="center"/>
          </w:tcPr>
          <w:p w14:paraId="171FC27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60,516.48 </w:t>
            </w:r>
          </w:p>
        </w:tc>
        <w:tc>
          <w:tcPr>
            <w:tcW w:w="1880" w:type="dxa"/>
            <w:noWrap/>
            <w:vAlign w:val="center"/>
          </w:tcPr>
          <w:p w14:paraId="3874C7C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84,348.63 </w:t>
            </w:r>
          </w:p>
        </w:tc>
        <w:tc>
          <w:tcPr>
            <w:tcW w:w="1880" w:type="dxa"/>
            <w:noWrap/>
            <w:vAlign w:val="center"/>
          </w:tcPr>
          <w:p w14:paraId="7320974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83,360.35 </w:t>
            </w:r>
          </w:p>
        </w:tc>
      </w:tr>
    </w:tbl>
    <w:p w14:paraId="2BBDA67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2、公司最近三年的母公司财务报表</w:t>
      </w:r>
    </w:p>
    <w:p w14:paraId="25A8CBCC">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（1）</w:t>
      </w:r>
      <w:bookmarkStart w:id="5" w:name="_Hlk101214236"/>
      <w:r>
        <w:rPr>
          <w:rFonts w:hint="eastAsia" w:asciiTheme="minorEastAsia" w:hAnsiTheme="minorEastAsia" w:cstheme="minorEastAsia"/>
          <w:szCs w:val="24"/>
          <w:lang w:val="zh-TW"/>
        </w:rPr>
        <w:t>最近三年母公司资产负债表</w:t>
      </w:r>
    </w:p>
    <w:p w14:paraId="579F2866">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88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80"/>
        <w:gridCol w:w="1880"/>
        <w:gridCol w:w="1880"/>
        <w:gridCol w:w="1880"/>
      </w:tblGrid>
      <w:tr w14:paraId="25D64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80" w:type="dxa"/>
            <w:noWrap/>
            <w:vAlign w:val="center"/>
          </w:tcPr>
          <w:p w14:paraId="0FDDC259">
            <w:pPr>
              <w:keepNext/>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项目</w:t>
            </w:r>
          </w:p>
        </w:tc>
        <w:tc>
          <w:tcPr>
            <w:tcW w:w="1880" w:type="dxa"/>
            <w:noWrap/>
            <w:vAlign w:val="center"/>
          </w:tcPr>
          <w:p w14:paraId="49759C62">
            <w:pPr>
              <w:keepNext/>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2025年末</w:t>
            </w:r>
          </w:p>
        </w:tc>
        <w:tc>
          <w:tcPr>
            <w:tcW w:w="1880" w:type="dxa"/>
            <w:noWrap/>
            <w:vAlign w:val="center"/>
          </w:tcPr>
          <w:p w14:paraId="3FFD4374">
            <w:pPr>
              <w:keepNext/>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2024年末</w:t>
            </w:r>
          </w:p>
        </w:tc>
        <w:tc>
          <w:tcPr>
            <w:tcW w:w="1880" w:type="dxa"/>
            <w:noWrap/>
            <w:vAlign w:val="center"/>
          </w:tcPr>
          <w:p w14:paraId="72118989">
            <w:pPr>
              <w:keepNext/>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2023年末</w:t>
            </w:r>
          </w:p>
        </w:tc>
      </w:tr>
      <w:tr w14:paraId="6326B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8C124BA">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流动资产：</w:t>
            </w:r>
          </w:p>
        </w:tc>
        <w:tc>
          <w:tcPr>
            <w:tcW w:w="1880" w:type="dxa"/>
            <w:noWrap/>
            <w:vAlign w:val="center"/>
          </w:tcPr>
          <w:p w14:paraId="14AAB8F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74864A1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5ED66D2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30367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08594A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货币资金</w:t>
            </w:r>
          </w:p>
        </w:tc>
        <w:tc>
          <w:tcPr>
            <w:tcW w:w="1880" w:type="dxa"/>
            <w:noWrap/>
            <w:vAlign w:val="center"/>
          </w:tcPr>
          <w:p w14:paraId="7FA5E1C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21,168.43 </w:t>
            </w:r>
          </w:p>
        </w:tc>
        <w:tc>
          <w:tcPr>
            <w:tcW w:w="1880" w:type="dxa"/>
            <w:noWrap/>
            <w:vAlign w:val="center"/>
          </w:tcPr>
          <w:p w14:paraId="19D27D5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19,428.31 </w:t>
            </w:r>
          </w:p>
        </w:tc>
        <w:tc>
          <w:tcPr>
            <w:tcW w:w="1880" w:type="dxa"/>
            <w:noWrap/>
            <w:vAlign w:val="center"/>
          </w:tcPr>
          <w:p w14:paraId="3B1F06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19,262.78 </w:t>
            </w:r>
          </w:p>
        </w:tc>
      </w:tr>
      <w:tr w14:paraId="7F068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558EB2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交易性金融资产</w:t>
            </w:r>
          </w:p>
        </w:tc>
        <w:tc>
          <w:tcPr>
            <w:tcW w:w="1880" w:type="dxa"/>
            <w:noWrap/>
            <w:vAlign w:val="center"/>
          </w:tcPr>
          <w:p w14:paraId="2F424B3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43,000.00 </w:t>
            </w:r>
          </w:p>
        </w:tc>
        <w:tc>
          <w:tcPr>
            <w:tcW w:w="1880" w:type="dxa"/>
            <w:noWrap/>
            <w:vAlign w:val="center"/>
          </w:tcPr>
          <w:p w14:paraId="1D4CC6E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159,200.00 </w:t>
            </w:r>
          </w:p>
        </w:tc>
        <w:tc>
          <w:tcPr>
            <w:tcW w:w="1880" w:type="dxa"/>
            <w:noWrap/>
            <w:vAlign w:val="center"/>
          </w:tcPr>
          <w:p w14:paraId="2577C67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213,000.00 </w:t>
            </w:r>
          </w:p>
        </w:tc>
      </w:tr>
      <w:tr w14:paraId="7E9E5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989AD0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应收账款</w:t>
            </w:r>
          </w:p>
        </w:tc>
        <w:tc>
          <w:tcPr>
            <w:tcW w:w="1880" w:type="dxa"/>
            <w:noWrap/>
            <w:vAlign w:val="center"/>
          </w:tcPr>
          <w:p w14:paraId="71C03E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37,594.81 </w:t>
            </w:r>
          </w:p>
        </w:tc>
        <w:tc>
          <w:tcPr>
            <w:tcW w:w="1880" w:type="dxa"/>
            <w:noWrap/>
            <w:vAlign w:val="center"/>
          </w:tcPr>
          <w:p w14:paraId="771D897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38,688.98 </w:t>
            </w:r>
          </w:p>
        </w:tc>
        <w:tc>
          <w:tcPr>
            <w:tcW w:w="1880" w:type="dxa"/>
            <w:noWrap/>
            <w:vAlign w:val="center"/>
          </w:tcPr>
          <w:p w14:paraId="432F09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43,433.06 </w:t>
            </w:r>
          </w:p>
        </w:tc>
      </w:tr>
      <w:tr w14:paraId="735BC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CBF23B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预付款项</w:t>
            </w:r>
          </w:p>
        </w:tc>
        <w:tc>
          <w:tcPr>
            <w:tcW w:w="1880" w:type="dxa"/>
            <w:noWrap/>
            <w:vAlign w:val="center"/>
          </w:tcPr>
          <w:p w14:paraId="6BC95AD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113.92 </w:t>
            </w:r>
          </w:p>
        </w:tc>
        <w:tc>
          <w:tcPr>
            <w:tcW w:w="1880" w:type="dxa"/>
            <w:noWrap/>
            <w:vAlign w:val="center"/>
          </w:tcPr>
          <w:p w14:paraId="26B01C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176.01 </w:t>
            </w:r>
          </w:p>
        </w:tc>
        <w:tc>
          <w:tcPr>
            <w:tcW w:w="1880" w:type="dxa"/>
            <w:noWrap/>
            <w:vAlign w:val="center"/>
          </w:tcPr>
          <w:p w14:paraId="4D4F397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97.42 </w:t>
            </w:r>
          </w:p>
        </w:tc>
      </w:tr>
      <w:tr w14:paraId="4C0DF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2D5087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其他应收款合计</w:t>
            </w:r>
          </w:p>
        </w:tc>
        <w:tc>
          <w:tcPr>
            <w:tcW w:w="1880" w:type="dxa"/>
            <w:noWrap/>
            <w:vAlign w:val="center"/>
          </w:tcPr>
          <w:p w14:paraId="61B1B5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310.32 </w:t>
            </w:r>
          </w:p>
        </w:tc>
        <w:tc>
          <w:tcPr>
            <w:tcW w:w="1880" w:type="dxa"/>
            <w:noWrap/>
            <w:vAlign w:val="center"/>
          </w:tcPr>
          <w:p w14:paraId="7982A4F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24,007.89 </w:t>
            </w:r>
          </w:p>
        </w:tc>
        <w:tc>
          <w:tcPr>
            <w:tcW w:w="1880" w:type="dxa"/>
            <w:noWrap/>
            <w:vAlign w:val="center"/>
          </w:tcPr>
          <w:p w14:paraId="2400C18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1,516.69 </w:t>
            </w:r>
          </w:p>
        </w:tc>
      </w:tr>
      <w:tr w14:paraId="34C1B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F85201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其中：应收利息</w:t>
            </w:r>
          </w:p>
        </w:tc>
        <w:tc>
          <w:tcPr>
            <w:tcW w:w="1880" w:type="dxa"/>
            <w:noWrap/>
            <w:vAlign w:val="center"/>
          </w:tcPr>
          <w:p w14:paraId="412DBA8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125A67A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3148110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1557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69627B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应收股利</w:t>
            </w:r>
          </w:p>
        </w:tc>
        <w:tc>
          <w:tcPr>
            <w:tcW w:w="1880" w:type="dxa"/>
            <w:noWrap/>
            <w:vAlign w:val="center"/>
          </w:tcPr>
          <w:p w14:paraId="497F1BA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2C53E28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23,610.61 </w:t>
            </w:r>
          </w:p>
        </w:tc>
        <w:tc>
          <w:tcPr>
            <w:tcW w:w="1880" w:type="dxa"/>
            <w:noWrap/>
            <w:vAlign w:val="center"/>
          </w:tcPr>
          <w:p w14:paraId="292541B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499.00 </w:t>
            </w:r>
          </w:p>
        </w:tc>
      </w:tr>
      <w:tr w14:paraId="7A895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D7F0E5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w:t>
            </w:r>
          </w:p>
        </w:tc>
        <w:tc>
          <w:tcPr>
            <w:tcW w:w="1880" w:type="dxa"/>
            <w:noWrap/>
            <w:vAlign w:val="center"/>
          </w:tcPr>
          <w:p w14:paraId="6E57244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310.32 </w:t>
            </w:r>
          </w:p>
        </w:tc>
        <w:tc>
          <w:tcPr>
            <w:tcW w:w="1880" w:type="dxa"/>
            <w:noWrap/>
            <w:vAlign w:val="center"/>
          </w:tcPr>
          <w:p w14:paraId="2016D85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397.28 </w:t>
            </w:r>
          </w:p>
        </w:tc>
        <w:tc>
          <w:tcPr>
            <w:tcW w:w="1880" w:type="dxa"/>
            <w:noWrap/>
            <w:vAlign w:val="center"/>
          </w:tcPr>
          <w:p w14:paraId="2776257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1,017.69 </w:t>
            </w:r>
          </w:p>
        </w:tc>
      </w:tr>
      <w:tr w14:paraId="65919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149B21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存货</w:t>
            </w:r>
          </w:p>
        </w:tc>
        <w:tc>
          <w:tcPr>
            <w:tcW w:w="1880" w:type="dxa"/>
            <w:noWrap/>
            <w:vAlign w:val="center"/>
          </w:tcPr>
          <w:p w14:paraId="034282E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1,377.07 </w:t>
            </w:r>
          </w:p>
        </w:tc>
        <w:tc>
          <w:tcPr>
            <w:tcW w:w="1880" w:type="dxa"/>
            <w:noWrap/>
            <w:vAlign w:val="center"/>
          </w:tcPr>
          <w:p w14:paraId="29A4FAF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1,656.72 </w:t>
            </w:r>
          </w:p>
        </w:tc>
        <w:tc>
          <w:tcPr>
            <w:tcW w:w="1880" w:type="dxa"/>
            <w:noWrap/>
            <w:vAlign w:val="center"/>
          </w:tcPr>
          <w:p w14:paraId="393C9E4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1,808.75 </w:t>
            </w:r>
          </w:p>
        </w:tc>
      </w:tr>
      <w:tr w14:paraId="7EC5B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E2E607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一年内到期的非流动资产</w:t>
            </w:r>
          </w:p>
        </w:tc>
        <w:tc>
          <w:tcPr>
            <w:tcW w:w="1880" w:type="dxa"/>
            <w:noWrap/>
            <w:vAlign w:val="center"/>
          </w:tcPr>
          <w:p w14:paraId="7436F63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7,123.55 </w:t>
            </w:r>
          </w:p>
        </w:tc>
        <w:tc>
          <w:tcPr>
            <w:tcW w:w="1880" w:type="dxa"/>
            <w:noWrap/>
            <w:vAlign w:val="center"/>
          </w:tcPr>
          <w:p w14:paraId="7B907F0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135,304.20 </w:t>
            </w:r>
          </w:p>
        </w:tc>
        <w:tc>
          <w:tcPr>
            <w:tcW w:w="1880" w:type="dxa"/>
            <w:noWrap/>
            <w:vAlign w:val="center"/>
          </w:tcPr>
          <w:p w14:paraId="71665B3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789D1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25BD55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其他流动资产</w:t>
            </w:r>
          </w:p>
        </w:tc>
        <w:tc>
          <w:tcPr>
            <w:tcW w:w="1880" w:type="dxa"/>
            <w:noWrap/>
            <w:vAlign w:val="center"/>
          </w:tcPr>
          <w:p w14:paraId="181561C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183,907.14 </w:t>
            </w:r>
          </w:p>
        </w:tc>
        <w:tc>
          <w:tcPr>
            <w:tcW w:w="1880" w:type="dxa"/>
            <w:noWrap/>
            <w:vAlign w:val="center"/>
          </w:tcPr>
          <w:p w14:paraId="0754AE9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279,178.84 </w:t>
            </w:r>
          </w:p>
        </w:tc>
        <w:tc>
          <w:tcPr>
            <w:tcW w:w="1880" w:type="dxa"/>
            <w:noWrap/>
            <w:vAlign w:val="center"/>
          </w:tcPr>
          <w:p w14:paraId="56BBAB0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353,964.56 </w:t>
            </w:r>
          </w:p>
        </w:tc>
      </w:tr>
      <w:tr w14:paraId="4C814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E9EA75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流动资产合计</w:t>
            </w:r>
          </w:p>
        </w:tc>
        <w:tc>
          <w:tcPr>
            <w:tcW w:w="1880" w:type="dxa"/>
            <w:noWrap/>
            <w:vAlign w:val="center"/>
          </w:tcPr>
          <w:p w14:paraId="678674A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294,595.24 </w:t>
            </w:r>
          </w:p>
        </w:tc>
        <w:tc>
          <w:tcPr>
            <w:tcW w:w="1880" w:type="dxa"/>
            <w:noWrap/>
            <w:vAlign w:val="center"/>
          </w:tcPr>
          <w:p w14:paraId="2C36A99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657,640.95 </w:t>
            </w:r>
          </w:p>
        </w:tc>
        <w:tc>
          <w:tcPr>
            <w:tcW w:w="1880" w:type="dxa"/>
            <w:noWrap/>
            <w:vAlign w:val="center"/>
          </w:tcPr>
          <w:p w14:paraId="481443F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633,083.26 </w:t>
            </w:r>
          </w:p>
        </w:tc>
      </w:tr>
      <w:tr w14:paraId="28AA9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79D10D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非流动资产：</w:t>
            </w:r>
          </w:p>
        </w:tc>
        <w:tc>
          <w:tcPr>
            <w:tcW w:w="1880" w:type="dxa"/>
            <w:noWrap/>
            <w:vAlign w:val="center"/>
          </w:tcPr>
          <w:p w14:paraId="7F9BA4B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110B5C4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7BDEAD4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4B784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4B738B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长期股权投资</w:t>
            </w:r>
          </w:p>
        </w:tc>
        <w:tc>
          <w:tcPr>
            <w:tcW w:w="1880" w:type="dxa"/>
            <w:noWrap/>
            <w:vAlign w:val="center"/>
          </w:tcPr>
          <w:p w14:paraId="7406A3A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3,074,907.50 </w:t>
            </w:r>
          </w:p>
        </w:tc>
        <w:tc>
          <w:tcPr>
            <w:tcW w:w="1880" w:type="dxa"/>
            <w:noWrap/>
            <w:vAlign w:val="center"/>
          </w:tcPr>
          <w:p w14:paraId="3DC2520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2,805,942.37 </w:t>
            </w:r>
          </w:p>
        </w:tc>
        <w:tc>
          <w:tcPr>
            <w:tcW w:w="1880" w:type="dxa"/>
            <w:noWrap/>
            <w:vAlign w:val="center"/>
          </w:tcPr>
          <w:p w14:paraId="62D2C91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2,154,573.22 </w:t>
            </w:r>
          </w:p>
        </w:tc>
      </w:tr>
      <w:tr w14:paraId="722AA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127DE3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其他权益工具投资</w:t>
            </w:r>
          </w:p>
        </w:tc>
        <w:tc>
          <w:tcPr>
            <w:tcW w:w="1880" w:type="dxa"/>
            <w:noWrap/>
            <w:vAlign w:val="center"/>
          </w:tcPr>
          <w:p w14:paraId="5185D51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749,928.19 </w:t>
            </w:r>
          </w:p>
        </w:tc>
        <w:tc>
          <w:tcPr>
            <w:tcW w:w="1880" w:type="dxa"/>
            <w:noWrap/>
            <w:vAlign w:val="center"/>
          </w:tcPr>
          <w:p w14:paraId="164C30F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708,105.27 </w:t>
            </w:r>
          </w:p>
        </w:tc>
        <w:tc>
          <w:tcPr>
            <w:tcW w:w="1880" w:type="dxa"/>
            <w:noWrap/>
            <w:vAlign w:val="center"/>
          </w:tcPr>
          <w:p w14:paraId="03FF3F4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482,405.73 </w:t>
            </w:r>
          </w:p>
        </w:tc>
      </w:tr>
      <w:tr w14:paraId="55BF7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8F23D6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固定资产合计</w:t>
            </w:r>
          </w:p>
        </w:tc>
        <w:tc>
          <w:tcPr>
            <w:tcW w:w="1880" w:type="dxa"/>
            <w:noWrap/>
            <w:vAlign w:val="center"/>
          </w:tcPr>
          <w:p w14:paraId="3029F8E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97,408.73 </w:t>
            </w:r>
          </w:p>
        </w:tc>
        <w:tc>
          <w:tcPr>
            <w:tcW w:w="1880" w:type="dxa"/>
            <w:noWrap/>
            <w:vAlign w:val="center"/>
          </w:tcPr>
          <w:p w14:paraId="553D71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106,053.13 </w:t>
            </w:r>
          </w:p>
        </w:tc>
        <w:tc>
          <w:tcPr>
            <w:tcW w:w="1880" w:type="dxa"/>
            <w:noWrap/>
            <w:vAlign w:val="center"/>
          </w:tcPr>
          <w:p w14:paraId="312AE5D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111,084.44 </w:t>
            </w:r>
          </w:p>
        </w:tc>
      </w:tr>
      <w:tr w14:paraId="14381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E6142C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在建工程合计</w:t>
            </w:r>
          </w:p>
        </w:tc>
        <w:tc>
          <w:tcPr>
            <w:tcW w:w="1880" w:type="dxa"/>
            <w:noWrap/>
            <w:vAlign w:val="center"/>
          </w:tcPr>
          <w:p w14:paraId="644CCFA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35,944.93 </w:t>
            </w:r>
          </w:p>
        </w:tc>
        <w:tc>
          <w:tcPr>
            <w:tcW w:w="1880" w:type="dxa"/>
            <w:noWrap/>
            <w:vAlign w:val="center"/>
          </w:tcPr>
          <w:p w14:paraId="71C7D67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8,324.37 </w:t>
            </w:r>
          </w:p>
        </w:tc>
        <w:tc>
          <w:tcPr>
            <w:tcW w:w="1880" w:type="dxa"/>
            <w:noWrap/>
            <w:vAlign w:val="center"/>
          </w:tcPr>
          <w:p w14:paraId="1A7BA36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6,062.40 </w:t>
            </w:r>
          </w:p>
        </w:tc>
      </w:tr>
      <w:tr w14:paraId="1E9D7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81B5CB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无形资产</w:t>
            </w:r>
          </w:p>
        </w:tc>
        <w:tc>
          <w:tcPr>
            <w:tcW w:w="1880" w:type="dxa"/>
            <w:noWrap/>
            <w:vAlign w:val="center"/>
          </w:tcPr>
          <w:p w14:paraId="5CC18FF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844,297.90 </w:t>
            </w:r>
          </w:p>
        </w:tc>
        <w:tc>
          <w:tcPr>
            <w:tcW w:w="1880" w:type="dxa"/>
            <w:noWrap/>
            <w:vAlign w:val="center"/>
          </w:tcPr>
          <w:p w14:paraId="08BC86E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948,911.14 </w:t>
            </w:r>
          </w:p>
        </w:tc>
        <w:tc>
          <w:tcPr>
            <w:tcW w:w="1880" w:type="dxa"/>
            <w:noWrap/>
            <w:vAlign w:val="center"/>
          </w:tcPr>
          <w:p w14:paraId="4390A1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1,060,137.98 </w:t>
            </w:r>
          </w:p>
        </w:tc>
      </w:tr>
      <w:tr w14:paraId="47995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B1D672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长期待摊费用</w:t>
            </w:r>
          </w:p>
        </w:tc>
        <w:tc>
          <w:tcPr>
            <w:tcW w:w="1880" w:type="dxa"/>
            <w:noWrap/>
            <w:vAlign w:val="center"/>
          </w:tcPr>
          <w:p w14:paraId="520A582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1E55B2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36.19 </w:t>
            </w:r>
          </w:p>
        </w:tc>
        <w:tc>
          <w:tcPr>
            <w:tcW w:w="1880" w:type="dxa"/>
            <w:noWrap/>
            <w:vAlign w:val="center"/>
          </w:tcPr>
          <w:p w14:paraId="06E62EA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131.75 </w:t>
            </w:r>
          </w:p>
        </w:tc>
      </w:tr>
      <w:tr w14:paraId="4AB61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0D67CB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递延所得税资产</w:t>
            </w:r>
          </w:p>
        </w:tc>
        <w:tc>
          <w:tcPr>
            <w:tcW w:w="1880" w:type="dxa"/>
            <w:noWrap/>
            <w:vAlign w:val="center"/>
          </w:tcPr>
          <w:p w14:paraId="1F7B886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612D481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21335E5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0A90D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700EA0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其他非流动资产</w:t>
            </w:r>
          </w:p>
        </w:tc>
        <w:tc>
          <w:tcPr>
            <w:tcW w:w="1880" w:type="dxa"/>
            <w:noWrap/>
            <w:vAlign w:val="center"/>
          </w:tcPr>
          <w:p w14:paraId="0920155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329,401.36 </w:t>
            </w:r>
          </w:p>
        </w:tc>
        <w:tc>
          <w:tcPr>
            <w:tcW w:w="1880" w:type="dxa"/>
            <w:noWrap/>
            <w:vAlign w:val="center"/>
          </w:tcPr>
          <w:p w14:paraId="2EE0A1C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88,401.36 </w:t>
            </w:r>
          </w:p>
        </w:tc>
        <w:tc>
          <w:tcPr>
            <w:tcW w:w="1880" w:type="dxa"/>
            <w:noWrap/>
            <w:vAlign w:val="center"/>
          </w:tcPr>
          <w:p w14:paraId="7AAAEE9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145,275.56 </w:t>
            </w:r>
          </w:p>
        </w:tc>
      </w:tr>
      <w:tr w14:paraId="36F24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7122E60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非流动资产合计</w:t>
            </w:r>
          </w:p>
        </w:tc>
        <w:tc>
          <w:tcPr>
            <w:tcW w:w="1880" w:type="dxa"/>
            <w:noWrap/>
            <w:vAlign w:val="center"/>
          </w:tcPr>
          <w:p w14:paraId="62DFCAC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5,131,888.61 </w:t>
            </w:r>
          </w:p>
        </w:tc>
        <w:tc>
          <w:tcPr>
            <w:tcW w:w="1880" w:type="dxa"/>
            <w:noWrap/>
            <w:vAlign w:val="center"/>
          </w:tcPr>
          <w:p w14:paraId="3E72F02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4,665,773.83 </w:t>
            </w:r>
          </w:p>
        </w:tc>
        <w:tc>
          <w:tcPr>
            <w:tcW w:w="1880" w:type="dxa"/>
            <w:noWrap/>
            <w:vAlign w:val="center"/>
          </w:tcPr>
          <w:p w14:paraId="5A7433C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3,959,671.09 </w:t>
            </w:r>
          </w:p>
        </w:tc>
      </w:tr>
      <w:tr w14:paraId="353EA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83FC12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资产总计</w:t>
            </w:r>
          </w:p>
        </w:tc>
        <w:tc>
          <w:tcPr>
            <w:tcW w:w="1880" w:type="dxa"/>
            <w:noWrap/>
            <w:vAlign w:val="center"/>
          </w:tcPr>
          <w:p w14:paraId="10E202D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5,426,483.86 </w:t>
            </w:r>
          </w:p>
        </w:tc>
        <w:tc>
          <w:tcPr>
            <w:tcW w:w="1880" w:type="dxa"/>
            <w:noWrap/>
            <w:vAlign w:val="center"/>
          </w:tcPr>
          <w:p w14:paraId="499477E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5,323,414.79 </w:t>
            </w:r>
          </w:p>
        </w:tc>
        <w:tc>
          <w:tcPr>
            <w:tcW w:w="1880" w:type="dxa"/>
            <w:noWrap/>
            <w:vAlign w:val="center"/>
          </w:tcPr>
          <w:p w14:paraId="5FC8CBC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4,592,754.35 </w:t>
            </w:r>
          </w:p>
        </w:tc>
      </w:tr>
      <w:tr w14:paraId="2386D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EFE48A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流动负债：</w:t>
            </w:r>
          </w:p>
        </w:tc>
        <w:tc>
          <w:tcPr>
            <w:tcW w:w="1880" w:type="dxa"/>
            <w:noWrap/>
            <w:vAlign w:val="center"/>
          </w:tcPr>
          <w:p w14:paraId="3C36ED1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22334A5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24B7355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718C8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60451A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短期借款</w:t>
            </w:r>
          </w:p>
        </w:tc>
        <w:tc>
          <w:tcPr>
            <w:tcW w:w="1880" w:type="dxa"/>
            <w:noWrap/>
            <w:vAlign w:val="center"/>
          </w:tcPr>
          <w:p w14:paraId="6EBCB0E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40,025.79 </w:t>
            </w:r>
          </w:p>
        </w:tc>
        <w:tc>
          <w:tcPr>
            <w:tcW w:w="1880" w:type="dxa"/>
            <w:noWrap/>
            <w:vAlign w:val="center"/>
          </w:tcPr>
          <w:p w14:paraId="57DB943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40,028.11 </w:t>
            </w:r>
          </w:p>
        </w:tc>
        <w:tc>
          <w:tcPr>
            <w:tcW w:w="1880" w:type="dxa"/>
            <w:noWrap/>
            <w:vAlign w:val="center"/>
          </w:tcPr>
          <w:p w14:paraId="1DD0E27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92,391.63 </w:t>
            </w:r>
          </w:p>
        </w:tc>
      </w:tr>
      <w:tr w14:paraId="19906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7319AA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应付票据及应付账款</w:t>
            </w:r>
          </w:p>
        </w:tc>
        <w:tc>
          <w:tcPr>
            <w:tcW w:w="1880" w:type="dxa"/>
            <w:noWrap/>
            <w:vAlign w:val="center"/>
          </w:tcPr>
          <w:p w14:paraId="0505F3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92,302.13 </w:t>
            </w:r>
          </w:p>
        </w:tc>
        <w:tc>
          <w:tcPr>
            <w:tcW w:w="1880" w:type="dxa"/>
            <w:noWrap/>
            <w:vAlign w:val="center"/>
          </w:tcPr>
          <w:p w14:paraId="506D56F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84,207.64 </w:t>
            </w:r>
          </w:p>
        </w:tc>
        <w:tc>
          <w:tcPr>
            <w:tcW w:w="1880" w:type="dxa"/>
            <w:noWrap/>
            <w:vAlign w:val="center"/>
          </w:tcPr>
          <w:p w14:paraId="0DAF4FA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81,752.83 </w:t>
            </w:r>
          </w:p>
        </w:tc>
      </w:tr>
      <w:tr w14:paraId="2062D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4D5DAE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应付账款</w:t>
            </w:r>
          </w:p>
        </w:tc>
        <w:tc>
          <w:tcPr>
            <w:tcW w:w="1880" w:type="dxa"/>
            <w:noWrap/>
            <w:vAlign w:val="center"/>
          </w:tcPr>
          <w:p w14:paraId="2B3C173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92,302.13 </w:t>
            </w:r>
          </w:p>
        </w:tc>
        <w:tc>
          <w:tcPr>
            <w:tcW w:w="1880" w:type="dxa"/>
            <w:noWrap/>
            <w:vAlign w:val="center"/>
          </w:tcPr>
          <w:p w14:paraId="3B53EC3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84,207.64 </w:t>
            </w:r>
          </w:p>
        </w:tc>
        <w:tc>
          <w:tcPr>
            <w:tcW w:w="1880" w:type="dxa"/>
            <w:noWrap/>
            <w:vAlign w:val="center"/>
          </w:tcPr>
          <w:p w14:paraId="1D99627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81,752.83 </w:t>
            </w:r>
          </w:p>
        </w:tc>
      </w:tr>
      <w:tr w14:paraId="0269A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A84123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预收款项</w:t>
            </w:r>
          </w:p>
        </w:tc>
        <w:tc>
          <w:tcPr>
            <w:tcW w:w="1880" w:type="dxa"/>
            <w:noWrap/>
            <w:vAlign w:val="center"/>
          </w:tcPr>
          <w:p w14:paraId="07BA6BE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2,181.29 </w:t>
            </w:r>
          </w:p>
        </w:tc>
        <w:tc>
          <w:tcPr>
            <w:tcW w:w="1880" w:type="dxa"/>
            <w:noWrap/>
            <w:vAlign w:val="center"/>
          </w:tcPr>
          <w:p w14:paraId="15CADDD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797.31 </w:t>
            </w:r>
          </w:p>
        </w:tc>
        <w:tc>
          <w:tcPr>
            <w:tcW w:w="1880" w:type="dxa"/>
            <w:noWrap/>
            <w:vAlign w:val="center"/>
          </w:tcPr>
          <w:p w14:paraId="22ADD8F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719.14 </w:t>
            </w:r>
          </w:p>
        </w:tc>
      </w:tr>
      <w:tr w14:paraId="6D270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B475AF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应付职工薪酬</w:t>
            </w:r>
          </w:p>
        </w:tc>
        <w:tc>
          <w:tcPr>
            <w:tcW w:w="1880" w:type="dxa"/>
            <w:noWrap/>
            <w:vAlign w:val="center"/>
          </w:tcPr>
          <w:p w14:paraId="6B7A076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146.58 </w:t>
            </w:r>
          </w:p>
        </w:tc>
        <w:tc>
          <w:tcPr>
            <w:tcW w:w="1880" w:type="dxa"/>
            <w:noWrap/>
            <w:vAlign w:val="center"/>
          </w:tcPr>
          <w:p w14:paraId="437A0DE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148.97 </w:t>
            </w:r>
          </w:p>
        </w:tc>
        <w:tc>
          <w:tcPr>
            <w:tcW w:w="1880" w:type="dxa"/>
            <w:noWrap/>
            <w:vAlign w:val="center"/>
          </w:tcPr>
          <w:p w14:paraId="3C74EF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192.81 </w:t>
            </w:r>
          </w:p>
        </w:tc>
      </w:tr>
      <w:tr w14:paraId="61BB4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DBBA82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应交税费</w:t>
            </w:r>
          </w:p>
        </w:tc>
        <w:tc>
          <w:tcPr>
            <w:tcW w:w="1880" w:type="dxa"/>
            <w:noWrap/>
            <w:vAlign w:val="center"/>
          </w:tcPr>
          <w:p w14:paraId="732F44E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4,136.41 </w:t>
            </w:r>
          </w:p>
        </w:tc>
        <w:tc>
          <w:tcPr>
            <w:tcW w:w="1880" w:type="dxa"/>
            <w:noWrap/>
            <w:vAlign w:val="center"/>
          </w:tcPr>
          <w:p w14:paraId="777400A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5,617.54 </w:t>
            </w:r>
          </w:p>
        </w:tc>
        <w:tc>
          <w:tcPr>
            <w:tcW w:w="1880" w:type="dxa"/>
            <w:noWrap/>
            <w:vAlign w:val="center"/>
          </w:tcPr>
          <w:p w14:paraId="3848F3B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5,697.26 </w:t>
            </w:r>
          </w:p>
        </w:tc>
      </w:tr>
      <w:tr w14:paraId="6D400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86B965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其他应付款合计</w:t>
            </w:r>
          </w:p>
        </w:tc>
        <w:tc>
          <w:tcPr>
            <w:tcW w:w="1880" w:type="dxa"/>
            <w:noWrap/>
            <w:vAlign w:val="center"/>
          </w:tcPr>
          <w:p w14:paraId="0272974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29,586.83 </w:t>
            </w:r>
          </w:p>
        </w:tc>
        <w:tc>
          <w:tcPr>
            <w:tcW w:w="1880" w:type="dxa"/>
            <w:noWrap/>
            <w:vAlign w:val="center"/>
          </w:tcPr>
          <w:p w14:paraId="0122C1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26,993.79 </w:t>
            </w:r>
          </w:p>
        </w:tc>
        <w:tc>
          <w:tcPr>
            <w:tcW w:w="1880" w:type="dxa"/>
            <w:noWrap/>
            <w:vAlign w:val="center"/>
          </w:tcPr>
          <w:p w14:paraId="2D533C6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25,378.26 </w:t>
            </w:r>
          </w:p>
        </w:tc>
      </w:tr>
      <w:tr w14:paraId="76C66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C50300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其中：应付利息</w:t>
            </w:r>
          </w:p>
        </w:tc>
        <w:tc>
          <w:tcPr>
            <w:tcW w:w="1880" w:type="dxa"/>
            <w:noWrap/>
            <w:vAlign w:val="center"/>
          </w:tcPr>
          <w:p w14:paraId="3B4E91C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03B12A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054658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5CFDA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47BBA7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应付股利</w:t>
            </w:r>
          </w:p>
        </w:tc>
        <w:tc>
          <w:tcPr>
            <w:tcW w:w="1880" w:type="dxa"/>
            <w:noWrap/>
            <w:vAlign w:val="center"/>
          </w:tcPr>
          <w:p w14:paraId="09AD1B4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0FD626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23B4751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09457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A8CAA6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一年内到期的非流动负债</w:t>
            </w:r>
          </w:p>
        </w:tc>
        <w:tc>
          <w:tcPr>
            <w:tcW w:w="1880" w:type="dxa"/>
            <w:noWrap/>
            <w:vAlign w:val="center"/>
          </w:tcPr>
          <w:p w14:paraId="5172B1D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192,674.42 </w:t>
            </w:r>
          </w:p>
        </w:tc>
        <w:tc>
          <w:tcPr>
            <w:tcW w:w="1880" w:type="dxa"/>
            <w:noWrap/>
            <w:vAlign w:val="center"/>
          </w:tcPr>
          <w:p w14:paraId="381CB5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661,196.15 </w:t>
            </w:r>
          </w:p>
        </w:tc>
        <w:tc>
          <w:tcPr>
            <w:tcW w:w="1880" w:type="dxa"/>
            <w:noWrap/>
            <w:vAlign w:val="center"/>
          </w:tcPr>
          <w:p w14:paraId="405EA0A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223,998.77 </w:t>
            </w:r>
          </w:p>
        </w:tc>
      </w:tr>
      <w:tr w14:paraId="56E50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8E53AD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其他流动负债</w:t>
            </w:r>
          </w:p>
        </w:tc>
        <w:tc>
          <w:tcPr>
            <w:tcW w:w="1880" w:type="dxa"/>
            <w:noWrap/>
            <w:vAlign w:val="center"/>
          </w:tcPr>
          <w:p w14:paraId="1D0FD62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382,040.64 </w:t>
            </w:r>
          </w:p>
        </w:tc>
        <w:tc>
          <w:tcPr>
            <w:tcW w:w="1880" w:type="dxa"/>
            <w:noWrap/>
            <w:vAlign w:val="center"/>
          </w:tcPr>
          <w:p w14:paraId="0396590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413,011.85 </w:t>
            </w:r>
          </w:p>
        </w:tc>
        <w:tc>
          <w:tcPr>
            <w:tcW w:w="1880" w:type="dxa"/>
            <w:noWrap/>
            <w:vAlign w:val="center"/>
          </w:tcPr>
          <w:p w14:paraId="39E30FE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189,863.13 </w:t>
            </w:r>
          </w:p>
        </w:tc>
      </w:tr>
      <w:tr w14:paraId="16F52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A7798B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流动负债合计</w:t>
            </w:r>
          </w:p>
        </w:tc>
        <w:tc>
          <w:tcPr>
            <w:tcW w:w="1880" w:type="dxa"/>
            <w:noWrap/>
            <w:vAlign w:val="center"/>
          </w:tcPr>
          <w:p w14:paraId="492B738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743,094.08 </w:t>
            </w:r>
          </w:p>
        </w:tc>
        <w:tc>
          <w:tcPr>
            <w:tcW w:w="1880" w:type="dxa"/>
            <w:noWrap/>
            <w:vAlign w:val="center"/>
          </w:tcPr>
          <w:p w14:paraId="22FD1A2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1,232,001.36 </w:t>
            </w:r>
          </w:p>
        </w:tc>
        <w:tc>
          <w:tcPr>
            <w:tcW w:w="1880" w:type="dxa"/>
            <w:noWrap/>
            <w:vAlign w:val="center"/>
          </w:tcPr>
          <w:p w14:paraId="62E2196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619,993.83 </w:t>
            </w:r>
          </w:p>
        </w:tc>
      </w:tr>
      <w:tr w14:paraId="20916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679F45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非流动负债：</w:t>
            </w:r>
          </w:p>
        </w:tc>
        <w:tc>
          <w:tcPr>
            <w:tcW w:w="1880" w:type="dxa"/>
            <w:noWrap/>
            <w:vAlign w:val="center"/>
          </w:tcPr>
          <w:p w14:paraId="1FA087B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6C82B7C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6DD1B17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18611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0510D2A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长期借款</w:t>
            </w:r>
          </w:p>
        </w:tc>
        <w:tc>
          <w:tcPr>
            <w:tcW w:w="1880" w:type="dxa"/>
            <w:noWrap/>
            <w:vAlign w:val="center"/>
          </w:tcPr>
          <w:p w14:paraId="716F2F5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400,238.29 </w:t>
            </w:r>
          </w:p>
        </w:tc>
        <w:tc>
          <w:tcPr>
            <w:tcW w:w="1880" w:type="dxa"/>
            <w:noWrap/>
            <w:vAlign w:val="center"/>
          </w:tcPr>
          <w:p w14:paraId="5177ACB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550,071.30 </w:t>
            </w:r>
          </w:p>
        </w:tc>
        <w:tc>
          <w:tcPr>
            <w:tcW w:w="1880" w:type="dxa"/>
            <w:noWrap/>
            <w:vAlign w:val="center"/>
          </w:tcPr>
          <w:p w14:paraId="7729C46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422,668.93 </w:t>
            </w:r>
          </w:p>
        </w:tc>
      </w:tr>
      <w:tr w14:paraId="0CEA5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EF63E5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应付债券</w:t>
            </w:r>
          </w:p>
        </w:tc>
        <w:tc>
          <w:tcPr>
            <w:tcW w:w="1880" w:type="dxa"/>
            <w:noWrap/>
            <w:vAlign w:val="center"/>
          </w:tcPr>
          <w:p w14:paraId="27C29C9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599,524.47 </w:t>
            </w:r>
          </w:p>
        </w:tc>
        <w:tc>
          <w:tcPr>
            <w:tcW w:w="1880" w:type="dxa"/>
            <w:noWrap/>
            <w:vAlign w:val="center"/>
          </w:tcPr>
          <w:p w14:paraId="6FFF53C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99,930.03 </w:t>
            </w:r>
          </w:p>
        </w:tc>
        <w:tc>
          <w:tcPr>
            <w:tcW w:w="1880" w:type="dxa"/>
            <w:noWrap/>
            <w:vAlign w:val="center"/>
          </w:tcPr>
          <w:p w14:paraId="313D04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798,553.48 </w:t>
            </w:r>
          </w:p>
        </w:tc>
      </w:tr>
      <w:tr w14:paraId="6EC25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4D7DBC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长期应付款合计</w:t>
            </w:r>
          </w:p>
        </w:tc>
        <w:tc>
          <w:tcPr>
            <w:tcW w:w="1880" w:type="dxa"/>
            <w:noWrap/>
            <w:vAlign w:val="center"/>
          </w:tcPr>
          <w:p w14:paraId="3817CCA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04129DE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593F5C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4F613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1780A0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预计负债</w:t>
            </w:r>
          </w:p>
        </w:tc>
        <w:tc>
          <w:tcPr>
            <w:tcW w:w="1880" w:type="dxa"/>
            <w:noWrap/>
            <w:vAlign w:val="center"/>
          </w:tcPr>
          <w:p w14:paraId="652637D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0639FA6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7947B7C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6CED13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E8A5F0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递延所得税负债</w:t>
            </w:r>
          </w:p>
        </w:tc>
        <w:tc>
          <w:tcPr>
            <w:tcW w:w="1880" w:type="dxa"/>
            <w:noWrap/>
            <w:vAlign w:val="center"/>
          </w:tcPr>
          <w:p w14:paraId="7D6D065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79,960.14 </w:t>
            </w:r>
          </w:p>
        </w:tc>
        <w:tc>
          <w:tcPr>
            <w:tcW w:w="1880" w:type="dxa"/>
            <w:noWrap/>
            <w:vAlign w:val="center"/>
          </w:tcPr>
          <w:p w14:paraId="5A99B75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70,034.41 </w:t>
            </w:r>
          </w:p>
        </w:tc>
        <w:tc>
          <w:tcPr>
            <w:tcW w:w="1880" w:type="dxa"/>
            <w:noWrap/>
            <w:vAlign w:val="center"/>
          </w:tcPr>
          <w:p w14:paraId="561B35D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13,808.56 </w:t>
            </w:r>
          </w:p>
        </w:tc>
      </w:tr>
      <w:tr w14:paraId="27D35D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5E05ADA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递延收益-非流动负债</w:t>
            </w:r>
          </w:p>
        </w:tc>
        <w:tc>
          <w:tcPr>
            <w:tcW w:w="1880" w:type="dxa"/>
            <w:noWrap/>
            <w:vAlign w:val="center"/>
          </w:tcPr>
          <w:p w14:paraId="1AE3560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11,763.38 </w:t>
            </w:r>
          </w:p>
        </w:tc>
        <w:tc>
          <w:tcPr>
            <w:tcW w:w="1880" w:type="dxa"/>
            <w:noWrap/>
            <w:vAlign w:val="center"/>
          </w:tcPr>
          <w:p w14:paraId="1E672DA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4,347.81 </w:t>
            </w:r>
          </w:p>
        </w:tc>
        <w:tc>
          <w:tcPr>
            <w:tcW w:w="1880" w:type="dxa"/>
            <w:noWrap/>
            <w:vAlign w:val="center"/>
          </w:tcPr>
          <w:p w14:paraId="774EDF2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5,375.54 </w:t>
            </w:r>
          </w:p>
        </w:tc>
      </w:tr>
      <w:tr w14:paraId="329ED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72C4D5C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其他非流动负债</w:t>
            </w:r>
          </w:p>
        </w:tc>
        <w:tc>
          <w:tcPr>
            <w:tcW w:w="1880" w:type="dxa"/>
            <w:noWrap/>
            <w:vAlign w:val="center"/>
          </w:tcPr>
          <w:p w14:paraId="044B169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260,764.00 </w:t>
            </w:r>
          </w:p>
        </w:tc>
        <w:tc>
          <w:tcPr>
            <w:tcW w:w="1880" w:type="dxa"/>
            <w:noWrap/>
            <w:vAlign w:val="center"/>
          </w:tcPr>
          <w:p w14:paraId="4FAEF8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222,068.00 </w:t>
            </w:r>
          </w:p>
        </w:tc>
        <w:tc>
          <w:tcPr>
            <w:tcW w:w="1880" w:type="dxa"/>
            <w:noWrap/>
            <w:vAlign w:val="center"/>
          </w:tcPr>
          <w:p w14:paraId="069238E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0E536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3EF0237">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非流动负债合计</w:t>
            </w:r>
          </w:p>
        </w:tc>
        <w:tc>
          <w:tcPr>
            <w:tcW w:w="1880" w:type="dxa"/>
            <w:noWrap/>
            <w:vAlign w:val="center"/>
          </w:tcPr>
          <w:p w14:paraId="5334BDB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1,352,250.28 </w:t>
            </w:r>
          </w:p>
        </w:tc>
        <w:tc>
          <w:tcPr>
            <w:tcW w:w="1880" w:type="dxa"/>
            <w:noWrap/>
            <w:vAlign w:val="center"/>
          </w:tcPr>
          <w:p w14:paraId="295FD99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946,451.55 </w:t>
            </w:r>
          </w:p>
        </w:tc>
        <w:tc>
          <w:tcPr>
            <w:tcW w:w="1880" w:type="dxa"/>
            <w:noWrap/>
            <w:vAlign w:val="center"/>
          </w:tcPr>
          <w:p w14:paraId="5D2C7A0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1,240,406.51 </w:t>
            </w:r>
          </w:p>
        </w:tc>
      </w:tr>
      <w:tr w14:paraId="320D5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31BDA24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负债合计</w:t>
            </w:r>
          </w:p>
        </w:tc>
        <w:tc>
          <w:tcPr>
            <w:tcW w:w="1880" w:type="dxa"/>
            <w:noWrap/>
            <w:vAlign w:val="center"/>
          </w:tcPr>
          <w:p w14:paraId="5306617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2,095,344.36 </w:t>
            </w:r>
          </w:p>
        </w:tc>
        <w:tc>
          <w:tcPr>
            <w:tcW w:w="1880" w:type="dxa"/>
            <w:noWrap/>
            <w:vAlign w:val="center"/>
          </w:tcPr>
          <w:p w14:paraId="36D6FC5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2,178,452.91 </w:t>
            </w:r>
          </w:p>
        </w:tc>
        <w:tc>
          <w:tcPr>
            <w:tcW w:w="1880" w:type="dxa"/>
            <w:noWrap/>
            <w:vAlign w:val="center"/>
          </w:tcPr>
          <w:p w14:paraId="709C2A3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1,860,400.34 </w:t>
            </w:r>
          </w:p>
        </w:tc>
      </w:tr>
      <w:tr w14:paraId="537BA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4E968E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所有者权益(或股东权益)：</w:t>
            </w:r>
          </w:p>
        </w:tc>
        <w:tc>
          <w:tcPr>
            <w:tcW w:w="1880" w:type="dxa"/>
            <w:noWrap/>
            <w:vAlign w:val="center"/>
          </w:tcPr>
          <w:p w14:paraId="4969623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6AE8E59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03BBB78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7F103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4921BBF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实收资本(或股本)</w:t>
            </w:r>
          </w:p>
        </w:tc>
        <w:tc>
          <w:tcPr>
            <w:tcW w:w="1880" w:type="dxa"/>
            <w:noWrap/>
            <w:vAlign w:val="center"/>
          </w:tcPr>
          <w:p w14:paraId="2E34A14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c>
          <w:tcPr>
            <w:tcW w:w="1880" w:type="dxa"/>
            <w:noWrap/>
            <w:vAlign w:val="center"/>
          </w:tcPr>
          <w:p w14:paraId="341B597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c>
          <w:tcPr>
            <w:tcW w:w="1880" w:type="dxa"/>
            <w:noWrap/>
            <w:vAlign w:val="center"/>
          </w:tcPr>
          <w:p w14:paraId="1843E0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503,774.75 </w:t>
            </w:r>
          </w:p>
        </w:tc>
      </w:tr>
      <w:tr w14:paraId="582A1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BD7CC9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资本公积</w:t>
            </w:r>
          </w:p>
        </w:tc>
        <w:tc>
          <w:tcPr>
            <w:tcW w:w="1880" w:type="dxa"/>
            <w:noWrap/>
            <w:vAlign w:val="center"/>
          </w:tcPr>
          <w:p w14:paraId="10D1805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997,632.05 </w:t>
            </w:r>
          </w:p>
        </w:tc>
        <w:tc>
          <w:tcPr>
            <w:tcW w:w="1880" w:type="dxa"/>
            <w:noWrap/>
            <w:vAlign w:val="center"/>
          </w:tcPr>
          <w:p w14:paraId="5034A91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997,395.33 </w:t>
            </w:r>
          </w:p>
        </w:tc>
        <w:tc>
          <w:tcPr>
            <w:tcW w:w="1880" w:type="dxa"/>
            <w:noWrap/>
            <w:vAlign w:val="center"/>
          </w:tcPr>
          <w:p w14:paraId="0F47FF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996,927.59 </w:t>
            </w:r>
          </w:p>
        </w:tc>
      </w:tr>
      <w:tr w14:paraId="2DB89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180148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其他综合收益</w:t>
            </w:r>
          </w:p>
        </w:tc>
        <w:tc>
          <w:tcPr>
            <w:tcW w:w="1880" w:type="dxa"/>
            <w:noWrap/>
            <w:vAlign w:val="center"/>
          </w:tcPr>
          <w:p w14:paraId="09A1161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299,666.21 </w:t>
            </w:r>
          </w:p>
        </w:tc>
        <w:tc>
          <w:tcPr>
            <w:tcW w:w="1880" w:type="dxa"/>
            <w:noWrap/>
            <w:vAlign w:val="center"/>
          </w:tcPr>
          <w:p w14:paraId="03D8C13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257,019.67 </w:t>
            </w:r>
          </w:p>
        </w:tc>
        <w:tc>
          <w:tcPr>
            <w:tcW w:w="1880" w:type="dxa"/>
            <w:noWrap/>
            <w:vAlign w:val="center"/>
          </w:tcPr>
          <w:p w14:paraId="2D799E3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81,529.03 </w:t>
            </w:r>
          </w:p>
        </w:tc>
      </w:tr>
      <w:tr w14:paraId="57BFA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1DAC0BE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盈余公积</w:t>
            </w:r>
          </w:p>
        </w:tc>
        <w:tc>
          <w:tcPr>
            <w:tcW w:w="1880" w:type="dxa"/>
            <w:noWrap/>
            <w:vAlign w:val="center"/>
          </w:tcPr>
          <w:p w14:paraId="6C5220F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251,887.38 </w:t>
            </w:r>
          </w:p>
        </w:tc>
        <w:tc>
          <w:tcPr>
            <w:tcW w:w="1880" w:type="dxa"/>
            <w:noWrap/>
            <w:vAlign w:val="center"/>
          </w:tcPr>
          <w:p w14:paraId="25C89C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251,887.38 </w:t>
            </w:r>
          </w:p>
        </w:tc>
        <w:tc>
          <w:tcPr>
            <w:tcW w:w="1880" w:type="dxa"/>
            <w:noWrap/>
            <w:vAlign w:val="center"/>
          </w:tcPr>
          <w:p w14:paraId="1C21CCE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251,887.38 </w:t>
            </w:r>
          </w:p>
        </w:tc>
      </w:tr>
      <w:tr w14:paraId="3F8D1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6EE28B3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未分配利润</w:t>
            </w:r>
          </w:p>
        </w:tc>
        <w:tc>
          <w:tcPr>
            <w:tcW w:w="1880" w:type="dxa"/>
            <w:noWrap/>
            <w:vAlign w:val="center"/>
          </w:tcPr>
          <w:p w14:paraId="0403CA7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1,278,179.11 </w:t>
            </w:r>
          </w:p>
        </w:tc>
        <w:tc>
          <w:tcPr>
            <w:tcW w:w="1880" w:type="dxa"/>
            <w:noWrap/>
            <w:vAlign w:val="center"/>
          </w:tcPr>
          <w:p w14:paraId="207A4ED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1,134,884.75 </w:t>
            </w:r>
          </w:p>
        </w:tc>
        <w:tc>
          <w:tcPr>
            <w:tcW w:w="1880" w:type="dxa"/>
            <w:noWrap/>
            <w:vAlign w:val="center"/>
          </w:tcPr>
          <w:p w14:paraId="0F30006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898,235.26 </w:t>
            </w:r>
          </w:p>
        </w:tc>
      </w:tr>
      <w:tr w14:paraId="6A964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314936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归属于母公司所有者权益合计</w:t>
            </w:r>
          </w:p>
        </w:tc>
        <w:tc>
          <w:tcPr>
            <w:tcW w:w="1880" w:type="dxa"/>
            <w:noWrap/>
            <w:vAlign w:val="center"/>
          </w:tcPr>
          <w:p w14:paraId="6766DFF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3,331,139.50 </w:t>
            </w:r>
          </w:p>
        </w:tc>
        <w:tc>
          <w:tcPr>
            <w:tcW w:w="1880" w:type="dxa"/>
            <w:noWrap/>
            <w:vAlign w:val="center"/>
          </w:tcPr>
          <w:p w14:paraId="70AA8D2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3,144,961.87 </w:t>
            </w:r>
          </w:p>
        </w:tc>
        <w:tc>
          <w:tcPr>
            <w:tcW w:w="1880" w:type="dxa"/>
            <w:noWrap/>
            <w:vAlign w:val="center"/>
          </w:tcPr>
          <w:p w14:paraId="59F6C2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2,732,354.01 </w:t>
            </w:r>
          </w:p>
        </w:tc>
      </w:tr>
      <w:tr w14:paraId="6F811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80" w:type="dxa"/>
            <w:noWrap/>
            <w:vAlign w:val="center"/>
          </w:tcPr>
          <w:p w14:paraId="2285DCA5">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所有者权益合计</w:t>
            </w:r>
          </w:p>
        </w:tc>
        <w:tc>
          <w:tcPr>
            <w:tcW w:w="1880" w:type="dxa"/>
            <w:noWrap/>
            <w:vAlign w:val="center"/>
          </w:tcPr>
          <w:p w14:paraId="046E741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3,331,139.50 </w:t>
            </w:r>
          </w:p>
        </w:tc>
        <w:tc>
          <w:tcPr>
            <w:tcW w:w="1880" w:type="dxa"/>
            <w:noWrap/>
            <w:vAlign w:val="center"/>
          </w:tcPr>
          <w:p w14:paraId="1C68818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3,144,961.87 </w:t>
            </w:r>
          </w:p>
        </w:tc>
        <w:tc>
          <w:tcPr>
            <w:tcW w:w="1880" w:type="dxa"/>
            <w:noWrap/>
            <w:vAlign w:val="center"/>
          </w:tcPr>
          <w:p w14:paraId="703D01F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2,732,354.01 </w:t>
            </w:r>
          </w:p>
        </w:tc>
      </w:tr>
    </w:tbl>
    <w:p w14:paraId="46F0DB6A">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（2）最近三年母公司利润表</w:t>
      </w:r>
    </w:p>
    <w:p w14:paraId="211E5BD5">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114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60"/>
        <w:gridCol w:w="2180"/>
        <w:gridCol w:w="2180"/>
        <w:gridCol w:w="2180"/>
      </w:tblGrid>
      <w:tr w14:paraId="4D1C9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860" w:type="dxa"/>
            <w:noWrap/>
            <w:vAlign w:val="center"/>
          </w:tcPr>
          <w:p w14:paraId="24B5CA8E">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2180" w:type="dxa"/>
            <w:noWrap/>
            <w:vAlign w:val="center"/>
          </w:tcPr>
          <w:p w14:paraId="6D286AB2">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2180" w:type="dxa"/>
            <w:noWrap/>
            <w:vAlign w:val="center"/>
          </w:tcPr>
          <w:p w14:paraId="429228F2">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2180" w:type="dxa"/>
            <w:noWrap/>
            <w:vAlign w:val="center"/>
          </w:tcPr>
          <w:p w14:paraId="7C39B689">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4CCFD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C12D611">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一、营业总收入</w:t>
            </w:r>
          </w:p>
        </w:tc>
        <w:tc>
          <w:tcPr>
            <w:tcW w:w="2180" w:type="dxa"/>
            <w:noWrap/>
            <w:vAlign w:val="center"/>
          </w:tcPr>
          <w:p w14:paraId="59AB2D8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840,566.37 </w:t>
            </w:r>
          </w:p>
        </w:tc>
        <w:tc>
          <w:tcPr>
            <w:tcW w:w="2180" w:type="dxa"/>
            <w:noWrap/>
            <w:vAlign w:val="center"/>
          </w:tcPr>
          <w:p w14:paraId="16FE8EB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858,432.98 </w:t>
            </w:r>
          </w:p>
        </w:tc>
        <w:tc>
          <w:tcPr>
            <w:tcW w:w="2180" w:type="dxa"/>
            <w:noWrap/>
            <w:vAlign w:val="center"/>
          </w:tcPr>
          <w:p w14:paraId="3EB5502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856,121.33 </w:t>
            </w:r>
          </w:p>
        </w:tc>
      </w:tr>
      <w:tr w14:paraId="5089C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CD529D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其中：营业收入</w:t>
            </w:r>
          </w:p>
        </w:tc>
        <w:tc>
          <w:tcPr>
            <w:tcW w:w="2180" w:type="dxa"/>
            <w:noWrap/>
            <w:vAlign w:val="center"/>
          </w:tcPr>
          <w:p w14:paraId="78B26DD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840,566.37 </w:t>
            </w:r>
          </w:p>
        </w:tc>
        <w:tc>
          <w:tcPr>
            <w:tcW w:w="2180" w:type="dxa"/>
            <w:noWrap/>
            <w:vAlign w:val="center"/>
          </w:tcPr>
          <w:p w14:paraId="702C204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858,432.98 </w:t>
            </w:r>
          </w:p>
        </w:tc>
        <w:tc>
          <w:tcPr>
            <w:tcW w:w="2180" w:type="dxa"/>
            <w:noWrap/>
            <w:vAlign w:val="center"/>
          </w:tcPr>
          <w:p w14:paraId="67DE26F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856,121.33 </w:t>
            </w:r>
          </w:p>
        </w:tc>
      </w:tr>
      <w:tr w14:paraId="1F69D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14A9AE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二、营业总成本</w:t>
            </w:r>
          </w:p>
        </w:tc>
        <w:tc>
          <w:tcPr>
            <w:tcW w:w="2180" w:type="dxa"/>
            <w:noWrap/>
            <w:vAlign w:val="center"/>
          </w:tcPr>
          <w:p w14:paraId="36246E2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475,105.19 </w:t>
            </w:r>
          </w:p>
        </w:tc>
        <w:tc>
          <w:tcPr>
            <w:tcW w:w="2180" w:type="dxa"/>
            <w:noWrap/>
            <w:vAlign w:val="center"/>
          </w:tcPr>
          <w:p w14:paraId="2EA27B6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503,720.56 </w:t>
            </w:r>
          </w:p>
        </w:tc>
        <w:tc>
          <w:tcPr>
            <w:tcW w:w="2180" w:type="dxa"/>
            <w:noWrap/>
            <w:vAlign w:val="center"/>
          </w:tcPr>
          <w:p w14:paraId="2A65D35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557,362.98 </w:t>
            </w:r>
          </w:p>
        </w:tc>
      </w:tr>
      <w:tr w14:paraId="3CB48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39E3AA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其中：营业成本</w:t>
            </w:r>
          </w:p>
        </w:tc>
        <w:tc>
          <w:tcPr>
            <w:tcW w:w="2180" w:type="dxa"/>
            <w:noWrap/>
            <w:vAlign w:val="center"/>
          </w:tcPr>
          <w:p w14:paraId="6E23B5C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409,640.74 </w:t>
            </w:r>
          </w:p>
        </w:tc>
        <w:tc>
          <w:tcPr>
            <w:tcW w:w="2180" w:type="dxa"/>
            <w:noWrap/>
            <w:vAlign w:val="center"/>
          </w:tcPr>
          <w:p w14:paraId="6B01758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428,428.54 </w:t>
            </w:r>
          </w:p>
        </w:tc>
        <w:tc>
          <w:tcPr>
            <w:tcW w:w="2180" w:type="dxa"/>
            <w:noWrap/>
            <w:vAlign w:val="center"/>
          </w:tcPr>
          <w:p w14:paraId="3206749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478,741.82 </w:t>
            </w:r>
          </w:p>
        </w:tc>
      </w:tr>
      <w:tr w14:paraId="1D58B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75294DB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税金及附加</w:t>
            </w:r>
          </w:p>
        </w:tc>
        <w:tc>
          <w:tcPr>
            <w:tcW w:w="2180" w:type="dxa"/>
            <w:noWrap/>
            <w:vAlign w:val="center"/>
          </w:tcPr>
          <w:p w14:paraId="4C9808E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5,805.19 </w:t>
            </w:r>
          </w:p>
        </w:tc>
        <w:tc>
          <w:tcPr>
            <w:tcW w:w="2180" w:type="dxa"/>
            <w:noWrap/>
            <w:vAlign w:val="center"/>
          </w:tcPr>
          <w:p w14:paraId="7F9962A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6,219.97 </w:t>
            </w:r>
          </w:p>
        </w:tc>
        <w:tc>
          <w:tcPr>
            <w:tcW w:w="2180" w:type="dxa"/>
            <w:noWrap/>
            <w:vAlign w:val="center"/>
          </w:tcPr>
          <w:p w14:paraId="3A6A5C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3,063.90 </w:t>
            </w:r>
          </w:p>
        </w:tc>
      </w:tr>
      <w:tr w14:paraId="61986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EEC5D7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管理费用</w:t>
            </w:r>
          </w:p>
        </w:tc>
        <w:tc>
          <w:tcPr>
            <w:tcW w:w="2180" w:type="dxa"/>
            <w:noWrap/>
            <w:vAlign w:val="center"/>
          </w:tcPr>
          <w:p w14:paraId="7CC9AD9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24,205.83 </w:t>
            </w:r>
          </w:p>
        </w:tc>
        <w:tc>
          <w:tcPr>
            <w:tcW w:w="2180" w:type="dxa"/>
            <w:noWrap/>
            <w:vAlign w:val="center"/>
          </w:tcPr>
          <w:p w14:paraId="601639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24,729.25 </w:t>
            </w:r>
          </w:p>
        </w:tc>
        <w:tc>
          <w:tcPr>
            <w:tcW w:w="2180" w:type="dxa"/>
            <w:noWrap/>
            <w:vAlign w:val="center"/>
          </w:tcPr>
          <w:p w14:paraId="4FB1586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21,695.69 </w:t>
            </w:r>
          </w:p>
        </w:tc>
      </w:tr>
      <w:tr w14:paraId="4C947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F21267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财务费用</w:t>
            </w:r>
          </w:p>
        </w:tc>
        <w:tc>
          <w:tcPr>
            <w:tcW w:w="2180" w:type="dxa"/>
            <w:noWrap/>
            <w:vAlign w:val="center"/>
          </w:tcPr>
          <w:p w14:paraId="25CD500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35,453.43 </w:t>
            </w:r>
          </w:p>
        </w:tc>
        <w:tc>
          <w:tcPr>
            <w:tcW w:w="2180" w:type="dxa"/>
            <w:noWrap/>
            <w:vAlign w:val="center"/>
          </w:tcPr>
          <w:p w14:paraId="50845AE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44,342.80 </w:t>
            </w:r>
          </w:p>
        </w:tc>
        <w:tc>
          <w:tcPr>
            <w:tcW w:w="2180" w:type="dxa"/>
            <w:noWrap/>
            <w:vAlign w:val="center"/>
          </w:tcPr>
          <w:p w14:paraId="00A171B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53,861.57 </w:t>
            </w:r>
          </w:p>
        </w:tc>
      </w:tr>
      <w:tr w14:paraId="6220E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76100BA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其中：利息费用</w:t>
            </w:r>
          </w:p>
        </w:tc>
        <w:tc>
          <w:tcPr>
            <w:tcW w:w="2180" w:type="dxa"/>
            <w:noWrap/>
            <w:vAlign w:val="center"/>
          </w:tcPr>
          <w:p w14:paraId="609AEF5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35,885.62 </w:t>
            </w:r>
          </w:p>
        </w:tc>
        <w:tc>
          <w:tcPr>
            <w:tcW w:w="2180" w:type="dxa"/>
            <w:noWrap/>
            <w:vAlign w:val="center"/>
          </w:tcPr>
          <w:p w14:paraId="32DD8E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44,056.12 </w:t>
            </w:r>
          </w:p>
        </w:tc>
        <w:tc>
          <w:tcPr>
            <w:tcW w:w="2180" w:type="dxa"/>
            <w:noWrap/>
            <w:vAlign w:val="center"/>
          </w:tcPr>
          <w:p w14:paraId="78B2101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47,969.80 </w:t>
            </w:r>
          </w:p>
        </w:tc>
      </w:tr>
      <w:tr w14:paraId="40914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2B364A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利息收入</w:t>
            </w:r>
          </w:p>
        </w:tc>
        <w:tc>
          <w:tcPr>
            <w:tcW w:w="2180" w:type="dxa"/>
            <w:noWrap/>
            <w:vAlign w:val="center"/>
          </w:tcPr>
          <w:p w14:paraId="572A43D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583.19 </w:t>
            </w:r>
          </w:p>
        </w:tc>
        <w:tc>
          <w:tcPr>
            <w:tcW w:w="2180" w:type="dxa"/>
            <w:noWrap/>
            <w:vAlign w:val="center"/>
          </w:tcPr>
          <w:p w14:paraId="0B78BC9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944.97 </w:t>
            </w:r>
          </w:p>
        </w:tc>
        <w:tc>
          <w:tcPr>
            <w:tcW w:w="2180" w:type="dxa"/>
            <w:noWrap/>
            <w:vAlign w:val="center"/>
          </w:tcPr>
          <w:p w14:paraId="31E8870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1,438.25 </w:t>
            </w:r>
          </w:p>
        </w:tc>
      </w:tr>
      <w:tr w14:paraId="1C72D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1F5EC5F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投资收益</w:t>
            </w:r>
          </w:p>
        </w:tc>
        <w:tc>
          <w:tcPr>
            <w:tcW w:w="2180" w:type="dxa"/>
            <w:noWrap/>
            <w:vAlign w:val="center"/>
          </w:tcPr>
          <w:p w14:paraId="11DD659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123,924.42 </w:t>
            </w:r>
          </w:p>
        </w:tc>
        <w:tc>
          <w:tcPr>
            <w:tcW w:w="2180" w:type="dxa"/>
            <w:noWrap/>
            <w:vAlign w:val="center"/>
          </w:tcPr>
          <w:p w14:paraId="758EB83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212,349.39 </w:t>
            </w:r>
          </w:p>
        </w:tc>
        <w:tc>
          <w:tcPr>
            <w:tcW w:w="2180" w:type="dxa"/>
            <w:noWrap/>
            <w:vAlign w:val="center"/>
          </w:tcPr>
          <w:p w14:paraId="7F3E84A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136,938.85 </w:t>
            </w:r>
          </w:p>
        </w:tc>
      </w:tr>
      <w:tr w14:paraId="01D5E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7D763D8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其中：对联营企业和合营企业的投资收益</w:t>
            </w:r>
          </w:p>
        </w:tc>
        <w:tc>
          <w:tcPr>
            <w:tcW w:w="2180" w:type="dxa"/>
            <w:noWrap/>
            <w:vAlign w:val="center"/>
          </w:tcPr>
          <w:p w14:paraId="3C24772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72,366.64 </w:t>
            </w:r>
          </w:p>
        </w:tc>
        <w:tc>
          <w:tcPr>
            <w:tcW w:w="2180" w:type="dxa"/>
            <w:noWrap/>
            <w:vAlign w:val="center"/>
          </w:tcPr>
          <w:p w14:paraId="5DFC1C0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75,065.54 </w:t>
            </w:r>
          </w:p>
        </w:tc>
        <w:tc>
          <w:tcPr>
            <w:tcW w:w="2180" w:type="dxa"/>
            <w:noWrap/>
            <w:vAlign w:val="center"/>
          </w:tcPr>
          <w:p w14:paraId="2BCD662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71,991.90 </w:t>
            </w:r>
          </w:p>
        </w:tc>
      </w:tr>
      <w:tr w14:paraId="73D98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051D2BF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资产处置收益</w:t>
            </w:r>
          </w:p>
        </w:tc>
        <w:tc>
          <w:tcPr>
            <w:tcW w:w="2180" w:type="dxa"/>
            <w:noWrap/>
            <w:vAlign w:val="center"/>
          </w:tcPr>
          <w:p w14:paraId="4B2CEF1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2180" w:type="dxa"/>
            <w:noWrap/>
            <w:vAlign w:val="center"/>
          </w:tcPr>
          <w:p w14:paraId="15DC101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2180" w:type="dxa"/>
            <w:noWrap/>
            <w:vAlign w:val="center"/>
          </w:tcPr>
          <w:p w14:paraId="36624AB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860.00 </w:t>
            </w:r>
          </w:p>
        </w:tc>
      </w:tr>
      <w:tr w14:paraId="367F9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7BCA783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资产减值损失</w:t>
            </w:r>
          </w:p>
        </w:tc>
        <w:tc>
          <w:tcPr>
            <w:tcW w:w="2180" w:type="dxa"/>
            <w:noWrap/>
            <w:vAlign w:val="center"/>
          </w:tcPr>
          <w:p w14:paraId="217366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2180" w:type="dxa"/>
            <w:noWrap/>
            <w:vAlign w:val="center"/>
          </w:tcPr>
          <w:p w14:paraId="6335A17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2180" w:type="dxa"/>
            <w:noWrap/>
            <w:vAlign w:val="center"/>
          </w:tcPr>
          <w:p w14:paraId="1B80C7D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4A0A3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74463B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信用减值损失</w:t>
            </w:r>
          </w:p>
        </w:tc>
        <w:tc>
          <w:tcPr>
            <w:tcW w:w="2180" w:type="dxa"/>
            <w:noWrap/>
            <w:vAlign w:val="center"/>
          </w:tcPr>
          <w:p w14:paraId="75B17D8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-71.88 </w:t>
            </w:r>
          </w:p>
        </w:tc>
        <w:tc>
          <w:tcPr>
            <w:tcW w:w="2180" w:type="dxa"/>
            <w:noWrap/>
            <w:vAlign w:val="center"/>
          </w:tcPr>
          <w:p w14:paraId="35288F8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1,352.13 </w:t>
            </w:r>
          </w:p>
        </w:tc>
        <w:tc>
          <w:tcPr>
            <w:tcW w:w="2180" w:type="dxa"/>
            <w:noWrap/>
            <w:vAlign w:val="center"/>
          </w:tcPr>
          <w:p w14:paraId="7017544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-188.03 </w:t>
            </w:r>
          </w:p>
        </w:tc>
      </w:tr>
      <w:tr w14:paraId="78D3B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04E77FF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其他收益</w:t>
            </w:r>
          </w:p>
        </w:tc>
        <w:tc>
          <w:tcPr>
            <w:tcW w:w="2180" w:type="dxa"/>
            <w:noWrap/>
            <w:vAlign w:val="center"/>
          </w:tcPr>
          <w:p w14:paraId="4024419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1,122.90 </w:t>
            </w:r>
          </w:p>
        </w:tc>
        <w:tc>
          <w:tcPr>
            <w:tcW w:w="2180" w:type="dxa"/>
            <w:noWrap/>
            <w:vAlign w:val="center"/>
          </w:tcPr>
          <w:p w14:paraId="49F49C5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1,143.10 </w:t>
            </w:r>
          </w:p>
        </w:tc>
        <w:tc>
          <w:tcPr>
            <w:tcW w:w="2180" w:type="dxa"/>
            <w:noWrap/>
            <w:vAlign w:val="center"/>
          </w:tcPr>
          <w:p w14:paraId="481F6E3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2,123.40 </w:t>
            </w:r>
          </w:p>
        </w:tc>
      </w:tr>
      <w:tr w14:paraId="3E731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D84145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三、营业利润</w:t>
            </w:r>
          </w:p>
        </w:tc>
        <w:tc>
          <w:tcPr>
            <w:tcW w:w="2180" w:type="dxa"/>
            <w:noWrap/>
            <w:vAlign w:val="center"/>
          </w:tcPr>
          <w:p w14:paraId="7F0C83C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490,436.61 </w:t>
            </w:r>
          </w:p>
        </w:tc>
        <w:tc>
          <w:tcPr>
            <w:tcW w:w="2180" w:type="dxa"/>
            <w:noWrap/>
            <w:vAlign w:val="center"/>
          </w:tcPr>
          <w:p w14:paraId="1E292C9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569,557.04 </w:t>
            </w:r>
          </w:p>
        </w:tc>
        <w:tc>
          <w:tcPr>
            <w:tcW w:w="2180" w:type="dxa"/>
            <w:noWrap/>
            <w:vAlign w:val="center"/>
          </w:tcPr>
          <w:p w14:paraId="2CA12E1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438,492.57 </w:t>
            </w:r>
          </w:p>
        </w:tc>
      </w:tr>
      <w:tr w14:paraId="60D6B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6195BCF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加：营业外收入</w:t>
            </w:r>
          </w:p>
        </w:tc>
        <w:tc>
          <w:tcPr>
            <w:tcW w:w="2180" w:type="dxa"/>
            <w:noWrap/>
            <w:vAlign w:val="center"/>
          </w:tcPr>
          <w:p w14:paraId="487F8D7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846.61 </w:t>
            </w:r>
          </w:p>
        </w:tc>
        <w:tc>
          <w:tcPr>
            <w:tcW w:w="2180" w:type="dxa"/>
            <w:noWrap/>
            <w:vAlign w:val="center"/>
          </w:tcPr>
          <w:p w14:paraId="60624B5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830.65 </w:t>
            </w:r>
          </w:p>
        </w:tc>
        <w:tc>
          <w:tcPr>
            <w:tcW w:w="2180" w:type="dxa"/>
            <w:noWrap/>
            <w:vAlign w:val="center"/>
          </w:tcPr>
          <w:p w14:paraId="35F05AC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640.57 </w:t>
            </w:r>
          </w:p>
        </w:tc>
      </w:tr>
      <w:tr w14:paraId="4E91A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28A06BC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减：营业外支出</w:t>
            </w:r>
          </w:p>
        </w:tc>
        <w:tc>
          <w:tcPr>
            <w:tcW w:w="2180" w:type="dxa"/>
            <w:noWrap/>
            <w:vAlign w:val="center"/>
          </w:tcPr>
          <w:p w14:paraId="2D530B7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4,284.81 </w:t>
            </w:r>
          </w:p>
        </w:tc>
        <w:tc>
          <w:tcPr>
            <w:tcW w:w="2180" w:type="dxa"/>
            <w:noWrap/>
            <w:vAlign w:val="center"/>
          </w:tcPr>
          <w:p w14:paraId="65EB456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3,199.86 </w:t>
            </w:r>
          </w:p>
        </w:tc>
        <w:tc>
          <w:tcPr>
            <w:tcW w:w="2180" w:type="dxa"/>
            <w:noWrap/>
            <w:vAlign w:val="center"/>
          </w:tcPr>
          <w:p w14:paraId="0DD20EE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2,751.82 </w:t>
            </w:r>
          </w:p>
        </w:tc>
      </w:tr>
      <w:tr w14:paraId="3F753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452A06B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四、利润总额</w:t>
            </w:r>
          </w:p>
        </w:tc>
        <w:tc>
          <w:tcPr>
            <w:tcW w:w="2180" w:type="dxa"/>
            <w:noWrap/>
            <w:vAlign w:val="center"/>
          </w:tcPr>
          <w:p w14:paraId="784F62E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486,998.41 </w:t>
            </w:r>
          </w:p>
        </w:tc>
        <w:tc>
          <w:tcPr>
            <w:tcW w:w="2180" w:type="dxa"/>
            <w:noWrap/>
            <w:vAlign w:val="center"/>
          </w:tcPr>
          <w:p w14:paraId="1892376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567,187.83 </w:t>
            </w:r>
          </w:p>
        </w:tc>
        <w:tc>
          <w:tcPr>
            <w:tcW w:w="2180" w:type="dxa"/>
            <w:noWrap/>
            <w:vAlign w:val="center"/>
          </w:tcPr>
          <w:p w14:paraId="3C63104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436,381.32 </w:t>
            </w:r>
          </w:p>
        </w:tc>
      </w:tr>
      <w:tr w14:paraId="10385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0FB8D41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减：所得税费用</w:t>
            </w:r>
          </w:p>
        </w:tc>
        <w:tc>
          <w:tcPr>
            <w:tcW w:w="2180" w:type="dxa"/>
            <w:noWrap/>
            <w:vAlign w:val="center"/>
          </w:tcPr>
          <w:p w14:paraId="40AC7F8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96,854.41 </w:t>
            </w:r>
          </w:p>
        </w:tc>
        <w:tc>
          <w:tcPr>
            <w:tcW w:w="2180" w:type="dxa"/>
            <w:noWrap/>
            <w:vAlign w:val="center"/>
          </w:tcPr>
          <w:p w14:paraId="34A4E80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93,764.21 </w:t>
            </w:r>
          </w:p>
        </w:tc>
        <w:tc>
          <w:tcPr>
            <w:tcW w:w="2180" w:type="dxa"/>
            <w:noWrap/>
            <w:vAlign w:val="center"/>
          </w:tcPr>
          <w:p w14:paraId="356574A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80,071.04 </w:t>
            </w:r>
          </w:p>
        </w:tc>
      </w:tr>
      <w:tr w14:paraId="3B767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60" w:type="dxa"/>
            <w:noWrap/>
            <w:vAlign w:val="center"/>
          </w:tcPr>
          <w:p w14:paraId="5C8FEAD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五、净利润</w:t>
            </w:r>
          </w:p>
        </w:tc>
        <w:tc>
          <w:tcPr>
            <w:tcW w:w="2180" w:type="dxa"/>
            <w:noWrap/>
            <w:vAlign w:val="center"/>
          </w:tcPr>
          <w:p w14:paraId="18320CD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390,144.00 </w:t>
            </w:r>
          </w:p>
        </w:tc>
        <w:tc>
          <w:tcPr>
            <w:tcW w:w="2180" w:type="dxa"/>
            <w:noWrap/>
            <w:vAlign w:val="center"/>
          </w:tcPr>
          <w:p w14:paraId="53240EF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473,423.61 </w:t>
            </w:r>
          </w:p>
        </w:tc>
        <w:tc>
          <w:tcPr>
            <w:tcW w:w="2180" w:type="dxa"/>
            <w:noWrap/>
            <w:vAlign w:val="center"/>
          </w:tcPr>
          <w:p w14:paraId="295EF8A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356,310.29 </w:t>
            </w:r>
          </w:p>
        </w:tc>
      </w:tr>
    </w:tbl>
    <w:p w14:paraId="49D6B51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（3）最近三年母公司现金流量表</w:t>
      </w:r>
    </w:p>
    <w:p w14:paraId="4CED5B3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bookmarkEnd w:id="4"/>
    <w:bookmarkEnd w:id="5"/>
    <w:tbl>
      <w:tblPr>
        <w:tblStyle w:val="13"/>
        <w:tblW w:w="107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32"/>
        <w:gridCol w:w="1880"/>
        <w:gridCol w:w="1880"/>
        <w:gridCol w:w="1880"/>
      </w:tblGrid>
      <w:tr w14:paraId="64B42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132" w:type="dxa"/>
            <w:noWrap/>
            <w:vAlign w:val="center"/>
          </w:tcPr>
          <w:p w14:paraId="48D21BFC">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1880" w:type="dxa"/>
            <w:noWrap/>
            <w:vAlign w:val="center"/>
          </w:tcPr>
          <w:p w14:paraId="3F8870CF">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1880" w:type="dxa"/>
            <w:noWrap/>
            <w:vAlign w:val="center"/>
          </w:tcPr>
          <w:p w14:paraId="705C7C01">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1880" w:type="dxa"/>
            <w:noWrap/>
            <w:vAlign w:val="center"/>
          </w:tcPr>
          <w:p w14:paraId="270E2528">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3564D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F42434A">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一、经营活动产生的现金流量：</w:t>
            </w:r>
          </w:p>
        </w:tc>
        <w:tc>
          <w:tcPr>
            <w:tcW w:w="1880" w:type="dxa"/>
            <w:noWrap/>
            <w:vAlign w:val="center"/>
          </w:tcPr>
          <w:p w14:paraId="5C1C6C2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496D571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1880" w:type="dxa"/>
            <w:noWrap/>
            <w:vAlign w:val="center"/>
          </w:tcPr>
          <w:p w14:paraId="02B358D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0E991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88B794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销售商品、提供劳务收到的现金</w:t>
            </w:r>
          </w:p>
        </w:tc>
        <w:tc>
          <w:tcPr>
            <w:tcW w:w="1880" w:type="dxa"/>
            <w:noWrap/>
            <w:vAlign w:val="center"/>
          </w:tcPr>
          <w:p w14:paraId="19B82A2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885,266.53 </w:t>
            </w:r>
          </w:p>
        </w:tc>
        <w:tc>
          <w:tcPr>
            <w:tcW w:w="1880" w:type="dxa"/>
            <w:noWrap/>
            <w:vAlign w:val="center"/>
          </w:tcPr>
          <w:p w14:paraId="4936DF9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890,763.13 </w:t>
            </w:r>
          </w:p>
        </w:tc>
        <w:tc>
          <w:tcPr>
            <w:tcW w:w="1880" w:type="dxa"/>
            <w:noWrap/>
            <w:vAlign w:val="center"/>
          </w:tcPr>
          <w:p w14:paraId="592C2BC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872,194.56 </w:t>
            </w:r>
          </w:p>
        </w:tc>
      </w:tr>
      <w:tr w14:paraId="2D2D8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1BB8D2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收到的税费返还</w:t>
            </w:r>
          </w:p>
        </w:tc>
        <w:tc>
          <w:tcPr>
            <w:tcW w:w="1880" w:type="dxa"/>
            <w:noWrap/>
            <w:vAlign w:val="center"/>
          </w:tcPr>
          <w:p w14:paraId="3322527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0.15 </w:t>
            </w:r>
          </w:p>
        </w:tc>
        <w:tc>
          <w:tcPr>
            <w:tcW w:w="1880" w:type="dxa"/>
            <w:noWrap/>
            <w:vAlign w:val="center"/>
          </w:tcPr>
          <w:p w14:paraId="46C204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880" w:type="dxa"/>
            <w:noWrap/>
            <w:vAlign w:val="center"/>
          </w:tcPr>
          <w:p w14:paraId="1C3B620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r>
      <w:tr w14:paraId="3C28A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46731E0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收到其他与经营活动有关的现金</w:t>
            </w:r>
          </w:p>
        </w:tc>
        <w:tc>
          <w:tcPr>
            <w:tcW w:w="1880" w:type="dxa"/>
            <w:noWrap/>
            <w:vAlign w:val="center"/>
          </w:tcPr>
          <w:p w14:paraId="4954E05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17,373.49 </w:t>
            </w:r>
          </w:p>
        </w:tc>
        <w:tc>
          <w:tcPr>
            <w:tcW w:w="1880" w:type="dxa"/>
            <w:noWrap/>
            <w:vAlign w:val="center"/>
          </w:tcPr>
          <w:p w14:paraId="582F60F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16,895.63 </w:t>
            </w:r>
          </w:p>
        </w:tc>
        <w:tc>
          <w:tcPr>
            <w:tcW w:w="1880" w:type="dxa"/>
            <w:noWrap/>
            <w:vAlign w:val="center"/>
          </w:tcPr>
          <w:p w14:paraId="2CA7CB2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16,985.97 </w:t>
            </w:r>
          </w:p>
        </w:tc>
      </w:tr>
      <w:tr w14:paraId="1B077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E340CB7">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经营活动现金流入小计</w:t>
            </w:r>
          </w:p>
        </w:tc>
        <w:tc>
          <w:tcPr>
            <w:tcW w:w="1880" w:type="dxa"/>
            <w:noWrap/>
            <w:vAlign w:val="center"/>
          </w:tcPr>
          <w:p w14:paraId="2DD8B42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902,640.16 </w:t>
            </w:r>
          </w:p>
        </w:tc>
        <w:tc>
          <w:tcPr>
            <w:tcW w:w="1880" w:type="dxa"/>
            <w:noWrap/>
            <w:vAlign w:val="center"/>
          </w:tcPr>
          <w:p w14:paraId="6D8416C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907,658.76 </w:t>
            </w:r>
          </w:p>
        </w:tc>
        <w:tc>
          <w:tcPr>
            <w:tcW w:w="1880" w:type="dxa"/>
            <w:noWrap/>
            <w:vAlign w:val="center"/>
          </w:tcPr>
          <w:p w14:paraId="7F69DB1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889,180.53 </w:t>
            </w:r>
          </w:p>
        </w:tc>
      </w:tr>
      <w:tr w14:paraId="60CE3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07945BB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购买商品、接受劳务支付的现金</w:t>
            </w:r>
          </w:p>
        </w:tc>
        <w:tc>
          <w:tcPr>
            <w:tcW w:w="1880" w:type="dxa"/>
            <w:noWrap/>
            <w:vAlign w:val="center"/>
          </w:tcPr>
          <w:p w14:paraId="61905DE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196,814.17 </w:t>
            </w:r>
          </w:p>
        </w:tc>
        <w:tc>
          <w:tcPr>
            <w:tcW w:w="1880" w:type="dxa"/>
            <w:noWrap/>
            <w:vAlign w:val="center"/>
          </w:tcPr>
          <w:p w14:paraId="7A6ED3C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216,729.58 </w:t>
            </w:r>
          </w:p>
        </w:tc>
        <w:tc>
          <w:tcPr>
            <w:tcW w:w="1880" w:type="dxa"/>
            <w:noWrap/>
            <w:vAlign w:val="center"/>
          </w:tcPr>
          <w:p w14:paraId="08C0A03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249,955.97 </w:t>
            </w:r>
          </w:p>
        </w:tc>
      </w:tr>
      <w:tr w14:paraId="5A043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167889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支付给职工以及为职工支付的现金</w:t>
            </w:r>
          </w:p>
        </w:tc>
        <w:tc>
          <w:tcPr>
            <w:tcW w:w="1880" w:type="dxa"/>
            <w:noWrap/>
            <w:vAlign w:val="center"/>
          </w:tcPr>
          <w:p w14:paraId="5BEF008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109,812.61 </w:t>
            </w:r>
          </w:p>
        </w:tc>
        <w:tc>
          <w:tcPr>
            <w:tcW w:w="1880" w:type="dxa"/>
            <w:noWrap/>
            <w:vAlign w:val="center"/>
          </w:tcPr>
          <w:p w14:paraId="7AF55EA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108,744.18 </w:t>
            </w:r>
          </w:p>
        </w:tc>
        <w:tc>
          <w:tcPr>
            <w:tcW w:w="1880" w:type="dxa"/>
            <w:noWrap/>
            <w:vAlign w:val="center"/>
          </w:tcPr>
          <w:p w14:paraId="323C9A9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104,796.18 </w:t>
            </w:r>
          </w:p>
        </w:tc>
      </w:tr>
      <w:tr w14:paraId="04901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E79E04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支付的各项税费</w:t>
            </w:r>
          </w:p>
        </w:tc>
        <w:tc>
          <w:tcPr>
            <w:tcW w:w="1880" w:type="dxa"/>
            <w:noWrap/>
            <w:vAlign w:val="center"/>
          </w:tcPr>
          <w:p w14:paraId="549D320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141,054.21 </w:t>
            </w:r>
          </w:p>
        </w:tc>
        <w:tc>
          <w:tcPr>
            <w:tcW w:w="1880" w:type="dxa"/>
            <w:noWrap/>
            <w:vAlign w:val="center"/>
          </w:tcPr>
          <w:p w14:paraId="2D95C9C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127,682.56 </w:t>
            </w:r>
          </w:p>
        </w:tc>
        <w:tc>
          <w:tcPr>
            <w:tcW w:w="1880" w:type="dxa"/>
            <w:noWrap/>
            <w:vAlign w:val="center"/>
          </w:tcPr>
          <w:p w14:paraId="6669D1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101,078.45 </w:t>
            </w:r>
          </w:p>
        </w:tc>
      </w:tr>
      <w:tr w14:paraId="5FB5E7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728332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支付其他与经营活动有关的现金</w:t>
            </w:r>
          </w:p>
        </w:tc>
        <w:tc>
          <w:tcPr>
            <w:tcW w:w="1880" w:type="dxa"/>
            <w:noWrap/>
            <w:vAlign w:val="center"/>
          </w:tcPr>
          <w:p w14:paraId="4C3F739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20,229.58 </w:t>
            </w:r>
          </w:p>
        </w:tc>
        <w:tc>
          <w:tcPr>
            <w:tcW w:w="1880" w:type="dxa"/>
            <w:noWrap/>
            <w:vAlign w:val="center"/>
          </w:tcPr>
          <w:p w14:paraId="3942AE4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10,173.84 </w:t>
            </w:r>
          </w:p>
        </w:tc>
        <w:tc>
          <w:tcPr>
            <w:tcW w:w="1880" w:type="dxa"/>
            <w:noWrap/>
            <w:vAlign w:val="center"/>
          </w:tcPr>
          <w:p w14:paraId="4E243FF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8,999.40 </w:t>
            </w:r>
          </w:p>
        </w:tc>
      </w:tr>
      <w:tr w14:paraId="355F4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07389E2">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经营活动现金流出小计</w:t>
            </w:r>
          </w:p>
        </w:tc>
        <w:tc>
          <w:tcPr>
            <w:tcW w:w="1880" w:type="dxa"/>
            <w:noWrap/>
            <w:vAlign w:val="center"/>
          </w:tcPr>
          <w:p w14:paraId="4B7D94B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467,910.58 </w:t>
            </w:r>
          </w:p>
        </w:tc>
        <w:tc>
          <w:tcPr>
            <w:tcW w:w="1880" w:type="dxa"/>
            <w:noWrap/>
            <w:vAlign w:val="center"/>
          </w:tcPr>
          <w:p w14:paraId="2BBE323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463,330.15 </w:t>
            </w:r>
          </w:p>
        </w:tc>
        <w:tc>
          <w:tcPr>
            <w:tcW w:w="1880" w:type="dxa"/>
            <w:noWrap/>
            <w:vAlign w:val="center"/>
          </w:tcPr>
          <w:p w14:paraId="3A99B27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464,829.99 </w:t>
            </w:r>
          </w:p>
        </w:tc>
      </w:tr>
      <w:tr w14:paraId="13333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2D6F66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经营活动产生的现金流量净额</w:t>
            </w:r>
          </w:p>
        </w:tc>
        <w:tc>
          <w:tcPr>
            <w:tcW w:w="1880" w:type="dxa"/>
            <w:noWrap/>
            <w:vAlign w:val="center"/>
          </w:tcPr>
          <w:p w14:paraId="2BB8757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434,729.59 </w:t>
            </w:r>
          </w:p>
        </w:tc>
        <w:tc>
          <w:tcPr>
            <w:tcW w:w="1880" w:type="dxa"/>
            <w:noWrap/>
            <w:vAlign w:val="center"/>
          </w:tcPr>
          <w:p w14:paraId="5E7EFCB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444,328.61 </w:t>
            </w:r>
          </w:p>
        </w:tc>
        <w:tc>
          <w:tcPr>
            <w:tcW w:w="1880" w:type="dxa"/>
            <w:noWrap/>
            <w:vAlign w:val="center"/>
          </w:tcPr>
          <w:p w14:paraId="48B2ECC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424,350.53 </w:t>
            </w:r>
          </w:p>
        </w:tc>
      </w:tr>
      <w:tr w14:paraId="6C45D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FDAA10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二、投资活动产生的现金流量：</w:t>
            </w:r>
          </w:p>
        </w:tc>
        <w:tc>
          <w:tcPr>
            <w:tcW w:w="1880" w:type="dxa"/>
            <w:noWrap/>
            <w:vAlign w:val="center"/>
          </w:tcPr>
          <w:p w14:paraId="716183A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4503A6C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3821304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14F84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4E8CB61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收回投资收到的现金</w:t>
            </w:r>
          </w:p>
        </w:tc>
        <w:tc>
          <w:tcPr>
            <w:tcW w:w="1880" w:type="dxa"/>
            <w:noWrap/>
            <w:vAlign w:val="center"/>
          </w:tcPr>
          <w:p w14:paraId="0733AC1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821,700.00 </w:t>
            </w:r>
          </w:p>
        </w:tc>
        <w:tc>
          <w:tcPr>
            <w:tcW w:w="1880" w:type="dxa"/>
            <w:noWrap/>
            <w:vAlign w:val="center"/>
          </w:tcPr>
          <w:p w14:paraId="645DA64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1,528,603.32 </w:t>
            </w:r>
          </w:p>
        </w:tc>
        <w:tc>
          <w:tcPr>
            <w:tcW w:w="1880" w:type="dxa"/>
            <w:noWrap/>
            <w:vAlign w:val="center"/>
          </w:tcPr>
          <w:p w14:paraId="77BFD26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1,112,766.03 </w:t>
            </w:r>
          </w:p>
        </w:tc>
      </w:tr>
      <w:tr w14:paraId="4EAC0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39548B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取得投资收益收到的现金</w:t>
            </w:r>
          </w:p>
        </w:tc>
        <w:tc>
          <w:tcPr>
            <w:tcW w:w="1880" w:type="dxa"/>
            <w:noWrap/>
            <w:vAlign w:val="center"/>
          </w:tcPr>
          <w:p w14:paraId="6113C35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90,513.70 </w:t>
            </w:r>
          </w:p>
        </w:tc>
        <w:tc>
          <w:tcPr>
            <w:tcW w:w="1880" w:type="dxa"/>
            <w:noWrap/>
            <w:vAlign w:val="center"/>
          </w:tcPr>
          <w:p w14:paraId="4E3A9EA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123,602.82 </w:t>
            </w:r>
          </w:p>
        </w:tc>
        <w:tc>
          <w:tcPr>
            <w:tcW w:w="1880" w:type="dxa"/>
            <w:noWrap/>
            <w:vAlign w:val="center"/>
          </w:tcPr>
          <w:p w14:paraId="39E62F2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74,014.51 </w:t>
            </w:r>
          </w:p>
        </w:tc>
      </w:tr>
      <w:tr w14:paraId="2CB92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8EF397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处置固定资产、无形资产和其他长期资产收回的现金净额</w:t>
            </w:r>
          </w:p>
        </w:tc>
        <w:tc>
          <w:tcPr>
            <w:tcW w:w="1880" w:type="dxa"/>
            <w:noWrap/>
            <w:vAlign w:val="center"/>
          </w:tcPr>
          <w:p w14:paraId="4C7BF1B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142.57 </w:t>
            </w:r>
          </w:p>
        </w:tc>
        <w:tc>
          <w:tcPr>
            <w:tcW w:w="1880" w:type="dxa"/>
            <w:noWrap/>
            <w:vAlign w:val="center"/>
          </w:tcPr>
          <w:p w14:paraId="49F55D9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105.80 </w:t>
            </w:r>
          </w:p>
        </w:tc>
        <w:tc>
          <w:tcPr>
            <w:tcW w:w="1880" w:type="dxa"/>
            <w:noWrap/>
            <w:vAlign w:val="center"/>
          </w:tcPr>
          <w:p w14:paraId="651333D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1,028.61 </w:t>
            </w:r>
          </w:p>
        </w:tc>
      </w:tr>
      <w:tr w14:paraId="3B351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56A1724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收到其他与投资活动有关的现金</w:t>
            </w:r>
          </w:p>
        </w:tc>
        <w:tc>
          <w:tcPr>
            <w:tcW w:w="1880" w:type="dxa"/>
            <w:noWrap/>
            <w:vAlign w:val="center"/>
          </w:tcPr>
          <w:p w14:paraId="0AAAFE7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504,943.72 </w:t>
            </w:r>
          </w:p>
        </w:tc>
        <w:tc>
          <w:tcPr>
            <w:tcW w:w="1880" w:type="dxa"/>
            <w:noWrap/>
            <w:vAlign w:val="center"/>
          </w:tcPr>
          <w:p w14:paraId="5CF0024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939,450.00 </w:t>
            </w:r>
          </w:p>
        </w:tc>
        <w:tc>
          <w:tcPr>
            <w:tcW w:w="1880" w:type="dxa"/>
            <w:noWrap/>
            <w:vAlign w:val="center"/>
          </w:tcPr>
          <w:p w14:paraId="7E9528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833,598.65 </w:t>
            </w:r>
          </w:p>
        </w:tc>
      </w:tr>
      <w:tr w14:paraId="4893F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E57040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投资活动现金流入小计</w:t>
            </w:r>
          </w:p>
        </w:tc>
        <w:tc>
          <w:tcPr>
            <w:tcW w:w="1880" w:type="dxa"/>
            <w:noWrap/>
            <w:vAlign w:val="center"/>
          </w:tcPr>
          <w:p w14:paraId="6B43BCB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1,417,299.98 </w:t>
            </w:r>
          </w:p>
        </w:tc>
        <w:tc>
          <w:tcPr>
            <w:tcW w:w="1880" w:type="dxa"/>
            <w:noWrap/>
            <w:vAlign w:val="center"/>
          </w:tcPr>
          <w:p w14:paraId="20ABAFB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2,591,761.94 </w:t>
            </w:r>
          </w:p>
        </w:tc>
        <w:tc>
          <w:tcPr>
            <w:tcW w:w="1880" w:type="dxa"/>
            <w:noWrap/>
            <w:vAlign w:val="center"/>
          </w:tcPr>
          <w:p w14:paraId="757FF2D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2,021,407.79 </w:t>
            </w:r>
          </w:p>
        </w:tc>
      </w:tr>
      <w:tr w14:paraId="1A0E8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08E60B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购建固定资产、无形资产和其他长期资产支付的现金</w:t>
            </w:r>
          </w:p>
        </w:tc>
        <w:tc>
          <w:tcPr>
            <w:tcW w:w="1880" w:type="dxa"/>
            <w:noWrap/>
            <w:vAlign w:val="center"/>
          </w:tcPr>
          <w:p w14:paraId="21219A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39,246.18 </w:t>
            </w:r>
          </w:p>
        </w:tc>
        <w:tc>
          <w:tcPr>
            <w:tcW w:w="1880" w:type="dxa"/>
            <w:noWrap/>
            <w:vAlign w:val="center"/>
          </w:tcPr>
          <w:p w14:paraId="2126C18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15,557.67 </w:t>
            </w:r>
          </w:p>
        </w:tc>
        <w:tc>
          <w:tcPr>
            <w:tcW w:w="1880" w:type="dxa"/>
            <w:noWrap/>
            <w:vAlign w:val="center"/>
          </w:tcPr>
          <w:p w14:paraId="66DBD1D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6,452.60 </w:t>
            </w:r>
          </w:p>
        </w:tc>
      </w:tr>
      <w:tr w14:paraId="4C3B11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A9DADE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投资支付的现金</w:t>
            </w:r>
          </w:p>
        </w:tc>
        <w:tc>
          <w:tcPr>
            <w:tcW w:w="1880" w:type="dxa"/>
            <w:noWrap/>
            <w:vAlign w:val="center"/>
          </w:tcPr>
          <w:p w14:paraId="4E24A5E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705,500.00 </w:t>
            </w:r>
          </w:p>
        </w:tc>
        <w:tc>
          <w:tcPr>
            <w:tcW w:w="1880" w:type="dxa"/>
            <w:noWrap/>
            <w:vAlign w:val="center"/>
          </w:tcPr>
          <w:p w14:paraId="6EFE1B0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1,469,300.00 </w:t>
            </w:r>
          </w:p>
        </w:tc>
        <w:tc>
          <w:tcPr>
            <w:tcW w:w="1880" w:type="dxa"/>
            <w:noWrap/>
            <w:vAlign w:val="center"/>
          </w:tcPr>
          <w:p w14:paraId="255F187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1,075,500.79 </w:t>
            </w:r>
          </w:p>
        </w:tc>
      </w:tr>
      <w:tr w14:paraId="6E1FD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10E09A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取得子公司及其他营业单位支付的现金净额</w:t>
            </w:r>
          </w:p>
        </w:tc>
        <w:tc>
          <w:tcPr>
            <w:tcW w:w="1880" w:type="dxa"/>
            <w:noWrap/>
            <w:vAlign w:val="center"/>
          </w:tcPr>
          <w:p w14:paraId="6294B7C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200,427.72 </w:t>
            </w:r>
          </w:p>
        </w:tc>
        <w:tc>
          <w:tcPr>
            <w:tcW w:w="1880" w:type="dxa"/>
            <w:noWrap/>
            <w:vAlign w:val="center"/>
          </w:tcPr>
          <w:p w14:paraId="7E5C7B3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584,478.00 </w:t>
            </w:r>
          </w:p>
        </w:tc>
        <w:tc>
          <w:tcPr>
            <w:tcW w:w="1880" w:type="dxa"/>
            <w:noWrap/>
            <w:vAlign w:val="center"/>
          </w:tcPr>
          <w:p w14:paraId="3CF06A0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71,255.00 </w:t>
            </w:r>
          </w:p>
        </w:tc>
      </w:tr>
      <w:tr w14:paraId="02D32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57A2777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支付其他与投资活动有关的现金</w:t>
            </w:r>
          </w:p>
        </w:tc>
        <w:tc>
          <w:tcPr>
            <w:tcW w:w="1880" w:type="dxa"/>
            <w:noWrap/>
            <w:vAlign w:val="center"/>
          </w:tcPr>
          <w:p w14:paraId="0ECEF1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511,937.52 </w:t>
            </w:r>
          </w:p>
        </w:tc>
        <w:tc>
          <w:tcPr>
            <w:tcW w:w="1880" w:type="dxa"/>
            <w:noWrap/>
            <w:vAlign w:val="center"/>
          </w:tcPr>
          <w:p w14:paraId="3408C00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943,930.00 </w:t>
            </w:r>
          </w:p>
        </w:tc>
        <w:tc>
          <w:tcPr>
            <w:tcW w:w="1880" w:type="dxa"/>
            <w:noWrap/>
            <w:vAlign w:val="center"/>
          </w:tcPr>
          <w:p w14:paraId="4EBB4F0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844,693.53 </w:t>
            </w:r>
          </w:p>
        </w:tc>
      </w:tr>
      <w:tr w14:paraId="70741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9683D4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投资活动现金流出小计</w:t>
            </w:r>
          </w:p>
        </w:tc>
        <w:tc>
          <w:tcPr>
            <w:tcW w:w="1880" w:type="dxa"/>
            <w:noWrap/>
            <w:vAlign w:val="center"/>
          </w:tcPr>
          <w:p w14:paraId="2F04BF1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1,457,111.42 </w:t>
            </w:r>
          </w:p>
        </w:tc>
        <w:tc>
          <w:tcPr>
            <w:tcW w:w="1880" w:type="dxa"/>
            <w:noWrap/>
            <w:vAlign w:val="center"/>
          </w:tcPr>
          <w:p w14:paraId="6423B98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3,013,265.67 </w:t>
            </w:r>
          </w:p>
        </w:tc>
        <w:tc>
          <w:tcPr>
            <w:tcW w:w="1880" w:type="dxa"/>
            <w:noWrap/>
            <w:vAlign w:val="center"/>
          </w:tcPr>
          <w:p w14:paraId="499190F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1,997,901.92 </w:t>
            </w:r>
          </w:p>
        </w:tc>
      </w:tr>
      <w:tr w14:paraId="2BFF9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117F38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投资活动产生的现金流量净额</w:t>
            </w:r>
          </w:p>
        </w:tc>
        <w:tc>
          <w:tcPr>
            <w:tcW w:w="1880" w:type="dxa"/>
            <w:noWrap/>
            <w:vAlign w:val="center"/>
          </w:tcPr>
          <w:p w14:paraId="7EE78D9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-39,811.43 </w:t>
            </w:r>
          </w:p>
        </w:tc>
        <w:tc>
          <w:tcPr>
            <w:tcW w:w="1880" w:type="dxa"/>
            <w:noWrap/>
            <w:vAlign w:val="center"/>
          </w:tcPr>
          <w:p w14:paraId="142FAF2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-421,503.73 </w:t>
            </w:r>
          </w:p>
        </w:tc>
        <w:tc>
          <w:tcPr>
            <w:tcW w:w="1880" w:type="dxa"/>
            <w:noWrap/>
            <w:vAlign w:val="center"/>
          </w:tcPr>
          <w:p w14:paraId="045E2D6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23,505.87 </w:t>
            </w:r>
          </w:p>
        </w:tc>
      </w:tr>
      <w:tr w14:paraId="28BB2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0692857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三、筹资活动产生的现金流量：</w:t>
            </w:r>
          </w:p>
        </w:tc>
        <w:tc>
          <w:tcPr>
            <w:tcW w:w="1880" w:type="dxa"/>
            <w:noWrap/>
            <w:vAlign w:val="center"/>
          </w:tcPr>
          <w:p w14:paraId="3E17EFE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375BC63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c>
          <w:tcPr>
            <w:tcW w:w="1880" w:type="dxa"/>
            <w:noWrap/>
            <w:vAlign w:val="center"/>
          </w:tcPr>
          <w:p w14:paraId="56D0F10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w:t>
            </w:r>
          </w:p>
        </w:tc>
      </w:tr>
      <w:tr w14:paraId="38685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E878F8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取得借款收到的现金</w:t>
            </w:r>
          </w:p>
        </w:tc>
        <w:tc>
          <w:tcPr>
            <w:tcW w:w="1880" w:type="dxa"/>
            <w:noWrap/>
            <w:vAlign w:val="center"/>
          </w:tcPr>
          <w:p w14:paraId="219AD53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178,696.00 </w:t>
            </w:r>
          </w:p>
        </w:tc>
        <w:tc>
          <w:tcPr>
            <w:tcW w:w="1880" w:type="dxa"/>
            <w:noWrap/>
            <w:vAlign w:val="center"/>
          </w:tcPr>
          <w:p w14:paraId="4BF1586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623,558.34 </w:t>
            </w:r>
          </w:p>
        </w:tc>
        <w:tc>
          <w:tcPr>
            <w:tcW w:w="1880" w:type="dxa"/>
            <w:noWrap/>
            <w:vAlign w:val="center"/>
          </w:tcPr>
          <w:p w14:paraId="04D9F3B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535,886.67 </w:t>
            </w:r>
          </w:p>
        </w:tc>
      </w:tr>
      <w:tr w14:paraId="646DF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701CB4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发行债券收到的现金</w:t>
            </w:r>
          </w:p>
        </w:tc>
        <w:tc>
          <w:tcPr>
            <w:tcW w:w="1880" w:type="dxa"/>
            <w:noWrap/>
            <w:vAlign w:val="center"/>
          </w:tcPr>
          <w:p w14:paraId="3ADF54E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1,115,000.00 </w:t>
            </w:r>
          </w:p>
        </w:tc>
        <w:tc>
          <w:tcPr>
            <w:tcW w:w="1880" w:type="dxa"/>
            <w:noWrap/>
            <w:vAlign w:val="center"/>
          </w:tcPr>
          <w:p w14:paraId="24C8148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1,179,000.00 </w:t>
            </w:r>
          </w:p>
        </w:tc>
        <w:tc>
          <w:tcPr>
            <w:tcW w:w="1880" w:type="dxa"/>
            <w:noWrap/>
            <w:vAlign w:val="center"/>
          </w:tcPr>
          <w:p w14:paraId="2AC8624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1,205,000.00 </w:t>
            </w:r>
          </w:p>
        </w:tc>
      </w:tr>
      <w:tr w14:paraId="00272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9C0E4A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筹资活动现金流入小计</w:t>
            </w:r>
          </w:p>
        </w:tc>
        <w:tc>
          <w:tcPr>
            <w:tcW w:w="1880" w:type="dxa"/>
            <w:noWrap/>
            <w:vAlign w:val="center"/>
          </w:tcPr>
          <w:p w14:paraId="2810B15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1,293,696.00 </w:t>
            </w:r>
          </w:p>
        </w:tc>
        <w:tc>
          <w:tcPr>
            <w:tcW w:w="1880" w:type="dxa"/>
            <w:noWrap/>
            <w:vAlign w:val="center"/>
          </w:tcPr>
          <w:p w14:paraId="2370F65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1,802,558.34 </w:t>
            </w:r>
          </w:p>
        </w:tc>
        <w:tc>
          <w:tcPr>
            <w:tcW w:w="1880" w:type="dxa"/>
            <w:noWrap/>
            <w:vAlign w:val="center"/>
          </w:tcPr>
          <w:p w14:paraId="3FA6E18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1,740,886.67 </w:t>
            </w:r>
          </w:p>
        </w:tc>
      </w:tr>
      <w:tr w14:paraId="6D9DB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974A55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偿还债务支付的现金</w:t>
            </w:r>
          </w:p>
        </w:tc>
        <w:tc>
          <w:tcPr>
            <w:tcW w:w="1880" w:type="dxa"/>
            <w:noWrap/>
            <w:vAlign w:val="center"/>
          </w:tcPr>
          <w:p w14:paraId="0AF78F4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1,405,836.96 </w:t>
            </w:r>
          </w:p>
        </w:tc>
        <w:tc>
          <w:tcPr>
            <w:tcW w:w="1880" w:type="dxa"/>
            <w:noWrap/>
            <w:vAlign w:val="center"/>
          </w:tcPr>
          <w:p w14:paraId="5640D0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1,544,334.10 </w:t>
            </w:r>
          </w:p>
        </w:tc>
        <w:tc>
          <w:tcPr>
            <w:tcW w:w="1880" w:type="dxa"/>
            <w:noWrap/>
            <w:vAlign w:val="center"/>
          </w:tcPr>
          <w:p w14:paraId="0F98A27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1,936,380.49 </w:t>
            </w:r>
          </w:p>
        </w:tc>
      </w:tr>
      <w:tr w14:paraId="0D9AB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55B6431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分配股利、利润或偿付利息支付的现金</w:t>
            </w:r>
          </w:p>
        </w:tc>
        <w:tc>
          <w:tcPr>
            <w:tcW w:w="1880" w:type="dxa"/>
            <w:noWrap/>
            <w:vAlign w:val="center"/>
          </w:tcPr>
          <w:p w14:paraId="4C39A6B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280,885.43 </w:t>
            </w:r>
          </w:p>
        </w:tc>
        <w:tc>
          <w:tcPr>
            <w:tcW w:w="1880" w:type="dxa"/>
            <w:noWrap/>
            <w:vAlign w:val="center"/>
          </w:tcPr>
          <w:p w14:paraId="5ABEC6D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280,249.98 </w:t>
            </w:r>
          </w:p>
        </w:tc>
        <w:tc>
          <w:tcPr>
            <w:tcW w:w="1880" w:type="dxa"/>
            <w:noWrap/>
            <w:vAlign w:val="center"/>
          </w:tcPr>
          <w:p w14:paraId="63DF6E6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278,702.03 </w:t>
            </w:r>
          </w:p>
        </w:tc>
      </w:tr>
      <w:tr w14:paraId="1AC30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03DCDEB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支付其他与筹资活动有关的现金</w:t>
            </w:r>
          </w:p>
        </w:tc>
        <w:tc>
          <w:tcPr>
            <w:tcW w:w="1880" w:type="dxa"/>
            <w:noWrap/>
            <w:vAlign w:val="center"/>
          </w:tcPr>
          <w:p w14:paraId="4B59163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151.64 </w:t>
            </w:r>
          </w:p>
        </w:tc>
        <w:tc>
          <w:tcPr>
            <w:tcW w:w="1880" w:type="dxa"/>
            <w:noWrap/>
            <w:vAlign w:val="center"/>
          </w:tcPr>
          <w:p w14:paraId="33B5AF2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633.61 </w:t>
            </w:r>
          </w:p>
        </w:tc>
        <w:tc>
          <w:tcPr>
            <w:tcW w:w="1880" w:type="dxa"/>
            <w:noWrap/>
            <w:vAlign w:val="center"/>
          </w:tcPr>
          <w:p w14:paraId="5C0DDC2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123.44 </w:t>
            </w:r>
          </w:p>
        </w:tc>
      </w:tr>
      <w:tr w14:paraId="21B85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477882E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筹资活动现金流出小计</w:t>
            </w:r>
          </w:p>
        </w:tc>
        <w:tc>
          <w:tcPr>
            <w:tcW w:w="1880" w:type="dxa"/>
            <w:noWrap/>
            <w:vAlign w:val="center"/>
          </w:tcPr>
          <w:p w14:paraId="75430D9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1,686,874.03 </w:t>
            </w:r>
          </w:p>
        </w:tc>
        <w:tc>
          <w:tcPr>
            <w:tcW w:w="1880" w:type="dxa"/>
            <w:noWrap/>
            <w:vAlign w:val="center"/>
          </w:tcPr>
          <w:p w14:paraId="286E529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1,825,217.69 </w:t>
            </w:r>
          </w:p>
        </w:tc>
        <w:tc>
          <w:tcPr>
            <w:tcW w:w="1880" w:type="dxa"/>
            <w:noWrap/>
            <w:vAlign w:val="center"/>
          </w:tcPr>
          <w:p w14:paraId="2B63762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2,215,205.96 </w:t>
            </w:r>
          </w:p>
        </w:tc>
      </w:tr>
      <w:tr w14:paraId="6A4EC3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8D3E678">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筹资活动产生的现金流量净额</w:t>
            </w:r>
          </w:p>
        </w:tc>
        <w:tc>
          <w:tcPr>
            <w:tcW w:w="1880" w:type="dxa"/>
            <w:noWrap/>
            <w:vAlign w:val="center"/>
          </w:tcPr>
          <w:p w14:paraId="343D68E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-393,178.03 </w:t>
            </w:r>
          </w:p>
        </w:tc>
        <w:tc>
          <w:tcPr>
            <w:tcW w:w="1880" w:type="dxa"/>
            <w:noWrap/>
            <w:vAlign w:val="center"/>
          </w:tcPr>
          <w:p w14:paraId="32EE418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-22,659.35 </w:t>
            </w:r>
          </w:p>
        </w:tc>
        <w:tc>
          <w:tcPr>
            <w:tcW w:w="1880" w:type="dxa"/>
            <w:noWrap/>
            <w:vAlign w:val="center"/>
          </w:tcPr>
          <w:p w14:paraId="7955C40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-474,319.29 </w:t>
            </w:r>
          </w:p>
        </w:tc>
      </w:tr>
      <w:tr w14:paraId="104153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AB18F54">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四、汇率变动对现金及现金等价物的影响</w:t>
            </w:r>
          </w:p>
        </w:tc>
        <w:tc>
          <w:tcPr>
            <w:tcW w:w="1880" w:type="dxa"/>
            <w:noWrap/>
            <w:vAlign w:val="center"/>
          </w:tcPr>
          <w:p w14:paraId="38D47AC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c>
          <w:tcPr>
            <w:tcW w:w="1880" w:type="dxa"/>
            <w:noWrap/>
            <w:vAlign w:val="center"/>
          </w:tcPr>
          <w:p w14:paraId="4A78234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c>
          <w:tcPr>
            <w:tcW w:w="1880" w:type="dxa"/>
            <w:noWrap/>
            <w:vAlign w:val="center"/>
          </w:tcPr>
          <w:p w14:paraId="7DED361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   </w:t>
            </w:r>
          </w:p>
        </w:tc>
      </w:tr>
      <w:tr w14:paraId="3F4AD6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53A5B9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五、现金及现金等价物净增加额</w:t>
            </w:r>
          </w:p>
        </w:tc>
        <w:tc>
          <w:tcPr>
            <w:tcW w:w="1880" w:type="dxa"/>
            <w:noWrap/>
            <w:vAlign w:val="center"/>
          </w:tcPr>
          <w:p w14:paraId="1AD771D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1,740.12 </w:t>
            </w:r>
          </w:p>
        </w:tc>
        <w:tc>
          <w:tcPr>
            <w:tcW w:w="1880" w:type="dxa"/>
            <w:noWrap/>
            <w:vAlign w:val="center"/>
          </w:tcPr>
          <w:p w14:paraId="5637065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165.53 </w:t>
            </w:r>
          </w:p>
        </w:tc>
        <w:tc>
          <w:tcPr>
            <w:tcW w:w="1880" w:type="dxa"/>
            <w:noWrap/>
            <w:vAlign w:val="center"/>
          </w:tcPr>
          <w:p w14:paraId="17FC260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-26,462.89 </w:t>
            </w:r>
          </w:p>
        </w:tc>
      </w:tr>
      <w:tr w14:paraId="7DECD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51D23D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加：期初现金及现金等价物余额</w:t>
            </w:r>
          </w:p>
        </w:tc>
        <w:tc>
          <w:tcPr>
            <w:tcW w:w="1880" w:type="dxa"/>
            <w:noWrap/>
            <w:vAlign w:val="center"/>
          </w:tcPr>
          <w:p w14:paraId="39F3FF3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19,428.31 </w:t>
            </w:r>
          </w:p>
        </w:tc>
        <w:tc>
          <w:tcPr>
            <w:tcW w:w="1880" w:type="dxa"/>
            <w:noWrap/>
            <w:vAlign w:val="center"/>
          </w:tcPr>
          <w:p w14:paraId="609399B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19,262.78 </w:t>
            </w:r>
          </w:p>
        </w:tc>
        <w:tc>
          <w:tcPr>
            <w:tcW w:w="1880" w:type="dxa"/>
            <w:noWrap/>
            <w:vAlign w:val="center"/>
          </w:tcPr>
          <w:p w14:paraId="197D7B3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45,725.67 </w:t>
            </w:r>
          </w:p>
        </w:tc>
      </w:tr>
      <w:tr w14:paraId="6A8C8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01ECFCF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六、期末现金及现金等价物余额</w:t>
            </w:r>
          </w:p>
        </w:tc>
        <w:tc>
          <w:tcPr>
            <w:tcW w:w="1880" w:type="dxa"/>
            <w:noWrap/>
            <w:vAlign w:val="center"/>
          </w:tcPr>
          <w:p w14:paraId="7BB024F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21,168.43 </w:t>
            </w:r>
          </w:p>
        </w:tc>
        <w:tc>
          <w:tcPr>
            <w:tcW w:w="1880" w:type="dxa"/>
            <w:noWrap/>
            <w:vAlign w:val="center"/>
          </w:tcPr>
          <w:p w14:paraId="2F8787F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19,428.31 </w:t>
            </w:r>
          </w:p>
        </w:tc>
        <w:tc>
          <w:tcPr>
            <w:tcW w:w="1880" w:type="dxa"/>
            <w:noWrap/>
            <w:vAlign w:val="center"/>
          </w:tcPr>
          <w:p w14:paraId="7D77733A">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19,262.78 </w:t>
            </w:r>
          </w:p>
        </w:tc>
      </w:tr>
    </w:tbl>
    <w:p w14:paraId="2BE030B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3、公司最近三年主要财务指标（合并口径)</w:t>
      </w:r>
      <w:bookmarkStart w:id="6" w:name="_Hlk101216221"/>
    </w:p>
    <w:tbl>
      <w:tblPr>
        <w:tblStyle w:val="13"/>
        <w:tblW w:w="72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71"/>
        <w:gridCol w:w="1440"/>
        <w:gridCol w:w="1440"/>
        <w:gridCol w:w="1440"/>
      </w:tblGrid>
      <w:tr w14:paraId="26A78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52BA38EB">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财务指标</w:t>
            </w:r>
          </w:p>
        </w:tc>
        <w:tc>
          <w:tcPr>
            <w:tcW w:w="1440" w:type="dxa"/>
            <w:noWrap/>
            <w:vAlign w:val="center"/>
          </w:tcPr>
          <w:p w14:paraId="4D26780C">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2025年末</w:t>
            </w:r>
          </w:p>
        </w:tc>
        <w:tc>
          <w:tcPr>
            <w:tcW w:w="1440" w:type="dxa"/>
            <w:noWrap/>
            <w:vAlign w:val="center"/>
          </w:tcPr>
          <w:p w14:paraId="57D834AE">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2024年末</w:t>
            </w:r>
          </w:p>
        </w:tc>
        <w:tc>
          <w:tcPr>
            <w:tcW w:w="1440" w:type="dxa"/>
            <w:noWrap/>
            <w:vAlign w:val="center"/>
          </w:tcPr>
          <w:p w14:paraId="1C69ECA0">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2023年末</w:t>
            </w:r>
          </w:p>
        </w:tc>
      </w:tr>
      <w:tr w14:paraId="550AB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032B80D9">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资产负债率</w:t>
            </w:r>
          </w:p>
        </w:tc>
        <w:tc>
          <w:tcPr>
            <w:tcW w:w="1440" w:type="dxa"/>
            <w:noWrap/>
            <w:vAlign w:val="center"/>
          </w:tcPr>
          <w:p w14:paraId="36FAC379">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42.96%</w:t>
            </w:r>
          </w:p>
        </w:tc>
        <w:tc>
          <w:tcPr>
            <w:tcW w:w="1440" w:type="dxa"/>
            <w:noWrap/>
            <w:vAlign w:val="center"/>
          </w:tcPr>
          <w:p w14:paraId="4D29CD1A">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44.67%</w:t>
            </w:r>
          </w:p>
        </w:tc>
        <w:tc>
          <w:tcPr>
            <w:tcW w:w="1440" w:type="dxa"/>
            <w:noWrap/>
            <w:vAlign w:val="center"/>
          </w:tcPr>
          <w:p w14:paraId="57AE4E9D">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48.02%</w:t>
            </w:r>
          </w:p>
        </w:tc>
      </w:tr>
      <w:tr w14:paraId="79A68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169AE69C">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流动比率（倍）</w:t>
            </w:r>
          </w:p>
        </w:tc>
        <w:tc>
          <w:tcPr>
            <w:tcW w:w="1440" w:type="dxa"/>
            <w:noWrap/>
            <w:vAlign w:val="center"/>
          </w:tcPr>
          <w:p w14:paraId="4F8DB973">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0.59</w:t>
            </w:r>
          </w:p>
        </w:tc>
        <w:tc>
          <w:tcPr>
            <w:tcW w:w="1440" w:type="dxa"/>
            <w:noWrap/>
            <w:vAlign w:val="center"/>
          </w:tcPr>
          <w:p w14:paraId="0B105542">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0.52</w:t>
            </w:r>
          </w:p>
        </w:tc>
        <w:tc>
          <w:tcPr>
            <w:tcW w:w="1440" w:type="dxa"/>
            <w:noWrap/>
            <w:vAlign w:val="center"/>
          </w:tcPr>
          <w:p w14:paraId="0CA38EB6">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0.91</w:t>
            </w:r>
          </w:p>
        </w:tc>
      </w:tr>
      <w:tr w14:paraId="0F979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04589D7C">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速动比率（倍）</w:t>
            </w:r>
          </w:p>
        </w:tc>
        <w:tc>
          <w:tcPr>
            <w:tcW w:w="1440" w:type="dxa"/>
            <w:noWrap/>
            <w:vAlign w:val="center"/>
          </w:tcPr>
          <w:p w14:paraId="569E423C">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0.42</w:t>
            </w:r>
          </w:p>
        </w:tc>
        <w:tc>
          <w:tcPr>
            <w:tcW w:w="1440" w:type="dxa"/>
            <w:noWrap/>
            <w:vAlign w:val="center"/>
          </w:tcPr>
          <w:p w14:paraId="105FEDBD">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0.40</w:t>
            </w:r>
          </w:p>
        </w:tc>
        <w:tc>
          <w:tcPr>
            <w:tcW w:w="1440" w:type="dxa"/>
            <w:noWrap/>
            <w:vAlign w:val="center"/>
          </w:tcPr>
          <w:p w14:paraId="4B301B64">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0.68</w:t>
            </w:r>
          </w:p>
        </w:tc>
      </w:tr>
      <w:tr w14:paraId="23F3F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45F627D2">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应收款周转率（次）</w:t>
            </w:r>
          </w:p>
        </w:tc>
        <w:tc>
          <w:tcPr>
            <w:tcW w:w="1440" w:type="dxa"/>
            <w:noWrap/>
            <w:vAlign w:val="center"/>
          </w:tcPr>
          <w:p w14:paraId="0F628526">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10.24</w:t>
            </w:r>
          </w:p>
        </w:tc>
        <w:tc>
          <w:tcPr>
            <w:tcW w:w="1440" w:type="dxa"/>
            <w:noWrap/>
            <w:vAlign w:val="center"/>
          </w:tcPr>
          <w:p w14:paraId="519ABED2">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13.21</w:t>
            </w:r>
          </w:p>
        </w:tc>
        <w:tc>
          <w:tcPr>
            <w:tcW w:w="1440" w:type="dxa"/>
            <w:noWrap/>
            <w:vAlign w:val="center"/>
          </w:tcPr>
          <w:p w14:paraId="38976B16">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10.94</w:t>
            </w:r>
          </w:p>
        </w:tc>
      </w:tr>
      <w:tr w14:paraId="62DC5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61EEC21F">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存货周转率（次）</w:t>
            </w:r>
          </w:p>
        </w:tc>
        <w:tc>
          <w:tcPr>
            <w:tcW w:w="1440" w:type="dxa"/>
            <w:noWrap/>
            <w:vAlign w:val="center"/>
          </w:tcPr>
          <w:p w14:paraId="1F99FF8C">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7.32</w:t>
            </w:r>
          </w:p>
        </w:tc>
        <w:tc>
          <w:tcPr>
            <w:tcW w:w="1440" w:type="dxa"/>
            <w:noWrap/>
            <w:vAlign w:val="center"/>
          </w:tcPr>
          <w:p w14:paraId="71ED60FE">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8.07</w:t>
            </w:r>
          </w:p>
        </w:tc>
        <w:tc>
          <w:tcPr>
            <w:tcW w:w="1440" w:type="dxa"/>
            <w:noWrap/>
            <w:vAlign w:val="center"/>
          </w:tcPr>
          <w:p w14:paraId="3AAEE6E3">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3.97</w:t>
            </w:r>
          </w:p>
        </w:tc>
      </w:tr>
      <w:bookmarkEnd w:id="6"/>
    </w:tbl>
    <w:p w14:paraId="3A8D5C88">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流动比率=流动资产/流动负债</w:t>
      </w:r>
    </w:p>
    <w:p w14:paraId="5C238DE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速动比率=(流动资产-存货净额）/流动负债</w:t>
      </w:r>
    </w:p>
    <w:p w14:paraId="5B085945">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资产负债率=负债总计/资产总计*100%</w:t>
      </w:r>
    </w:p>
    <w:p w14:paraId="6A55914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应收账款周转率=营业收入/〔（期初应收账款净额+期末应收账款净额）/2〕</w:t>
      </w:r>
    </w:p>
    <w:p w14:paraId="6FB3D34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存货周转率=营业成本/〔（期初存货净额+期末存货净额）/2〕</w:t>
      </w:r>
    </w:p>
    <w:p w14:paraId="60BDD769">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注：应收款周转率和存货周转率为年化指标。</w:t>
      </w:r>
    </w:p>
    <w:bookmarkEnd w:id="3"/>
    <w:p w14:paraId="6DFDB806">
      <w:pPr>
        <w:adjustRightInd w:val="0"/>
        <w:snapToGrid w:val="0"/>
        <w:ind w:firstLine="480"/>
        <w:jc w:val="left"/>
        <w:rPr>
          <w:rFonts w:hint="eastAsia" w:asciiTheme="minorEastAsia" w:hAnsiTheme="minorEastAsia" w:cstheme="minorEastAsia"/>
          <w:szCs w:val="24"/>
        </w:rPr>
      </w:pPr>
      <w:bookmarkStart w:id="7" w:name="bookmark5"/>
      <w:r>
        <w:rPr>
          <w:rFonts w:hint="eastAsia" w:asciiTheme="minorEastAsia" w:hAnsiTheme="minorEastAsia" w:cstheme="minorEastAsia"/>
          <w:szCs w:val="24"/>
          <w:lang w:val="zh-TW"/>
        </w:rPr>
        <w:t>（三）公司管理层简明财务分析</w:t>
      </w:r>
      <w:bookmarkEnd w:id="7"/>
    </w:p>
    <w:p w14:paraId="3989B910">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为全面反映本公司整体的财务实力和资信状况，公司管理层结合公司最近三年母公司口径财务报表，对资产及负债结构、现金偿债能力、盈利能力、未来业务目标以及盈利能力的可持续性进行了如下分析：</w:t>
      </w:r>
    </w:p>
    <w:p w14:paraId="738D7074">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1、</w:t>
      </w:r>
      <w:bookmarkStart w:id="8" w:name="_Hlk100191171"/>
      <w:r>
        <w:rPr>
          <w:rFonts w:hint="eastAsia" w:asciiTheme="minorEastAsia" w:hAnsiTheme="minorEastAsia" w:cstheme="minorEastAsia"/>
          <w:szCs w:val="24"/>
          <w:lang w:val="zh-TW"/>
        </w:rPr>
        <w:t>资产结构分析</w:t>
      </w:r>
      <w:bookmarkEnd w:id="8"/>
      <w:r>
        <w:rPr>
          <w:rFonts w:hint="eastAsia" w:asciiTheme="minorEastAsia" w:hAnsiTheme="minorEastAsia" w:cstheme="minorEastAsia"/>
          <w:szCs w:val="24"/>
          <w:lang w:val="zh-TW"/>
        </w:rPr>
        <w:t>：</w:t>
      </w:r>
    </w:p>
    <w:p w14:paraId="14200396">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母公司最近三年末资产构成情况如下：</w:t>
      </w:r>
    </w:p>
    <w:p w14:paraId="2B364545">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11517" w:type="dxa"/>
        <w:jc w:val="center"/>
        <w:tblLayout w:type="autofit"/>
        <w:tblCellMar>
          <w:top w:w="0" w:type="dxa"/>
          <w:left w:w="108" w:type="dxa"/>
          <w:bottom w:w="0" w:type="dxa"/>
          <w:right w:w="108" w:type="dxa"/>
        </w:tblCellMar>
      </w:tblPr>
      <w:tblGrid>
        <w:gridCol w:w="3020"/>
        <w:gridCol w:w="1801"/>
        <w:gridCol w:w="992"/>
        <w:gridCol w:w="1843"/>
        <w:gridCol w:w="992"/>
        <w:gridCol w:w="1843"/>
        <w:gridCol w:w="1026"/>
      </w:tblGrid>
      <w:tr w14:paraId="3368FA3A">
        <w:tblPrEx>
          <w:tblCellMar>
            <w:top w:w="0" w:type="dxa"/>
            <w:left w:w="108" w:type="dxa"/>
            <w:bottom w:w="0" w:type="dxa"/>
            <w:right w:w="108" w:type="dxa"/>
          </w:tblCellMar>
        </w:tblPrEx>
        <w:trPr>
          <w:trHeight w:val="397" w:hRule="atLeast"/>
          <w:tblHeader/>
          <w:jc w:val="center"/>
        </w:trPr>
        <w:tc>
          <w:tcPr>
            <w:tcW w:w="3020" w:type="dxa"/>
            <w:vMerge w:val="restart"/>
            <w:tcBorders>
              <w:top w:val="single" w:color="auto" w:sz="12" w:space="0"/>
              <w:left w:val="single" w:color="auto" w:sz="12" w:space="0"/>
              <w:bottom w:val="single" w:color="000000" w:sz="4" w:space="0"/>
              <w:right w:val="single" w:color="auto" w:sz="4" w:space="0"/>
            </w:tcBorders>
            <w:noWrap/>
            <w:vAlign w:val="center"/>
          </w:tcPr>
          <w:p w14:paraId="5C0C2F3F">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科目</w:t>
            </w:r>
          </w:p>
        </w:tc>
        <w:tc>
          <w:tcPr>
            <w:tcW w:w="2793" w:type="dxa"/>
            <w:gridSpan w:val="2"/>
            <w:tcBorders>
              <w:top w:val="single" w:color="auto" w:sz="12" w:space="0"/>
              <w:left w:val="nil"/>
              <w:bottom w:val="single" w:color="auto" w:sz="4" w:space="0"/>
              <w:right w:val="single" w:color="auto" w:sz="4" w:space="0"/>
            </w:tcBorders>
            <w:noWrap/>
            <w:vAlign w:val="center"/>
          </w:tcPr>
          <w:p w14:paraId="5A7D7327">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2025年末</w:t>
            </w:r>
          </w:p>
        </w:tc>
        <w:tc>
          <w:tcPr>
            <w:tcW w:w="2835" w:type="dxa"/>
            <w:gridSpan w:val="2"/>
            <w:tcBorders>
              <w:top w:val="single" w:color="auto" w:sz="12" w:space="0"/>
              <w:left w:val="nil"/>
              <w:bottom w:val="single" w:color="auto" w:sz="4" w:space="0"/>
              <w:right w:val="single" w:color="auto" w:sz="4" w:space="0"/>
            </w:tcBorders>
            <w:noWrap/>
            <w:vAlign w:val="center"/>
          </w:tcPr>
          <w:p w14:paraId="19B79542">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2024年末</w:t>
            </w:r>
          </w:p>
        </w:tc>
        <w:tc>
          <w:tcPr>
            <w:tcW w:w="2869" w:type="dxa"/>
            <w:gridSpan w:val="2"/>
            <w:tcBorders>
              <w:top w:val="single" w:color="auto" w:sz="12" w:space="0"/>
              <w:left w:val="nil"/>
              <w:bottom w:val="single" w:color="auto" w:sz="4" w:space="0"/>
              <w:right w:val="single" w:color="auto" w:sz="12" w:space="0"/>
            </w:tcBorders>
            <w:noWrap/>
            <w:vAlign w:val="center"/>
          </w:tcPr>
          <w:p w14:paraId="32E5C2A5">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2023年末</w:t>
            </w:r>
          </w:p>
        </w:tc>
      </w:tr>
      <w:tr w14:paraId="00D82FBD">
        <w:tblPrEx>
          <w:tblCellMar>
            <w:top w:w="0" w:type="dxa"/>
            <w:left w:w="108" w:type="dxa"/>
            <w:bottom w:w="0" w:type="dxa"/>
            <w:right w:w="108" w:type="dxa"/>
          </w:tblCellMar>
        </w:tblPrEx>
        <w:trPr>
          <w:trHeight w:val="397" w:hRule="atLeast"/>
          <w:tblHeader/>
          <w:jc w:val="center"/>
        </w:trPr>
        <w:tc>
          <w:tcPr>
            <w:tcW w:w="3020" w:type="dxa"/>
            <w:vMerge w:val="continue"/>
            <w:tcBorders>
              <w:top w:val="single" w:color="auto" w:sz="4" w:space="0"/>
              <w:left w:val="single" w:color="auto" w:sz="12" w:space="0"/>
              <w:bottom w:val="single" w:color="000000" w:sz="4" w:space="0"/>
              <w:right w:val="single" w:color="auto" w:sz="4" w:space="0"/>
            </w:tcBorders>
            <w:vAlign w:val="center"/>
          </w:tcPr>
          <w:p w14:paraId="5D544515">
            <w:pPr>
              <w:widowControl/>
              <w:spacing w:line="240" w:lineRule="auto"/>
              <w:ind w:firstLine="0" w:firstLineChars="0"/>
              <w:jc w:val="left"/>
              <w:rPr>
                <w:rFonts w:hint="eastAsia" w:ascii="宋体" w:hAnsi="宋体" w:eastAsia="宋体" w:cs="宋体"/>
                <w:b/>
                <w:bCs/>
                <w:color w:val="000000"/>
                <w:kern w:val="0"/>
                <w:sz w:val="21"/>
                <w:szCs w:val="21"/>
              </w:rPr>
            </w:pPr>
          </w:p>
        </w:tc>
        <w:tc>
          <w:tcPr>
            <w:tcW w:w="1801" w:type="dxa"/>
            <w:tcBorders>
              <w:top w:val="nil"/>
              <w:left w:val="nil"/>
              <w:bottom w:val="single" w:color="auto" w:sz="4" w:space="0"/>
              <w:right w:val="single" w:color="auto" w:sz="4" w:space="0"/>
            </w:tcBorders>
            <w:noWrap/>
            <w:vAlign w:val="center"/>
          </w:tcPr>
          <w:p w14:paraId="04EB1172">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992" w:type="dxa"/>
            <w:tcBorders>
              <w:top w:val="nil"/>
              <w:left w:val="nil"/>
              <w:bottom w:val="single" w:color="auto" w:sz="4" w:space="0"/>
              <w:right w:val="single" w:color="auto" w:sz="4" w:space="0"/>
            </w:tcBorders>
            <w:noWrap/>
            <w:vAlign w:val="center"/>
          </w:tcPr>
          <w:p w14:paraId="4908FB96">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c>
          <w:tcPr>
            <w:tcW w:w="1843" w:type="dxa"/>
            <w:tcBorders>
              <w:top w:val="nil"/>
              <w:left w:val="nil"/>
              <w:bottom w:val="single" w:color="auto" w:sz="4" w:space="0"/>
              <w:right w:val="single" w:color="auto" w:sz="4" w:space="0"/>
            </w:tcBorders>
            <w:noWrap/>
            <w:vAlign w:val="center"/>
          </w:tcPr>
          <w:p w14:paraId="78A873AB">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992" w:type="dxa"/>
            <w:tcBorders>
              <w:top w:val="nil"/>
              <w:left w:val="nil"/>
              <w:bottom w:val="single" w:color="auto" w:sz="4" w:space="0"/>
              <w:right w:val="single" w:color="auto" w:sz="4" w:space="0"/>
            </w:tcBorders>
            <w:noWrap/>
            <w:vAlign w:val="center"/>
          </w:tcPr>
          <w:p w14:paraId="716A6094">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c>
          <w:tcPr>
            <w:tcW w:w="1843" w:type="dxa"/>
            <w:tcBorders>
              <w:top w:val="nil"/>
              <w:left w:val="nil"/>
              <w:bottom w:val="single" w:color="auto" w:sz="4" w:space="0"/>
              <w:right w:val="single" w:color="auto" w:sz="4" w:space="0"/>
            </w:tcBorders>
            <w:noWrap/>
            <w:vAlign w:val="center"/>
          </w:tcPr>
          <w:p w14:paraId="1907F88B">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1026" w:type="dxa"/>
            <w:tcBorders>
              <w:top w:val="nil"/>
              <w:left w:val="nil"/>
              <w:bottom w:val="single" w:color="auto" w:sz="4" w:space="0"/>
              <w:right w:val="single" w:color="auto" w:sz="12" w:space="0"/>
            </w:tcBorders>
            <w:noWrap/>
            <w:vAlign w:val="center"/>
          </w:tcPr>
          <w:p w14:paraId="61D699D3">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r>
      <w:tr w14:paraId="2BB10DD1">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0AC115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货币资金</w:t>
            </w:r>
          </w:p>
        </w:tc>
        <w:tc>
          <w:tcPr>
            <w:tcW w:w="1801" w:type="dxa"/>
            <w:tcBorders>
              <w:top w:val="nil"/>
              <w:left w:val="nil"/>
              <w:bottom w:val="single" w:color="auto" w:sz="4" w:space="0"/>
              <w:right w:val="single" w:color="auto" w:sz="4" w:space="0"/>
            </w:tcBorders>
            <w:noWrap/>
            <w:vAlign w:val="center"/>
          </w:tcPr>
          <w:p w14:paraId="642232D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21,168.43 </w:t>
            </w:r>
          </w:p>
        </w:tc>
        <w:tc>
          <w:tcPr>
            <w:tcW w:w="992" w:type="dxa"/>
            <w:tcBorders>
              <w:top w:val="nil"/>
              <w:left w:val="nil"/>
              <w:bottom w:val="single" w:color="auto" w:sz="4" w:space="0"/>
              <w:right w:val="single" w:color="auto" w:sz="4" w:space="0"/>
            </w:tcBorders>
            <w:noWrap/>
            <w:vAlign w:val="center"/>
          </w:tcPr>
          <w:p w14:paraId="0F05273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0.39%</w:t>
            </w:r>
          </w:p>
        </w:tc>
        <w:tc>
          <w:tcPr>
            <w:tcW w:w="1843" w:type="dxa"/>
            <w:tcBorders>
              <w:top w:val="nil"/>
              <w:left w:val="nil"/>
              <w:bottom w:val="single" w:color="auto" w:sz="4" w:space="0"/>
              <w:right w:val="single" w:color="auto" w:sz="4" w:space="0"/>
            </w:tcBorders>
            <w:noWrap/>
            <w:vAlign w:val="center"/>
          </w:tcPr>
          <w:p w14:paraId="53BEA16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19,428.31 </w:t>
            </w:r>
          </w:p>
        </w:tc>
        <w:tc>
          <w:tcPr>
            <w:tcW w:w="992" w:type="dxa"/>
            <w:tcBorders>
              <w:top w:val="nil"/>
              <w:left w:val="nil"/>
              <w:bottom w:val="single" w:color="auto" w:sz="4" w:space="0"/>
              <w:right w:val="single" w:color="auto" w:sz="4" w:space="0"/>
            </w:tcBorders>
            <w:noWrap/>
            <w:vAlign w:val="center"/>
          </w:tcPr>
          <w:p w14:paraId="5341E0C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0.36%</w:t>
            </w:r>
          </w:p>
        </w:tc>
        <w:tc>
          <w:tcPr>
            <w:tcW w:w="1843" w:type="dxa"/>
            <w:tcBorders>
              <w:top w:val="nil"/>
              <w:left w:val="nil"/>
              <w:bottom w:val="single" w:color="auto" w:sz="4" w:space="0"/>
              <w:right w:val="single" w:color="auto" w:sz="4" w:space="0"/>
            </w:tcBorders>
            <w:noWrap/>
            <w:vAlign w:val="center"/>
          </w:tcPr>
          <w:p w14:paraId="21580FC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19,262.78 </w:t>
            </w:r>
          </w:p>
        </w:tc>
        <w:tc>
          <w:tcPr>
            <w:tcW w:w="1026" w:type="dxa"/>
            <w:tcBorders>
              <w:top w:val="nil"/>
              <w:left w:val="nil"/>
              <w:bottom w:val="single" w:color="auto" w:sz="4" w:space="0"/>
              <w:right w:val="single" w:color="auto" w:sz="12" w:space="0"/>
            </w:tcBorders>
            <w:noWrap/>
            <w:vAlign w:val="center"/>
          </w:tcPr>
          <w:p w14:paraId="4A61F99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0.42%</w:t>
            </w:r>
          </w:p>
        </w:tc>
      </w:tr>
      <w:tr w14:paraId="3F67D75E">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26BDD5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交易性金融资产</w:t>
            </w:r>
          </w:p>
        </w:tc>
        <w:tc>
          <w:tcPr>
            <w:tcW w:w="1801" w:type="dxa"/>
            <w:tcBorders>
              <w:top w:val="nil"/>
              <w:left w:val="nil"/>
              <w:bottom w:val="single" w:color="auto" w:sz="4" w:space="0"/>
              <w:right w:val="single" w:color="auto" w:sz="4" w:space="0"/>
            </w:tcBorders>
            <w:noWrap/>
            <w:vAlign w:val="center"/>
          </w:tcPr>
          <w:p w14:paraId="3F1771A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43,000.00 </w:t>
            </w:r>
          </w:p>
        </w:tc>
        <w:tc>
          <w:tcPr>
            <w:tcW w:w="992" w:type="dxa"/>
            <w:tcBorders>
              <w:top w:val="nil"/>
              <w:left w:val="nil"/>
              <w:bottom w:val="single" w:color="auto" w:sz="4" w:space="0"/>
              <w:right w:val="single" w:color="auto" w:sz="4" w:space="0"/>
            </w:tcBorders>
            <w:noWrap/>
            <w:vAlign w:val="center"/>
          </w:tcPr>
          <w:p w14:paraId="0170EB9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0.79%</w:t>
            </w:r>
          </w:p>
        </w:tc>
        <w:tc>
          <w:tcPr>
            <w:tcW w:w="1843" w:type="dxa"/>
            <w:tcBorders>
              <w:top w:val="nil"/>
              <w:left w:val="nil"/>
              <w:bottom w:val="single" w:color="auto" w:sz="4" w:space="0"/>
              <w:right w:val="single" w:color="auto" w:sz="4" w:space="0"/>
            </w:tcBorders>
            <w:noWrap/>
            <w:vAlign w:val="center"/>
          </w:tcPr>
          <w:p w14:paraId="640ACF5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159,200.00 </w:t>
            </w:r>
          </w:p>
        </w:tc>
        <w:tc>
          <w:tcPr>
            <w:tcW w:w="992" w:type="dxa"/>
            <w:tcBorders>
              <w:top w:val="nil"/>
              <w:left w:val="nil"/>
              <w:bottom w:val="single" w:color="auto" w:sz="4" w:space="0"/>
              <w:right w:val="single" w:color="auto" w:sz="4" w:space="0"/>
            </w:tcBorders>
            <w:noWrap/>
            <w:vAlign w:val="center"/>
          </w:tcPr>
          <w:p w14:paraId="0DC1A53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2.99%</w:t>
            </w:r>
          </w:p>
        </w:tc>
        <w:tc>
          <w:tcPr>
            <w:tcW w:w="1843" w:type="dxa"/>
            <w:tcBorders>
              <w:top w:val="nil"/>
              <w:left w:val="nil"/>
              <w:bottom w:val="single" w:color="auto" w:sz="4" w:space="0"/>
              <w:right w:val="single" w:color="auto" w:sz="4" w:space="0"/>
            </w:tcBorders>
            <w:noWrap/>
            <w:vAlign w:val="center"/>
          </w:tcPr>
          <w:p w14:paraId="58EADA2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213,000.00 </w:t>
            </w:r>
          </w:p>
        </w:tc>
        <w:tc>
          <w:tcPr>
            <w:tcW w:w="1026" w:type="dxa"/>
            <w:tcBorders>
              <w:top w:val="nil"/>
              <w:left w:val="nil"/>
              <w:bottom w:val="single" w:color="auto" w:sz="4" w:space="0"/>
              <w:right w:val="single" w:color="auto" w:sz="12" w:space="0"/>
            </w:tcBorders>
            <w:noWrap/>
            <w:vAlign w:val="center"/>
          </w:tcPr>
          <w:p w14:paraId="44C11C4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4.64%</w:t>
            </w:r>
          </w:p>
        </w:tc>
      </w:tr>
      <w:tr w14:paraId="4160F72A">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DBE14B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应收账款</w:t>
            </w:r>
          </w:p>
        </w:tc>
        <w:tc>
          <w:tcPr>
            <w:tcW w:w="1801" w:type="dxa"/>
            <w:tcBorders>
              <w:top w:val="nil"/>
              <w:left w:val="nil"/>
              <w:bottom w:val="single" w:color="auto" w:sz="4" w:space="0"/>
              <w:right w:val="single" w:color="auto" w:sz="4" w:space="0"/>
            </w:tcBorders>
            <w:noWrap/>
            <w:vAlign w:val="center"/>
          </w:tcPr>
          <w:p w14:paraId="502E0CC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37,594.81 </w:t>
            </w:r>
          </w:p>
        </w:tc>
        <w:tc>
          <w:tcPr>
            <w:tcW w:w="992" w:type="dxa"/>
            <w:tcBorders>
              <w:top w:val="nil"/>
              <w:left w:val="nil"/>
              <w:bottom w:val="single" w:color="auto" w:sz="4" w:space="0"/>
              <w:right w:val="single" w:color="auto" w:sz="4" w:space="0"/>
            </w:tcBorders>
            <w:noWrap/>
            <w:vAlign w:val="center"/>
          </w:tcPr>
          <w:p w14:paraId="11ACBC4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0.69%</w:t>
            </w:r>
          </w:p>
        </w:tc>
        <w:tc>
          <w:tcPr>
            <w:tcW w:w="1843" w:type="dxa"/>
            <w:tcBorders>
              <w:top w:val="nil"/>
              <w:left w:val="nil"/>
              <w:bottom w:val="single" w:color="auto" w:sz="4" w:space="0"/>
              <w:right w:val="single" w:color="auto" w:sz="4" w:space="0"/>
            </w:tcBorders>
            <w:noWrap/>
            <w:vAlign w:val="center"/>
          </w:tcPr>
          <w:p w14:paraId="2AC0D4E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38,688.98 </w:t>
            </w:r>
          </w:p>
        </w:tc>
        <w:tc>
          <w:tcPr>
            <w:tcW w:w="992" w:type="dxa"/>
            <w:tcBorders>
              <w:top w:val="nil"/>
              <w:left w:val="nil"/>
              <w:bottom w:val="single" w:color="auto" w:sz="4" w:space="0"/>
              <w:right w:val="single" w:color="auto" w:sz="4" w:space="0"/>
            </w:tcBorders>
            <w:noWrap/>
            <w:vAlign w:val="center"/>
          </w:tcPr>
          <w:p w14:paraId="42B4703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0.73%</w:t>
            </w:r>
          </w:p>
        </w:tc>
        <w:tc>
          <w:tcPr>
            <w:tcW w:w="1843" w:type="dxa"/>
            <w:tcBorders>
              <w:top w:val="nil"/>
              <w:left w:val="nil"/>
              <w:bottom w:val="single" w:color="auto" w:sz="4" w:space="0"/>
              <w:right w:val="single" w:color="auto" w:sz="4" w:space="0"/>
            </w:tcBorders>
            <w:noWrap/>
            <w:vAlign w:val="center"/>
          </w:tcPr>
          <w:p w14:paraId="1F41E71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43,433.06 </w:t>
            </w:r>
          </w:p>
        </w:tc>
        <w:tc>
          <w:tcPr>
            <w:tcW w:w="1026" w:type="dxa"/>
            <w:tcBorders>
              <w:top w:val="nil"/>
              <w:left w:val="nil"/>
              <w:bottom w:val="single" w:color="auto" w:sz="4" w:space="0"/>
              <w:right w:val="single" w:color="auto" w:sz="12" w:space="0"/>
            </w:tcBorders>
            <w:noWrap/>
            <w:vAlign w:val="center"/>
          </w:tcPr>
          <w:p w14:paraId="3E4A3F0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0.95%</w:t>
            </w:r>
          </w:p>
        </w:tc>
      </w:tr>
      <w:tr w14:paraId="433F68E6">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3FF6D74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预付款项</w:t>
            </w:r>
          </w:p>
        </w:tc>
        <w:tc>
          <w:tcPr>
            <w:tcW w:w="1801" w:type="dxa"/>
            <w:tcBorders>
              <w:top w:val="nil"/>
              <w:left w:val="nil"/>
              <w:bottom w:val="single" w:color="auto" w:sz="4" w:space="0"/>
              <w:right w:val="single" w:color="auto" w:sz="4" w:space="0"/>
            </w:tcBorders>
            <w:noWrap/>
            <w:vAlign w:val="center"/>
          </w:tcPr>
          <w:p w14:paraId="7BACC00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113.92 </w:t>
            </w:r>
          </w:p>
        </w:tc>
        <w:tc>
          <w:tcPr>
            <w:tcW w:w="992" w:type="dxa"/>
            <w:tcBorders>
              <w:top w:val="nil"/>
              <w:left w:val="nil"/>
              <w:bottom w:val="single" w:color="auto" w:sz="4" w:space="0"/>
              <w:right w:val="single" w:color="auto" w:sz="4" w:space="0"/>
            </w:tcBorders>
            <w:noWrap/>
            <w:vAlign w:val="center"/>
          </w:tcPr>
          <w:p w14:paraId="2D4F266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50812C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176.01 </w:t>
            </w:r>
          </w:p>
        </w:tc>
        <w:tc>
          <w:tcPr>
            <w:tcW w:w="992" w:type="dxa"/>
            <w:tcBorders>
              <w:top w:val="nil"/>
              <w:left w:val="nil"/>
              <w:bottom w:val="single" w:color="auto" w:sz="4" w:space="0"/>
              <w:right w:val="single" w:color="auto" w:sz="4" w:space="0"/>
            </w:tcBorders>
            <w:noWrap/>
            <w:vAlign w:val="center"/>
          </w:tcPr>
          <w:p w14:paraId="068AEC7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1A9D5B1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97.42 </w:t>
            </w:r>
          </w:p>
        </w:tc>
        <w:tc>
          <w:tcPr>
            <w:tcW w:w="1026" w:type="dxa"/>
            <w:tcBorders>
              <w:top w:val="nil"/>
              <w:left w:val="nil"/>
              <w:bottom w:val="single" w:color="auto" w:sz="4" w:space="0"/>
              <w:right w:val="single" w:color="auto" w:sz="12" w:space="0"/>
            </w:tcBorders>
            <w:noWrap/>
            <w:vAlign w:val="center"/>
          </w:tcPr>
          <w:p w14:paraId="21BBF8A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06433994">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2A822E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其他应收款合计</w:t>
            </w:r>
          </w:p>
        </w:tc>
        <w:tc>
          <w:tcPr>
            <w:tcW w:w="1801" w:type="dxa"/>
            <w:tcBorders>
              <w:top w:val="nil"/>
              <w:left w:val="nil"/>
              <w:bottom w:val="single" w:color="auto" w:sz="4" w:space="0"/>
              <w:right w:val="single" w:color="auto" w:sz="4" w:space="0"/>
            </w:tcBorders>
            <w:noWrap/>
            <w:vAlign w:val="center"/>
          </w:tcPr>
          <w:p w14:paraId="375018F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310.32 </w:t>
            </w:r>
          </w:p>
        </w:tc>
        <w:tc>
          <w:tcPr>
            <w:tcW w:w="992" w:type="dxa"/>
            <w:tcBorders>
              <w:top w:val="nil"/>
              <w:left w:val="nil"/>
              <w:bottom w:val="single" w:color="auto" w:sz="4" w:space="0"/>
              <w:right w:val="single" w:color="auto" w:sz="4" w:space="0"/>
            </w:tcBorders>
            <w:noWrap/>
            <w:vAlign w:val="center"/>
          </w:tcPr>
          <w:p w14:paraId="16D9965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c>
          <w:tcPr>
            <w:tcW w:w="1843" w:type="dxa"/>
            <w:tcBorders>
              <w:top w:val="nil"/>
              <w:left w:val="nil"/>
              <w:bottom w:val="single" w:color="auto" w:sz="4" w:space="0"/>
              <w:right w:val="single" w:color="auto" w:sz="4" w:space="0"/>
            </w:tcBorders>
            <w:noWrap/>
            <w:vAlign w:val="center"/>
          </w:tcPr>
          <w:p w14:paraId="346A4C3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24,007.89 </w:t>
            </w:r>
          </w:p>
        </w:tc>
        <w:tc>
          <w:tcPr>
            <w:tcW w:w="992" w:type="dxa"/>
            <w:tcBorders>
              <w:top w:val="nil"/>
              <w:left w:val="nil"/>
              <w:bottom w:val="single" w:color="auto" w:sz="4" w:space="0"/>
              <w:right w:val="single" w:color="auto" w:sz="4" w:space="0"/>
            </w:tcBorders>
            <w:noWrap/>
            <w:vAlign w:val="center"/>
          </w:tcPr>
          <w:p w14:paraId="6CF9EEE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0.45%</w:t>
            </w:r>
          </w:p>
        </w:tc>
        <w:tc>
          <w:tcPr>
            <w:tcW w:w="1843" w:type="dxa"/>
            <w:tcBorders>
              <w:top w:val="nil"/>
              <w:left w:val="nil"/>
              <w:bottom w:val="single" w:color="auto" w:sz="4" w:space="0"/>
              <w:right w:val="single" w:color="auto" w:sz="4" w:space="0"/>
            </w:tcBorders>
            <w:noWrap/>
            <w:vAlign w:val="center"/>
          </w:tcPr>
          <w:p w14:paraId="4B4F24D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1,516.69 </w:t>
            </w:r>
          </w:p>
        </w:tc>
        <w:tc>
          <w:tcPr>
            <w:tcW w:w="1026" w:type="dxa"/>
            <w:tcBorders>
              <w:top w:val="nil"/>
              <w:left w:val="nil"/>
              <w:bottom w:val="single" w:color="auto" w:sz="4" w:space="0"/>
              <w:right w:val="single" w:color="auto" w:sz="12" w:space="0"/>
            </w:tcBorders>
            <w:noWrap/>
            <w:vAlign w:val="center"/>
          </w:tcPr>
          <w:p w14:paraId="3644BE3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0.03%</w:t>
            </w:r>
          </w:p>
        </w:tc>
      </w:tr>
      <w:tr w14:paraId="590619DF">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C04893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其中：应收利息</w:t>
            </w:r>
          </w:p>
        </w:tc>
        <w:tc>
          <w:tcPr>
            <w:tcW w:w="1801" w:type="dxa"/>
            <w:tcBorders>
              <w:top w:val="nil"/>
              <w:left w:val="nil"/>
              <w:bottom w:val="single" w:color="auto" w:sz="4" w:space="0"/>
              <w:right w:val="single" w:color="auto" w:sz="4" w:space="0"/>
            </w:tcBorders>
            <w:noWrap/>
            <w:vAlign w:val="center"/>
          </w:tcPr>
          <w:p w14:paraId="351070B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52C0509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36E0178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4DF3871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12931AA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3073796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696B9D5E">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A1B609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应收股利</w:t>
            </w:r>
          </w:p>
        </w:tc>
        <w:tc>
          <w:tcPr>
            <w:tcW w:w="1801" w:type="dxa"/>
            <w:tcBorders>
              <w:top w:val="nil"/>
              <w:left w:val="nil"/>
              <w:bottom w:val="single" w:color="auto" w:sz="4" w:space="0"/>
              <w:right w:val="single" w:color="auto" w:sz="4" w:space="0"/>
            </w:tcBorders>
            <w:noWrap/>
            <w:vAlign w:val="center"/>
          </w:tcPr>
          <w:p w14:paraId="6755863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570B453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666A7F1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23,610.61 </w:t>
            </w:r>
          </w:p>
        </w:tc>
        <w:tc>
          <w:tcPr>
            <w:tcW w:w="992" w:type="dxa"/>
            <w:tcBorders>
              <w:top w:val="nil"/>
              <w:left w:val="nil"/>
              <w:bottom w:val="single" w:color="auto" w:sz="4" w:space="0"/>
              <w:right w:val="single" w:color="auto" w:sz="4" w:space="0"/>
            </w:tcBorders>
            <w:noWrap/>
            <w:vAlign w:val="center"/>
          </w:tcPr>
          <w:p w14:paraId="1E9B16E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0.44%</w:t>
            </w:r>
          </w:p>
        </w:tc>
        <w:tc>
          <w:tcPr>
            <w:tcW w:w="1843" w:type="dxa"/>
            <w:tcBorders>
              <w:top w:val="nil"/>
              <w:left w:val="nil"/>
              <w:bottom w:val="single" w:color="auto" w:sz="4" w:space="0"/>
              <w:right w:val="single" w:color="auto" w:sz="4" w:space="0"/>
            </w:tcBorders>
            <w:noWrap/>
            <w:vAlign w:val="center"/>
          </w:tcPr>
          <w:p w14:paraId="3EC9C16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499.00 </w:t>
            </w:r>
          </w:p>
        </w:tc>
        <w:tc>
          <w:tcPr>
            <w:tcW w:w="1026" w:type="dxa"/>
            <w:tcBorders>
              <w:top w:val="nil"/>
              <w:left w:val="nil"/>
              <w:bottom w:val="single" w:color="auto" w:sz="4" w:space="0"/>
              <w:right w:val="single" w:color="auto" w:sz="12" w:space="0"/>
            </w:tcBorders>
            <w:noWrap/>
            <w:vAlign w:val="center"/>
          </w:tcPr>
          <w:p w14:paraId="5D0D7C6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r>
      <w:tr w14:paraId="50DADFA0">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0810054">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其他应收款</w:t>
            </w:r>
          </w:p>
        </w:tc>
        <w:tc>
          <w:tcPr>
            <w:tcW w:w="1801" w:type="dxa"/>
            <w:tcBorders>
              <w:top w:val="nil"/>
              <w:left w:val="nil"/>
              <w:bottom w:val="single" w:color="auto" w:sz="4" w:space="0"/>
              <w:right w:val="single" w:color="auto" w:sz="4" w:space="0"/>
            </w:tcBorders>
            <w:noWrap/>
            <w:vAlign w:val="center"/>
          </w:tcPr>
          <w:p w14:paraId="4FF686E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310.32 </w:t>
            </w:r>
          </w:p>
        </w:tc>
        <w:tc>
          <w:tcPr>
            <w:tcW w:w="992" w:type="dxa"/>
            <w:tcBorders>
              <w:top w:val="nil"/>
              <w:left w:val="nil"/>
              <w:bottom w:val="single" w:color="auto" w:sz="4" w:space="0"/>
              <w:right w:val="single" w:color="auto" w:sz="4" w:space="0"/>
            </w:tcBorders>
            <w:noWrap/>
            <w:vAlign w:val="center"/>
          </w:tcPr>
          <w:p w14:paraId="3FA25DC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c>
          <w:tcPr>
            <w:tcW w:w="1843" w:type="dxa"/>
            <w:tcBorders>
              <w:top w:val="nil"/>
              <w:left w:val="nil"/>
              <w:bottom w:val="single" w:color="auto" w:sz="4" w:space="0"/>
              <w:right w:val="single" w:color="auto" w:sz="4" w:space="0"/>
            </w:tcBorders>
            <w:noWrap/>
            <w:vAlign w:val="center"/>
          </w:tcPr>
          <w:p w14:paraId="52F5746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397.28 </w:t>
            </w:r>
          </w:p>
        </w:tc>
        <w:tc>
          <w:tcPr>
            <w:tcW w:w="992" w:type="dxa"/>
            <w:tcBorders>
              <w:top w:val="nil"/>
              <w:left w:val="nil"/>
              <w:bottom w:val="single" w:color="auto" w:sz="4" w:space="0"/>
              <w:right w:val="single" w:color="auto" w:sz="4" w:space="0"/>
            </w:tcBorders>
            <w:noWrap/>
            <w:vAlign w:val="center"/>
          </w:tcPr>
          <w:p w14:paraId="2D7FD26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c>
          <w:tcPr>
            <w:tcW w:w="1843" w:type="dxa"/>
            <w:tcBorders>
              <w:top w:val="nil"/>
              <w:left w:val="nil"/>
              <w:bottom w:val="single" w:color="auto" w:sz="4" w:space="0"/>
              <w:right w:val="single" w:color="auto" w:sz="4" w:space="0"/>
            </w:tcBorders>
            <w:noWrap/>
            <w:vAlign w:val="center"/>
          </w:tcPr>
          <w:p w14:paraId="1BB7E01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1,017.69 </w:t>
            </w:r>
          </w:p>
        </w:tc>
        <w:tc>
          <w:tcPr>
            <w:tcW w:w="1026" w:type="dxa"/>
            <w:tcBorders>
              <w:top w:val="nil"/>
              <w:left w:val="nil"/>
              <w:bottom w:val="single" w:color="auto" w:sz="4" w:space="0"/>
              <w:right w:val="single" w:color="auto" w:sz="12" w:space="0"/>
            </w:tcBorders>
            <w:noWrap/>
            <w:vAlign w:val="center"/>
          </w:tcPr>
          <w:p w14:paraId="781B781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0.02%</w:t>
            </w:r>
          </w:p>
        </w:tc>
      </w:tr>
      <w:tr w14:paraId="294B8008">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7C1CBD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存货</w:t>
            </w:r>
          </w:p>
        </w:tc>
        <w:tc>
          <w:tcPr>
            <w:tcW w:w="1801" w:type="dxa"/>
            <w:tcBorders>
              <w:top w:val="nil"/>
              <w:left w:val="nil"/>
              <w:bottom w:val="single" w:color="auto" w:sz="4" w:space="0"/>
              <w:right w:val="single" w:color="auto" w:sz="4" w:space="0"/>
            </w:tcBorders>
            <w:noWrap/>
            <w:vAlign w:val="center"/>
          </w:tcPr>
          <w:p w14:paraId="60B726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1,377.07 </w:t>
            </w:r>
          </w:p>
        </w:tc>
        <w:tc>
          <w:tcPr>
            <w:tcW w:w="992" w:type="dxa"/>
            <w:tcBorders>
              <w:top w:val="nil"/>
              <w:left w:val="nil"/>
              <w:bottom w:val="single" w:color="auto" w:sz="4" w:space="0"/>
              <w:right w:val="single" w:color="auto" w:sz="4" w:space="0"/>
            </w:tcBorders>
            <w:noWrap/>
            <w:vAlign w:val="center"/>
          </w:tcPr>
          <w:p w14:paraId="6D4E782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0.03%</w:t>
            </w:r>
          </w:p>
        </w:tc>
        <w:tc>
          <w:tcPr>
            <w:tcW w:w="1843" w:type="dxa"/>
            <w:tcBorders>
              <w:top w:val="nil"/>
              <w:left w:val="nil"/>
              <w:bottom w:val="single" w:color="auto" w:sz="4" w:space="0"/>
              <w:right w:val="single" w:color="auto" w:sz="4" w:space="0"/>
            </w:tcBorders>
            <w:noWrap/>
            <w:vAlign w:val="center"/>
          </w:tcPr>
          <w:p w14:paraId="7663C82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1,656.72 </w:t>
            </w:r>
          </w:p>
        </w:tc>
        <w:tc>
          <w:tcPr>
            <w:tcW w:w="992" w:type="dxa"/>
            <w:tcBorders>
              <w:top w:val="nil"/>
              <w:left w:val="nil"/>
              <w:bottom w:val="single" w:color="auto" w:sz="4" w:space="0"/>
              <w:right w:val="single" w:color="auto" w:sz="4" w:space="0"/>
            </w:tcBorders>
            <w:noWrap/>
            <w:vAlign w:val="center"/>
          </w:tcPr>
          <w:p w14:paraId="6D0280A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0.03%</w:t>
            </w:r>
          </w:p>
        </w:tc>
        <w:tc>
          <w:tcPr>
            <w:tcW w:w="1843" w:type="dxa"/>
            <w:tcBorders>
              <w:top w:val="nil"/>
              <w:left w:val="nil"/>
              <w:bottom w:val="single" w:color="auto" w:sz="4" w:space="0"/>
              <w:right w:val="single" w:color="auto" w:sz="4" w:space="0"/>
            </w:tcBorders>
            <w:noWrap/>
            <w:vAlign w:val="center"/>
          </w:tcPr>
          <w:p w14:paraId="140F0DB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1,808.75 </w:t>
            </w:r>
          </w:p>
        </w:tc>
        <w:tc>
          <w:tcPr>
            <w:tcW w:w="1026" w:type="dxa"/>
            <w:tcBorders>
              <w:top w:val="nil"/>
              <w:left w:val="nil"/>
              <w:bottom w:val="single" w:color="auto" w:sz="4" w:space="0"/>
              <w:right w:val="single" w:color="auto" w:sz="12" w:space="0"/>
            </w:tcBorders>
            <w:noWrap/>
            <w:vAlign w:val="center"/>
          </w:tcPr>
          <w:p w14:paraId="208F01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0.04%</w:t>
            </w:r>
          </w:p>
        </w:tc>
      </w:tr>
      <w:tr w14:paraId="2984893D">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07B6CD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一年内到期的非流动资产</w:t>
            </w:r>
          </w:p>
        </w:tc>
        <w:tc>
          <w:tcPr>
            <w:tcW w:w="1801" w:type="dxa"/>
            <w:tcBorders>
              <w:top w:val="nil"/>
              <w:left w:val="nil"/>
              <w:bottom w:val="single" w:color="auto" w:sz="4" w:space="0"/>
              <w:right w:val="single" w:color="auto" w:sz="4" w:space="0"/>
            </w:tcBorders>
            <w:noWrap/>
            <w:vAlign w:val="center"/>
          </w:tcPr>
          <w:p w14:paraId="2A0AC42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7,123.55 </w:t>
            </w:r>
          </w:p>
        </w:tc>
        <w:tc>
          <w:tcPr>
            <w:tcW w:w="992" w:type="dxa"/>
            <w:tcBorders>
              <w:top w:val="nil"/>
              <w:left w:val="nil"/>
              <w:bottom w:val="single" w:color="auto" w:sz="4" w:space="0"/>
              <w:right w:val="single" w:color="auto" w:sz="4" w:space="0"/>
            </w:tcBorders>
            <w:noWrap/>
            <w:vAlign w:val="center"/>
          </w:tcPr>
          <w:p w14:paraId="7A13DC6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0.13%</w:t>
            </w:r>
          </w:p>
        </w:tc>
        <w:tc>
          <w:tcPr>
            <w:tcW w:w="1843" w:type="dxa"/>
            <w:tcBorders>
              <w:top w:val="nil"/>
              <w:left w:val="nil"/>
              <w:bottom w:val="single" w:color="auto" w:sz="4" w:space="0"/>
              <w:right w:val="single" w:color="auto" w:sz="4" w:space="0"/>
            </w:tcBorders>
            <w:noWrap/>
            <w:vAlign w:val="center"/>
          </w:tcPr>
          <w:p w14:paraId="66FBBCF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135,304.20 </w:t>
            </w:r>
          </w:p>
        </w:tc>
        <w:tc>
          <w:tcPr>
            <w:tcW w:w="992" w:type="dxa"/>
            <w:tcBorders>
              <w:top w:val="nil"/>
              <w:left w:val="nil"/>
              <w:bottom w:val="single" w:color="auto" w:sz="4" w:space="0"/>
              <w:right w:val="single" w:color="auto" w:sz="4" w:space="0"/>
            </w:tcBorders>
            <w:noWrap/>
            <w:vAlign w:val="center"/>
          </w:tcPr>
          <w:p w14:paraId="628CAC9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2.54%</w:t>
            </w:r>
          </w:p>
        </w:tc>
        <w:tc>
          <w:tcPr>
            <w:tcW w:w="1843" w:type="dxa"/>
            <w:tcBorders>
              <w:top w:val="nil"/>
              <w:left w:val="nil"/>
              <w:bottom w:val="single" w:color="auto" w:sz="4" w:space="0"/>
              <w:right w:val="single" w:color="auto" w:sz="4" w:space="0"/>
            </w:tcBorders>
            <w:noWrap/>
            <w:vAlign w:val="center"/>
          </w:tcPr>
          <w:p w14:paraId="49C5EF6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497F08E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653BB652">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C91B96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其他流动资产</w:t>
            </w:r>
          </w:p>
        </w:tc>
        <w:tc>
          <w:tcPr>
            <w:tcW w:w="1801" w:type="dxa"/>
            <w:tcBorders>
              <w:top w:val="nil"/>
              <w:left w:val="nil"/>
              <w:bottom w:val="single" w:color="auto" w:sz="4" w:space="0"/>
              <w:right w:val="single" w:color="auto" w:sz="4" w:space="0"/>
            </w:tcBorders>
            <w:noWrap/>
            <w:vAlign w:val="center"/>
          </w:tcPr>
          <w:p w14:paraId="5D82B9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183,907.14 </w:t>
            </w:r>
          </w:p>
        </w:tc>
        <w:tc>
          <w:tcPr>
            <w:tcW w:w="992" w:type="dxa"/>
            <w:tcBorders>
              <w:top w:val="nil"/>
              <w:left w:val="nil"/>
              <w:bottom w:val="single" w:color="auto" w:sz="4" w:space="0"/>
              <w:right w:val="single" w:color="auto" w:sz="4" w:space="0"/>
            </w:tcBorders>
            <w:noWrap/>
            <w:vAlign w:val="center"/>
          </w:tcPr>
          <w:p w14:paraId="7B08B5D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3.39%</w:t>
            </w:r>
          </w:p>
        </w:tc>
        <w:tc>
          <w:tcPr>
            <w:tcW w:w="1843" w:type="dxa"/>
            <w:tcBorders>
              <w:top w:val="nil"/>
              <w:left w:val="nil"/>
              <w:bottom w:val="single" w:color="auto" w:sz="4" w:space="0"/>
              <w:right w:val="single" w:color="auto" w:sz="4" w:space="0"/>
            </w:tcBorders>
            <w:noWrap/>
            <w:vAlign w:val="center"/>
          </w:tcPr>
          <w:p w14:paraId="1835F0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279,178.84 </w:t>
            </w:r>
          </w:p>
        </w:tc>
        <w:tc>
          <w:tcPr>
            <w:tcW w:w="992" w:type="dxa"/>
            <w:tcBorders>
              <w:top w:val="nil"/>
              <w:left w:val="nil"/>
              <w:bottom w:val="single" w:color="auto" w:sz="4" w:space="0"/>
              <w:right w:val="single" w:color="auto" w:sz="4" w:space="0"/>
            </w:tcBorders>
            <w:noWrap/>
            <w:vAlign w:val="center"/>
          </w:tcPr>
          <w:p w14:paraId="685DD27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5.24%</w:t>
            </w:r>
          </w:p>
        </w:tc>
        <w:tc>
          <w:tcPr>
            <w:tcW w:w="1843" w:type="dxa"/>
            <w:tcBorders>
              <w:top w:val="nil"/>
              <w:left w:val="nil"/>
              <w:bottom w:val="single" w:color="auto" w:sz="4" w:space="0"/>
              <w:right w:val="single" w:color="auto" w:sz="4" w:space="0"/>
            </w:tcBorders>
            <w:noWrap/>
            <w:vAlign w:val="center"/>
          </w:tcPr>
          <w:p w14:paraId="726007F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353,964.56 </w:t>
            </w:r>
          </w:p>
        </w:tc>
        <w:tc>
          <w:tcPr>
            <w:tcW w:w="1026" w:type="dxa"/>
            <w:tcBorders>
              <w:top w:val="nil"/>
              <w:left w:val="nil"/>
              <w:bottom w:val="single" w:color="auto" w:sz="4" w:space="0"/>
              <w:right w:val="single" w:color="auto" w:sz="12" w:space="0"/>
            </w:tcBorders>
            <w:noWrap/>
            <w:vAlign w:val="center"/>
          </w:tcPr>
          <w:p w14:paraId="691EFF7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7.71%</w:t>
            </w:r>
          </w:p>
        </w:tc>
      </w:tr>
      <w:tr w14:paraId="31639F3E">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3ECE612C">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流动资产合计</w:t>
            </w:r>
          </w:p>
        </w:tc>
        <w:tc>
          <w:tcPr>
            <w:tcW w:w="1801" w:type="dxa"/>
            <w:tcBorders>
              <w:top w:val="nil"/>
              <w:left w:val="nil"/>
              <w:bottom w:val="single" w:color="auto" w:sz="4" w:space="0"/>
              <w:right w:val="single" w:color="auto" w:sz="4" w:space="0"/>
            </w:tcBorders>
            <w:noWrap/>
            <w:vAlign w:val="center"/>
          </w:tcPr>
          <w:p w14:paraId="0E72B8B8">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294,595.24 </w:t>
            </w:r>
          </w:p>
        </w:tc>
        <w:tc>
          <w:tcPr>
            <w:tcW w:w="992" w:type="dxa"/>
            <w:tcBorders>
              <w:top w:val="nil"/>
              <w:left w:val="nil"/>
              <w:bottom w:val="single" w:color="auto" w:sz="4" w:space="0"/>
              <w:right w:val="single" w:color="auto" w:sz="4" w:space="0"/>
            </w:tcBorders>
            <w:noWrap/>
            <w:vAlign w:val="center"/>
          </w:tcPr>
          <w:p w14:paraId="62251540">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5.43%</w:t>
            </w:r>
          </w:p>
        </w:tc>
        <w:tc>
          <w:tcPr>
            <w:tcW w:w="1843" w:type="dxa"/>
            <w:tcBorders>
              <w:top w:val="nil"/>
              <w:left w:val="nil"/>
              <w:bottom w:val="single" w:color="auto" w:sz="4" w:space="0"/>
              <w:right w:val="single" w:color="auto" w:sz="4" w:space="0"/>
            </w:tcBorders>
            <w:noWrap/>
            <w:vAlign w:val="center"/>
          </w:tcPr>
          <w:p w14:paraId="43AD311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657,640.95 </w:t>
            </w:r>
          </w:p>
        </w:tc>
        <w:tc>
          <w:tcPr>
            <w:tcW w:w="992" w:type="dxa"/>
            <w:tcBorders>
              <w:top w:val="nil"/>
              <w:left w:val="nil"/>
              <w:bottom w:val="single" w:color="auto" w:sz="4" w:space="0"/>
              <w:right w:val="single" w:color="auto" w:sz="4" w:space="0"/>
            </w:tcBorders>
            <w:noWrap/>
            <w:vAlign w:val="center"/>
          </w:tcPr>
          <w:p w14:paraId="6641D87C">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12.35%</w:t>
            </w:r>
          </w:p>
        </w:tc>
        <w:tc>
          <w:tcPr>
            <w:tcW w:w="1843" w:type="dxa"/>
            <w:tcBorders>
              <w:top w:val="nil"/>
              <w:left w:val="nil"/>
              <w:bottom w:val="single" w:color="auto" w:sz="4" w:space="0"/>
              <w:right w:val="single" w:color="auto" w:sz="4" w:space="0"/>
            </w:tcBorders>
            <w:noWrap/>
            <w:vAlign w:val="center"/>
          </w:tcPr>
          <w:p w14:paraId="071AFAA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633,083.26 </w:t>
            </w:r>
          </w:p>
        </w:tc>
        <w:tc>
          <w:tcPr>
            <w:tcW w:w="1026" w:type="dxa"/>
            <w:tcBorders>
              <w:top w:val="nil"/>
              <w:left w:val="nil"/>
              <w:bottom w:val="single" w:color="auto" w:sz="4" w:space="0"/>
              <w:right w:val="single" w:color="auto" w:sz="12" w:space="0"/>
            </w:tcBorders>
            <w:noWrap/>
            <w:vAlign w:val="center"/>
          </w:tcPr>
          <w:p w14:paraId="310F41FF">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13.78%</w:t>
            </w:r>
          </w:p>
        </w:tc>
      </w:tr>
      <w:tr w14:paraId="0A26DA9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5E0CB9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长期股权投资</w:t>
            </w:r>
          </w:p>
        </w:tc>
        <w:tc>
          <w:tcPr>
            <w:tcW w:w="1801" w:type="dxa"/>
            <w:tcBorders>
              <w:top w:val="nil"/>
              <w:left w:val="nil"/>
              <w:bottom w:val="single" w:color="auto" w:sz="4" w:space="0"/>
              <w:right w:val="single" w:color="auto" w:sz="4" w:space="0"/>
            </w:tcBorders>
            <w:noWrap/>
            <w:vAlign w:val="center"/>
          </w:tcPr>
          <w:p w14:paraId="2BEE3C7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3,074,907.50 </w:t>
            </w:r>
          </w:p>
        </w:tc>
        <w:tc>
          <w:tcPr>
            <w:tcW w:w="992" w:type="dxa"/>
            <w:tcBorders>
              <w:top w:val="nil"/>
              <w:left w:val="nil"/>
              <w:bottom w:val="single" w:color="auto" w:sz="4" w:space="0"/>
              <w:right w:val="single" w:color="auto" w:sz="4" w:space="0"/>
            </w:tcBorders>
            <w:noWrap/>
            <w:vAlign w:val="center"/>
          </w:tcPr>
          <w:p w14:paraId="6D91687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56.66%</w:t>
            </w:r>
          </w:p>
        </w:tc>
        <w:tc>
          <w:tcPr>
            <w:tcW w:w="1843" w:type="dxa"/>
            <w:tcBorders>
              <w:top w:val="nil"/>
              <w:left w:val="nil"/>
              <w:bottom w:val="single" w:color="auto" w:sz="4" w:space="0"/>
              <w:right w:val="single" w:color="auto" w:sz="4" w:space="0"/>
            </w:tcBorders>
            <w:noWrap/>
            <w:vAlign w:val="center"/>
          </w:tcPr>
          <w:p w14:paraId="7E612D3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2,805,942.37 </w:t>
            </w:r>
          </w:p>
        </w:tc>
        <w:tc>
          <w:tcPr>
            <w:tcW w:w="992" w:type="dxa"/>
            <w:tcBorders>
              <w:top w:val="nil"/>
              <w:left w:val="nil"/>
              <w:bottom w:val="single" w:color="auto" w:sz="4" w:space="0"/>
              <w:right w:val="single" w:color="auto" w:sz="4" w:space="0"/>
            </w:tcBorders>
            <w:noWrap/>
            <w:vAlign w:val="center"/>
          </w:tcPr>
          <w:p w14:paraId="710F7EC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52.71%</w:t>
            </w:r>
          </w:p>
        </w:tc>
        <w:tc>
          <w:tcPr>
            <w:tcW w:w="1843" w:type="dxa"/>
            <w:tcBorders>
              <w:top w:val="nil"/>
              <w:left w:val="nil"/>
              <w:bottom w:val="single" w:color="auto" w:sz="4" w:space="0"/>
              <w:right w:val="single" w:color="auto" w:sz="4" w:space="0"/>
            </w:tcBorders>
            <w:noWrap/>
            <w:vAlign w:val="center"/>
          </w:tcPr>
          <w:p w14:paraId="7A805BC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2,154,573.22 </w:t>
            </w:r>
          </w:p>
        </w:tc>
        <w:tc>
          <w:tcPr>
            <w:tcW w:w="1026" w:type="dxa"/>
            <w:tcBorders>
              <w:top w:val="nil"/>
              <w:left w:val="nil"/>
              <w:bottom w:val="single" w:color="auto" w:sz="4" w:space="0"/>
              <w:right w:val="single" w:color="auto" w:sz="12" w:space="0"/>
            </w:tcBorders>
            <w:noWrap/>
            <w:vAlign w:val="center"/>
          </w:tcPr>
          <w:p w14:paraId="294D00D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46.91%</w:t>
            </w:r>
          </w:p>
        </w:tc>
      </w:tr>
      <w:tr w14:paraId="560E2434">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F9D284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其他权益工具投资</w:t>
            </w:r>
          </w:p>
        </w:tc>
        <w:tc>
          <w:tcPr>
            <w:tcW w:w="1801" w:type="dxa"/>
            <w:tcBorders>
              <w:top w:val="nil"/>
              <w:left w:val="nil"/>
              <w:bottom w:val="single" w:color="auto" w:sz="4" w:space="0"/>
              <w:right w:val="single" w:color="auto" w:sz="4" w:space="0"/>
            </w:tcBorders>
            <w:noWrap/>
            <w:vAlign w:val="center"/>
          </w:tcPr>
          <w:p w14:paraId="1B1E051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749,928.19 </w:t>
            </w:r>
          </w:p>
        </w:tc>
        <w:tc>
          <w:tcPr>
            <w:tcW w:w="992" w:type="dxa"/>
            <w:tcBorders>
              <w:top w:val="nil"/>
              <w:left w:val="nil"/>
              <w:bottom w:val="single" w:color="auto" w:sz="4" w:space="0"/>
              <w:right w:val="single" w:color="auto" w:sz="4" w:space="0"/>
            </w:tcBorders>
            <w:noWrap/>
            <w:vAlign w:val="center"/>
          </w:tcPr>
          <w:p w14:paraId="69B5A45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13.82%</w:t>
            </w:r>
          </w:p>
        </w:tc>
        <w:tc>
          <w:tcPr>
            <w:tcW w:w="1843" w:type="dxa"/>
            <w:tcBorders>
              <w:top w:val="nil"/>
              <w:left w:val="nil"/>
              <w:bottom w:val="single" w:color="auto" w:sz="4" w:space="0"/>
              <w:right w:val="single" w:color="auto" w:sz="4" w:space="0"/>
            </w:tcBorders>
            <w:noWrap/>
            <w:vAlign w:val="center"/>
          </w:tcPr>
          <w:p w14:paraId="786E496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708,105.27 </w:t>
            </w:r>
          </w:p>
        </w:tc>
        <w:tc>
          <w:tcPr>
            <w:tcW w:w="992" w:type="dxa"/>
            <w:tcBorders>
              <w:top w:val="nil"/>
              <w:left w:val="nil"/>
              <w:bottom w:val="single" w:color="auto" w:sz="4" w:space="0"/>
              <w:right w:val="single" w:color="auto" w:sz="4" w:space="0"/>
            </w:tcBorders>
            <w:noWrap/>
            <w:vAlign w:val="center"/>
          </w:tcPr>
          <w:p w14:paraId="3A04317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13.30%</w:t>
            </w:r>
          </w:p>
        </w:tc>
        <w:tc>
          <w:tcPr>
            <w:tcW w:w="1843" w:type="dxa"/>
            <w:tcBorders>
              <w:top w:val="nil"/>
              <w:left w:val="nil"/>
              <w:bottom w:val="single" w:color="auto" w:sz="4" w:space="0"/>
              <w:right w:val="single" w:color="auto" w:sz="4" w:space="0"/>
            </w:tcBorders>
            <w:noWrap/>
            <w:vAlign w:val="center"/>
          </w:tcPr>
          <w:p w14:paraId="4DEB868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482,405.73 </w:t>
            </w:r>
          </w:p>
        </w:tc>
        <w:tc>
          <w:tcPr>
            <w:tcW w:w="1026" w:type="dxa"/>
            <w:tcBorders>
              <w:top w:val="nil"/>
              <w:left w:val="nil"/>
              <w:bottom w:val="single" w:color="auto" w:sz="4" w:space="0"/>
              <w:right w:val="single" w:color="auto" w:sz="12" w:space="0"/>
            </w:tcBorders>
            <w:noWrap/>
            <w:vAlign w:val="center"/>
          </w:tcPr>
          <w:p w14:paraId="5F94445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10.50%</w:t>
            </w:r>
          </w:p>
        </w:tc>
      </w:tr>
      <w:tr w14:paraId="3BEBE0F7">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78FC8F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固定资产合计</w:t>
            </w:r>
          </w:p>
        </w:tc>
        <w:tc>
          <w:tcPr>
            <w:tcW w:w="1801" w:type="dxa"/>
            <w:tcBorders>
              <w:top w:val="nil"/>
              <w:left w:val="nil"/>
              <w:bottom w:val="single" w:color="auto" w:sz="4" w:space="0"/>
              <w:right w:val="single" w:color="auto" w:sz="4" w:space="0"/>
            </w:tcBorders>
            <w:noWrap/>
            <w:vAlign w:val="center"/>
          </w:tcPr>
          <w:p w14:paraId="621E73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97,408.73 </w:t>
            </w:r>
          </w:p>
        </w:tc>
        <w:tc>
          <w:tcPr>
            <w:tcW w:w="992" w:type="dxa"/>
            <w:tcBorders>
              <w:top w:val="nil"/>
              <w:left w:val="nil"/>
              <w:bottom w:val="single" w:color="auto" w:sz="4" w:space="0"/>
              <w:right w:val="single" w:color="auto" w:sz="4" w:space="0"/>
            </w:tcBorders>
            <w:noWrap/>
            <w:vAlign w:val="center"/>
          </w:tcPr>
          <w:p w14:paraId="4543690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1.80%</w:t>
            </w:r>
          </w:p>
        </w:tc>
        <w:tc>
          <w:tcPr>
            <w:tcW w:w="1843" w:type="dxa"/>
            <w:tcBorders>
              <w:top w:val="nil"/>
              <w:left w:val="nil"/>
              <w:bottom w:val="single" w:color="auto" w:sz="4" w:space="0"/>
              <w:right w:val="single" w:color="auto" w:sz="4" w:space="0"/>
            </w:tcBorders>
            <w:noWrap/>
            <w:vAlign w:val="center"/>
          </w:tcPr>
          <w:p w14:paraId="4621CB2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106,053.13 </w:t>
            </w:r>
          </w:p>
        </w:tc>
        <w:tc>
          <w:tcPr>
            <w:tcW w:w="992" w:type="dxa"/>
            <w:tcBorders>
              <w:top w:val="nil"/>
              <w:left w:val="nil"/>
              <w:bottom w:val="single" w:color="auto" w:sz="4" w:space="0"/>
              <w:right w:val="single" w:color="auto" w:sz="4" w:space="0"/>
            </w:tcBorders>
            <w:noWrap/>
            <w:vAlign w:val="center"/>
          </w:tcPr>
          <w:p w14:paraId="197A555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1.99%</w:t>
            </w:r>
          </w:p>
        </w:tc>
        <w:tc>
          <w:tcPr>
            <w:tcW w:w="1843" w:type="dxa"/>
            <w:tcBorders>
              <w:top w:val="nil"/>
              <w:left w:val="nil"/>
              <w:bottom w:val="single" w:color="auto" w:sz="4" w:space="0"/>
              <w:right w:val="single" w:color="auto" w:sz="4" w:space="0"/>
            </w:tcBorders>
            <w:noWrap/>
            <w:vAlign w:val="center"/>
          </w:tcPr>
          <w:p w14:paraId="0528550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111,084.44 </w:t>
            </w:r>
          </w:p>
        </w:tc>
        <w:tc>
          <w:tcPr>
            <w:tcW w:w="1026" w:type="dxa"/>
            <w:tcBorders>
              <w:top w:val="nil"/>
              <w:left w:val="nil"/>
              <w:bottom w:val="single" w:color="auto" w:sz="4" w:space="0"/>
              <w:right w:val="single" w:color="auto" w:sz="12" w:space="0"/>
            </w:tcBorders>
            <w:noWrap/>
            <w:vAlign w:val="center"/>
          </w:tcPr>
          <w:p w14:paraId="7752BB6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2.42%</w:t>
            </w:r>
          </w:p>
        </w:tc>
      </w:tr>
      <w:tr w14:paraId="31616D4F">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322447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在建工程合计</w:t>
            </w:r>
          </w:p>
        </w:tc>
        <w:tc>
          <w:tcPr>
            <w:tcW w:w="1801" w:type="dxa"/>
            <w:tcBorders>
              <w:top w:val="nil"/>
              <w:left w:val="nil"/>
              <w:bottom w:val="single" w:color="auto" w:sz="4" w:space="0"/>
              <w:right w:val="single" w:color="auto" w:sz="4" w:space="0"/>
            </w:tcBorders>
            <w:noWrap/>
            <w:vAlign w:val="center"/>
          </w:tcPr>
          <w:p w14:paraId="34A94FD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35,944.93 </w:t>
            </w:r>
          </w:p>
        </w:tc>
        <w:tc>
          <w:tcPr>
            <w:tcW w:w="992" w:type="dxa"/>
            <w:tcBorders>
              <w:top w:val="nil"/>
              <w:left w:val="nil"/>
              <w:bottom w:val="single" w:color="auto" w:sz="4" w:space="0"/>
              <w:right w:val="single" w:color="auto" w:sz="4" w:space="0"/>
            </w:tcBorders>
            <w:noWrap/>
            <w:vAlign w:val="center"/>
          </w:tcPr>
          <w:p w14:paraId="5E67BC7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0.66%</w:t>
            </w:r>
          </w:p>
        </w:tc>
        <w:tc>
          <w:tcPr>
            <w:tcW w:w="1843" w:type="dxa"/>
            <w:tcBorders>
              <w:top w:val="nil"/>
              <w:left w:val="nil"/>
              <w:bottom w:val="single" w:color="auto" w:sz="4" w:space="0"/>
              <w:right w:val="single" w:color="auto" w:sz="4" w:space="0"/>
            </w:tcBorders>
            <w:noWrap/>
            <w:vAlign w:val="center"/>
          </w:tcPr>
          <w:p w14:paraId="4CB5521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8,324.37 </w:t>
            </w:r>
          </w:p>
        </w:tc>
        <w:tc>
          <w:tcPr>
            <w:tcW w:w="992" w:type="dxa"/>
            <w:tcBorders>
              <w:top w:val="nil"/>
              <w:left w:val="nil"/>
              <w:bottom w:val="single" w:color="auto" w:sz="4" w:space="0"/>
              <w:right w:val="single" w:color="auto" w:sz="4" w:space="0"/>
            </w:tcBorders>
            <w:noWrap/>
            <w:vAlign w:val="center"/>
          </w:tcPr>
          <w:p w14:paraId="631BB6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0.16%</w:t>
            </w:r>
          </w:p>
        </w:tc>
        <w:tc>
          <w:tcPr>
            <w:tcW w:w="1843" w:type="dxa"/>
            <w:tcBorders>
              <w:top w:val="nil"/>
              <w:left w:val="nil"/>
              <w:bottom w:val="single" w:color="auto" w:sz="4" w:space="0"/>
              <w:right w:val="single" w:color="auto" w:sz="4" w:space="0"/>
            </w:tcBorders>
            <w:noWrap/>
            <w:vAlign w:val="center"/>
          </w:tcPr>
          <w:p w14:paraId="3942389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6,062.40 </w:t>
            </w:r>
          </w:p>
        </w:tc>
        <w:tc>
          <w:tcPr>
            <w:tcW w:w="1026" w:type="dxa"/>
            <w:tcBorders>
              <w:top w:val="nil"/>
              <w:left w:val="nil"/>
              <w:bottom w:val="single" w:color="auto" w:sz="4" w:space="0"/>
              <w:right w:val="single" w:color="auto" w:sz="12" w:space="0"/>
            </w:tcBorders>
            <w:noWrap/>
            <w:vAlign w:val="center"/>
          </w:tcPr>
          <w:p w14:paraId="3C80B9B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0.13%</w:t>
            </w:r>
          </w:p>
        </w:tc>
      </w:tr>
      <w:tr w14:paraId="30F1CD07">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1AB42A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无形资产</w:t>
            </w:r>
          </w:p>
        </w:tc>
        <w:tc>
          <w:tcPr>
            <w:tcW w:w="1801" w:type="dxa"/>
            <w:tcBorders>
              <w:top w:val="nil"/>
              <w:left w:val="nil"/>
              <w:bottom w:val="single" w:color="auto" w:sz="4" w:space="0"/>
              <w:right w:val="single" w:color="auto" w:sz="4" w:space="0"/>
            </w:tcBorders>
            <w:noWrap/>
            <w:vAlign w:val="center"/>
          </w:tcPr>
          <w:p w14:paraId="222890B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844,297.90 </w:t>
            </w:r>
          </w:p>
        </w:tc>
        <w:tc>
          <w:tcPr>
            <w:tcW w:w="992" w:type="dxa"/>
            <w:tcBorders>
              <w:top w:val="nil"/>
              <w:left w:val="nil"/>
              <w:bottom w:val="single" w:color="auto" w:sz="4" w:space="0"/>
              <w:right w:val="single" w:color="auto" w:sz="4" w:space="0"/>
            </w:tcBorders>
            <w:noWrap/>
            <w:vAlign w:val="center"/>
          </w:tcPr>
          <w:p w14:paraId="09441E4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15.56%</w:t>
            </w:r>
          </w:p>
        </w:tc>
        <w:tc>
          <w:tcPr>
            <w:tcW w:w="1843" w:type="dxa"/>
            <w:tcBorders>
              <w:top w:val="nil"/>
              <w:left w:val="nil"/>
              <w:bottom w:val="single" w:color="auto" w:sz="4" w:space="0"/>
              <w:right w:val="single" w:color="auto" w:sz="4" w:space="0"/>
            </w:tcBorders>
            <w:noWrap/>
            <w:vAlign w:val="center"/>
          </w:tcPr>
          <w:p w14:paraId="154ABF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948,911.14 </w:t>
            </w:r>
          </w:p>
        </w:tc>
        <w:tc>
          <w:tcPr>
            <w:tcW w:w="992" w:type="dxa"/>
            <w:tcBorders>
              <w:top w:val="nil"/>
              <w:left w:val="nil"/>
              <w:bottom w:val="single" w:color="auto" w:sz="4" w:space="0"/>
              <w:right w:val="single" w:color="auto" w:sz="4" w:space="0"/>
            </w:tcBorders>
            <w:noWrap/>
            <w:vAlign w:val="center"/>
          </w:tcPr>
          <w:p w14:paraId="6FA6F0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17.83%</w:t>
            </w:r>
          </w:p>
        </w:tc>
        <w:tc>
          <w:tcPr>
            <w:tcW w:w="1843" w:type="dxa"/>
            <w:tcBorders>
              <w:top w:val="nil"/>
              <w:left w:val="nil"/>
              <w:bottom w:val="single" w:color="auto" w:sz="4" w:space="0"/>
              <w:right w:val="single" w:color="auto" w:sz="4" w:space="0"/>
            </w:tcBorders>
            <w:noWrap/>
            <w:vAlign w:val="center"/>
          </w:tcPr>
          <w:p w14:paraId="726D52C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1,060,137.98 </w:t>
            </w:r>
          </w:p>
        </w:tc>
        <w:tc>
          <w:tcPr>
            <w:tcW w:w="1026" w:type="dxa"/>
            <w:tcBorders>
              <w:top w:val="nil"/>
              <w:left w:val="nil"/>
              <w:bottom w:val="single" w:color="auto" w:sz="4" w:space="0"/>
              <w:right w:val="single" w:color="auto" w:sz="12" w:space="0"/>
            </w:tcBorders>
            <w:noWrap/>
            <w:vAlign w:val="center"/>
          </w:tcPr>
          <w:p w14:paraId="670E76D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23.08%</w:t>
            </w:r>
          </w:p>
        </w:tc>
      </w:tr>
      <w:tr w14:paraId="38AE8DF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75364D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长期待摊费用</w:t>
            </w:r>
          </w:p>
        </w:tc>
        <w:tc>
          <w:tcPr>
            <w:tcW w:w="1801" w:type="dxa"/>
            <w:tcBorders>
              <w:top w:val="nil"/>
              <w:left w:val="nil"/>
              <w:bottom w:val="single" w:color="auto" w:sz="4" w:space="0"/>
              <w:right w:val="single" w:color="auto" w:sz="4" w:space="0"/>
            </w:tcBorders>
            <w:noWrap/>
            <w:vAlign w:val="center"/>
          </w:tcPr>
          <w:p w14:paraId="6550DAD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69E7FCD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03DB87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36.19 </w:t>
            </w:r>
          </w:p>
        </w:tc>
        <w:tc>
          <w:tcPr>
            <w:tcW w:w="992" w:type="dxa"/>
            <w:tcBorders>
              <w:top w:val="nil"/>
              <w:left w:val="nil"/>
              <w:bottom w:val="single" w:color="auto" w:sz="4" w:space="0"/>
              <w:right w:val="single" w:color="auto" w:sz="4" w:space="0"/>
            </w:tcBorders>
            <w:noWrap/>
            <w:vAlign w:val="center"/>
          </w:tcPr>
          <w:p w14:paraId="17E305A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7B5C4EE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131.75 </w:t>
            </w:r>
          </w:p>
        </w:tc>
        <w:tc>
          <w:tcPr>
            <w:tcW w:w="1026" w:type="dxa"/>
            <w:tcBorders>
              <w:top w:val="nil"/>
              <w:left w:val="nil"/>
              <w:bottom w:val="single" w:color="auto" w:sz="4" w:space="0"/>
              <w:right w:val="single" w:color="auto" w:sz="12" w:space="0"/>
            </w:tcBorders>
            <w:noWrap/>
            <w:vAlign w:val="center"/>
          </w:tcPr>
          <w:p w14:paraId="1F4BC41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721ABEA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1B89B80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递延所得税资产</w:t>
            </w:r>
          </w:p>
        </w:tc>
        <w:tc>
          <w:tcPr>
            <w:tcW w:w="1801" w:type="dxa"/>
            <w:tcBorders>
              <w:top w:val="nil"/>
              <w:left w:val="nil"/>
              <w:bottom w:val="single" w:color="auto" w:sz="4" w:space="0"/>
              <w:right w:val="single" w:color="auto" w:sz="4" w:space="0"/>
            </w:tcBorders>
            <w:noWrap/>
            <w:vAlign w:val="center"/>
          </w:tcPr>
          <w:p w14:paraId="0D663A0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25CC71E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2F39E16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5A89721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65EA498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6814695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4DDCD8BF">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711949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其他非流动资产</w:t>
            </w:r>
          </w:p>
        </w:tc>
        <w:tc>
          <w:tcPr>
            <w:tcW w:w="1801" w:type="dxa"/>
            <w:tcBorders>
              <w:top w:val="nil"/>
              <w:left w:val="nil"/>
              <w:bottom w:val="single" w:color="auto" w:sz="4" w:space="0"/>
              <w:right w:val="single" w:color="auto" w:sz="4" w:space="0"/>
            </w:tcBorders>
            <w:noWrap/>
            <w:vAlign w:val="center"/>
          </w:tcPr>
          <w:p w14:paraId="487D4EA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329,401.36 </w:t>
            </w:r>
          </w:p>
        </w:tc>
        <w:tc>
          <w:tcPr>
            <w:tcW w:w="992" w:type="dxa"/>
            <w:tcBorders>
              <w:top w:val="nil"/>
              <w:left w:val="nil"/>
              <w:bottom w:val="single" w:color="auto" w:sz="4" w:space="0"/>
              <w:right w:val="single" w:color="auto" w:sz="4" w:space="0"/>
            </w:tcBorders>
            <w:noWrap/>
            <w:vAlign w:val="center"/>
          </w:tcPr>
          <w:p w14:paraId="0A3E22B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6.07%</w:t>
            </w:r>
          </w:p>
        </w:tc>
        <w:tc>
          <w:tcPr>
            <w:tcW w:w="1843" w:type="dxa"/>
            <w:tcBorders>
              <w:top w:val="nil"/>
              <w:left w:val="nil"/>
              <w:bottom w:val="single" w:color="auto" w:sz="4" w:space="0"/>
              <w:right w:val="single" w:color="auto" w:sz="4" w:space="0"/>
            </w:tcBorders>
            <w:noWrap/>
            <w:vAlign w:val="center"/>
          </w:tcPr>
          <w:p w14:paraId="0CC5E6F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88,401.36 </w:t>
            </w:r>
          </w:p>
        </w:tc>
        <w:tc>
          <w:tcPr>
            <w:tcW w:w="992" w:type="dxa"/>
            <w:tcBorders>
              <w:top w:val="nil"/>
              <w:left w:val="nil"/>
              <w:bottom w:val="single" w:color="auto" w:sz="4" w:space="0"/>
              <w:right w:val="single" w:color="auto" w:sz="4" w:space="0"/>
            </w:tcBorders>
            <w:noWrap/>
            <w:vAlign w:val="center"/>
          </w:tcPr>
          <w:p w14:paraId="1F39BB6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1.66%</w:t>
            </w:r>
          </w:p>
        </w:tc>
        <w:tc>
          <w:tcPr>
            <w:tcW w:w="1843" w:type="dxa"/>
            <w:tcBorders>
              <w:top w:val="nil"/>
              <w:left w:val="nil"/>
              <w:bottom w:val="single" w:color="auto" w:sz="4" w:space="0"/>
              <w:right w:val="single" w:color="auto" w:sz="4" w:space="0"/>
            </w:tcBorders>
            <w:noWrap/>
            <w:vAlign w:val="center"/>
          </w:tcPr>
          <w:p w14:paraId="04D7A1C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145,275.56 </w:t>
            </w:r>
          </w:p>
        </w:tc>
        <w:tc>
          <w:tcPr>
            <w:tcW w:w="1026" w:type="dxa"/>
            <w:tcBorders>
              <w:top w:val="nil"/>
              <w:left w:val="nil"/>
              <w:bottom w:val="single" w:color="auto" w:sz="4" w:space="0"/>
              <w:right w:val="single" w:color="auto" w:sz="12" w:space="0"/>
            </w:tcBorders>
            <w:noWrap/>
            <w:vAlign w:val="center"/>
          </w:tcPr>
          <w:p w14:paraId="5F65578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3.16%</w:t>
            </w:r>
          </w:p>
        </w:tc>
      </w:tr>
      <w:tr w14:paraId="602B3B4A">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2C740263">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非流动资产合计</w:t>
            </w:r>
          </w:p>
        </w:tc>
        <w:tc>
          <w:tcPr>
            <w:tcW w:w="1801" w:type="dxa"/>
            <w:tcBorders>
              <w:top w:val="nil"/>
              <w:left w:val="nil"/>
              <w:bottom w:val="single" w:color="auto" w:sz="4" w:space="0"/>
              <w:right w:val="single" w:color="auto" w:sz="4" w:space="0"/>
            </w:tcBorders>
            <w:noWrap/>
            <w:vAlign w:val="center"/>
          </w:tcPr>
          <w:p w14:paraId="798C522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5,131,888.61 </w:t>
            </w:r>
          </w:p>
        </w:tc>
        <w:tc>
          <w:tcPr>
            <w:tcW w:w="992" w:type="dxa"/>
            <w:tcBorders>
              <w:top w:val="nil"/>
              <w:left w:val="nil"/>
              <w:bottom w:val="single" w:color="auto" w:sz="4" w:space="0"/>
              <w:right w:val="single" w:color="auto" w:sz="4" w:space="0"/>
            </w:tcBorders>
            <w:noWrap/>
            <w:vAlign w:val="center"/>
          </w:tcPr>
          <w:p w14:paraId="17377E61">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94.57%</w:t>
            </w:r>
          </w:p>
        </w:tc>
        <w:tc>
          <w:tcPr>
            <w:tcW w:w="1843" w:type="dxa"/>
            <w:tcBorders>
              <w:top w:val="nil"/>
              <w:left w:val="nil"/>
              <w:bottom w:val="single" w:color="auto" w:sz="4" w:space="0"/>
              <w:right w:val="single" w:color="auto" w:sz="4" w:space="0"/>
            </w:tcBorders>
            <w:noWrap/>
            <w:vAlign w:val="center"/>
          </w:tcPr>
          <w:p w14:paraId="46F8005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4,665,773.83 </w:t>
            </w:r>
          </w:p>
        </w:tc>
        <w:tc>
          <w:tcPr>
            <w:tcW w:w="992" w:type="dxa"/>
            <w:tcBorders>
              <w:top w:val="nil"/>
              <w:left w:val="nil"/>
              <w:bottom w:val="single" w:color="auto" w:sz="4" w:space="0"/>
              <w:right w:val="single" w:color="auto" w:sz="4" w:space="0"/>
            </w:tcBorders>
            <w:noWrap/>
            <w:vAlign w:val="center"/>
          </w:tcPr>
          <w:p w14:paraId="3330FC4B">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87.65%</w:t>
            </w:r>
          </w:p>
        </w:tc>
        <w:tc>
          <w:tcPr>
            <w:tcW w:w="1843" w:type="dxa"/>
            <w:tcBorders>
              <w:top w:val="nil"/>
              <w:left w:val="nil"/>
              <w:bottom w:val="single" w:color="auto" w:sz="4" w:space="0"/>
              <w:right w:val="single" w:color="auto" w:sz="4" w:space="0"/>
            </w:tcBorders>
            <w:noWrap/>
            <w:vAlign w:val="center"/>
          </w:tcPr>
          <w:p w14:paraId="794B8D0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3,959,671.09 </w:t>
            </w:r>
          </w:p>
        </w:tc>
        <w:tc>
          <w:tcPr>
            <w:tcW w:w="1026" w:type="dxa"/>
            <w:tcBorders>
              <w:top w:val="nil"/>
              <w:left w:val="nil"/>
              <w:bottom w:val="single" w:color="auto" w:sz="4" w:space="0"/>
              <w:right w:val="single" w:color="auto" w:sz="12" w:space="0"/>
            </w:tcBorders>
            <w:noWrap/>
            <w:vAlign w:val="center"/>
          </w:tcPr>
          <w:p w14:paraId="626F3AAF">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86.22%</w:t>
            </w:r>
          </w:p>
        </w:tc>
      </w:tr>
      <w:tr w14:paraId="44E24388">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12" w:space="0"/>
              <w:right w:val="single" w:color="auto" w:sz="4" w:space="0"/>
            </w:tcBorders>
            <w:noWrap/>
            <w:vAlign w:val="center"/>
          </w:tcPr>
          <w:p w14:paraId="758E7F6A">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资产总计</w:t>
            </w:r>
          </w:p>
        </w:tc>
        <w:tc>
          <w:tcPr>
            <w:tcW w:w="1801" w:type="dxa"/>
            <w:tcBorders>
              <w:top w:val="nil"/>
              <w:left w:val="nil"/>
              <w:bottom w:val="single" w:color="auto" w:sz="12" w:space="0"/>
              <w:right w:val="single" w:color="auto" w:sz="4" w:space="0"/>
            </w:tcBorders>
            <w:noWrap/>
            <w:vAlign w:val="center"/>
          </w:tcPr>
          <w:p w14:paraId="76BAF72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5,426,483.86 </w:t>
            </w:r>
          </w:p>
        </w:tc>
        <w:tc>
          <w:tcPr>
            <w:tcW w:w="992" w:type="dxa"/>
            <w:tcBorders>
              <w:top w:val="nil"/>
              <w:left w:val="nil"/>
              <w:bottom w:val="single" w:color="auto" w:sz="12" w:space="0"/>
              <w:right w:val="single" w:color="auto" w:sz="4" w:space="0"/>
            </w:tcBorders>
            <w:noWrap/>
            <w:vAlign w:val="center"/>
          </w:tcPr>
          <w:p w14:paraId="7DA941F3">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c>
          <w:tcPr>
            <w:tcW w:w="1843" w:type="dxa"/>
            <w:tcBorders>
              <w:top w:val="nil"/>
              <w:left w:val="nil"/>
              <w:bottom w:val="single" w:color="auto" w:sz="12" w:space="0"/>
              <w:right w:val="single" w:color="auto" w:sz="4" w:space="0"/>
            </w:tcBorders>
            <w:noWrap/>
            <w:vAlign w:val="center"/>
          </w:tcPr>
          <w:p w14:paraId="615407E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5,323,414.79 </w:t>
            </w:r>
          </w:p>
        </w:tc>
        <w:tc>
          <w:tcPr>
            <w:tcW w:w="992" w:type="dxa"/>
            <w:tcBorders>
              <w:top w:val="nil"/>
              <w:left w:val="nil"/>
              <w:bottom w:val="single" w:color="auto" w:sz="12" w:space="0"/>
              <w:right w:val="single" w:color="auto" w:sz="4" w:space="0"/>
            </w:tcBorders>
            <w:noWrap/>
            <w:vAlign w:val="center"/>
          </w:tcPr>
          <w:p w14:paraId="6FC10AA7">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c>
          <w:tcPr>
            <w:tcW w:w="1843" w:type="dxa"/>
            <w:tcBorders>
              <w:top w:val="nil"/>
              <w:left w:val="nil"/>
              <w:bottom w:val="single" w:color="auto" w:sz="12" w:space="0"/>
              <w:right w:val="single" w:color="auto" w:sz="4" w:space="0"/>
            </w:tcBorders>
            <w:noWrap/>
            <w:vAlign w:val="center"/>
          </w:tcPr>
          <w:p w14:paraId="5BC296A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4,592,754.35 </w:t>
            </w:r>
          </w:p>
        </w:tc>
        <w:tc>
          <w:tcPr>
            <w:tcW w:w="1026" w:type="dxa"/>
            <w:tcBorders>
              <w:top w:val="nil"/>
              <w:left w:val="nil"/>
              <w:bottom w:val="single" w:color="auto" w:sz="12" w:space="0"/>
              <w:right w:val="single" w:color="auto" w:sz="12" w:space="0"/>
            </w:tcBorders>
            <w:noWrap/>
            <w:vAlign w:val="center"/>
          </w:tcPr>
          <w:p w14:paraId="531AC41C">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r>
    </w:tbl>
    <w:p w14:paraId="37459EAF">
      <w:pPr>
        <w:adjustRightInd w:val="0"/>
        <w:snapToGrid w:val="0"/>
        <w:ind w:firstLine="480"/>
        <w:rPr>
          <w:rFonts w:hint="eastAsia" w:asciiTheme="minorEastAsia" w:hAnsiTheme="minorEastAsia" w:cstheme="minorEastAsia"/>
          <w:szCs w:val="24"/>
          <w:lang w:val="zh-TW"/>
        </w:rPr>
      </w:pPr>
      <w:r>
        <w:rPr>
          <w:rFonts w:hint="eastAsia" w:asciiTheme="minorEastAsia" w:hAnsiTheme="minorEastAsia" w:cstheme="minorEastAsia"/>
          <w:szCs w:val="24"/>
          <w:lang w:val="zh-TW"/>
        </w:rPr>
        <w:t>最近三年末，母公司资产总额分别为</w:t>
      </w:r>
      <w:r>
        <w:rPr>
          <w:rFonts w:asciiTheme="minorEastAsia" w:hAnsiTheme="minorEastAsia" w:cstheme="minorEastAsia"/>
          <w:szCs w:val="24"/>
          <w:lang w:val="zh-TW"/>
        </w:rPr>
        <w:t>4,592,754.35</w:t>
      </w:r>
      <w:r>
        <w:rPr>
          <w:rFonts w:hint="eastAsia" w:asciiTheme="minorEastAsia" w:hAnsiTheme="minorEastAsia" w:cstheme="minorEastAsia"/>
          <w:szCs w:val="24"/>
          <w:lang w:val="zh-TW"/>
        </w:rPr>
        <w:t>万元、</w:t>
      </w:r>
      <w:r>
        <w:rPr>
          <w:rFonts w:asciiTheme="minorEastAsia" w:hAnsiTheme="minorEastAsia" w:cstheme="minorEastAsia"/>
          <w:szCs w:val="24"/>
          <w:lang w:val="zh-TW"/>
        </w:rPr>
        <w:t>5,323,414.79</w:t>
      </w:r>
      <w:r>
        <w:rPr>
          <w:rFonts w:hint="eastAsia" w:asciiTheme="minorEastAsia" w:hAnsiTheme="minorEastAsia" w:cstheme="minorEastAsia"/>
          <w:szCs w:val="24"/>
          <w:lang w:val="zh-TW"/>
        </w:rPr>
        <w:t>万元和</w:t>
      </w:r>
      <w:r>
        <w:rPr>
          <w:rFonts w:asciiTheme="minorEastAsia" w:hAnsiTheme="minorEastAsia" w:cstheme="minorEastAsia"/>
          <w:szCs w:val="24"/>
          <w:lang w:val="zh-TW"/>
        </w:rPr>
        <w:t>5,426,483.86</w:t>
      </w:r>
      <w:r>
        <w:rPr>
          <w:rFonts w:hint="eastAsia" w:asciiTheme="minorEastAsia" w:hAnsiTheme="minorEastAsia" w:cstheme="minorEastAsia"/>
          <w:szCs w:val="24"/>
          <w:lang w:val="zh-TW"/>
        </w:rPr>
        <w:t>万元，呈上升趋势。2024年母公司总资产较上年同期增长</w:t>
      </w:r>
      <w:r>
        <w:rPr>
          <w:rFonts w:asciiTheme="minorEastAsia" w:hAnsiTheme="minorEastAsia" w:cstheme="minorEastAsia"/>
          <w:szCs w:val="24"/>
          <w:lang w:val="zh-TW"/>
        </w:rPr>
        <w:t>15.91%</w:t>
      </w:r>
      <w:r>
        <w:rPr>
          <w:rFonts w:hint="eastAsia" w:asciiTheme="minorEastAsia" w:hAnsiTheme="minorEastAsia" w:cstheme="minorEastAsia"/>
          <w:szCs w:val="24"/>
          <w:lang w:val="zh-TW"/>
        </w:rPr>
        <w:t>，基本保持稳定。2025年母公司资产规模较上年同期增长</w:t>
      </w:r>
      <w:r>
        <w:rPr>
          <w:rFonts w:asciiTheme="minorEastAsia" w:hAnsiTheme="minorEastAsia" w:cstheme="minorEastAsia"/>
          <w:szCs w:val="24"/>
          <w:lang w:val="zh-TW"/>
        </w:rPr>
        <w:t>1.94%</w:t>
      </w:r>
      <w:r>
        <w:rPr>
          <w:rFonts w:hint="eastAsia" w:asciiTheme="minorEastAsia" w:hAnsiTheme="minorEastAsia" w:cstheme="minorEastAsia"/>
          <w:szCs w:val="24"/>
          <w:lang w:val="zh-TW"/>
        </w:rPr>
        <w:t>，基本保持稳定。</w:t>
      </w:r>
    </w:p>
    <w:p w14:paraId="04E57718">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2、负债结构分析</w:t>
      </w:r>
    </w:p>
    <w:p w14:paraId="72168D30">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最近三年末，母公司负债的构成情况如下：</w:t>
      </w:r>
    </w:p>
    <w:p w14:paraId="6633507D">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单位：万元</w:t>
      </w:r>
    </w:p>
    <w:tbl>
      <w:tblPr>
        <w:tblStyle w:val="13"/>
        <w:tblW w:w="11517" w:type="dxa"/>
        <w:jc w:val="center"/>
        <w:tblLayout w:type="autofit"/>
        <w:tblCellMar>
          <w:top w:w="0" w:type="dxa"/>
          <w:left w:w="108" w:type="dxa"/>
          <w:bottom w:w="0" w:type="dxa"/>
          <w:right w:w="108" w:type="dxa"/>
        </w:tblCellMar>
      </w:tblPr>
      <w:tblGrid>
        <w:gridCol w:w="3020"/>
        <w:gridCol w:w="1801"/>
        <w:gridCol w:w="992"/>
        <w:gridCol w:w="1843"/>
        <w:gridCol w:w="992"/>
        <w:gridCol w:w="1843"/>
        <w:gridCol w:w="1026"/>
      </w:tblGrid>
      <w:tr w14:paraId="3699772B">
        <w:tblPrEx>
          <w:tblCellMar>
            <w:top w:w="0" w:type="dxa"/>
            <w:left w:w="108" w:type="dxa"/>
            <w:bottom w:w="0" w:type="dxa"/>
            <w:right w:w="108" w:type="dxa"/>
          </w:tblCellMar>
        </w:tblPrEx>
        <w:trPr>
          <w:trHeight w:val="397" w:hRule="atLeast"/>
          <w:tblHeader/>
          <w:jc w:val="center"/>
        </w:trPr>
        <w:tc>
          <w:tcPr>
            <w:tcW w:w="3020" w:type="dxa"/>
            <w:vMerge w:val="restart"/>
            <w:tcBorders>
              <w:top w:val="single" w:color="auto" w:sz="12" w:space="0"/>
              <w:left w:val="single" w:color="auto" w:sz="12" w:space="0"/>
              <w:bottom w:val="single" w:color="000000" w:sz="4" w:space="0"/>
              <w:right w:val="single" w:color="auto" w:sz="4" w:space="0"/>
            </w:tcBorders>
            <w:noWrap/>
            <w:vAlign w:val="center"/>
          </w:tcPr>
          <w:p w14:paraId="59A3B48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科目</w:t>
            </w:r>
          </w:p>
        </w:tc>
        <w:tc>
          <w:tcPr>
            <w:tcW w:w="2793" w:type="dxa"/>
            <w:gridSpan w:val="2"/>
            <w:tcBorders>
              <w:top w:val="single" w:color="auto" w:sz="12" w:space="0"/>
              <w:left w:val="nil"/>
              <w:bottom w:val="single" w:color="auto" w:sz="4" w:space="0"/>
              <w:right w:val="single" w:color="auto" w:sz="4" w:space="0"/>
            </w:tcBorders>
            <w:noWrap/>
            <w:vAlign w:val="center"/>
          </w:tcPr>
          <w:p w14:paraId="7851BF8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2025年末</w:t>
            </w:r>
          </w:p>
        </w:tc>
        <w:tc>
          <w:tcPr>
            <w:tcW w:w="2835" w:type="dxa"/>
            <w:gridSpan w:val="2"/>
            <w:tcBorders>
              <w:top w:val="single" w:color="auto" w:sz="12" w:space="0"/>
              <w:left w:val="nil"/>
              <w:bottom w:val="single" w:color="auto" w:sz="4" w:space="0"/>
              <w:right w:val="single" w:color="auto" w:sz="4" w:space="0"/>
            </w:tcBorders>
            <w:noWrap/>
            <w:vAlign w:val="center"/>
          </w:tcPr>
          <w:p w14:paraId="732DEDD1">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2024年末</w:t>
            </w:r>
          </w:p>
        </w:tc>
        <w:tc>
          <w:tcPr>
            <w:tcW w:w="2869" w:type="dxa"/>
            <w:gridSpan w:val="2"/>
            <w:tcBorders>
              <w:top w:val="single" w:color="auto" w:sz="12" w:space="0"/>
              <w:left w:val="nil"/>
              <w:bottom w:val="single" w:color="auto" w:sz="4" w:space="0"/>
              <w:right w:val="single" w:color="auto" w:sz="12" w:space="0"/>
            </w:tcBorders>
            <w:noWrap/>
            <w:vAlign w:val="center"/>
          </w:tcPr>
          <w:p w14:paraId="44095F4A">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2023年末</w:t>
            </w:r>
          </w:p>
        </w:tc>
      </w:tr>
      <w:tr w14:paraId="447F3EAD">
        <w:tblPrEx>
          <w:tblCellMar>
            <w:top w:w="0" w:type="dxa"/>
            <w:left w:w="108" w:type="dxa"/>
            <w:bottom w:w="0" w:type="dxa"/>
            <w:right w:w="108" w:type="dxa"/>
          </w:tblCellMar>
        </w:tblPrEx>
        <w:trPr>
          <w:trHeight w:val="397" w:hRule="atLeast"/>
          <w:tblHeader/>
          <w:jc w:val="center"/>
        </w:trPr>
        <w:tc>
          <w:tcPr>
            <w:tcW w:w="3020" w:type="dxa"/>
            <w:vMerge w:val="continue"/>
            <w:tcBorders>
              <w:top w:val="single" w:color="auto" w:sz="4" w:space="0"/>
              <w:left w:val="single" w:color="auto" w:sz="12" w:space="0"/>
              <w:bottom w:val="single" w:color="000000" w:sz="4" w:space="0"/>
              <w:right w:val="single" w:color="auto" w:sz="4" w:space="0"/>
            </w:tcBorders>
            <w:vAlign w:val="center"/>
          </w:tcPr>
          <w:p w14:paraId="387D8BEE">
            <w:pPr>
              <w:widowControl/>
              <w:spacing w:line="240" w:lineRule="auto"/>
              <w:ind w:firstLine="0" w:firstLineChars="0"/>
              <w:jc w:val="left"/>
              <w:rPr>
                <w:rFonts w:hint="eastAsia" w:ascii="宋体" w:hAnsi="宋体" w:eastAsia="宋体" w:cs="宋体"/>
                <w:b/>
                <w:bCs/>
                <w:color w:val="000000"/>
                <w:kern w:val="0"/>
                <w:sz w:val="21"/>
                <w:szCs w:val="21"/>
              </w:rPr>
            </w:pPr>
          </w:p>
        </w:tc>
        <w:tc>
          <w:tcPr>
            <w:tcW w:w="1801" w:type="dxa"/>
            <w:tcBorders>
              <w:top w:val="nil"/>
              <w:left w:val="nil"/>
              <w:bottom w:val="single" w:color="auto" w:sz="4" w:space="0"/>
              <w:right w:val="single" w:color="auto" w:sz="4" w:space="0"/>
            </w:tcBorders>
            <w:noWrap/>
            <w:vAlign w:val="center"/>
          </w:tcPr>
          <w:p w14:paraId="436E051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992" w:type="dxa"/>
            <w:tcBorders>
              <w:top w:val="nil"/>
              <w:left w:val="nil"/>
              <w:bottom w:val="single" w:color="auto" w:sz="4" w:space="0"/>
              <w:right w:val="single" w:color="auto" w:sz="4" w:space="0"/>
            </w:tcBorders>
            <w:noWrap/>
            <w:vAlign w:val="center"/>
          </w:tcPr>
          <w:p w14:paraId="6EC66F8A">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c>
          <w:tcPr>
            <w:tcW w:w="1843" w:type="dxa"/>
            <w:tcBorders>
              <w:top w:val="nil"/>
              <w:left w:val="nil"/>
              <w:bottom w:val="single" w:color="auto" w:sz="4" w:space="0"/>
              <w:right w:val="single" w:color="auto" w:sz="4" w:space="0"/>
            </w:tcBorders>
            <w:noWrap/>
            <w:vAlign w:val="center"/>
          </w:tcPr>
          <w:p w14:paraId="4DB1EAB5">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992" w:type="dxa"/>
            <w:tcBorders>
              <w:top w:val="nil"/>
              <w:left w:val="nil"/>
              <w:bottom w:val="single" w:color="auto" w:sz="4" w:space="0"/>
              <w:right w:val="single" w:color="auto" w:sz="4" w:space="0"/>
            </w:tcBorders>
            <w:noWrap/>
            <w:vAlign w:val="center"/>
          </w:tcPr>
          <w:p w14:paraId="3D85F90C">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c>
          <w:tcPr>
            <w:tcW w:w="1843" w:type="dxa"/>
            <w:tcBorders>
              <w:top w:val="nil"/>
              <w:left w:val="nil"/>
              <w:bottom w:val="single" w:color="auto" w:sz="4" w:space="0"/>
              <w:right w:val="single" w:color="auto" w:sz="4" w:space="0"/>
            </w:tcBorders>
            <w:noWrap/>
            <w:vAlign w:val="center"/>
          </w:tcPr>
          <w:p w14:paraId="57B00C4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w:t>
            </w:r>
          </w:p>
        </w:tc>
        <w:tc>
          <w:tcPr>
            <w:tcW w:w="1026" w:type="dxa"/>
            <w:tcBorders>
              <w:top w:val="nil"/>
              <w:left w:val="nil"/>
              <w:bottom w:val="single" w:color="auto" w:sz="4" w:space="0"/>
              <w:right w:val="single" w:color="auto" w:sz="12" w:space="0"/>
            </w:tcBorders>
            <w:noWrap/>
            <w:vAlign w:val="center"/>
          </w:tcPr>
          <w:p w14:paraId="17D43EF0">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占比</w:t>
            </w:r>
          </w:p>
        </w:tc>
      </w:tr>
      <w:tr w14:paraId="200DAB89">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094433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短期借款</w:t>
            </w:r>
          </w:p>
        </w:tc>
        <w:tc>
          <w:tcPr>
            <w:tcW w:w="1801" w:type="dxa"/>
            <w:tcBorders>
              <w:top w:val="nil"/>
              <w:left w:val="nil"/>
              <w:bottom w:val="single" w:color="auto" w:sz="4" w:space="0"/>
              <w:right w:val="single" w:color="auto" w:sz="4" w:space="0"/>
            </w:tcBorders>
            <w:noWrap/>
            <w:vAlign w:val="center"/>
          </w:tcPr>
          <w:p w14:paraId="32E49DE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40,025.79 </w:t>
            </w:r>
          </w:p>
        </w:tc>
        <w:tc>
          <w:tcPr>
            <w:tcW w:w="992" w:type="dxa"/>
            <w:tcBorders>
              <w:top w:val="nil"/>
              <w:left w:val="nil"/>
              <w:bottom w:val="single" w:color="auto" w:sz="4" w:space="0"/>
              <w:right w:val="single" w:color="auto" w:sz="4" w:space="0"/>
            </w:tcBorders>
            <w:noWrap/>
            <w:vAlign w:val="center"/>
          </w:tcPr>
          <w:p w14:paraId="078A94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1.91%</w:t>
            </w:r>
          </w:p>
        </w:tc>
        <w:tc>
          <w:tcPr>
            <w:tcW w:w="1843" w:type="dxa"/>
            <w:tcBorders>
              <w:top w:val="nil"/>
              <w:left w:val="nil"/>
              <w:bottom w:val="single" w:color="auto" w:sz="4" w:space="0"/>
              <w:right w:val="single" w:color="auto" w:sz="4" w:space="0"/>
            </w:tcBorders>
            <w:noWrap/>
            <w:vAlign w:val="center"/>
          </w:tcPr>
          <w:p w14:paraId="6A7CC17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40,028.11 </w:t>
            </w:r>
          </w:p>
        </w:tc>
        <w:tc>
          <w:tcPr>
            <w:tcW w:w="992" w:type="dxa"/>
            <w:tcBorders>
              <w:top w:val="nil"/>
              <w:left w:val="nil"/>
              <w:bottom w:val="single" w:color="auto" w:sz="4" w:space="0"/>
              <w:right w:val="single" w:color="auto" w:sz="4" w:space="0"/>
            </w:tcBorders>
            <w:noWrap/>
            <w:vAlign w:val="center"/>
          </w:tcPr>
          <w:p w14:paraId="4F17B9E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1.84%</w:t>
            </w:r>
          </w:p>
        </w:tc>
        <w:tc>
          <w:tcPr>
            <w:tcW w:w="1843" w:type="dxa"/>
            <w:tcBorders>
              <w:top w:val="nil"/>
              <w:left w:val="nil"/>
              <w:bottom w:val="single" w:color="auto" w:sz="4" w:space="0"/>
              <w:right w:val="single" w:color="auto" w:sz="4" w:space="0"/>
            </w:tcBorders>
            <w:noWrap/>
            <w:vAlign w:val="center"/>
          </w:tcPr>
          <w:p w14:paraId="5C4345B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92,391.63 </w:t>
            </w:r>
          </w:p>
        </w:tc>
        <w:tc>
          <w:tcPr>
            <w:tcW w:w="1026" w:type="dxa"/>
            <w:tcBorders>
              <w:top w:val="nil"/>
              <w:left w:val="nil"/>
              <w:bottom w:val="single" w:color="auto" w:sz="4" w:space="0"/>
              <w:right w:val="single" w:color="auto" w:sz="12" w:space="0"/>
            </w:tcBorders>
            <w:noWrap/>
            <w:vAlign w:val="center"/>
          </w:tcPr>
          <w:p w14:paraId="1BD6F1F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4.97%</w:t>
            </w:r>
          </w:p>
        </w:tc>
      </w:tr>
      <w:tr w14:paraId="140CA6D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77A649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应付票据及应付账款</w:t>
            </w:r>
          </w:p>
        </w:tc>
        <w:tc>
          <w:tcPr>
            <w:tcW w:w="1801" w:type="dxa"/>
            <w:tcBorders>
              <w:top w:val="nil"/>
              <w:left w:val="nil"/>
              <w:bottom w:val="single" w:color="auto" w:sz="4" w:space="0"/>
              <w:right w:val="single" w:color="auto" w:sz="4" w:space="0"/>
            </w:tcBorders>
            <w:noWrap/>
            <w:vAlign w:val="center"/>
          </w:tcPr>
          <w:p w14:paraId="3D71A2B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92,302.13 </w:t>
            </w:r>
          </w:p>
        </w:tc>
        <w:tc>
          <w:tcPr>
            <w:tcW w:w="992" w:type="dxa"/>
            <w:tcBorders>
              <w:top w:val="nil"/>
              <w:left w:val="nil"/>
              <w:bottom w:val="single" w:color="auto" w:sz="4" w:space="0"/>
              <w:right w:val="single" w:color="auto" w:sz="4" w:space="0"/>
            </w:tcBorders>
            <w:noWrap/>
            <w:vAlign w:val="center"/>
          </w:tcPr>
          <w:p w14:paraId="4B7C004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4.41%</w:t>
            </w:r>
          </w:p>
        </w:tc>
        <w:tc>
          <w:tcPr>
            <w:tcW w:w="1843" w:type="dxa"/>
            <w:tcBorders>
              <w:top w:val="nil"/>
              <w:left w:val="nil"/>
              <w:bottom w:val="single" w:color="auto" w:sz="4" w:space="0"/>
              <w:right w:val="single" w:color="auto" w:sz="4" w:space="0"/>
            </w:tcBorders>
            <w:noWrap/>
            <w:vAlign w:val="center"/>
          </w:tcPr>
          <w:p w14:paraId="6F2272C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84,207.64 </w:t>
            </w:r>
          </w:p>
        </w:tc>
        <w:tc>
          <w:tcPr>
            <w:tcW w:w="992" w:type="dxa"/>
            <w:tcBorders>
              <w:top w:val="nil"/>
              <w:left w:val="nil"/>
              <w:bottom w:val="single" w:color="auto" w:sz="4" w:space="0"/>
              <w:right w:val="single" w:color="auto" w:sz="4" w:space="0"/>
            </w:tcBorders>
            <w:noWrap/>
            <w:vAlign w:val="center"/>
          </w:tcPr>
          <w:p w14:paraId="179B6E0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3.87%</w:t>
            </w:r>
          </w:p>
        </w:tc>
        <w:tc>
          <w:tcPr>
            <w:tcW w:w="1843" w:type="dxa"/>
            <w:tcBorders>
              <w:top w:val="nil"/>
              <w:left w:val="nil"/>
              <w:bottom w:val="single" w:color="auto" w:sz="4" w:space="0"/>
              <w:right w:val="single" w:color="auto" w:sz="4" w:space="0"/>
            </w:tcBorders>
            <w:noWrap/>
            <w:vAlign w:val="center"/>
          </w:tcPr>
          <w:p w14:paraId="40D9D67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81,752.83 </w:t>
            </w:r>
          </w:p>
        </w:tc>
        <w:tc>
          <w:tcPr>
            <w:tcW w:w="1026" w:type="dxa"/>
            <w:tcBorders>
              <w:top w:val="nil"/>
              <w:left w:val="nil"/>
              <w:bottom w:val="single" w:color="auto" w:sz="4" w:space="0"/>
              <w:right w:val="single" w:color="auto" w:sz="12" w:space="0"/>
            </w:tcBorders>
            <w:noWrap/>
            <w:vAlign w:val="center"/>
          </w:tcPr>
          <w:p w14:paraId="00067D9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4.39%</w:t>
            </w:r>
          </w:p>
        </w:tc>
      </w:tr>
      <w:tr w14:paraId="27E97EF5">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469DE5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应付账款</w:t>
            </w:r>
          </w:p>
        </w:tc>
        <w:tc>
          <w:tcPr>
            <w:tcW w:w="1801" w:type="dxa"/>
            <w:tcBorders>
              <w:top w:val="nil"/>
              <w:left w:val="nil"/>
              <w:bottom w:val="single" w:color="auto" w:sz="4" w:space="0"/>
              <w:right w:val="single" w:color="auto" w:sz="4" w:space="0"/>
            </w:tcBorders>
            <w:noWrap/>
            <w:vAlign w:val="center"/>
          </w:tcPr>
          <w:p w14:paraId="2C83EC1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92,302.13 </w:t>
            </w:r>
          </w:p>
        </w:tc>
        <w:tc>
          <w:tcPr>
            <w:tcW w:w="992" w:type="dxa"/>
            <w:tcBorders>
              <w:top w:val="nil"/>
              <w:left w:val="nil"/>
              <w:bottom w:val="single" w:color="auto" w:sz="4" w:space="0"/>
              <w:right w:val="single" w:color="auto" w:sz="4" w:space="0"/>
            </w:tcBorders>
            <w:noWrap/>
            <w:vAlign w:val="center"/>
          </w:tcPr>
          <w:p w14:paraId="5C0439D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4.41%</w:t>
            </w:r>
          </w:p>
        </w:tc>
        <w:tc>
          <w:tcPr>
            <w:tcW w:w="1843" w:type="dxa"/>
            <w:tcBorders>
              <w:top w:val="nil"/>
              <w:left w:val="nil"/>
              <w:bottom w:val="single" w:color="auto" w:sz="4" w:space="0"/>
              <w:right w:val="single" w:color="auto" w:sz="4" w:space="0"/>
            </w:tcBorders>
            <w:noWrap/>
            <w:vAlign w:val="center"/>
          </w:tcPr>
          <w:p w14:paraId="292BDC0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84,207.64 </w:t>
            </w:r>
          </w:p>
        </w:tc>
        <w:tc>
          <w:tcPr>
            <w:tcW w:w="992" w:type="dxa"/>
            <w:tcBorders>
              <w:top w:val="nil"/>
              <w:left w:val="nil"/>
              <w:bottom w:val="single" w:color="auto" w:sz="4" w:space="0"/>
              <w:right w:val="single" w:color="auto" w:sz="4" w:space="0"/>
            </w:tcBorders>
            <w:noWrap/>
            <w:vAlign w:val="center"/>
          </w:tcPr>
          <w:p w14:paraId="12A3BF4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3.87%</w:t>
            </w:r>
          </w:p>
        </w:tc>
        <w:tc>
          <w:tcPr>
            <w:tcW w:w="1843" w:type="dxa"/>
            <w:tcBorders>
              <w:top w:val="nil"/>
              <w:left w:val="nil"/>
              <w:bottom w:val="single" w:color="auto" w:sz="4" w:space="0"/>
              <w:right w:val="single" w:color="auto" w:sz="4" w:space="0"/>
            </w:tcBorders>
            <w:noWrap/>
            <w:vAlign w:val="center"/>
          </w:tcPr>
          <w:p w14:paraId="2EECA62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81,752.83 </w:t>
            </w:r>
          </w:p>
        </w:tc>
        <w:tc>
          <w:tcPr>
            <w:tcW w:w="1026" w:type="dxa"/>
            <w:tcBorders>
              <w:top w:val="nil"/>
              <w:left w:val="nil"/>
              <w:bottom w:val="single" w:color="auto" w:sz="4" w:space="0"/>
              <w:right w:val="single" w:color="auto" w:sz="12" w:space="0"/>
            </w:tcBorders>
            <w:noWrap/>
            <w:vAlign w:val="center"/>
          </w:tcPr>
          <w:p w14:paraId="47AF374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4.39%</w:t>
            </w:r>
          </w:p>
        </w:tc>
      </w:tr>
      <w:tr w14:paraId="5812668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3B84BC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预收款项</w:t>
            </w:r>
          </w:p>
        </w:tc>
        <w:tc>
          <w:tcPr>
            <w:tcW w:w="1801" w:type="dxa"/>
            <w:tcBorders>
              <w:top w:val="nil"/>
              <w:left w:val="nil"/>
              <w:bottom w:val="single" w:color="auto" w:sz="4" w:space="0"/>
              <w:right w:val="single" w:color="auto" w:sz="4" w:space="0"/>
            </w:tcBorders>
            <w:noWrap/>
            <w:vAlign w:val="center"/>
          </w:tcPr>
          <w:p w14:paraId="103F014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2,181.29 </w:t>
            </w:r>
          </w:p>
        </w:tc>
        <w:tc>
          <w:tcPr>
            <w:tcW w:w="992" w:type="dxa"/>
            <w:tcBorders>
              <w:top w:val="nil"/>
              <w:left w:val="nil"/>
              <w:bottom w:val="single" w:color="auto" w:sz="4" w:space="0"/>
              <w:right w:val="single" w:color="auto" w:sz="4" w:space="0"/>
            </w:tcBorders>
            <w:noWrap/>
            <w:vAlign w:val="center"/>
          </w:tcPr>
          <w:p w14:paraId="5C20FCA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0.10%</w:t>
            </w:r>
          </w:p>
        </w:tc>
        <w:tc>
          <w:tcPr>
            <w:tcW w:w="1843" w:type="dxa"/>
            <w:tcBorders>
              <w:top w:val="nil"/>
              <w:left w:val="nil"/>
              <w:bottom w:val="single" w:color="auto" w:sz="4" w:space="0"/>
              <w:right w:val="single" w:color="auto" w:sz="4" w:space="0"/>
            </w:tcBorders>
            <w:noWrap/>
            <w:vAlign w:val="center"/>
          </w:tcPr>
          <w:p w14:paraId="78894FC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797.31 </w:t>
            </w:r>
          </w:p>
        </w:tc>
        <w:tc>
          <w:tcPr>
            <w:tcW w:w="992" w:type="dxa"/>
            <w:tcBorders>
              <w:top w:val="nil"/>
              <w:left w:val="nil"/>
              <w:bottom w:val="single" w:color="auto" w:sz="4" w:space="0"/>
              <w:right w:val="single" w:color="auto" w:sz="4" w:space="0"/>
            </w:tcBorders>
            <w:noWrap/>
            <w:vAlign w:val="center"/>
          </w:tcPr>
          <w:p w14:paraId="46C79A6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0.04%</w:t>
            </w:r>
          </w:p>
        </w:tc>
        <w:tc>
          <w:tcPr>
            <w:tcW w:w="1843" w:type="dxa"/>
            <w:tcBorders>
              <w:top w:val="nil"/>
              <w:left w:val="nil"/>
              <w:bottom w:val="single" w:color="auto" w:sz="4" w:space="0"/>
              <w:right w:val="single" w:color="auto" w:sz="4" w:space="0"/>
            </w:tcBorders>
            <w:noWrap/>
            <w:vAlign w:val="center"/>
          </w:tcPr>
          <w:p w14:paraId="727C4CE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719.14 </w:t>
            </w:r>
          </w:p>
        </w:tc>
        <w:tc>
          <w:tcPr>
            <w:tcW w:w="1026" w:type="dxa"/>
            <w:tcBorders>
              <w:top w:val="nil"/>
              <w:left w:val="nil"/>
              <w:bottom w:val="single" w:color="auto" w:sz="4" w:space="0"/>
              <w:right w:val="single" w:color="auto" w:sz="12" w:space="0"/>
            </w:tcBorders>
            <w:noWrap/>
            <w:vAlign w:val="center"/>
          </w:tcPr>
          <w:p w14:paraId="259ECC5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0.04%</w:t>
            </w:r>
          </w:p>
        </w:tc>
      </w:tr>
      <w:tr w14:paraId="10D9C4F0">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4F4D82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应付职工薪酬</w:t>
            </w:r>
          </w:p>
        </w:tc>
        <w:tc>
          <w:tcPr>
            <w:tcW w:w="1801" w:type="dxa"/>
            <w:tcBorders>
              <w:top w:val="nil"/>
              <w:left w:val="nil"/>
              <w:bottom w:val="single" w:color="auto" w:sz="4" w:space="0"/>
              <w:right w:val="single" w:color="auto" w:sz="4" w:space="0"/>
            </w:tcBorders>
            <w:noWrap/>
            <w:vAlign w:val="center"/>
          </w:tcPr>
          <w:p w14:paraId="501470E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146.58 </w:t>
            </w:r>
          </w:p>
        </w:tc>
        <w:tc>
          <w:tcPr>
            <w:tcW w:w="992" w:type="dxa"/>
            <w:tcBorders>
              <w:top w:val="nil"/>
              <w:left w:val="nil"/>
              <w:bottom w:val="single" w:color="auto" w:sz="4" w:space="0"/>
              <w:right w:val="single" w:color="auto" w:sz="4" w:space="0"/>
            </w:tcBorders>
            <w:noWrap/>
            <w:vAlign w:val="center"/>
          </w:tcPr>
          <w:p w14:paraId="3B3D5FD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c>
          <w:tcPr>
            <w:tcW w:w="1843" w:type="dxa"/>
            <w:tcBorders>
              <w:top w:val="nil"/>
              <w:left w:val="nil"/>
              <w:bottom w:val="single" w:color="auto" w:sz="4" w:space="0"/>
              <w:right w:val="single" w:color="auto" w:sz="4" w:space="0"/>
            </w:tcBorders>
            <w:noWrap/>
            <w:vAlign w:val="center"/>
          </w:tcPr>
          <w:p w14:paraId="3C92548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148.97 </w:t>
            </w:r>
          </w:p>
        </w:tc>
        <w:tc>
          <w:tcPr>
            <w:tcW w:w="992" w:type="dxa"/>
            <w:tcBorders>
              <w:top w:val="nil"/>
              <w:left w:val="nil"/>
              <w:bottom w:val="single" w:color="auto" w:sz="4" w:space="0"/>
              <w:right w:val="single" w:color="auto" w:sz="4" w:space="0"/>
            </w:tcBorders>
            <w:noWrap/>
            <w:vAlign w:val="center"/>
          </w:tcPr>
          <w:p w14:paraId="54C0C8C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c>
          <w:tcPr>
            <w:tcW w:w="1843" w:type="dxa"/>
            <w:tcBorders>
              <w:top w:val="nil"/>
              <w:left w:val="nil"/>
              <w:bottom w:val="single" w:color="auto" w:sz="4" w:space="0"/>
              <w:right w:val="single" w:color="auto" w:sz="4" w:space="0"/>
            </w:tcBorders>
            <w:noWrap/>
            <w:vAlign w:val="center"/>
          </w:tcPr>
          <w:p w14:paraId="02E46EE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192.81 </w:t>
            </w:r>
          </w:p>
        </w:tc>
        <w:tc>
          <w:tcPr>
            <w:tcW w:w="1026" w:type="dxa"/>
            <w:tcBorders>
              <w:top w:val="nil"/>
              <w:left w:val="nil"/>
              <w:bottom w:val="single" w:color="auto" w:sz="4" w:space="0"/>
              <w:right w:val="single" w:color="auto" w:sz="12" w:space="0"/>
            </w:tcBorders>
            <w:noWrap/>
            <w:vAlign w:val="center"/>
          </w:tcPr>
          <w:p w14:paraId="107FC5F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0.01%</w:t>
            </w:r>
          </w:p>
        </w:tc>
      </w:tr>
      <w:tr w14:paraId="08546EBA">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D64E48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应交税费</w:t>
            </w:r>
          </w:p>
        </w:tc>
        <w:tc>
          <w:tcPr>
            <w:tcW w:w="1801" w:type="dxa"/>
            <w:tcBorders>
              <w:top w:val="nil"/>
              <w:left w:val="nil"/>
              <w:bottom w:val="single" w:color="auto" w:sz="4" w:space="0"/>
              <w:right w:val="single" w:color="auto" w:sz="4" w:space="0"/>
            </w:tcBorders>
            <w:noWrap/>
            <w:vAlign w:val="center"/>
          </w:tcPr>
          <w:p w14:paraId="729F2757">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4,136.41 </w:t>
            </w:r>
          </w:p>
        </w:tc>
        <w:tc>
          <w:tcPr>
            <w:tcW w:w="992" w:type="dxa"/>
            <w:tcBorders>
              <w:top w:val="nil"/>
              <w:left w:val="nil"/>
              <w:bottom w:val="single" w:color="auto" w:sz="4" w:space="0"/>
              <w:right w:val="single" w:color="auto" w:sz="4" w:space="0"/>
            </w:tcBorders>
            <w:noWrap/>
            <w:vAlign w:val="center"/>
          </w:tcPr>
          <w:p w14:paraId="5EB525D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0.20%</w:t>
            </w:r>
          </w:p>
        </w:tc>
        <w:tc>
          <w:tcPr>
            <w:tcW w:w="1843" w:type="dxa"/>
            <w:tcBorders>
              <w:top w:val="nil"/>
              <w:left w:val="nil"/>
              <w:bottom w:val="single" w:color="auto" w:sz="4" w:space="0"/>
              <w:right w:val="single" w:color="auto" w:sz="4" w:space="0"/>
            </w:tcBorders>
            <w:noWrap/>
            <w:vAlign w:val="center"/>
          </w:tcPr>
          <w:p w14:paraId="6678D4C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5,617.54 </w:t>
            </w:r>
          </w:p>
        </w:tc>
        <w:tc>
          <w:tcPr>
            <w:tcW w:w="992" w:type="dxa"/>
            <w:tcBorders>
              <w:top w:val="nil"/>
              <w:left w:val="nil"/>
              <w:bottom w:val="single" w:color="auto" w:sz="4" w:space="0"/>
              <w:right w:val="single" w:color="auto" w:sz="4" w:space="0"/>
            </w:tcBorders>
            <w:noWrap/>
            <w:vAlign w:val="center"/>
          </w:tcPr>
          <w:p w14:paraId="4488FC2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0.26%</w:t>
            </w:r>
          </w:p>
        </w:tc>
        <w:tc>
          <w:tcPr>
            <w:tcW w:w="1843" w:type="dxa"/>
            <w:tcBorders>
              <w:top w:val="nil"/>
              <w:left w:val="nil"/>
              <w:bottom w:val="single" w:color="auto" w:sz="4" w:space="0"/>
              <w:right w:val="single" w:color="auto" w:sz="4" w:space="0"/>
            </w:tcBorders>
            <w:noWrap/>
            <w:vAlign w:val="center"/>
          </w:tcPr>
          <w:p w14:paraId="563DBCF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5,697.26 </w:t>
            </w:r>
          </w:p>
        </w:tc>
        <w:tc>
          <w:tcPr>
            <w:tcW w:w="1026" w:type="dxa"/>
            <w:tcBorders>
              <w:top w:val="nil"/>
              <w:left w:val="nil"/>
              <w:bottom w:val="single" w:color="auto" w:sz="4" w:space="0"/>
              <w:right w:val="single" w:color="auto" w:sz="12" w:space="0"/>
            </w:tcBorders>
            <w:noWrap/>
            <w:vAlign w:val="center"/>
          </w:tcPr>
          <w:p w14:paraId="1987C31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0.31%</w:t>
            </w:r>
          </w:p>
        </w:tc>
      </w:tr>
      <w:tr w14:paraId="60D1EB14">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2A28847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其他应付款合计</w:t>
            </w:r>
          </w:p>
        </w:tc>
        <w:tc>
          <w:tcPr>
            <w:tcW w:w="1801" w:type="dxa"/>
            <w:tcBorders>
              <w:top w:val="nil"/>
              <w:left w:val="nil"/>
              <w:bottom w:val="single" w:color="auto" w:sz="4" w:space="0"/>
              <w:right w:val="single" w:color="auto" w:sz="4" w:space="0"/>
            </w:tcBorders>
            <w:noWrap/>
            <w:vAlign w:val="center"/>
          </w:tcPr>
          <w:p w14:paraId="6F6F0AE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29,586.83 </w:t>
            </w:r>
          </w:p>
        </w:tc>
        <w:tc>
          <w:tcPr>
            <w:tcW w:w="992" w:type="dxa"/>
            <w:tcBorders>
              <w:top w:val="nil"/>
              <w:left w:val="nil"/>
              <w:bottom w:val="single" w:color="auto" w:sz="4" w:space="0"/>
              <w:right w:val="single" w:color="auto" w:sz="4" w:space="0"/>
            </w:tcBorders>
            <w:noWrap/>
            <w:vAlign w:val="center"/>
          </w:tcPr>
          <w:p w14:paraId="1202C7F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1.41%</w:t>
            </w:r>
          </w:p>
        </w:tc>
        <w:tc>
          <w:tcPr>
            <w:tcW w:w="1843" w:type="dxa"/>
            <w:tcBorders>
              <w:top w:val="nil"/>
              <w:left w:val="nil"/>
              <w:bottom w:val="single" w:color="auto" w:sz="4" w:space="0"/>
              <w:right w:val="single" w:color="auto" w:sz="4" w:space="0"/>
            </w:tcBorders>
            <w:noWrap/>
            <w:vAlign w:val="center"/>
          </w:tcPr>
          <w:p w14:paraId="0FBE2C7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26,993.79 </w:t>
            </w:r>
          </w:p>
        </w:tc>
        <w:tc>
          <w:tcPr>
            <w:tcW w:w="992" w:type="dxa"/>
            <w:tcBorders>
              <w:top w:val="nil"/>
              <w:left w:val="nil"/>
              <w:bottom w:val="single" w:color="auto" w:sz="4" w:space="0"/>
              <w:right w:val="single" w:color="auto" w:sz="4" w:space="0"/>
            </w:tcBorders>
            <w:noWrap/>
            <w:vAlign w:val="center"/>
          </w:tcPr>
          <w:p w14:paraId="0DBCB3F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w:t>
            </w:r>
          </w:p>
        </w:tc>
        <w:tc>
          <w:tcPr>
            <w:tcW w:w="1843" w:type="dxa"/>
            <w:tcBorders>
              <w:top w:val="nil"/>
              <w:left w:val="nil"/>
              <w:bottom w:val="single" w:color="auto" w:sz="4" w:space="0"/>
              <w:right w:val="single" w:color="auto" w:sz="4" w:space="0"/>
            </w:tcBorders>
            <w:noWrap/>
            <w:vAlign w:val="center"/>
          </w:tcPr>
          <w:p w14:paraId="1B51B3D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25,378.26 </w:t>
            </w:r>
          </w:p>
        </w:tc>
        <w:tc>
          <w:tcPr>
            <w:tcW w:w="1026" w:type="dxa"/>
            <w:tcBorders>
              <w:top w:val="nil"/>
              <w:left w:val="nil"/>
              <w:bottom w:val="single" w:color="auto" w:sz="4" w:space="0"/>
              <w:right w:val="single" w:color="auto" w:sz="12" w:space="0"/>
            </w:tcBorders>
            <w:noWrap/>
            <w:vAlign w:val="center"/>
          </w:tcPr>
          <w:p w14:paraId="286C60F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1.36%</w:t>
            </w:r>
          </w:p>
        </w:tc>
      </w:tr>
      <w:tr w14:paraId="471C0AE9">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034534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其中：应付利息</w:t>
            </w:r>
          </w:p>
        </w:tc>
        <w:tc>
          <w:tcPr>
            <w:tcW w:w="1801" w:type="dxa"/>
            <w:tcBorders>
              <w:top w:val="nil"/>
              <w:left w:val="nil"/>
              <w:bottom w:val="single" w:color="auto" w:sz="4" w:space="0"/>
              <w:right w:val="single" w:color="auto" w:sz="4" w:space="0"/>
            </w:tcBorders>
            <w:noWrap/>
            <w:vAlign w:val="center"/>
          </w:tcPr>
          <w:p w14:paraId="226CA6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3D3DAF7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0281059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2AC0C69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408EE93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4596D9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67EE0059">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19DB6A9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应付股利</w:t>
            </w:r>
          </w:p>
        </w:tc>
        <w:tc>
          <w:tcPr>
            <w:tcW w:w="1801" w:type="dxa"/>
            <w:tcBorders>
              <w:top w:val="nil"/>
              <w:left w:val="nil"/>
              <w:bottom w:val="single" w:color="auto" w:sz="4" w:space="0"/>
              <w:right w:val="single" w:color="auto" w:sz="4" w:space="0"/>
            </w:tcBorders>
            <w:noWrap/>
            <w:vAlign w:val="center"/>
          </w:tcPr>
          <w:p w14:paraId="11958D9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3166503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3D20572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1CBD233B">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1EFD45A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756612D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0AC902FE">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3090375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一年内到期的非流动负债</w:t>
            </w:r>
          </w:p>
        </w:tc>
        <w:tc>
          <w:tcPr>
            <w:tcW w:w="1801" w:type="dxa"/>
            <w:tcBorders>
              <w:top w:val="nil"/>
              <w:left w:val="nil"/>
              <w:bottom w:val="single" w:color="auto" w:sz="4" w:space="0"/>
              <w:right w:val="single" w:color="auto" w:sz="4" w:space="0"/>
            </w:tcBorders>
            <w:noWrap/>
            <w:vAlign w:val="center"/>
          </w:tcPr>
          <w:p w14:paraId="27A8CD3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192,674.42 </w:t>
            </w:r>
          </w:p>
        </w:tc>
        <w:tc>
          <w:tcPr>
            <w:tcW w:w="992" w:type="dxa"/>
            <w:tcBorders>
              <w:top w:val="nil"/>
              <w:left w:val="nil"/>
              <w:bottom w:val="single" w:color="auto" w:sz="4" w:space="0"/>
              <w:right w:val="single" w:color="auto" w:sz="4" w:space="0"/>
            </w:tcBorders>
            <w:noWrap/>
            <w:vAlign w:val="center"/>
          </w:tcPr>
          <w:p w14:paraId="11D690E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9.20%</w:t>
            </w:r>
          </w:p>
        </w:tc>
        <w:tc>
          <w:tcPr>
            <w:tcW w:w="1843" w:type="dxa"/>
            <w:tcBorders>
              <w:top w:val="nil"/>
              <w:left w:val="nil"/>
              <w:bottom w:val="single" w:color="auto" w:sz="4" w:space="0"/>
              <w:right w:val="single" w:color="auto" w:sz="4" w:space="0"/>
            </w:tcBorders>
            <w:noWrap/>
            <w:vAlign w:val="center"/>
          </w:tcPr>
          <w:p w14:paraId="6F829FE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661,196.15 </w:t>
            </w:r>
          </w:p>
        </w:tc>
        <w:tc>
          <w:tcPr>
            <w:tcW w:w="992" w:type="dxa"/>
            <w:tcBorders>
              <w:top w:val="nil"/>
              <w:left w:val="nil"/>
              <w:bottom w:val="single" w:color="auto" w:sz="4" w:space="0"/>
              <w:right w:val="single" w:color="auto" w:sz="4" w:space="0"/>
            </w:tcBorders>
            <w:noWrap/>
            <w:vAlign w:val="center"/>
          </w:tcPr>
          <w:p w14:paraId="013E1A0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30.35%</w:t>
            </w:r>
          </w:p>
        </w:tc>
        <w:tc>
          <w:tcPr>
            <w:tcW w:w="1843" w:type="dxa"/>
            <w:tcBorders>
              <w:top w:val="nil"/>
              <w:left w:val="nil"/>
              <w:bottom w:val="single" w:color="auto" w:sz="4" w:space="0"/>
              <w:right w:val="single" w:color="auto" w:sz="4" w:space="0"/>
            </w:tcBorders>
            <w:noWrap/>
            <w:vAlign w:val="center"/>
          </w:tcPr>
          <w:p w14:paraId="4679F4D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223,998.77 </w:t>
            </w:r>
          </w:p>
        </w:tc>
        <w:tc>
          <w:tcPr>
            <w:tcW w:w="1026" w:type="dxa"/>
            <w:tcBorders>
              <w:top w:val="nil"/>
              <w:left w:val="nil"/>
              <w:bottom w:val="single" w:color="auto" w:sz="4" w:space="0"/>
              <w:right w:val="single" w:color="auto" w:sz="12" w:space="0"/>
            </w:tcBorders>
            <w:noWrap/>
            <w:vAlign w:val="center"/>
          </w:tcPr>
          <w:p w14:paraId="4FB26B3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12.04%</w:t>
            </w:r>
          </w:p>
        </w:tc>
      </w:tr>
      <w:tr w14:paraId="341A26B0">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C84791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其他流动负债</w:t>
            </w:r>
          </w:p>
        </w:tc>
        <w:tc>
          <w:tcPr>
            <w:tcW w:w="1801" w:type="dxa"/>
            <w:tcBorders>
              <w:top w:val="nil"/>
              <w:left w:val="nil"/>
              <w:bottom w:val="single" w:color="auto" w:sz="4" w:space="0"/>
              <w:right w:val="single" w:color="auto" w:sz="4" w:space="0"/>
            </w:tcBorders>
            <w:noWrap/>
            <w:vAlign w:val="center"/>
          </w:tcPr>
          <w:p w14:paraId="6126C87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382,040.64 </w:t>
            </w:r>
          </w:p>
        </w:tc>
        <w:tc>
          <w:tcPr>
            <w:tcW w:w="992" w:type="dxa"/>
            <w:tcBorders>
              <w:top w:val="nil"/>
              <w:left w:val="nil"/>
              <w:bottom w:val="single" w:color="auto" w:sz="4" w:space="0"/>
              <w:right w:val="single" w:color="auto" w:sz="4" w:space="0"/>
            </w:tcBorders>
            <w:noWrap/>
            <w:vAlign w:val="center"/>
          </w:tcPr>
          <w:p w14:paraId="27E4636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18.23%</w:t>
            </w:r>
          </w:p>
        </w:tc>
        <w:tc>
          <w:tcPr>
            <w:tcW w:w="1843" w:type="dxa"/>
            <w:tcBorders>
              <w:top w:val="nil"/>
              <w:left w:val="nil"/>
              <w:bottom w:val="single" w:color="auto" w:sz="4" w:space="0"/>
              <w:right w:val="single" w:color="auto" w:sz="4" w:space="0"/>
            </w:tcBorders>
            <w:noWrap/>
            <w:vAlign w:val="center"/>
          </w:tcPr>
          <w:p w14:paraId="7FC643C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413,011.85 </w:t>
            </w:r>
          </w:p>
        </w:tc>
        <w:tc>
          <w:tcPr>
            <w:tcW w:w="992" w:type="dxa"/>
            <w:tcBorders>
              <w:top w:val="nil"/>
              <w:left w:val="nil"/>
              <w:bottom w:val="single" w:color="auto" w:sz="4" w:space="0"/>
              <w:right w:val="single" w:color="auto" w:sz="4" w:space="0"/>
            </w:tcBorders>
            <w:noWrap/>
            <w:vAlign w:val="center"/>
          </w:tcPr>
          <w:p w14:paraId="74230F9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18.96%</w:t>
            </w:r>
          </w:p>
        </w:tc>
        <w:tc>
          <w:tcPr>
            <w:tcW w:w="1843" w:type="dxa"/>
            <w:tcBorders>
              <w:top w:val="nil"/>
              <w:left w:val="nil"/>
              <w:bottom w:val="single" w:color="auto" w:sz="4" w:space="0"/>
              <w:right w:val="single" w:color="auto" w:sz="4" w:space="0"/>
            </w:tcBorders>
            <w:noWrap/>
            <w:vAlign w:val="center"/>
          </w:tcPr>
          <w:p w14:paraId="00192BA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189,863.13 </w:t>
            </w:r>
          </w:p>
        </w:tc>
        <w:tc>
          <w:tcPr>
            <w:tcW w:w="1026" w:type="dxa"/>
            <w:tcBorders>
              <w:top w:val="nil"/>
              <w:left w:val="nil"/>
              <w:bottom w:val="single" w:color="auto" w:sz="4" w:space="0"/>
              <w:right w:val="single" w:color="auto" w:sz="12" w:space="0"/>
            </w:tcBorders>
            <w:noWrap/>
            <w:vAlign w:val="center"/>
          </w:tcPr>
          <w:p w14:paraId="60ABA65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10.21%</w:t>
            </w:r>
          </w:p>
        </w:tc>
      </w:tr>
      <w:tr w14:paraId="395E75B2">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A4AFA70">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流动负债合计</w:t>
            </w:r>
          </w:p>
        </w:tc>
        <w:tc>
          <w:tcPr>
            <w:tcW w:w="1801" w:type="dxa"/>
            <w:tcBorders>
              <w:top w:val="nil"/>
              <w:left w:val="nil"/>
              <w:bottom w:val="single" w:color="auto" w:sz="4" w:space="0"/>
              <w:right w:val="single" w:color="auto" w:sz="4" w:space="0"/>
            </w:tcBorders>
            <w:noWrap/>
            <w:vAlign w:val="center"/>
          </w:tcPr>
          <w:p w14:paraId="597685F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743,094.08 </w:t>
            </w:r>
          </w:p>
        </w:tc>
        <w:tc>
          <w:tcPr>
            <w:tcW w:w="992" w:type="dxa"/>
            <w:tcBorders>
              <w:top w:val="nil"/>
              <w:left w:val="nil"/>
              <w:bottom w:val="single" w:color="auto" w:sz="4" w:space="0"/>
              <w:right w:val="single" w:color="auto" w:sz="4" w:space="0"/>
            </w:tcBorders>
            <w:noWrap/>
            <w:vAlign w:val="center"/>
          </w:tcPr>
          <w:p w14:paraId="32FEF295">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35.46%</w:t>
            </w:r>
          </w:p>
        </w:tc>
        <w:tc>
          <w:tcPr>
            <w:tcW w:w="1843" w:type="dxa"/>
            <w:tcBorders>
              <w:top w:val="nil"/>
              <w:left w:val="nil"/>
              <w:bottom w:val="single" w:color="auto" w:sz="4" w:space="0"/>
              <w:right w:val="single" w:color="auto" w:sz="4" w:space="0"/>
            </w:tcBorders>
            <w:noWrap/>
            <w:vAlign w:val="center"/>
          </w:tcPr>
          <w:p w14:paraId="79AD166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1,232,001.36 </w:t>
            </w:r>
          </w:p>
        </w:tc>
        <w:tc>
          <w:tcPr>
            <w:tcW w:w="992" w:type="dxa"/>
            <w:tcBorders>
              <w:top w:val="nil"/>
              <w:left w:val="nil"/>
              <w:bottom w:val="single" w:color="auto" w:sz="4" w:space="0"/>
              <w:right w:val="single" w:color="auto" w:sz="4" w:space="0"/>
            </w:tcBorders>
            <w:noWrap/>
            <w:vAlign w:val="center"/>
          </w:tcPr>
          <w:p w14:paraId="0040F97C">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56.55%</w:t>
            </w:r>
          </w:p>
        </w:tc>
        <w:tc>
          <w:tcPr>
            <w:tcW w:w="1843" w:type="dxa"/>
            <w:tcBorders>
              <w:top w:val="nil"/>
              <w:left w:val="nil"/>
              <w:bottom w:val="single" w:color="auto" w:sz="4" w:space="0"/>
              <w:right w:val="single" w:color="auto" w:sz="4" w:space="0"/>
            </w:tcBorders>
            <w:noWrap/>
            <w:vAlign w:val="center"/>
          </w:tcPr>
          <w:p w14:paraId="57AFC6F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619,993.83 </w:t>
            </w:r>
          </w:p>
        </w:tc>
        <w:tc>
          <w:tcPr>
            <w:tcW w:w="1026" w:type="dxa"/>
            <w:tcBorders>
              <w:top w:val="nil"/>
              <w:left w:val="nil"/>
              <w:bottom w:val="single" w:color="auto" w:sz="4" w:space="0"/>
              <w:right w:val="single" w:color="auto" w:sz="12" w:space="0"/>
            </w:tcBorders>
            <w:noWrap/>
            <w:vAlign w:val="center"/>
          </w:tcPr>
          <w:p w14:paraId="0D70BF10">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33.33%</w:t>
            </w:r>
          </w:p>
        </w:tc>
      </w:tr>
      <w:tr w14:paraId="4F86A3A9">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7D5FFE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长期借款</w:t>
            </w:r>
          </w:p>
        </w:tc>
        <w:tc>
          <w:tcPr>
            <w:tcW w:w="1801" w:type="dxa"/>
            <w:tcBorders>
              <w:top w:val="nil"/>
              <w:left w:val="nil"/>
              <w:bottom w:val="single" w:color="auto" w:sz="4" w:space="0"/>
              <w:right w:val="single" w:color="auto" w:sz="4" w:space="0"/>
            </w:tcBorders>
            <w:noWrap/>
            <w:vAlign w:val="center"/>
          </w:tcPr>
          <w:p w14:paraId="67C85E9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400,238.29 </w:t>
            </w:r>
          </w:p>
        </w:tc>
        <w:tc>
          <w:tcPr>
            <w:tcW w:w="992" w:type="dxa"/>
            <w:tcBorders>
              <w:top w:val="nil"/>
              <w:left w:val="nil"/>
              <w:bottom w:val="single" w:color="auto" w:sz="4" w:space="0"/>
              <w:right w:val="single" w:color="auto" w:sz="4" w:space="0"/>
            </w:tcBorders>
            <w:noWrap/>
            <w:vAlign w:val="center"/>
          </w:tcPr>
          <w:p w14:paraId="0CE1E74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19.10%</w:t>
            </w:r>
          </w:p>
        </w:tc>
        <w:tc>
          <w:tcPr>
            <w:tcW w:w="1843" w:type="dxa"/>
            <w:tcBorders>
              <w:top w:val="nil"/>
              <w:left w:val="nil"/>
              <w:bottom w:val="single" w:color="auto" w:sz="4" w:space="0"/>
              <w:right w:val="single" w:color="auto" w:sz="4" w:space="0"/>
            </w:tcBorders>
            <w:noWrap/>
            <w:vAlign w:val="center"/>
          </w:tcPr>
          <w:p w14:paraId="5172648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550,071.30 </w:t>
            </w:r>
          </w:p>
        </w:tc>
        <w:tc>
          <w:tcPr>
            <w:tcW w:w="992" w:type="dxa"/>
            <w:tcBorders>
              <w:top w:val="nil"/>
              <w:left w:val="nil"/>
              <w:bottom w:val="single" w:color="auto" w:sz="4" w:space="0"/>
              <w:right w:val="single" w:color="auto" w:sz="4" w:space="0"/>
            </w:tcBorders>
            <w:noWrap/>
            <w:vAlign w:val="center"/>
          </w:tcPr>
          <w:p w14:paraId="2C86C7A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25.25%</w:t>
            </w:r>
          </w:p>
        </w:tc>
        <w:tc>
          <w:tcPr>
            <w:tcW w:w="1843" w:type="dxa"/>
            <w:tcBorders>
              <w:top w:val="nil"/>
              <w:left w:val="nil"/>
              <w:bottom w:val="single" w:color="auto" w:sz="4" w:space="0"/>
              <w:right w:val="single" w:color="auto" w:sz="4" w:space="0"/>
            </w:tcBorders>
            <w:noWrap/>
            <w:vAlign w:val="center"/>
          </w:tcPr>
          <w:p w14:paraId="49A58E1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422,668.93 </w:t>
            </w:r>
          </w:p>
        </w:tc>
        <w:tc>
          <w:tcPr>
            <w:tcW w:w="1026" w:type="dxa"/>
            <w:tcBorders>
              <w:top w:val="nil"/>
              <w:left w:val="nil"/>
              <w:bottom w:val="single" w:color="auto" w:sz="4" w:space="0"/>
              <w:right w:val="single" w:color="auto" w:sz="12" w:space="0"/>
            </w:tcBorders>
            <w:noWrap/>
            <w:vAlign w:val="center"/>
          </w:tcPr>
          <w:p w14:paraId="6F489B9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22.72%</w:t>
            </w:r>
          </w:p>
        </w:tc>
      </w:tr>
      <w:tr w14:paraId="5D899F5C">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7B416B2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应付债券</w:t>
            </w:r>
          </w:p>
        </w:tc>
        <w:tc>
          <w:tcPr>
            <w:tcW w:w="1801" w:type="dxa"/>
            <w:tcBorders>
              <w:top w:val="nil"/>
              <w:left w:val="nil"/>
              <w:bottom w:val="single" w:color="auto" w:sz="4" w:space="0"/>
              <w:right w:val="single" w:color="auto" w:sz="4" w:space="0"/>
            </w:tcBorders>
            <w:noWrap/>
            <w:vAlign w:val="center"/>
          </w:tcPr>
          <w:p w14:paraId="17B7979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599,524.47 </w:t>
            </w:r>
          </w:p>
        </w:tc>
        <w:tc>
          <w:tcPr>
            <w:tcW w:w="992" w:type="dxa"/>
            <w:tcBorders>
              <w:top w:val="nil"/>
              <w:left w:val="nil"/>
              <w:bottom w:val="single" w:color="auto" w:sz="4" w:space="0"/>
              <w:right w:val="single" w:color="auto" w:sz="4" w:space="0"/>
            </w:tcBorders>
            <w:noWrap/>
            <w:vAlign w:val="center"/>
          </w:tcPr>
          <w:p w14:paraId="793E9A1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28.61%</w:t>
            </w:r>
          </w:p>
        </w:tc>
        <w:tc>
          <w:tcPr>
            <w:tcW w:w="1843" w:type="dxa"/>
            <w:tcBorders>
              <w:top w:val="nil"/>
              <w:left w:val="nil"/>
              <w:bottom w:val="single" w:color="auto" w:sz="4" w:space="0"/>
              <w:right w:val="single" w:color="auto" w:sz="4" w:space="0"/>
            </w:tcBorders>
            <w:noWrap/>
            <w:vAlign w:val="center"/>
          </w:tcPr>
          <w:p w14:paraId="71A9A32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99,930.03 </w:t>
            </w:r>
          </w:p>
        </w:tc>
        <w:tc>
          <w:tcPr>
            <w:tcW w:w="992" w:type="dxa"/>
            <w:tcBorders>
              <w:top w:val="nil"/>
              <w:left w:val="nil"/>
              <w:bottom w:val="single" w:color="auto" w:sz="4" w:space="0"/>
              <w:right w:val="single" w:color="auto" w:sz="4" w:space="0"/>
            </w:tcBorders>
            <w:noWrap/>
            <w:vAlign w:val="center"/>
          </w:tcPr>
          <w:p w14:paraId="13E58190">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4.59%</w:t>
            </w:r>
          </w:p>
        </w:tc>
        <w:tc>
          <w:tcPr>
            <w:tcW w:w="1843" w:type="dxa"/>
            <w:tcBorders>
              <w:top w:val="nil"/>
              <w:left w:val="nil"/>
              <w:bottom w:val="single" w:color="auto" w:sz="4" w:space="0"/>
              <w:right w:val="single" w:color="auto" w:sz="4" w:space="0"/>
            </w:tcBorders>
            <w:noWrap/>
            <w:vAlign w:val="center"/>
          </w:tcPr>
          <w:p w14:paraId="66A83C2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798,553.48 </w:t>
            </w:r>
          </w:p>
        </w:tc>
        <w:tc>
          <w:tcPr>
            <w:tcW w:w="1026" w:type="dxa"/>
            <w:tcBorders>
              <w:top w:val="nil"/>
              <w:left w:val="nil"/>
              <w:bottom w:val="single" w:color="auto" w:sz="4" w:space="0"/>
              <w:right w:val="single" w:color="auto" w:sz="12" w:space="0"/>
            </w:tcBorders>
            <w:noWrap/>
            <w:vAlign w:val="center"/>
          </w:tcPr>
          <w:p w14:paraId="5F1902B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42.92%</w:t>
            </w:r>
          </w:p>
        </w:tc>
      </w:tr>
      <w:tr w14:paraId="170A999B">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3B382D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长期应付款合计</w:t>
            </w:r>
          </w:p>
        </w:tc>
        <w:tc>
          <w:tcPr>
            <w:tcW w:w="1801" w:type="dxa"/>
            <w:tcBorders>
              <w:top w:val="nil"/>
              <w:left w:val="nil"/>
              <w:bottom w:val="single" w:color="auto" w:sz="4" w:space="0"/>
              <w:right w:val="single" w:color="auto" w:sz="4" w:space="0"/>
            </w:tcBorders>
            <w:noWrap/>
            <w:vAlign w:val="center"/>
          </w:tcPr>
          <w:p w14:paraId="18AE18B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69F7E6D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665EF02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633047F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4E46686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7E1F6FA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5771C15D">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0CB39D9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预计负债</w:t>
            </w:r>
          </w:p>
        </w:tc>
        <w:tc>
          <w:tcPr>
            <w:tcW w:w="1801" w:type="dxa"/>
            <w:tcBorders>
              <w:top w:val="nil"/>
              <w:left w:val="nil"/>
              <w:bottom w:val="single" w:color="auto" w:sz="4" w:space="0"/>
              <w:right w:val="single" w:color="auto" w:sz="4" w:space="0"/>
            </w:tcBorders>
            <w:noWrap/>
            <w:vAlign w:val="center"/>
          </w:tcPr>
          <w:p w14:paraId="61B23C6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0DC3B68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283EFA1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992" w:type="dxa"/>
            <w:tcBorders>
              <w:top w:val="nil"/>
              <w:left w:val="nil"/>
              <w:bottom w:val="single" w:color="auto" w:sz="4" w:space="0"/>
              <w:right w:val="single" w:color="auto" w:sz="4" w:space="0"/>
            </w:tcBorders>
            <w:noWrap/>
            <w:vAlign w:val="center"/>
          </w:tcPr>
          <w:p w14:paraId="130E21E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c>
          <w:tcPr>
            <w:tcW w:w="1843" w:type="dxa"/>
            <w:tcBorders>
              <w:top w:val="nil"/>
              <w:left w:val="nil"/>
              <w:bottom w:val="single" w:color="auto" w:sz="4" w:space="0"/>
              <w:right w:val="single" w:color="auto" w:sz="4" w:space="0"/>
            </w:tcBorders>
            <w:noWrap/>
            <w:vAlign w:val="center"/>
          </w:tcPr>
          <w:p w14:paraId="2037359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010FD52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31B713DD">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4213F875">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递延所得税负债</w:t>
            </w:r>
          </w:p>
        </w:tc>
        <w:tc>
          <w:tcPr>
            <w:tcW w:w="1801" w:type="dxa"/>
            <w:tcBorders>
              <w:top w:val="nil"/>
              <w:left w:val="nil"/>
              <w:bottom w:val="single" w:color="auto" w:sz="4" w:space="0"/>
              <w:right w:val="single" w:color="auto" w:sz="4" w:space="0"/>
            </w:tcBorders>
            <w:noWrap/>
            <w:vAlign w:val="center"/>
          </w:tcPr>
          <w:p w14:paraId="132F867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79,960.14 </w:t>
            </w:r>
          </w:p>
        </w:tc>
        <w:tc>
          <w:tcPr>
            <w:tcW w:w="992" w:type="dxa"/>
            <w:tcBorders>
              <w:top w:val="nil"/>
              <w:left w:val="nil"/>
              <w:bottom w:val="single" w:color="auto" w:sz="4" w:space="0"/>
              <w:right w:val="single" w:color="auto" w:sz="4" w:space="0"/>
            </w:tcBorders>
            <w:noWrap/>
            <w:vAlign w:val="center"/>
          </w:tcPr>
          <w:p w14:paraId="2146FEB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3.82%</w:t>
            </w:r>
          </w:p>
        </w:tc>
        <w:tc>
          <w:tcPr>
            <w:tcW w:w="1843" w:type="dxa"/>
            <w:tcBorders>
              <w:top w:val="nil"/>
              <w:left w:val="nil"/>
              <w:bottom w:val="single" w:color="auto" w:sz="4" w:space="0"/>
              <w:right w:val="single" w:color="auto" w:sz="4" w:space="0"/>
            </w:tcBorders>
            <w:noWrap/>
            <w:vAlign w:val="center"/>
          </w:tcPr>
          <w:p w14:paraId="3BA5964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70,034.41 </w:t>
            </w:r>
          </w:p>
        </w:tc>
        <w:tc>
          <w:tcPr>
            <w:tcW w:w="992" w:type="dxa"/>
            <w:tcBorders>
              <w:top w:val="nil"/>
              <w:left w:val="nil"/>
              <w:bottom w:val="single" w:color="auto" w:sz="4" w:space="0"/>
              <w:right w:val="single" w:color="auto" w:sz="4" w:space="0"/>
            </w:tcBorders>
            <w:noWrap/>
            <w:vAlign w:val="center"/>
          </w:tcPr>
          <w:p w14:paraId="5A82202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3.21%</w:t>
            </w:r>
          </w:p>
        </w:tc>
        <w:tc>
          <w:tcPr>
            <w:tcW w:w="1843" w:type="dxa"/>
            <w:tcBorders>
              <w:top w:val="nil"/>
              <w:left w:val="nil"/>
              <w:bottom w:val="single" w:color="auto" w:sz="4" w:space="0"/>
              <w:right w:val="single" w:color="auto" w:sz="4" w:space="0"/>
            </w:tcBorders>
            <w:noWrap/>
            <w:vAlign w:val="center"/>
          </w:tcPr>
          <w:p w14:paraId="4D18E252">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13,808.56 </w:t>
            </w:r>
          </w:p>
        </w:tc>
        <w:tc>
          <w:tcPr>
            <w:tcW w:w="1026" w:type="dxa"/>
            <w:tcBorders>
              <w:top w:val="nil"/>
              <w:left w:val="nil"/>
              <w:bottom w:val="single" w:color="auto" w:sz="4" w:space="0"/>
              <w:right w:val="single" w:color="auto" w:sz="12" w:space="0"/>
            </w:tcBorders>
            <w:noWrap/>
            <w:vAlign w:val="center"/>
          </w:tcPr>
          <w:p w14:paraId="4EAF2F5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0.74%</w:t>
            </w:r>
          </w:p>
        </w:tc>
      </w:tr>
      <w:tr w14:paraId="1CF4757D">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5781CC2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递延收益-非流动负债</w:t>
            </w:r>
          </w:p>
        </w:tc>
        <w:tc>
          <w:tcPr>
            <w:tcW w:w="1801" w:type="dxa"/>
            <w:tcBorders>
              <w:top w:val="nil"/>
              <w:left w:val="nil"/>
              <w:bottom w:val="single" w:color="auto" w:sz="4" w:space="0"/>
              <w:right w:val="single" w:color="auto" w:sz="4" w:space="0"/>
            </w:tcBorders>
            <w:noWrap/>
            <w:vAlign w:val="center"/>
          </w:tcPr>
          <w:p w14:paraId="2982610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11,763.38 </w:t>
            </w:r>
          </w:p>
        </w:tc>
        <w:tc>
          <w:tcPr>
            <w:tcW w:w="992" w:type="dxa"/>
            <w:tcBorders>
              <w:top w:val="nil"/>
              <w:left w:val="nil"/>
              <w:bottom w:val="single" w:color="auto" w:sz="4" w:space="0"/>
              <w:right w:val="single" w:color="auto" w:sz="4" w:space="0"/>
            </w:tcBorders>
            <w:noWrap/>
            <w:vAlign w:val="center"/>
          </w:tcPr>
          <w:p w14:paraId="09D0B6A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0.56%</w:t>
            </w:r>
          </w:p>
        </w:tc>
        <w:tc>
          <w:tcPr>
            <w:tcW w:w="1843" w:type="dxa"/>
            <w:tcBorders>
              <w:top w:val="nil"/>
              <w:left w:val="nil"/>
              <w:bottom w:val="single" w:color="auto" w:sz="4" w:space="0"/>
              <w:right w:val="single" w:color="auto" w:sz="4" w:space="0"/>
            </w:tcBorders>
            <w:noWrap/>
            <w:vAlign w:val="center"/>
          </w:tcPr>
          <w:p w14:paraId="26FC53ED">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4,347.81 </w:t>
            </w:r>
          </w:p>
        </w:tc>
        <w:tc>
          <w:tcPr>
            <w:tcW w:w="992" w:type="dxa"/>
            <w:tcBorders>
              <w:top w:val="nil"/>
              <w:left w:val="nil"/>
              <w:bottom w:val="single" w:color="auto" w:sz="4" w:space="0"/>
              <w:right w:val="single" w:color="auto" w:sz="4" w:space="0"/>
            </w:tcBorders>
            <w:noWrap/>
            <w:vAlign w:val="center"/>
          </w:tcPr>
          <w:p w14:paraId="392C7F78">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0.20%</w:t>
            </w:r>
          </w:p>
        </w:tc>
        <w:tc>
          <w:tcPr>
            <w:tcW w:w="1843" w:type="dxa"/>
            <w:tcBorders>
              <w:top w:val="nil"/>
              <w:left w:val="nil"/>
              <w:bottom w:val="single" w:color="auto" w:sz="4" w:space="0"/>
              <w:right w:val="single" w:color="auto" w:sz="4" w:space="0"/>
            </w:tcBorders>
            <w:noWrap/>
            <w:vAlign w:val="center"/>
          </w:tcPr>
          <w:p w14:paraId="7B22E64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5,375.54 </w:t>
            </w:r>
          </w:p>
        </w:tc>
        <w:tc>
          <w:tcPr>
            <w:tcW w:w="1026" w:type="dxa"/>
            <w:tcBorders>
              <w:top w:val="nil"/>
              <w:left w:val="nil"/>
              <w:bottom w:val="single" w:color="auto" w:sz="4" w:space="0"/>
              <w:right w:val="single" w:color="auto" w:sz="12" w:space="0"/>
            </w:tcBorders>
            <w:noWrap/>
            <w:vAlign w:val="center"/>
          </w:tcPr>
          <w:p w14:paraId="04E9EB4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0.29%</w:t>
            </w:r>
          </w:p>
        </w:tc>
      </w:tr>
      <w:tr w14:paraId="5C2A69E0">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94BFCB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其他非流动负债</w:t>
            </w:r>
          </w:p>
        </w:tc>
        <w:tc>
          <w:tcPr>
            <w:tcW w:w="1801" w:type="dxa"/>
            <w:tcBorders>
              <w:top w:val="nil"/>
              <w:left w:val="nil"/>
              <w:bottom w:val="single" w:color="auto" w:sz="4" w:space="0"/>
              <w:right w:val="single" w:color="auto" w:sz="4" w:space="0"/>
            </w:tcBorders>
            <w:noWrap/>
            <w:vAlign w:val="center"/>
          </w:tcPr>
          <w:p w14:paraId="232A3306">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260,764.00 </w:t>
            </w:r>
          </w:p>
        </w:tc>
        <w:tc>
          <w:tcPr>
            <w:tcW w:w="992" w:type="dxa"/>
            <w:tcBorders>
              <w:top w:val="nil"/>
              <w:left w:val="nil"/>
              <w:bottom w:val="single" w:color="auto" w:sz="4" w:space="0"/>
              <w:right w:val="single" w:color="auto" w:sz="4" w:space="0"/>
            </w:tcBorders>
            <w:noWrap/>
            <w:vAlign w:val="center"/>
          </w:tcPr>
          <w:p w14:paraId="24F4386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12.44%</w:t>
            </w:r>
          </w:p>
        </w:tc>
        <w:tc>
          <w:tcPr>
            <w:tcW w:w="1843" w:type="dxa"/>
            <w:tcBorders>
              <w:top w:val="nil"/>
              <w:left w:val="nil"/>
              <w:bottom w:val="single" w:color="auto" w:sz="4" w:space="0"/>
              <w:right w:val="single" w:color="auto" w:sz="4" w:space="0"/>
            </w:tcBorders>
            <w:noWrap/>
            <w:vAlign w:val="center"/>
          </w:tcPr>
          <w:p w14:paraId="4824D5B5">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222,068.00 </w:t>
            </w:r>
          </w:p>
        </w:tc>
        <w:tc>
          <w:tcPr>
            <w:tcW w:w="992" w:type="dxa"/>
            <w:tcBorders>
              <w:top w:val="nil"/>
              <w:left w:val="nil"/>
              <w:bottom w:val="single" w:color="auto" w:sz="4" w:space="0"/>
              <w:right w:val="single" w:color="auto" w:sz="4" w:space="0"/>
            </w:tcBorders>
            <w:noWrap/>
            <w:vAlign w:val="center"/>
          </w:tcPr>
          <w:p w14:paraId="4827581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10.19%</w:t>
            </w:r>
          </w:p>
        </w:tc>
        <w:tc>
          <w:tcPr>
            <w:tcW w:w="1843" w:type="dxa"/>
            <w:tcBorders>
              <w:top w:val="nil"/>
              <w:left w:val="nil"/>
              <w:bottom w:val="single" w:color="auto" w:sz="4" w:space="0"/>
              <w:right w:val="single" w:color="auto" w:sz="4" w:space="0"/>
            </w:tcBorders>
            <w:noWrap/>
            <w:vAlign w:val="center"/>
          </w:tcPr>
          <w:p w14:paraId="286C6F29">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   </w:t>
            </w:r>
          </w:p>
        </w:tc>
        <w:tc>
          <w:tcPr>
            <w:tcW w:w="1026" w:type="dxa"/>
            <w:tcBorders>
              <w:top w:val="nil"/>
              <w:left w:val="nil"/>
              <w:bottom w:val="single" w:color="auto" w:sz="4" w:space="0"/>
              <w:right w:val="single" w:color="auto" w:sz="12" w:space="0"/>
            </w:tcBorders>
            <w:noWrap/>
            <w:vAlign w:val="center"/>
          </w:tcPr>
          <w:p w14:paraId="62F13FD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0.00%</w:t>
            </w:r>
          </w:p>
        </w:tc>
      </w:tr>
      <w:tr w14:paraId="785AF7D9">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4" w:space="0"/>
              <w:right w:val="single" w:color="auto" w:sz="4" w:space="0"/>
            </w:tcBorders>
            <w:noWrap/>
            <w:vAlign w:val="center"/>
          </w:tcPr>
          <w:p w14:paraId="622CA99D">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非流动负债合计</w:t>
            </w:r>
          </w:p>
        </w:tc>
        <w:tc>
          <w:tcPr>
            <w:tcW w:w="1801" w:type="dxa"/>
            <w:tcBorders>
              <w:top w:val="nil"/>
              <w:left w:val="nil"/>
              <w:bottom w:val="single" w:color="auto" w:sz="4" w:space="0"/>
              <w:right w:val="single" w:color="auto" w:sz="4" w:space="0"/>
            </w:tcBorders>
            <w:noWrap/>
            <w:vAlign w:val="center"/>
          </w:tcPr>
          <w:p w14:paraId="6673D3CF">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1,352,250.28 </w:t>
            </w:r>
          </w:p>
        </w:tc>
        <w:tc>
          <w:tcPr>
            <w:tcW w:w="992" w:type="dxa"/>
            <w:tcBorders>
              <w:top w:val="nil"/>
              <w:left w:val="nil"/>
              <w:bottom w:val="single" w:color="auto" w:sz="4" w:space="0"/>
              <w:right w:val="single" w:color="auto" w:sz="4" w:space="0"/>
            </w:tcBorders>
            <w:noWrap/>
            <w:vAlign w:val="center"/>
          </w:tcPr>
          <w:p w14:paraId="04919BFF">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64.54%</w:t>
            </w:r>
          </w:p>
        </w:tc>
        <w:tc>
          <w:tcPr>
            <w:tcW w:w="1843" w:type="dxa"/>
            <w:tcBorders>
              <w:top w:val="nil"/>
              <w:left w:val="nil"/>
              <w:bottom w:val="single" w:color="auto" w:sz="4" w:space="0"/>
              <w:right w:val="single" w:color="auto" w:sz="4" w:space="0"/>
            </w:tcBorders>
            <w:noWrap/>
            <w:vAlign w:val="center"/>
          </w:tcPr>
          <w:p w14:paraId="611A396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946,451.55 </w:t>
            </w:r>
          </w:p>
        </w:tc>
        <w:tc>
          <w:tcPr>
            <w:tcW w:w="992" w:type="dxa"/>
            <w:tcBorders>
              <w:top w:val="nil"/>
              <w:left w:val="nil"/>
              <w:bottom w:val="single" w:color="auto" w:sz="4" w:space="0"/>
              <w:right w:val="single" w:color="auto" w:sz="4" w:space="0"/>
            </w:tcBorders>
            <w:noWrap/>
            <w:vAlign w:val="center"/>
          </w:tcPr>
          <w:p w14:paraId="46195EB1">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43.45%</w:t>
            </w:r>
          </w:p>
        </w:tc>
        <w:tc>
          <w:tcPr>
            <w:tcW w:w="1843" w:type="dxa"/>
            <w:tcBorders>
              <w:top w:val="nil"/>
              <w:left w:val="nil"/>
              <w:bottom w:val="single" w:color="auto" w:sz="4" w:space="0"/>
              <w:right w:val="single" w:color="auto" w:sz="4" w:space="0"/>
            </w:tcBorders>
            <w:noWrap/>
            <w:vAlign w:val="center"/>
          </w:tcPr>
          <w:p w14:paraId="5652753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1,240,406.51 </w:t>
            </w:r>
          </w:p>
        </w:tc>
        <w:tc>
          <w:tcPr>
            <w:tcW w:w="1026" w:type="dxa"/>
            <w:tcBorders>
              <w:top w:val="nil"/>
              <w:left w:val="nil"/>
              <w:bottom w:val="single" w:color="auto" w:sz="4" w:space="0"/>
              <w:right w:val="single" w:color="auto" w:sz="12" w:space="0"/>
            </w:tcBorders>
            <w:noWrap/>
            <w:vAlign w:val="center"/>
          </w:tcPr>
          <w:p w14:paraId="346741FB">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66.67%</w:t>
            </w:r>
          </w:p>
        </w:tc>
      </w:tr>
      <w:tr w14:paraId="56084865">
        <w:tblPrEx>
          <w:tblCellMar>
            <w:top w:w="0" w:type="dxa"/>
            <w:left w:w="108" w:type="dxa"/>
            <w:bottom w:w="0" w:type="dxa"/>
            <w:right w:w="108" w:type="dxa"/>
          </w:tblCellMar>
        </w:tblPrEx>
        <w:trPr>
          <w:trHeight w:val="397" w:hRule="atLeast"/>
          <w:jc w:val="center"/>
        </w:trPr>
        <w:tc>
          <w:tcPr>
            <w:tcW w:w="3020" w:type="dxa"/>
            <w:tcBorders>
              <w:top w:val="nil"/>
              <w:left w:val="single" w:color="auto" w:sz="12" w:space="0"/>
              <w:bottom w:val="single" w:color="auto" w:sz="12" w:space="0"/>
              <w:right w:val="single" w:color="auto" w:sz="4" w:space="0"/>
            </w:tcBorders>
            <w:noWrap/>
            <w:vAlign w:val="center"/>
          </w:tcPr>
          <w:p w14:paraId="54E32C7A">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负债合计</w:t>
            </w:r>
          </w:p>
        </w:tc>
        <w:tc>
          <w:tcPr>
            <w:tcW w:w="1801" w:type="dxa"/>
            <w:tcBorders>
              <w:top w:val="nil"/>
              <w:left w:val="nil"/>
              <w:bottom w:val="single" w:color="auto" w:sz="12" w:space="0"/>
              <w:right w:val="single" w:color="auto" w:sz="4" w:space="0"/>
            </w:tcBorders>
            <w:noWrap/>
            <w:vAlign w:val="center"/>
          </w:tcPr>
          <w:p w14:paraId="2A2E2CD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2,095,344.36 </w:t>
            </w:r>
          </w:p>
        </w:tc>
        <w:tc>
          <w:tcPr>
            <w:tcW w:w="992" w:type="dxa"/>
            <w:tcBorders>
              <w:top w:val="nil"/>
              <w:left w:val="nil"/>
              <w:bottom w:val="single" w:color="auto" w:sz="12" w:space="0"/>
              <w:right w:val="single" w:color="auto" w:sz="4" w:space="0"/>
            </w:tcBorders>
            <w:noWrap/>
            <w:vAlign w:val="center"/>
          </w:tcPr>
          <w:p w14:paraId="487B4338">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c>
          <w:tcPr>
            <w:tcW w:w="1843" w:type="dxa"/>
            <w:tcBorders>
              <w:top w:val="nil"/>
              <w:left w:val="nil"/>
              <w:bottom w:val="single" w:color="auto" w:sz="12" w:space="0"/>
              <w:right w:val="single" w:color="auto" w:sz="4" w:space="0"/>
            </w:tcBorders>
            <w:noWrap/>
            <w:vAlign w:val="center"/>
          </w:tcPr>
          <w:p w14:paraId="3BCE92A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2,178,452.91 </w:t>
            </w:r>
          </w:p>
        </w:tc>
        <w:tc>
          <w:tcPr>
            <w:tcW w:w="992" w:type="dxa"/>
            <w:tcBorders>
              <w:top w:val="nil"/>
              <w:left w:val="nil"/>
              <w:bottom w:val="single" w:color="auto" w:sz="12" w:space="0"/>
              <w:right w:val="single" w:color="auto" w:sz="4" w:space="0"/>
            </w:tcBorders>
            <w:noWrap/>
            <w:vAlign w:val="center"/>
          </w:tcPr>
          <w:p w14:paraId="7EDC4224">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c>
          <w:tcPr>
            <w:tcW w:w="1843" w:type="dxa"/>
            <w:tcBorders>
              <w:top w:val="nil"/>
              <w:left w:val="nil"/>
              <w:bottom w:val="single" w:color="auto" w:sz="12" w:space="0"/>
              <w:right w:val="single" w:color="auto" w:sz="4" w:space="0"/>
            </w:tcBorders>
            <w:noWrap/>
            <w:vAlign w:val="center"/>
          </w:tcPr>
          <w:p w14:paraId="62E2517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1,860,400.34 </w:t>
            </w:r>
          </w:p>
        </w:tc>
        <w:tc>
          <w:tcPr>
            <w:tcW w:w="1026" w:type="dxa"/>
            <w:tcBorders>
              <w:top w:val="nil"/>
              <w:left w:val="nil"/>
              <w:bottom w:val="single" w:color="auto" w:sz="12" w:space="0"/>
              <w:right w:val="single" w:color="auto" w:sz="12" w:space="0"/>
            </w:tcBorders>
            <w:noWrap/>
            <w:vAlign w:val="center"/>
          </w:tcPr>
          <w:p w14:paraId="1F5D36B4">
            <w:pPr>
              <w:widowControl/>
              <w:spacing w:line="240" w:lineRule="auto"/>
              <w:ind w:firstLine="0" w:firstLineChars="0"/>
              <w:jc w:val="righ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100.00%</w:t>
            </w:r>
          </w:p>
        </w:tc>
      </w:tr>
    </w:tbl>
    <w:p w14:paraId="16CE1C97">
      <w:pPr>
        <w:adjustRightInd w:val="0"/>
        <w:snapToGrid w:val="0"/>
        <w:ind w:firstLine="480"/>
        <w:rPr>
          <w:rFonts w:hint="eastAsia" w:asciiTheme="minorEastAsia" w:hAnsiTheme="minorEastAsia" w:cstheme="minorEastAsia"/>
          <w:szCs w:val="24"/>
          <w:lang w:val="zh-TW"/>
        </w:rPr>
      </w:pPr>
      <w:r>
        <w:rPr>
          <w:rFonts w:hint="eastAsia" w:asciiTheme="minorEastAsia" w:hAnsiTheme="minorEastAsia" w:cstheme="minorEastAsia"/>
          <w:szCs w:val="24"/>
          <w:lang w:val="zh-TW"/>
        </w:rPr>
        <w:t>近三年末，母公司负债总额分别为</w:t>
      </w:r>
      <w:r>
        <w:rPr>
          <w:rFonts w:asciiTheme="minorEastAsia" w:hAnsiTheme="minorEastAsia" w:cstheme="minorEastAsia"/>
          <w:szCs w:val="24"/>
          <w:lang w:val="zh-TW"/>
        </w:rPr>
        <w:t>1,860,400.34</w:t>
      </w:r>
      <w:r>
        <w:rPr>
          <w:rFonts w:hint="eastAsia" w:asciiTheme="minorEastAsia" w:hAnsiTheme="minorEastAsia" w:cstheme="minorEastAsia"/>
          <w:szCs w:val="24"/>
          <w:lang w:val="zh-TW"/>
        </w:rPr>
        <w:t>万元、</w:t>
      </w:r>
      <w:r>
        <w:rPr>
          <w:rFonts w:asciiTheme="minorEastAsia" w:hAnsiTheme="minorEastAsia" w:cstheme="minorEastAsia"/>
          <w:szCs w:val="24"/>
          <w:lang w:val="zh-TW"/>
        </w:rPr>
        <w:t>2,178,452.91</w:t>
      </w:r>
      <w:r>
        <w:rPr>
          <w:rFonts w:hint="eastAsia" w:asciiTheme="minorEastAsia" w:hAnsiTheme="minorEastAsia" w:cstheme="minorEastAsia"/>
          <w:szCs w:val="24"/>
          <w:lang w:val="zh-TW"/>
        </w:rPr>
        <w:t>万元和</w:t>
      </w:r>
      <w:r>
        <w:rPr>
          <w:rFonts w:asciiTheme="minorEastAsia" w:hAnsiTheme="minorEastAsia" w:cstheme="minorEastAsia"/>
          <w:szCs w:val="24"/>
          <w:lang w:val="zh-TW"/>
        </w:rPr>
        <w:t>2,095,344.36</w:t>
      </w:r>
      <w:r>
        <w:rPr>
          <w:rFonts w:hint="eastAsia" w:asciiTheme="minorEastAsia" w:hAnsiTheme="minorEastAsia" w:cstheme="minorEastAsia"/>
          <w:szCs w:val="24"/>
          <w:lang w:val="zh-TW"/>
        </w:rPr>
        <w:t>万元。截至2024年末，母公司负债总额较年初增加</w:t>
      </w:r>
      <w:r>
        <w:rPr>
          <w:rFonts w:asciiTheme="minorEastAsia" w:hAnsiTheme="minorEastAsia" w:cstheme="minorEastAsia"/>
          <w:szCs w:val="24"/>
          <w:lang w:val="zh-TW"/>
        </w:rPr>
        <w:t>17.10%</w:t>
      </w:r>
      <w:r>
        <w:rPr>
          <w:rFonts w:hint="eastAsia" w:asciiTheme="minorEastAsia" w:hAnsiTheme="minorEastAsia" w:cstheme="minorEastAsia"/>
          <w:szCs w:val="24"/>
          <w:lang w:val="zh-TW"/>
        </w:rPr>
        <w:t>，主要系其他流动负债、长期借款上升。截至2025年末，母公司负债总额较年初下降</w:t>
      </w:r>
      <w:r>
        <w:rPr>
          <w:rFonts w:asciiTheme="minorEastAsia" w:hAnsiTheme="minorEastAsia" w:cstheme="minorEastAsia"/>
          <w:szCs w:val="24"/>
          <w:lang w:val="zh-TW"/>
        </w:rPr>
        <w:t>3.82%</w:t>
      </w:r>
      <w:r>
        <w:rPr>
          <w:rFonts w:hint="eastAsia" w:asciiTheme="minorEastAsia" w:hAnsiTheme="minorEastAsia" w:cstheme="minorEastAsia"/>
          <w:szCs w:val="24"/>
          <w:lang w:val="zh-TW"/>
        </w:rPr>
        <w:t>，变动不大。从结构来看，近三年末，母公司流动负债占各期负债总额的比重分别为</w:t>
      </w:r>
      <w:r>
        <w:rPr>
          <w:rFonts w:asciiTheme="minorEastAsia" w:hAnsiTheme="minorEastAsia" w:cstheme="minorEastAsia"/>
          <w:szCs w:val="24"/>
          <w:lang w:val="zh-TW"/>
        </w:rPr>
        <w:t>33.33%</w:t>
      </w:r>
      <w:r>
        <w:rPr>
          <w:rFonts w:hint="eastAsia" w:asciiTheme="minorEastAsia" w:hAnsiTheme="minorEastAsia" w:cstheme="minorEastAsia"/>
          <w:szCs w:val="24"/>
          <w:lang w:val="zh-TW"/>
        </w:rPr>
        <w:t>、</w:t>
      </w:r>
      <w:r>
        <w:rPr>
          <w:rFonts w:asciiTheme="minorEastAsia" w:hAnsiTheme="minorEastAsia" w:cstheme="minorEastAsia"/>
          <w:szCs w:val="24"/>
          <w:lang w:val="zh-TW"/>
        </w:rPr>
        <w:t>56.55%</w:t>
      </w:r>
      <w:r>
        <w:rPr>
          <w:rFonts w:hint="eastAsia" w:asciiTheme="minorEastAsia" w:hAnsiTheme="minorEastAsia" w:cstheme="minorEastAsia"/>
          <w:szCs w:val="24"/>
          <w:lang w:val="zh-TW"/>
        </w:rPr>
        <w:t>和</w:t>
      </w:r>
      <w:r>
        <w:rPr>
          <w:rFonts w:asciiTheme="minorEastAsia" w:hAnsiTheme="minorEastAsia" w:cstheme="minorEastAsia"/>
          <w:szCs w:val="24"/>
          <w:lang w:val="zh-TW"/>
        </w:rPr>
        <w:t>35.46%</w:t>
      </w:r>
      <w:r>
        <w:rPr>
          <w:rFonts w:hint="eastAsia" w:asciiTheme="minorEastAsia" w:hAnsiTheme="minorEastAsia" w:cstheme="minorEastAsia"/>
          <w:szCs w:val="24"/>
          <w:lang w:val="zh-TW"/>
        </w:rPr>
        <w:t>；同期末，非流动负债占比分别为</w:t>
      </w:r>
      <w:r>
        <w:rPr>
          <w:rFonts w:asciiTheme="minorEastAsia" w:hAnsiTheme="minorEastAsia" w:cstheme="minorEastAsia"/>
          <w:szCs w:val="24"/>
          <w:lang w:val="zh-TW"/>
        </w:rPr>
        <w:t>66.67%</w:t>
      </w:r>
      <w:r>
        <w:rPr>
          <w:rFonts w:hint="eastAsia" w:asciiTheme="minorEastAsia" w:hAnsiTheme="minorEastAsia" w:cstheme="minorEastAsia"/>
          <w:szCs w:val="24"/>
          <w:lang w:val="zh-TW"/>
        </w:rPr>
        <w:t>、</w:t>
      </w:r>
      <w:r>
        <w:rPr>
          <w:rFonts w:asciiTheme="minorEastAsia" w:hAnsiTheme="minorEastAsia" w:cstheme="minorEastAsia"/>
          <w:szCs w:val="24"/>
          <w:lang w:val="zh-TW"/>
        </w:rPr>
        <w:t>43.45%</w:t>
      </w:r>
      <w:r>
        <w:rPr>
          <w:rFonts w:hint="eastAsia" w:asciiTheme="minorEastAsia" w:hAnsiTheme="minorEastAsia" w:cstheme="minorEastAsia"/>
          <w:szCs w:val="24"/>
          <w:lang w:val="zh-TW"/>
        </w:rPr>
        <w:t>和64.54%。</w:t>
      </w:r>
    </w:p>
    <w:p w14:paraId="7C2B94C9">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3、现金流量分析</w:t>
      </w:r>
    </w:p>
    <w:p w14:paraId="2EF7CB3F">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母公司最近三年末现金流量情况如下：</w:t>
      </w:r>
    </w:p>
    <w:p w14:paraId="733CFCD6">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eastAsia="zh-TW"/>
        </w:rPr>
        <w:t>单位：万元</w:t>
      </w:r>
    </w:p>
    <w:tbl>
      <w:tblPr>
        <w:tblStyle w:val="13"/>
        <w:tblW w:w="107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32"/>
        <w:gridCol w:w="1880"/>
        <w:gridCol w:w="1880"/>
        <w:gridCol w:w="1880"/>
      </w:tblGrid>
      <w:tr w14:paraId="18523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132" w:type="dxa"/>
            <w:noWrap/>
            <w:vAlign w:val="center"/>
          </w:tcPr>
          <w:p w14:paraId="05BC8C7D">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1880" w:type="dxa"/>
            <w:noWrap/>
            <w:vAlign w:val="center"/>
          </w:tcPr>
          <w:p w14:paraId="2D665CDF">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1880" w:type="dxa"/>
            <w:noWrap/>
            <w:vAlign w:val="center"/>
          </w:tcPr>
          <w:p w14:paraId="4B059919">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1880" w:type="dxa"/>
            <w:noWrap/>
            <w:vAlign w:val="center"/>
          </w:tcPr>
          <w:p w14:paraId="30CF35DD">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2794B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5A2AF95">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经营活动现金流入小计</w:t>
            </w:r>
          </w:p>
        </w:tc>
        <w:tc>
          <w:tcPr>
            <w:tcW w:w="1880" w:type="dxa"/>
            <w:noWrap/>
            <w:vAlign w:val="center"/>
          </w:tcPr>
          <w:p w14:paraId="6D36B6B3">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902,640.16 </w:t>
            </w:r>
          </w:p>
        </w:tc>
        <w:tc>
          <w:tcPr>
            <w:tcW w:w="1880" w:type="dxa"/>
            <w:noWrap/>
            <w:vAlign w:val="center"/>
          </w:tcPr>
          <w:p w14:paraId="670BED7B">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907,658.76 </w:t>
            </w:r>
          </w:p>
        </w:tc>
        <w:tc>
          <w:tcPr>
            <w:tcW w:w="1880" w:type="dxa"/>
            <w:noWrap/>
            <w:vAlign w:val="center"/>
          </w:tcPr>
          <w:p w14:paraId="4FA27CA5">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889,180.53 </w:t>
            </w:r>
          </w:p>
        </w:tc>
      </w:tr>
      <w:tr w14:paraId="5FE1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0EDEC982">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经营活动现金流出小计</w:t>
            </w:r>
          </w:p>
        </w:tc>
        <w:tc>
          <w:tcPr>
            <w:tcW w:w="1880" w:type="dxa"/>
            <w:noWrap/>
            <w:vAlign w:val="center"/>
          </w:tcPr>
          <w:p w14:paraId="13E53C9F">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467,910.58 </w:t>
            </w:r>
          </w:p>
        </w:tc>
        <w:tc>
          <w:tcPr>
            <w:tcW w:w="1880" w:type="dxa"/>
            <w:noWrap/>
            <w:vAlign w:val="center"/>
          </w:tcPr>
          <w:p w14:paraId="5C5362AC">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463,330.15 </w:t>
            </w:r>
          </w:p>
        </w:tc>
        <w:tc>
          <w:tcPr>
            <w:tcW w:w="1880" w:type="dxa"/>
            <w:noWrap/>
            <w:vAlign w:val="center"/>
          </w:tcPr>
          <w:p w14:paraId="05FD4232">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464,829.99 </w:t>
            </w:r>
          </w:p>
        </w:tc>
      </w:tr>
      <w:tr w14:paraId="6D92F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5B850D8F">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经营活动产生的现金流量净额</w:t>
            </w:r>
          </w:p>
        </w:tc>
        <w:tc>
          <w:tcPr>
            <w:tcW w:w="1880" w:type="dxa"/>
            <w:noWrap/>
            <w:vAlign w:val="center"/>
          </w:tcPr>
          <w:p w14:paraId="1A661C8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434,729.59 </w:t>
            </w:r>
          </w:p>
        </w:tc>
        <w:tc>
          <w:tcPr>
            <w:tcW w:w="1880" w:type="dxa"/>
            <w:noWrap/>
            <w:vAlign w:val="center"/>
          </w:tcPr>
          <w:p w14:paraId="5A60A734">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444,328.61 </w:t>
            </w:r>
          </w:p>
        </w:tc>
        <w:tc>
          <w:tcPr>
            <w:tcW w:w="1880" w:type="dxa"/>
            <w:noWrap/>
            <w:vAlign w:val="center"/>
          </w:tcPr>
          <w:p w14:paraId="48FB590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424,350.53 </w:t>
            </w:r>
          </w:p>
        </w:tc>
      </w:tr>
      <w:tr w14:paraId="0EA62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3AA38024">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投资活动现金流入小计</w:t>
            </w:r>
          </w:p>
        </w:tc>
        <w:tc>
          <w:tcPr>
            <w:tcW w:w="1880" w:type="dxa"/>
            <w:noWrap/>
            <w:vAlign w:val="center"/>
          </w:tcPr>
          <w:p w14:paraId="2D77BB79">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1,417,299.98 </w:t>
            </w:r>
          </w:p>
        </w:tc>
        <w:tc>
          <w:tcPr>
            <w:tcW w:w="1880" w:type="dxa"/>
            <w:noWrap/>
            <w:vAlign w:val="center"/>
          </w:tcPr>
          <w:p w14:paraId="655FD4FD">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2,591,761.94 </w:t>
            </w:r>
          </w:p>
        </w:tc>
        <w:tc>
          <w:tcPr>
            <w:tcW w:w="1880" w:type="dxa"/>
            <w:noWrap/>
            <w:vAlign w:val="center"/>
          </w:tcPr>
          <w:p w14:paraId="287AEB6B">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2,021,407.79 </w:t>
            </w:r>
          </w:p>
        </w:tc>
      </w:tr>
      <w:tr w14:paraId="0371D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6E10695">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投资活动现金流出小计</w:t>
            </w:r>
          </w:p>
        </w:tc>
        <w:tc>
          <w:tcPr>
            <w:tcW w:w="1880" w:type="dxa"/>
            <w:noWrap/>
            <w:vAlign w:val="center"/>
          </w:tcPr>
          <w:p w14:paraId="51C642DE">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1,457,111.42 </w:t>
            </w:r>
          </w:p>
        </w:tc>
        <w:tc>
          <w:tcPr>
            <w:tcW w:w="1880" w:type="dxa"/>
            <w:noWrap/>
            <w:vAlign w:val="center"/>
          </w:tcPr>
          <w:p w14:paraId="3E001617">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3,013,265.67 </w:t>
            </w:r>
          </w:p>
        </w:tc>
        <w:tc>
          <w:tcPr>
            <w:tcW w:w="1880" w:type="dxa"/>
            <w:noWrap/>
            <w:vAlign w:val="center"/>
          </w:tcPr>
          <w:p w14:paraId="245C4939">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1,997,901.92 </w:t>
            </w:r>
          </w:p>
        </w:tc>
      </w:tr>
      <w:tr w14:paraId="5910E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40CC578E">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投资活动产生的现金流量净额</w:t>
            </w:r>
          </w:p>
        </w:tc>
        <w:tc>
          <w:tcPr>
            <w:tcW w:w="1880" w:type="dxa"/>
            <w:noWrap/>
            <w:vAlign w:val="center"/>
          </w:tcPr>
          <w:p w14:paraId="7A47ABF0">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-39,811.43 </w:t>
            </w:r>
          </w:p>
        </w:tc>
        <w:tc>
          <w:tcPr>
            <w:tcW w:w="1880" w:type="dxa"/>
            <w:noWrap/>
            <w:vAlign w:val="center"/>
          </w:tcPr>
          <w:p w14:paraId="2A9C0FB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-421,503.73 </w:t>
            </w:r>
          </w:p>
        </w:tc>
        <w:tc>
          <w:tcPr>
            <w:tcW w:w="1880" w:type="dxa"/>
            <w:noWrap/>
            <w:vAlign w:val="center"/>
          </w:tcPr>
          <w:p w14:paraId="4013F7A9">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23,505.87 </w:t>
            </w:r>
          </w:p>
        </w:tc>
      </w:tr>
      <w:tr w14:paraId="175D4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7828BD49">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筹资活动现金流入小计</w:t>
            </w:r>
          </w:p>
        </w:tc>
        <w:tc>
          <w:tcPr>
            <w:tcW w:w="1880" w:type="dxa"/>
            <w:noWrap/>
            <w:vAlign w:val="center"/>
          </w:tcPr>
          <w:p w14:paraId="4DF292E7">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1,293,696.00 </w:t>
            </w:r>
          </w:p>
        </w:tc>
        <w:tc>
          <w:tcPr>
            <w:tcW w:w="1880" w:type="dxa"/>
            <w:noWrap/>
            <w:vAlign w:val="center"/>
          </w:tcPr>
          <w:p w14:paraId="6DFA8BA5">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1,802,558.34 </w:t>
            </w:r>
          </w:p>
        </w:tc>
        <w:tc>
          <w:tcPr>
            <w:tcW w:w="1880" w:type="dxa"/>
            <w:noWrap/>
            <w:vAlign w:val="center"/>
          </w:tcPr>
          <w:p w14:paraId="3FCC3014">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1,740,886.67 </w:t>
            </w:r>
          </w:p>
        </w:tc>
      </w:tr>
      <w:tr w14:paraId="53AFC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6FB66EE5">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筹资活动现金流出小计</w:t>
            </w:r>
          </w:p>
        </w:tc>
        <w:tc>
          <w:tcPr>
            <w:tcW w:w="1880" w:type="dxa"/>
            <w:noWrap/>
            <w:vAlign w:val="center"/>
          </w:tcPr>
          <w:p w14:paraId="44C92C92">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1,686,874.03 </w:t>
            </w:r>
          </w:p>
        </w:tc>
        <w:tc>
          <w:tcPr>
            <w:tcW w:w="1880" w:type="dxa"/>
            <w:noWrap/>
            <w:vAlign w:val="center"/>
          </w:tcPr>
          <w:p w14:paraId="74BFADBC">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1,825,217.69 </w:t>
            </w:r>
          </w:p>
        </w:tc>
        <w:tc>
          <w:tcPr>
            <w:tcW w:w="1880" w:type="dxa"/>
            <w:noWrap/>
            <w:vAlign w:val="center"/>
          </w:tcPr>
          <w:p w14:paraId="7878F72F">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2,215,205.96 </w:t>
            </w:r>
          </w:p>
        </w:tc>
      </w:tr>
      <w:tr w14:paraId="51C20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9E05D56">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筹资活动产生的现金流量净额</w:t>
            </w:r>
          </w:p>
        </w:tc>
        <w:tc>
          <w:tcPr>
            <w:tcW w:w="1880" w:type="dxa"/>
            <w:noWrap/>
            <w:vAlign w:val="center"/>
          </w:tcPr>
          <w:p w14:paraId="4F69603E">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-393,178.03 </w:t>
            </w:r>
          </w:p>
        </w:tc>
        <w:tc>
          <w:tcPr>
            <w:tcW w:w="1880" w:type="dxa"/>
            <w:noWrap/>
            <w:vAlign w:val="center"/>
          </w:tcPr>
          <w:p w14:paraId="189E069D">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-22,659.35 </w:t>
            </w:r>
          </w:p>
        </w:tc>
        <w:tc>
          <w:tcPr>
            <w:tcW w:w="1880" w:type="dxa"/>
            <w:noWrap/>
            <w:vAlign w:val="center"/>
          </w:tcPr>
          <w:p w14:paraId="01707195">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-474,319.29 </w:t>
            </w:r>
          </w:p>
        </w:tc>
      </w:tr>
      <w:tr w14:paraId="7A316E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1C445F81">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现金及现金等价物净增加额</w:t>
            </w:r>
          </w:p>
        </w:tc>
        <w:tc>
          <w:tcPr>
            <w:tcW w:w="1880" w:type="dxa"/>
            <w:noWrap/>
            <w:vAlign w:val="center"/>
          </w:tcPr>
          <w:p w14:paraId="06109229">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1,740.12 </w:t>
            </w:r>
          </w:p>
        </w:tc>
        <w:tc>
          <w:tcPr>
            <w:tcW w:w="1880" w:type="dxa"/>
            <w:noWrap/>
            <w:vAlign w:val="center"/>
          </w:tcPr>
          <w:p w14:paraId="44C3EE82">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165.53 </w:t>
            </w:r>
          </w:p>
        </w:tc>
        <w:tc>
          <w:tcPr>
            <w:tcW w:w="1880" w:type="dxa"/>
            <w:noWrap/>
            <w:vAlign w:val="center"/>
          </w:tcPr>
          <w:p w14:paraId="2BA1D33C">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-26,462.89 </w:t>
            </w:r>
          </w:p>
        </w:tc>
      </w:tr>
      <w:tr w14:paraId="5DE11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5572A04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期初现金及现金等价物余额</w:t>
            </w:r>
          </w:p>
        </w:tc>
        <w:tc>
          <w:tcPr>
            <w:tcW w:w="1880" w:type="dxa"/>
            <w:noWrap/>
            <w:vAlign w:val="center"/>
          </w:tcPr>
          <w:p w14:paraId="297CA12F">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19,428.31 </w:t>
            </w:r>
          </w:p>
        </w:tc>
        <w:tc>
          <w:tcPr>
            <w:tcW w:w="1880" w:type="dxa"/>
            <w:noWrap/>
            <w:vAlign w:val="center"/>
          </w:tcPr>
          <w:p w14:paraId="2D40618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19,262.78 </w:t>
            </w:r>
          </w:p>
        </w:tc>
        <w:tc>
          <w:tcPr>
            <w:tcW w:w="1880" w:type="dxa"/>
            <w:noWrap/>
            <w:vAlign w:val="center"/>
          </w:tcPr>
          <w:p w14:paraId="19EAC054">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45,725.67 </w:t>
            </w:r>
          </w:p>
        </w:tc>
      </w:tr>
      <w:tr w14:paraId="6623E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2" w:type="dxa"/>
            <w:noWrap/>
            <w:vAlign w:val="center"/>
          </w:tcPr>
          <w:p w14:paraId="204E6429">
            <w:pPr>
              <w:widowControl/>
              <w:spacing w:line="24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期末现金及现金等价物余额</w:t>
            </w:r>
          </w:p>
        </w:tc>
        <w:tc>
          <w:tcPr>
            <w:tcW w:w="1880" w:type="dxa"/>
            <w:noWrap/>
            <w:vAlign w:val="center"/>
          </w:tcPr>
          <w:p w14:paraId="7A652FE3">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21,168.43 </w:t>
            </w:r>
          </w:p>
        </w:tc>
        <w:tc>
          <w:tcPr>
            <w:tcW w:w="1880" w:type="dxa"/>
            <w:noWrap/>
            <w:vAlign w:val="center"/>
          </w:tcPr>
          <w:p w14:paraId="16EB241C">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19,428.31 </w:t>
            </w:r>
          </w:p>
        </w:tc>
        <w:tc>
          <w:tcPr>
            <w:tcW w:w="1880" w:type="dxa"/>
            <w:noWrap/>
            <w:vAlign w:val="center"/>
          </w:tcPr>
          <w:p w14:paraId="55D4F76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19,262.78 </w:t>
            </w:r>
          </w:p>
        </w:tc>
      </w:tr>
    </w:tbl>
    <w:p w14:paraId="0AF5B57E">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近三年，母公司经营活动产生的现金流量净额分别为424,350.53万元、  444,328.61万元和434,729.59万元，母公司的主营业务以高速公路通行费收入为主，由于通行费收缴大部分以现金方式结算，因此母公司的经营现金流入状况比较良好。2024年度，经营活动现金流净额较上年同期增长4.71%。2025年度，母公司经营活动现金流净额较上年下降2.16%，变化幅度较小。</w:t>
      </w:r>
    </w:p>
    <w:p w14:paraId="0F4065C3">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母公司投资活动产生的现金流量净额分别为23,505.87万元、-421,503.73万元和-39,811.43万元，近两年投资活动产生的现金流量净额为负，主要系公司投资所致。2024年投资活动现金流净额较上年同期减少1,893.18%，主要由于购买理财产品的现金净流出及对外投资支出同比上升，导致投资活动产生的现金净额同比减少。2025年，因项目建设投入及购买理财产品等投资支出同比减少，导致投资活动产生的现金净额同比增加90.55%。</w:t>
      </w:r>
    </w:p>
    <w:p w14:paraId="348CAC27">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近三年，母公司筹资活动产生的现金流量净额分别为-474,319.29万元、-22,659.35万元及 -393,178.03万元。筹资活动产生的现金流量净额波动较大，主要系根据公司内部融资规划产生的正常波动，不会对公司正常经营、偿债能力产生重大不利影响。</w:t>
      </w:r>
    </w:p>
    <w:p w14:paraId="13B5247E">
      <w:pPr>
        <w:adjustRightInd w:val="0"/>
        <w:snapToGrid w:val="0"/>
        <w:ind w:firstLine="480"/>
        <w:jc w:val="left"/>
        <w:rPr>
          <w:rFonts w:hint="eastAsia" w:asciiTheme="minorEastAsia" w:hAnsiTheme="minorEastAsia" w:cstheme="minorEastAsia"/>
          <w:szCs w:val="24"/>
          <w:lang w:val="zh-TW" w:eastAsia="zh-TW"/>
        </w:rPr>
      </w:pPr>
      <w:r>
        <w:rPr>
          <w:rFonts w:hint="eastAsia" w:asciiTheme="minorEastAsia" w:hAnsiTheme="minorEastAsia" w:cstheme="minorEastAsia"/>
          <w:szCs w:val="24"/>
        </w:rPr>
        <w:t>4、偿债能力分析</w:t>
      </w:r>
    </w:p>
    <w:tbl>
      <w:tblPr>
        <w:tblStyle w:val="13"/>
        <w:tblW w:w="72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71"/>
        <w:gridCol w:w="1440"/>
        <w:gridCol w:w="1440"/>
        <w:gridCol w:w="1440"/>
      </w:tblGrid>
      <w:tr w14:paraId="0681D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2745C4D3">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财务指标</w:t>
            </w:r>
          </w:p>
        </w:tc>
        <w:tc>
          <w:tcPr>
            <w:tcW w:w="1440" w:type="dxa"/>
            <w:noWrap/>
            <w:vAlign w:val="center"/>
          </w:tcPr>
          <w:p w14:paraId="3A9C9E55">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2025年末</w:t>
            </w:r>
          </w:p>
        </w:tc>
        <w:tc>
          <w:tcPr>
            <w:tcW w:w="1440" w:type="dxa"/>
            <w:noWrap/>
            <w:vAlign w:val="center"/>
          </w:tcPr>
          <w:p w14:paraId="2572E7E4">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2024年末</w:t>
            </w:r>
          </w:p>
        </w:tc>
        <w:tc>
          <w:tcPr>
            <w:tcW w:w="1440" w:type="dxa"/>
            <w:noWrap/>
            <w:vAlign w:val="center"/>
          </w:tcPr>
          <w:p w14:paraId="4436D478">
            <w:pPr>
              <w:adjustRightInd w:val="0"/>
              <w:snapToGrid w:val="0"/>
              <w:spacing w:line="240" w:lineRule="auto"/>
              <w:ind w:firstLine="0" w:firstLineChars="0"/>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2023年末</w:t>
            </w:r>
          </w:p>
        </w:tc>
      </w:tr>
      <w:tr w14:paraId="3955E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3DA4D2D3">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资产负债率</w:t>
            </w:r>
          </w:p>
        </w:tc>
        <w:tc>
          <w:tcPr>
            <w:tcW w:w="1440" w:type="dxa"/>
            <w:noWrap/>
            <w:vAlign w:val="center"/>
          </w:tcPr>
          <w:p w14:paraId="7738C855">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42.96%</w:t>
            </w:r>
          </w:p>
        </w:tc>
        <w:tc>
          <w:tcPr>
            <w:tcW w:w="1440" w:type="dxa"/>
            <w:noWrap/>
            <w:vAlign w:val="center"/>
          </w:tcPr>
          <w:p w14:paraId="586A635B">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44.67%</w:t>
            </w:r>
          </w:p>
        </w:tc>
        <w:tc>
          <w:tcPr>
            <w:tcW w:w="1440" w:type="dxa"/>
            <w:noWrap/>
            <w:vAlign w:val="center"/>
          </w:tcPr>
          <w:p w14:paraId="04728B47">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48.02%</w:t>
            </w:r>
          </w:p>
        </w:tc>
      </w:tr>
      <w:tr w14:paraId="18F3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2FAD6859">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流动比率（倍）</w:t>
            </w:r>
          </w:p>
        </w:tc>
        <w:tc>
          <w:tcPr>
            <w:tcW w:w="1440" w:type="dxa"/>
            <w:noWrap/>
            <w:vAlign w:val="center"/>
          </w:tcPr>
          <w:p w14:paraId="2A88EE5B">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0.59</w:t>
            </w:r>
          </w:p>
        </w:tc>
        <w:tc>
          <w:tcPr>
            <w:tcW w:w="1440" w:type="dxa"/>
            <w:noWrap/>
            <w:vAlign w:val="center"/>
          </w:tcPr>
          <w:p w14:paraId="622CF299">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0.52</w:t>
            </w:r>
          </w:p>
        </w:tc>
        <w:tc>
          <w:tcPr>
            <w:tcW w:w="1440" w:type="dxa"/>
            <w:noWrap/>
            <w:vAlign w:val="center"/>
          </w:tcPr>
          <w:p w14:paraId="7163B3BE">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0.91</w:t>
            </w:r>
          </w:p>
        </w:tc>
      </w:tr>
      <w:tr w14:paraId="69F73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1" w:type="dxa"/>
            <w:noWrap/>
            <w:vAlign w:val="center"/>
          </w:tcPr>
          <w:p w14:paraId="4D32695B">
            <w:pPr>
              <w:adjustRightInd w:val="0"/>
              <w:snapToGrid w:val="0"/>
              <w:spacing w:line="240" w:lineRule="auto"/>
              <w:ind w:firstLine="420"/>
              <w:jc w:val="left"/>
              <w:rPr>
                <w:rFonts w:hint="eastAsia" w:asciiTheme="minorEastAsia" w:hAnsiTheme="minorEastAsia" w:cstheme="minorEastAsia"/>
                <w:sz w:val="21"/>
                <w:szCs w:val="21"/>
              </w:rPr>
            </w:pPr>
            <w:r>
              <w:rPr>
                <w:rFonts w:hint="eastAsia" w:asciiTheme="minorEastAsia" w:hAnsiTheme="minorEastAsia" w:cstheme="minorEastAsia"/>
                <w:sz w:val="21"/>
                <w:szCs w:val="21"/>
              </w:rPr>
              <w:t>速动比率（倍）</w:t>
            </w:r>
          </w:p>
        </w:tc>
        <w:tc>
          <w:tcPr>
            <w:tcW w:w="1440" w:type="dxa"/>
            <w:noWrap/>
            <w:vAlign w:val="center"/>
          </w:tcPr>
          <w:p w14:paraId="2200A8DE">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0.42</w:t>
            </w:r>
          </w:p>
        </w:tc>
        <w:tc>
          <w:tcPr>
            <w:tcW w:w="1440" w:type="dxa"/>
            <w:noWrap/>
            <w:vAlign w:val="center"/>
          </w:tcPr>
          <w:p w14:paraId="0E5B1A34">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0.40</w:t>
            </w:r>
          </w:p>
        </w:tc>
        <w:tc>
          <w:tcPr>
            <w:tcW w:w="1440" w:type="dxa"/>
            <w:noWrap/>
            <w:vAlign w:val="center"/>
          </w:tcPr>
          <w:p w14:paraId="5808F04A">
            <w:pPr>
              <w:adjustRightInd w:val="0"/>
              <w:snapToGrid w:val="0"/>
              <w:spacing w:line="240" w:lineRule="auto"/>
              <w:ind w:firstLine="420"/>
              <w:jc w:val="left"/>
              <w:rPr>
                <w:rFonts w:hint="eastAsia" w:ascii="宋体" w:hAnsi="宋体" w:eastAsia="宋体" w:cstheme="minorEastAsia"/>
                <w:sz w:val="21"/>
                <w:szCs w:val="21"/>
              </w:rPr>
            </w:pPr>
            <w:r>
              <w:rPr>
                <w:rFonts w:hint="eastAsia" w:ascii="宋体" w:hAnsi="宋体" w:eastAsia="宋体"/>
                <w:color w:val="000000"/>
                <w:sz w:val="21"/>
                <w:szCs w:val="21"/>
              </w:rPr>
              <w:t>0.68</w:t>
            </w:r>
          </w:p>
        </w:tc>
      </w:tr>
    </w:tbl>
    <w:p w14:paraId="4C2A42CA">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近三年末，发行人资产负债率分别为48.02%、44.67%和42.96%，近年来保持相对稳定。</w:t>
      </w:r>
    </w:p>
    <w:p w14:paraId="0C510D3D">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末，流动比率分别为0.91、0.52和0.59，速动比率分别为0.68、0.40和0.42，两者总体偏低，但考虑到发行人在各家商业银行的授信额度较充足，且发行人可发行的直融产品额度充裕，具备较好的流动性额度支撑，短期偿债压力不大。</w:t>
      </w:r>
    </w:p>
    <w:p w14:paraId="1C758613">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5、盈利能力分析</w:t>
      </w:r>
    </w:p>
    <w:p w14:paraId="63A5411F">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最近三年，母公司的经营业绩情况如下表所示:</w:t>
      </w:r>
    </w:p>
    <w:p w14:paraId="55C02145">
      <w:pPr>
        <w:adjustRightInd w:val="0"/>
        <w:snapToGrid w:val="0"/>
        <w:ind w:firstLine="480"/>
        <w:jc w:val="left"/>
        <w:rPr>
          <w:rFonts w:hint="eastAsia" w:asciiTheme="minorEastAsia" w:hAnsiTheme="minorEastAsia" w:cstheme="minorEastAsia"/>
          <w:szCs w:val="24"/>
          <w:lang w:val="zh-TW" w:eastAsia="zh-TW"/>
        </w:rPr>
      </w:pPr>
      <w:r>
        <w:rPr>
          <w:rFonts w:hint="eastAsia" w:asciiTheme="minorEastAsia" w:hAnsiTheme="minorEastAsia" w:cstheme="minorEastAsia"/>
          <w:szCs w:val="24"/>
          <w:lang w:val="zh-TW" w:eastAsia="zh-TW"/>
        </w:rPr>
        <w:t>单位：万元</w:t>
      </w:r>
    </w:p>
    <w:tbl>
      <w:tblPr>
        <w:tblStyle w:val="13"/>
        <w:tblW w:w="8280" w:type="dxa"/>
        <w:tblInd w:w="11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1760"/>
        <w:gridCol w:w="1620"/>
        <w:gridCol w:w="1880"/>
      </w:tblGrid>
      <w:tr w14:paraId="0C151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46C93A32">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1760" w:type="dxa"/>
            <w:noWrap/>
            <w:vAlign w:val="center"/>
          </w:tcPr>
          <w:p w14:paraId="30CA59BF">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2025年度</w:t>
            </w:r>
          </w:p>
        </w:tc>
        <w:tc>
          <w:tcPr>
            <w:tcW w:w="1620" w:type="dxa"/>
            <w:noWrap/>
            <w:vAlign w:val="center"/>
          </w:tcPr>
          <w:p w14:paraId="5DE1B619">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2024年度</w:t>
            </w:r>
          </w:p>
        </w:tc>
        <w:tc>
          <w:tcPr>
            <w:tcW w:w="1880" w:type="dxa"/>
            <w:noWrap/>
            <w:vAlign w:val="center"/>
          </w:tcPr>
          <w:p w14:paraId="3713C263">
            <w:pPr>
              <w:widowControl/>
              <w:spacing w:line="240" w:lineRule="auto"/>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2023年度</w:t>
            </w:r>
          </w:p>
        </w:tc>
      </w:tr>
      <w:tr w14:paraId="39627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2084B17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营业收入</w:t>
            </w:r>
          </w:p>
        </w:tc>
        <w:tc>
          <w:tcPr>
            <w:tcW w:w="1760" w:type="dxa"/>
            <w:noWrap/>
            <w:vAlign w:val="center"/>
          </w:tcPr>
          <w:p w14:paraId="1D981D3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840,566.37 </w:t>
            </w:r>
          </w:p>
        </w:tc>
        <w:tc>
          <w:tcPr>
            <w:tcW w:w="1620" w:type="dxa"/>
            <w:noWrap/>
            <w:vAlign w:val="center"/>
          </w:tcPr>
          <w:p w14:paraId="6FA650D3">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858,432.98 </w:t>
            </w:r>
          </w:p>
        </w:tc>
        <w:tc>
          <w:tcPr>
            <w:tcW w:w="1880" w:type="dxa"/>
            <w:noWrap/>
            <w:vAlign w:val="center"/>
          </w:tcPr>
          <w:p w14:paraId="5A779A2C">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856,121.33 </w:t>
            </w:r>
          </w:p>
        </w:tc>
      </w:tr>
      <w:tr w14:paraId="31632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12623BE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营业成本</w:t>
            </w:r>
          </w:p>
        </w:tc>
        <w:tc>
          <w:tcPr>
            <w:tcW w:w="1760" w:type="dxa"/>
            <w:noWrap/>
            <w:vAlign w:val="center"/>
          </w:tcPr>
          <w:p w14:paraId="5D9FAFCE">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409,640.74 </w:t>
            </w:r>
          </w:p>
        </w:tc>
        <w:tc>
          <w:tcPr>
            <w:tcW w:w="1620" w:type="dxa"/>
            <w:noWrap/>
            <w:vAlign w:val="center"/>
          </w:tcPr>
          <w:p w14:paraId="52284ADA">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428,428.54 </w:t>
            </w:r>
          </w:p>
        </w:tc>
        <w:tc>
          <w:tcPr>
            <w:tcW w:w="1880" w:type="dxa"/>
            <w:noWrap/>
            <w:vAlign w:val="center"/>
          </w:tcPr>
          <w:p w14:paraId="6ECC5EF1">
            <w:pPr>
              <w:widowControl/>
              <w:spacing w:line="240" w:lineRule="auto"/>
              <w:ind w:firstLine="0" w:firstLineChars="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478,741.82 </w:t>
            </w:r>
          </w:p>
        </w:tc>
      </w:tr>
      <w:tr w14:paraId="65AE0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43656BE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营业毛利率</w:t>
            </w:r>
          </w:p>
        </w:tc>
        <w:tc>
          <w:tcPr>
            <w:tcW w:w="1760" w:type="dxa"/>
            <w:noWrap/>
            <w:vAlign w:val="center"/>
          </w:tcPr>
          <w:p w14:paraId="24E9309F">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51.27%</w:t>
            </w:r>
          </w:p>
        </w:tc>
        <w:tc>
          <w:tcPr>
            <w:tcW w:w="1620" w:type="dxa"/>
            <w:noWrap/>
            <w:vAlign w:val="center"/>
          </w:tcPr>
          <w:p w14:paraId="20FB03FA">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50.09%</w:t>
            </w:r>
          </w:p>
        </w:tc>
        <w:tc>
          <w:tcPr>
            <w:tcW w:w="1880" w:type="dxa"/>
            <w:noWrap/>
            <w:vAlign w:val="center"/>
          </w:tcPr>
          <w:p w14:paraId="58D45AD8">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44.08%</w:t>
            </w:r>
          </w:p>
        </w:tc>
      </w:tr>
      <w:tr w14:paraId="3CBB1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602FFA43">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营业利润</w:t>
            </w:r>
          </w:p>
        </w:tc>
        <w:tc>
          <w:tcPr>
            <w:tcW w:w="1760" w:type="dxa"/>
            <w:noWrap/>
            <w:vAlign w:val="center"/>
          </w:tcPr>
          <w:p w14:paraId="2BA0B73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490,436.61 </w:t>
            </w:r>
          </w:p>
        </w:tc>
        <w:tc>
          <w:tcPr>
            <w:tcW w:w="1620" w:type="dxa"/>
            <w:noWrap/>
            <w:vAlign w:val="center"/>
          </w:tcPr>
          <w:p w14:paraId="4FA21292">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569,557.04 </w:t>
            </w:r>
          </w:p>
        </w:tc>
        <w:tc>
          <w:tcPr>
            <w:tcW w:w="1880" w:type="dxa"/>
            <w:noWrap/>
            <w:vAlign w:val="center"/>
          </w:tcPr>
          <w:p w14:paraId="17AF5777">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438,492.57 </w:t>
            </w:r>
          </w:p>
        </w:tc>
      </w:tr>
      <w:tr w14:paraId="34E6B8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7161536A">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利润总额</w:t>
            </w:r>
          </w:p>
        </w:tc>
        <w:tc>
          <w:tcPr>
            <w:tcW w:w="1760" w:type="dxa"/>
            <w:noWrap/>
            <w:vAlign w:val="center"/>
          </w:tcPr>
          <w:p w14:paraId="3DCA0E48">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486,998.41 </w:t>
            </w:r>
          </w:p>
        </w:tc>
        <w:tc>
          <w:tcPr>
            <w:tcW w:w="1620" w:type="dxa"/>
            <w:noWrap/>
            <w:vAlign w:val="center"/>
          </w:tcPr>
          <w:p w14:paraId="0B92B4E7">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567,187.83 </w:t>
            </w:r>
          </w:p>
        </w:tc>
        <w:tc>
          <w:tcPr>
            <w:tcW w:w="1880" w:type="dxa"/>
            <w:noWrap/>
            <w:vAlign w:val="center"/>
          </w:tcPr>
          <w:p w14:paraId="1632C61B">
            <w:pPr>
              <w:widowControl/>
              <w:spacing w:line="240" w:lineRule="auto"/>
              <w:ind w:firstLine="0" w:firstLineChars="0"/>
              <w:jc w:val="right"/>
              <w:rPr>
                <w:rFonts w:hint="eastAsia" w:ascii="宋体" w:hAnsi="宋体" w:eastAsia="宋体" w:cs="宋体"/>
                <w:kern w:val="0"/>
                <w:sz w:val="21"/>
                <w:szCs w:val="21"/>
              </w:rPr>
            </w:pPr>
            <w:r>
              <w:rPr>
                <w:rFonts w:hint="eastAsia" w:ascii="宋体" w:hAnsi="宋体" w:eastAsia="宋体" w:cs="宋体"/>
                <w:kern w:val="0"/>
                <w:sz w:val="21"/>
                <w:szCs w:val="21"/>
              </w:rPr>
              <w:t xml:space="preserve">     436,381.32 </w:t>
            </w:r>
          </w:p>
        </w:tc>
      </w:tr>
      <w:tr w14:paraId="7AB53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20" w:type="dxa"/>
            <w:noWrap/>
            <w:vAlign w:val="center"/>
          </w:tcPr>
          <w:p w14:paraId="1241C7CC">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净利润</w:t>
            </w:r>
          </w:p>
        </w:tc>
        <w:tc>
          <w:tcPr>
            <w:tcW w:w="1760" w:type="dxa"/>
            <w:noWrap/>
            <w:vAlign w:val="center"/>
          </w:tcPr>
          <w:p w14:paraId="009A8BCB">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390,144.00 </w:t>
            </w:r>
          </w:p>
        </w:tc>
        <w:tc>
          <w:tcPr>
            <w:tcW w:w="1620" w:type="dxa"/>
            <w:noWrap/>
            <w:vAlign w:val="center"/>
          </w:tcPr>
          <w:p w14:paraId="43F1A471">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473,423.61 </w:t>
            </w:r>
          </w:p>
        </w:tc>
        <w:tc>
          <w:tcPr>
            <w:tcW w:w="1880" w:type="dxa"/>
            <w:noWrap/>
            <w:vAlign w:val="center"/>
          </w:tcPr>
          <w:p w14:paraId="283E57A6">
            <w:pPr>
              <w:widowControl/>
              <w:spacing w:line="240" w:lineRule="auto"/>
              <w:ind w:firstLine="0" w:firstLineChars="0"/>
              <w:jc w:val="right"/>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    356,310.29 </w:t>
            </w:r>
          </w:p>
        </w:tc>
      </w:tr>
    </w:tbl>
    <w:p w14:paraId="15F2A7C2">
      <w:pPr>
        <w:adjustRightInd w:val="0"/>
        <w:snapToGrid w:val="0"/>
        <w:ind w:firstLine="480"/>
        <w:rPr>
          <w:rFonts w:hint="eastAsia" w:asciiTheme="minorEastAsia" w:hAnsiTheme="minorEastAsia" w:cstheme="minorEastAsia"/>
          <w:szCs w:val="24"/>
        </w:rPr>
      </w:pPr>
      <w:r>
        <w:rPr>
          <w:rFonts w:hint="eastAsia" w:asciiTheme="minorEastAsia" w:hAnsiTheme="minorEastAsia" w:cstheme="minorEastAsia"/>
          <w:szCs w:val="24"/>
        </w:rPr>
        <w:t>近三年，母公司营业收入分别为</w:t>
      </w:r>
      <w:r>
        <w:rPr>
          <w:rFonts w:asciiTheme="minorEastAsia" w:hAnsiTheme="minorEastAsia" w:cstheme="minorEastAsia"/>
          <w:szCs w:val="24"/>
          <w:lang w:val="zh-TW"/>
        </w:rPr>
        <w:t>856,121.33</w:t>
      </w:r>
      <w:r>
        <w:rPr>
          <w:rFonts w:hint="eastAsia" w:asciiTheme="minorEastAsia" w:hAnsiTheme="minorEastAsia" w:cstheme="minorEastAsia"/>
          <w:szCs w:val="24"/>
        </w:rPr>
        <w:t>万元、</w:t>
      </w:r>
      <w:r>
        <w:rPr>
          <w:rFonts w:asciiTheme="minorEastAsia" w:hAnsiTheme="minorEastAsia" w:cstheme="minorEastAsia"/>
          <w:szCs w:val="24"/>
          <w:lang w:val="zh-TW"/>
        </w:rPr>
        <w:t>858,432.98</w:t>
      </w:r>
      <w:r>
        <w:rPr>
          <w:rFonts w:hint="eastAsia" w:asciiTheme="minorEastAsia" w:hAnsiTheme="minorEastAsia" w:cstheme="minorEastAsia"/>
          <w:szCs w:val="24"/>
        </w:rPr>
        <w:t>万元和</w:t>
      </w:r>
      <w:r>
        <w:rPr>
          <w:rFonts w:asciiTheme="minorEastAsia" w:hAnsiTheme="minorEastAsia" w:cstheme="minorEastAsia"/>
          <w:szCs w:val="24"/>
          <w:lang w:val="zh-TW"/>
        </w:rPr>
        <w:t>840,566.37</w:t>
      </w:r>
      <w:r>
        <w:rPr>
          <w:rFonts w:hint="eastAsia" w:asciiTheme="minorEastAsia" w:hAnsiTheme="minorEastAsia" w:cstheme="minorEastAsia"/>
          <w:szCs w:val="24"/>
        </w:rPr>
        <w:t>万元。近三年，母公司营业成本分别为</w:t>
      </w:r>
      <w:r>
        <w:rPr>
          <w:rFonts w:asciiTheme="minorEastAsia" w:hAnsiTheme="minorEastAsia" w:cstheme="minorEastAsia"/>
          <w:szCs w:val="24"/>
          <w:lang w:val="zh-TW"/>
        </w:rPr>
        <w:t>478,741.82</w:t>
      </w:r>
      <w:r>
        <w:rPr>
          <w:rFonts w:hint="eastAsia" w:asciiTheme="minorEastAsia" w:hAnsiTheme="minorEastAsia" w:cstheme="minorEastAsia"/>
          <w:szCs w:val="24"/>
        </w:rPr>
        <w:t>万元、</w:t>
      </w:r>
      <w:r>
        <w:rPr>
          <w:rFonts w:asciiTheme="minorEastAsia" w:hAnsiTheme="minorEastAsia" w:cstheme="minorEastAsia"/>
          <w:szCs w:val="24"/>
          <w:lang w:val="zh-TW"/>
        </w:rPr>
        <w:t>428,428.54</w:t>
      </w:r>
      <w:r>
        <w:rPr>
          <w:rFonts w:hint="eastAsia" w:asciiTheme="minorEastAsia" w:hAnsiTheme="minorEastAsia" w:cstheme="minorEastAsia"/>
          <w:szCs w:val="24"/>
        </w:rPr>
        <w:t>万元和</w:t>
      </w:r>
      <w:r>
        <w:rPr>
          <w:rFonts w:asciiTheme="minorEastAsia" w:hAnsiTheme="minorEastAsia" w:cstheme="minorEastAsia"/>
          <w:szCs w:val="24"/>
          <w:lang w:val="zh-TW"/>
        </w:rPr>
        <w:t>409,640.74</w:t>
      </w:r>
      <w:r>
        <w:rPr>
          <w:rFonts w:hint="eastAsia" w:asciiTheme="minorEastAsia" w:hAnsiTheme="minorEastAsia" w:cstheme="minorEastAsia"/>
          <w:szCs w:val="24"/>
        </w:rPr>
        <w:t>万元。近三年，母公司营业利润分别为</w:t>
      </w:r>
      <w:r>
        <w:rPr>
          <w:rFonts w:asciiTheme="minorEastAsia" w:hAnsiTheme="minorEastAsia" w:cstheme="minorEastAsia"/>
          <w:szCs w:val="24"/>
          <w:lang w:val="zh-TW"/>
        </w:rPr>
        <w:t>438,492.57</w:t>
      </w:r>
      <w:r>
        <w:rPr>
          <w:rFonts w:hint="eastAsia" w:asciiTheme="minorEastAsia" w:hAnsiTheme="minorEastAsia" w:cstheme="minorEastAsia"/>
          <w:szCs w:val="24"/>
        </w:rPr>
        <w:t>万元、</w:t>
      </w:r>
      <w:r>
        <w:rPr>
          <w:rFonts w:asciiTheme="minorEastAsia" w:hAnsiTheme="minorEastAsia" w:cstheme="minorEastAsia"/>
          <w:szCs w:val="24"/>
          <w:lang w:val="zh-TW"/>
        </w:rPr>
        <w:t>569,557.04</w:t>
      </w:r>
      <w:r>
        <w:rPr>
          <w:rFonts w:hint="eastAsia" w:asciiTheme="minorEastAsia" w:hAnsiTheme="minorEastAsia" w:cstheme="minorEastAsia"/>
          <w:szCs w:val="24"/>
        </w:rPr>
        <w:t>万元和</w:t>
      </w:r>
      <w:r>
        <w:rPr>
          <w:rFonts w:asciiTheme="minorEastAsia" w:hAnsiTheme="minorEastAsia" w:cstheme="minorEastAsia"/>
          <w:szCs w:val="24"/>
          <w:lang w:val="zh-TW"/>
        </w:rPr>
        <w:t>490,436.61</w:t>
      </w:r>
      <w:r>
        <w:rPr>
          <w:rFonts w:hint="eastAsia" w:asciiTheme="minorEastAsia" w:hAnsiTheme="minorEastAsia" w:cstheme="minorEastAsia"/>
          <w:szCs w:val="24"/>
        </w:rPr>
        <w:t>万元。近三年，母公司利润总额分别为</w:t>
      </w:r>
      <w:r>
        <w:rPr>
          <w:rFonts w:asciiTheme="minorEastAsia" w:hAnsiTheme="minorEastAsia" w:cstheme="minorEastAsia"/>
          <w:szCs w:val="24"/>
          <w:lang w:val="zh-TW"/>
        </w:rPr>
        <w:t>436,381.32</w:t>
      </w:r>
      <w:r>
        <w:rPr>
          <w:rFonts w:hint="eastAsia" w:asciiTheme="minorEastAsia" w:hAnsiTheme="minorEastAsia" w:cstheme="minorEastAsia"/>
          <w:szCs w:val="24"/>
        </w:rPr>
        <w:t>万元、</w:t>
      </w:r>
      <w:r>
        <w:rPr>
          <w:rFonts w:asciiTheme="minorEastAsia" w:hAnsiTheme="minorEastAsia" w:cstheme="minorEastAsia"/>
          <w:szCs w:val="24"/>
          <w:lang w:val="zh-TW"/>
        </w:rPr>
        <w:t>567,187.83</w:t>
      </w:r>
      <w:r>
        <w:rPr>
          <w:rFonts w:hint="eastAsia" w:asciiTheme="minorEastAsia" w:hAnsiTheme="minorEastAsia" w:cstheme="minorEastAsia"/>
          <w:szCs w:val="24"/>
        </w:rPr>
        <w:t>万元和</w:t>
      </w:r>
      <w:r>
        <w:rPr>
          <w:rFonts w:asciiTheme="minorEastAsia" w:hAnsiTheme="minorEastAsia" w:cstheme="minorEastAsia"/>
          <w:szCs w:val="24"/>
          <w:lang w:val="zh-TW"/>
        </w:rPr>
        <w:t>486,998.41</w:t>
      </w:r>
      <w:r>
        <w:rPr>
          <w:rFonts w:hint="eastAsia" w:asciiTheme="minorEastAsia" w:hAnsiTheme="minorEastAsia" w:cstheme="minorEastAsia"/>
          <w:szCs w:val="24"/>
        </w:rPr>
        <w:t>万元；净利润分别为</w:t>
      </w:r>
      <w:r>
        <w:rPr>
          <w:rFonts w:asciiTheme="minorEastAsia" w:hAnsiTheme="minorEastAsia" w:cstheme="minorEastAsia"/>
          <w:szCs w:val="24"/>
          <w:lang w:val="zh-TW"/>
        </w:rPr>
        <w:t>356,310.29</w:t>
      </w:r>
      <w:r>
        <w:rPr>
          <w:rFonts w:hint="eastAsia" w:asciiTheme="minorEastAsia" w:hAnsiTheme="minorEastAsia" w:cstheme="minorEastAsia"/>
          <w:szCs w:val="24"/>
        </w:rPr>
        <w:t>万元、</w:t>
      </w:r>
      <w:r>
        <w:rPr>
          <w:rFonts w:asciiTheme="minorEastAsia" w:hAnsiTheme="minorEastAsia" w:cstheme="minorEastAsia"/>
          <w:szCs w:val="24"/>
          <w:lang w:val="zh-TW"/>
        </w:rPr>
        <w:t>473,423.61</w:t>
      </w:r>
      <w:r>
        <w:rPr>
          <w:rFonts w:hint="eastAsia" w:asciiTheme="minorEastAsia" w:hAnsiTheme="minorEastAsia" w:cstheme="minorEastAsia"/>
          <w:szCs w:val="24"/>
        </w:rPr>
        <w:t>万元和</w:t>
      </w:r>
      <w:r>
        <w:rPr>
          <w:rFonts w:asciiTheme="minorEastAsia" w:hAnsiTheme="minorEastAsia" w:cstheme="minorEastAsia"/>
          <w:szCs w:val="24"/>
          <w:lang w:val="zh-TW"/>
        </w:rPr>
        <w:t>390,144.00</w:t>
      </w:r>
      <w:r>
        <w:rPr>
          <w:rFonts w:hint="eastAsia" w:asciiTheme="minorEastAsia" w:hAnsiTheme="minorEastAsia" w:cstheme="minorEastAsia"/>
          <w:szCs w:val="24"/>
        </w:rPr>
        <w:t>万元。近三年，母公司盈利情况存在一定波动。近三年，发行人营业毛利率分别为44.08%、50.09%和51.27%。整体而言，母公司处于行业中上水平，盈利能力基本稳定。</w:t>
      </w:r>
    </w:p>
    <w:p w14:paraId="191A872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6、未来业务发展目标及经营计划</w:t>
      </w:r>
    </w:p>
    <w:p w14:paraId="29BEEC09">
      <w:pPr>
        <w:widowControl/>
        <w:adjustRightInd w:val="0"/>
        <w:ind w:firstLine="480"/>
        <w:rPr>
          <w:rFonts w:ascii="Times New Roman" w:hAnsi="Times New Roman" w:eastAsia="宋体" w:cs="Times New Roman"/>
          <w:color w:val="000000"/>
          <w:kern w:val="0"/>
          <w:szCs w:val="24"/>
        </w:rPr>
      </w:pPr>
      <w:r>
        <w:rPr>
          <w:rFonts w:hint="eastAsia" w:ascii="Times New Roman" w:hAnsi="Times New Roman" w:eastAsia="宋体" w:cs="Times New Roman"/>
          <w:color w:val="000000"/>
          <w:kern w:val="0"/>
          <w:szCs w:val="24"/>
        </w:rPr>
        <w:t>“十五五”期间，公司将构建以交通基础设施投资、交通路网运营管理、路域生态开发经营、交通产业投资孵化为核心的四大业务新格局，进一步融入长三角一体化发展与交通强国建设大局，将ESG理念深度融入战略与运营全过程，塑造具有卓越影响力、创新驱动力、价值创造力与社会责任感的上市路桥企业新典范。</w:t>
      </w:r>
    </w:p>
    <w:p w14:paraId="1C71D017">
      <w:pPr>
        <w:widowControl/>
        <w:adjustRightInd w:val="0"/>
        <w:ind w:firstLine="480"/>
        <w:rPr>
          <w:rFonts w:ascii="Times New Roman" w:hAnsi="Times New Roman" w:eastAsia="宋体" w:cs="Times New Roman"/>
          <w:color w:val="000000"/>
          <w:kern w:val="0"/>
          <w:szCs w:val="24"/>
        </w:rPr>
      </w:pPr>
      <w:r>
        <w:rPr>
          <w:rFonts w:hint="eastAsia" w:ascii="Times New Roman" w:hAnsi="Times New Roman" w:eastAsia="宋体" w:cs="Times New Roman"/>
          <w:color w:val="000000"/>
          <w:kern w:val="0"/>
          <w:szCs w:val="24"/>
        </w:rPr>
        <w:t>2026年，公司将以高质量发展为核心指引，坚持“稳中求进、以进促产”的总基调，聚焦主业扩容提质与路衍经济深度开发，构建“主业坚实、结构优化、绿色低碳”的产业新格局。</w:t>
      </w:r>
    </w:p>
    <w:p w14:paraId="5548CC62">
      <w:pPr>
        <w:widowControl/>
        <w:adjustRightInd w:val="0"/>
        <w:ind w:firstLine="482"/>
        <w:rPr>
          <w:rFonts w:ascii="Times New Roman" w:hAnsi="Times New Roman" w:eastAsia="宋体" w:cs="Times New Roman"/>
          <w:color w:val="000000"/>
          <w:kern w:val="0"/>
          <w:szCs w:val="24"/>
        </w:rPr>
      </w:pPr>
      <w:r>
        <w:rPr>
          <w:rFonts w:hint="eastAsia" w:ascii="Times New Roman" w:hAnsi="Times New Roman" w:eastAsia="宋体" w:cs="Times New Roman"/>
          <w:b/>
          <w:bCs/>
          <w:color w:val="000000"/>
          <w:kern w:val="0"/>
          <w:szCs w:val="24"/>
        </w:rPr>
        <w:t>完善路网布局，强化路网协同效应。</w:t>
      </w:r>
      <w:r>
        <w:rPr>
          <w:rFonts w:hint="eastAsia" w:ascii="Times New Roman" w:hAnsi="Times New Roman" w:eastAsia="宋体" w:cs="Times New Roman"/>
          <w:color w:val="000000"/>
          <w:kern w:val="0"/>
          <w:szCs w:val="24"/>
        </w:rPr>
        <w:t>聚焦苏南路网优化布局，构建可持续的投资回报模型，为路网结构升级与主业延伸提供坚实的资本支撑；以锡太高速、丹金高速等新建项目为抓手，强化苏南核心区的协同效应。</w:t>
      </w:r>
    </w:p>
    <w:p w14:paraId="64D5B71F">
      <w:pPr>
        <w:widowControl/>
        <w:adjustRightInd w:val="0"/>
        <w:ind w:firstLine="482"/>
        <w:rPr>
          <w:rFonts w:ascii="Times New Roman" w:hAnsi="Times New Roman" w:eastAsia="宋体" w:cs="Times New Roman"/>
          <w:color w:val="000000"/>
          <w:kern w:val="0"/>
          <w:szCs w:val="24"/>
        </w:rPr>
      </w:pPr>
      <w:r>
        <w:rPr>
          <w:rFonts w:hint="eastAsia" w:ascii="Times New Roman" w:hAnsi="Times New Roman" w:eastAsia="宋体" w:cs="Times New Roman"/>
          <w:b/>
          <w:bCs/>
          <w:color w:val="000000"/>
          <w:kern w:val="0"/>
          <w:szCs w:val="24"/>
        </w:rPr>
        <w:t>深化数智化转型，打造智慧运营行业标杆。</w:t>
      </w:r>
      <w:r>
        <w:rPr>
          <w:rFonts w:hint="eastAsia" w:ascii="Times New Roman" w:hAnsi="Times New Roman" w:eastAsia="宋体" w:cs="Times New Roman"/>
          <w:color w:val="000000"/>
          <w:kern w:val="0"/>
          <w:szCs w:val="24"/>
        </w:rPr>
        <w:t>立足“大流量、高饱和”的路网特征，迭代智慧交通解决方案，深度集成流量预测与动态引导技术，提升核心路段在高峰时段的通行效率，实现通行费收入的稳健增长与管养成本的精准压降。</w:t>
      </w:r>
    </w:p>
    <w:p w14:paraId="75DF1333">
      <w:pPr>
        <w:widowControl/>
        <w:adjustRightInd w:val="0"/>
        <w:ind w:firstLine="482"/>
        <w:rPr>
          <w:rFonts w:ascii="Times New Roman" w:hAnsi="Times New Roman" w:eastAsia="宋体" w:cs="Times New Roman"/>
          <w:color w:val="000000"/>
          <w:kern w:val="0"/>
          <w:szCs w:val="24"/>
        </w:rPr>
      </w:pPr>
      <w:r>
        <w:rPr>
          <w:rFonts w:hint="eastAsia" w:ascii="Times New Roman" w:hAnsi="Times New Roman" w:eastAsia="宋体" w:cs="Times New Roman"/>
          <w:b/>
          <w:bCs/>
          <w:color w:val="000000"/>
          <w:kern w:val="0"/>
          <w:szCs w:val="24"/>
        </w:rPr>
        <w:t>深耕“交通+”生态，实现路衍经济平台化转型。</w:t>
      </w:r>
      <w:r>
        <w:rPr>
          <w:rFonts w:hint="eastAsia" w:ascii="Times New Roman" w:hAnsi="Times New Roman" w:eastAsia="宋体" w:cs="Times New Roman"/>
          <w:color w:val="000000"/>
          <w:kern w:val="0"/>
          <w:szCs w:val="24"/>
        </w:rPr>
        <w:t>以出行服务为核心，推动服务区向文旅整合平台转型。深度挖掘沿线土地、流量与场景资源，重点布局“交能融合”与“交旅融合”业态，构建高粘性的路衍产业生态圈。</w:t>
      </w:r>
    </w:p>
    <w:p w14:paraId="09F07DCC">
      <w:pPr>
        <w:widowControl/>
        <w:adjustRightInd w:val="0"/>
        <w:ind w:firstLine="482"/>
        <w:rPr>
          <w:rFonts w:ascii="Times New Roman" w:hAnsi="Times New Roman" w:eastAsia="宋体" w:cs="Times New Roman"/>
          <w:color w:val="000000"/>
          <w:kern w:val="0"/>
          <w:szCs w:val="24"/>
        </w:rPr>
      </w:pPr>
      <w:r>
        <w:rPr>
          <w:rFonts w:hint="eastAsia" w:ascii="Times New Roman" w:hAnsi="Times New Roman" w:eastAsia="宋体" w:cs="Times New Roman"/>
          <w:b/>
          <w:bCs/>
          <w:color w:val="000000"/>
          <w:kern w:val="0"/>
          <w:szCs w:val="24"/>
        </w:rPr>
        <w:t>锻造ESG先发优势，厚植绿色发展新动能。</w:t>
      </w:r>
      <w:r>
        <w:rPr>
          <w:rFonts w:hint="eastAsia" w:ascii="Times New Roman" w:hAnsi="Times New Roman" w:eastAsia="宋体" w:cs="Times New Roman"/>
          <w:color w:val="000000"/>
          <w:kern w:val="0"/>
          <w:szCs w:val="24"/>
        </w:rPr>
        <w:t>将ESG管理体系全面融入治理流程，在关键议题上形成行业示范效应，提升资本市场形象。以清洁能源业务为依托，加速推进路产沿线分布式光伏与储能布局。积极探索电力市场化交易等前瞻性业务，将绿色低碳转型从“社会责任”转化为“经营红利”。</w:t>
      </w:r>
    </w:p>
    <w:p w14:paraId="6A16AEBC">
      <w:pPr>
        <w:adjustRightInd w:val="0"/>
        <w:snapToGrid w:val="0"/>
        <w:ind w:firstLine="482"/>
        <w:jc w:val="left"/>
        <w:rPr>
          <w:rFonts w:hint="eastAsia" w:asciiTheme="minorEastAsia" w:hAnsiTheme="minorEastAsia" w:cstheme="minorEastAsia"/>
          <w:b/>
          <w:bCs/>
          <w:szCs w:val="24"/>
          <w:lang w:val="zh-TW"/>
        </w:rPr>
      </w:pPr>
      <w:r>
        <w:rPr>
          <w:rFonts w:hint="eastAsia" w:asciiTheme="minorEastAsia" w:hAnsiTheme="minorEastAsia" w:cstheme="minorEastAsia"/>
          <w:b/>
          <w:bCs/>
          <w:szCs w:val="24"/>
          <w:lang w:val="zh-TW"/>
        </w:rPr>
        <w:t>四、本次债券发行的募集资金用途</w:t>
      </w:r>
    </w:p>
    <w:p w14:paraId="033A41E9">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本次债券的募集资金扣除发行费用后，拟用于并购、子公司增资、股权投资、偿还有息债务、补充流动资金、项目建设及法律法规允许的其他用途。具体用途及金额比例提请股东大会授权董事会并同意董事会授权公司经营层根据公司实际需求情况确定。</w:t>
      </w:r>
      <w:bookmarkStart w:id="9" w:name="bookmark7"/>
    </w:p>
    <w:p w14:paraId="6CFF326D">
      <w:pPr>
        <w:adjustRightInd w:val="0"/>
        <w:snapToGrid w:val="0"/>
        <w:ind w:firstLine="482"/>
        <w:jc w:val="left"/>
        <w:rPr>
          <w:rFonts w:hint="eastAsia" w:asciiTheme="minorEastAsia" w:hAnsiTheme="minorEastAsia" w:cstheme="minorEastAsia"/>
          <w:szCs w:val="24"/>
        </w:rPr>
      </w:pPr>
      <w:r>
        <w:rPr>
          <w:rFonts w:hint="eastAsia" w:asciiTheme="minorEastAsia" w:hAnsiTheme="minorEastAsia" w:cstheme="minorEastAsia"/>
          <w:b/>
          <w:bCs/>
          <w:szCs w:val="24"/>
          <w:lang w:val="zh-TW"/>
        </w:rPr>
        <w:t>五、其他重要事项</w:t>
      </w:r>
      <w:bookmarkEnd w:id="9"/>
    </w:p>
    <w:p w14:paraId="153E74F1">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（一）担保情况</w:t>
      </w:r>
    </w:p>
    <w:p w14:paraId="1818F6FA">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本公司之子公司宁沪置业按房地产行业惯例为商品房承购人按揭贷款提供连带责任的保证担保，担保责任自保证合同生效之日起，至商品房承购人所购住房的房地产抵押登记手续完成并将房屋他项权证交银行执收之日止。于2025年12月31日，尚未结清的担保金额约为人民币108,252,485.28元 （2024年12月31日：人民币138,169,867.02元）。除此之外，公司及附属子公司没有为任何股东、关联人士及其他公司进行担保。</w:t>
      </w:r>
    </w:p>
    <w:p w14:paraId="10C79BDB">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lang w:val="zh-TW"/>
        </w:rPr>
        <w:t>（二）重大未决诉讼及仲裁情况</w:t>
      </w:r>
    </w:p>
    <w:p w14:paraId="54B2DB87">
      <w:pPr>
        <w:adjustRightInd w:val="0"/>
        <w:snapToGrid w:val="0"/>
        <w:ind w:firstLine="480"/>
        <w:jc w:val="left"/>
        <w:rPr>
          <w:rFonts w:hint="eastAsia" w:asciiTheme="minorEastAsia" w:hAnsiTheme="minorEastAsia" w:cstheme="minorEastAsia"/>
          <w:szCs w:val="24"/>
          <w:lang w:val="zh-TW"/>
        </w:rPr>
      </w:pPr>
      <w:r>
        <w:rPr>
          <w:rFonts w:hint="eastAsia" w:asciiTheme="minorEastAsia" w:hAnsiTheme="minorEastAsia" w:cstheme="minorEastAsia"/>
          <w:szCs w:val="24"/>
          <w:lang w:val="zh-TW"/>
        </w:rPr>
        <w:t>截至2025年12月末，公司不存在应披露的对公司财务状况、经营成果、业务活动、未来前景等可能产生较大影响的未决诉讼或仲裁事项。</w:t>
      </w:r>
    </w:p>
    <w:p w14:paraId="6C9CA202">
      <w:pPr>
        <w:adjustRightInd w:val="0"/>
        <w:snapToGrid w:val="0"/>
        <w:ind w:firstLine="480"/>
        <w:jc w:val="left"/>
        <w:rPr>
          <w:rFonts w:hint="eastAsia" w:asciiTheme="minorEastAsia" w:hAnsiTheme="minorEastAsia" w:cstheme="minorEastAsia"/>
          <w:szCs w:val="24"/>
          <w:lang w:val="zh-TW"/>
        </w:rPr>
      </w:pPr>
    </w:p>
    <w:p w14:paraId="50000A02">
      <w:pPr>
        <w:adjustRightInd w:val="0"/>
        <w:snapToGrid w:val="0"/>
        <w:ind w:firstLine="480"/>
        <w:jc w:val="left"/>
        <w:rPr>
          <w:rFonts w:hint="eastAsia" w:asciiTheme="minorEastAsia" w:hAnsiTheme="minorEastAsia" w:cstheme="minorEastAsia"/>
          <w:szCs w:val="24"/>
        </w:rPr>
      </w:pPr>
      <w:r>
        <w:rPr>
          <w:rFonts w:hint="eastAsia" w:asciiTheme="minorEastAsia" w:hAnsiTheme="minorEastAsia" w:cstheme="minorEastAsia"/>
          <w:szCs w:val="24"/>
        </w:rPr>
        <w:t>特此公告。</w:t>
      </w:r>
    </w:p>
    <w:p w14:paraId="2C8CBC21">
      <w:pPr>
        <w:pStyle w:val="6"/>
        <w:rPr>
          <w:rFonts w:hint="eastAsia"/>
        </w:rPr>
      </w:pPr>
    </w:p>
    <w:p w14:paraId="2E1A09D1">
      <w:pPr>
        <w:adjustRightInd w:val="0"/>
        <w:snapToGrid w:val="0"/>
        <w:ind w:firstLine="480"/>
        <w:jc w:val="right"/>
        <w:rPr>
          <w:rFonts w:hint="eastAsia" w:cs="仿宋_GB2312" w:asciiTheme="minorEastAsia" w:hAnsiTheme="minorEastAsia"/>
          <w:szCs w:val="24"/>
        </w:rPr>
      </w:pPr>
      <w:r>
        <w:rPr>
          <w:rFonts w:hint="eastAsia" w:cs="仿宋_GB2312" w:asciiTheme="minorEastAsia" w:hAnsiTheme="minorEastAsia"/>
          <w:szCs w:val="24"/>
        </w:rPr>
        <w:t>江苏宁沪高速公路股份有限公司董事会</w:t>
      </w:r>
    </w:p>
    <w:p w14:paraId="37F769DF">
      <w:pPr>
        <w:adjustRightInd w:val="0"/>
        <w:snapToGrid w:val="0"/>
        <w:ind w:firstLine="480"/>
        <w:jc w:val="right"/>
        <w:rPr>
          <w:rFonts w:hint="eastAsia" w:asciiTheme="minorEastAsia" w:hAnsiTheme="minorEastAsia"/>
          <w:b/>
          <w:szCs w:val="24"/>
        </w:rPr>
      </w:pPr>
      <w:r>
        <w:rPr>
          <w:rFonts w:hint="eastAsia" w:cs="仿宋_GB2312" w:asciiTheme="minorEastAsia" w:hAnsiTheme="minorEastAsia"/>
          <w:szCs w:val="24"/>
        </w:rPr>
        <w:t xml:space="preserve">2026年4月 </w:t>
      </w:r>
      <w:r>
        <w:rPr>
          <w:rFonts w:hint="eastAsia" w:cs="仿宋_GB2312" w:asciiTheme="minorEastAsia" w:hAnsiTheme="minorEastAsia"/>
          <w:szCs w:val="24"/>
          <w:lang w:val="en-US" w:eastAsia="zh-CN"/>
        </w:rPr>
        <w:t>30</w:t>
      </w:r>
      <w:r>
        <w:rPr>
          <w:rFonts w:hint="eastAsia" w:cs="仿宋_GB2312" w:asciiTheme="minorEastAsia" w:hAnsiTheme="minorEastAsia"/>
          <w:szCs w:val="24"/>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FBCCD">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2883">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A6906">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240" w:lineRule="auto"/>
        <w:ind w:firstLine="480"/>
      </w:pPr>
      <w:r>
        <w:separator/>
      </w:r>
    </w:p>
  </w:footnote>
  <w:footnote w:type="continuationSeparator" w:id="7">
    <w:p>
      <w:pPr>
        <w:spacing w:line="240" w:lineRule="auto"/>
        <w:ind w:firstLine="480"/>
      </w:pPr>
      <w:r>
        <w:continuationSeparator/>
      </w:r>
    </w:p>
  </w:footnote>
  <w:footnote w:id="0">
    <w:p w14:paraId="212F990C">
      <w:pPr>
        <w:pStyle w:val="10"/>
        <w:ind w:firstLine="360"/>
        <w:rPr>
          <w:rFonts w:hint="eastAsia"/>
        </w:rPr>
      </w:pPr>
      <w:r>
        <w:rPr>
          <w:rStyle w:val="18"/>
        </w:rPr>
        <w:footnoteRef/>
      </w:r>
      <w:r>
        <w:t xml:space="preserve"> </w:t>
      </w:r>
      <w:r>
        <w:rPr>
          <w:rFonts w:hint="eastAsia"/>
        </w:rPr>
        <w:t>此处列示数据为设立时的注册资本。</w:t>
      </w:r>
    </w:p>
  </w:footnote>
  <w:footnote w:id="1">
    <w:p w14:paraId="69E63655">
      <w:pPr>
        <w:pStyle w:val="10"/>
        <w:ind w:firstLine="360"/>
      </w:pPr>
      <w:r>
        <w:rPr>
          <w:rStyle w:val="18"/>
        </w:rPr>
        <w:footnoteRef/>
      </w:r>
      <w:r>
        <w:t xml:space="preserve"> </w:t>
      </w:r>
      <w:r>
        <w:rPr>
          <w:rFonts w:hint="eastAsia"/>
        </w:rPr>
        <w:t>目前更名为苏交控商业保理（广州）有限公司。</w:t>
      </w:r>
    </w:p>
  </w:footnote>
  <w:footnote w:id="2">
    <w:p w14:paraId="3FBF53D0">
      <w:pPr>
        <w:pStyle w:val="10"/>
        <w:ind w:firstLine="360"/>
      </w:pPr>
      <w:r>
        <w:rPr>
          <w:rStyle w:val="18"/>
        </w:rPr>
        <w:footnoteRef/>
      </w:r>
      <w:r>
        <w:t xml:space="preserve"> </w:t>
      </w:r>
      <w:r>
        <w:rPr>
          <w:rFonts w:hint="eastAsia"/>
        </w:rPr>
        <w:t>此处列示数据为设立时的注册资本。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8ACE2">
    <w:pPr>
      <w:pStyle w:val="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8327E">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FBB33">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noPunctuationKerning w:val="1"/>
  <w:characterSpacingControl w:val="compressPunctuation"/>
  <w:footnotePr>
    <w:footnote w:id="6"/>
    <w:footnote w:id="7"/>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 w:name="RemovedBindingXPath" w:val="true"/>
  </w:docVars>
  <w:rsids>
    <w:rsidRoot w:val="008C5DB8"/>
    <w:rsid w:val="00004EF0"/>
    <w:rsid w:val="0000544D"/>
    <w:rsid w:val="0000622B"/>
    <w:rsid w:val="00006412"/>
    <w:rsid w:val="00007894"/>
    <w:rsid w:val="00011B58"/>
    <w:rsid w:val="00011D6B"/>
    <w:rsid w:val="00011E7C"/>
    <w:rsid w:val="000134A9"/>
    <w:rsid w:val="00013C7A"/>
    <w:rsid w:val="00014DAA"/>
    <w:rsid w:val="0001513D"/>
    <w:rsid w:val="00016A68"/>
    <w:rsid w:val="00017DF4"/>
    <w:rsid w:val="000209EB"/>
    <w:rsid w:val="00023FE2"/>
    <w:rsid w:val="00024791"/>
    <w:rsid w:val="00024B0F"/>
    <w:rsid w:val="000316A0"/>
    <w:rsid w:val="000316DE"/>
    <w:rsid w:val="000318EE"/>
    <w:rsid w:val="000320FF"/>
    <w:rsid w:val="000329AD"/>
    <w:rsid w:val="00033287"/>
    <w:rsid w:val="00036D5E"/>
    <w:rsid w:val="00036E39"/>
    <w:rsid w:val="000415E2"/>
    <w:rsid w:val="00041AFF"/>
    <w:rsid w:val="00041B70"/>
    <w:rsid w:val="000522BE"/>
    <w:rsid w:val="0005296D"/>
    <w:rsid w:val="0005330F"/>
    <w:rsid w:val="000552DE"/>
    <w:rsid w:val="00055BB1"/>
    <w:rsid w:val="00055D12"/>
    <w:rsid w:val="0005649D"/>
    <w:rsid w:val="00057954"/>
    <w:rsid w:val="00057AAF"/>
    <w:rsid w:val="0006154D"/>
    <w:rsid w:val="00061EF5"/>
    <w:rsid w:val="00063AEB"/>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B04"/>
    <w:rsid w:val="00091E1F"/>
    <w:rsid w:val="00093A5E"/>
    <w:rsid w:val="00094CDA"/>
    <w:rsid w:val="00095035"/>
    <w:rsid w:val="0009529B"/>
    <w:rsid w:val="0009688B"/>
    <w:rsid w:val="00096AF6"/>
    <w:rsid w:val="00097314"/>
    <w:rsid w:val="000A0447"/>
    <w:rsid w:val="000A0B83"/>
    <w:rsid w:val="000A0BA2"/>
    <w:rsid w:val="000A2CC0"/>
    <w:rsid w:val="000A2F81"/>
    <w:rsid w:val="000A5346"/>
    <w:rsid w:val="000A581B"/>
    <w:rsid w:val="000A6512"/>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EB3"/>
    <w:rsid w:val="00123A27"/>
    <w:rsid w:val="0013329D"/>
    <w:rsid w:val="001345D6"/>
    <w:rsid w:val="00135412"/>
    <w:rsid w:val="00135EAF"/>
    <w:rsid w:val="00136B4D"/>
    <w:rsid w:val="00142572"/>
    <w:rsid w:val="00142BE7"/>
    <w:rsid w:val="001445A8"/>
    <w:rsid w:val="00144A2D"/>
    <w:rsid w:val="00145AE4"/>
    <w:rsid w:val="00146AE6"/>
    <w:rsid w:val="00147BA3"/>
    <w:rsid w:val="001509BD"/>
    <w:rsid w:val="00154ECD"/>
    <w:rsid w:val="00154F63"/>
    <w:rsid w:val="00156132"/>
    <w:rsid w:val="001615EE"/>
    <w:rsid w:val="001627BA"/>
    <w:rsid w:val="001635C5"/>
    <w:rsid w:val="001656ED"/>
    <w:rsid w:val="001745A0"/>
    <w:rsid w:val="00174FAC"/>
    <w:rsid w:val="001763D0"/>
    <w:rsid w:val="00183AD3"/>
    <w:rsid w:val="00185D57"/>
    <w:rsid w:val="00186AC7"/>
    <w:rsid w:val="0019044B"/>
    <w:rsid w:val="00191625"/>
    <w:rsid w:val="00191AE4"/>
    <w:rsid w:val="00192312"/>
    <w:rsid w:val="00192FA9"/>
    <w:rsid w:val="00193328"/>
    <w:rsid w:val="001953C1"/>
    <w:rsid w:val="00196385"/>
    <w:rsid w:val="00196816"/>
    <w:rsid w:val="001A2E2D"/>
    <w:rsid w:val="001A3084"/>
    <w:rsid w:val="001A4B40"/>
    <w:rsid w:val="001A5AD2"/>
    <w:rsid w:val="001A6EA4"/>
    <w:rsid w:val="001B0753"/>
    <w:rsid w:val="001B0861"/>
    <w:rsid w:val="001B0FAE"/>
    <w:rsid w:val="001B11FC"/>
    <w:rsid w:val="001B3894"/>
    <w:rsid w:val="001B39F3"/>
    <w:rsid w:val="001B403D"/>
    <w:rsid w:val="001B7DD7"/>
    <w:rsid w:val="001C0B03"/>
    <w:rsid w:val="001C1F7E"/>
    <w:rsid w:val="001C20B5"/>
    <w:rsid w:val="001C2826"/>
    <w:rsid w:val="001C3E4D"/>
    <w:rsid w:val="001C3E6D"/>
    <w:rsid w:val="001C61C9"/>
    <w:rsid w:val="001C6DB0"/>
    <w:rsid w:val="001D05A4"/>
    <w:rsid w:val="001D157D"/>
    <w:rsid w:val="001D269D"/>
    <w:rsid w:val="001D5AFC"/>
    <w:rsid w:val="001D5BCD"/>
    <w:rsid w:val="001D5FB4"/>
    <w:rsid w:val="001D6ABC"/>
    <w:rsid w:val="001E1D88"/>
    <w:rsid w:val="001E6D93"/>
    <w:rsid w:val="001E75C4"/>
    <w:rsid w:val="001F1AEC"/>
    <w:rsid w:val="001F2083"/>
    <w:rsid w:val="001F422F"/>
    <w:rsid w:val="001F6B2B"/>
    <w:rsid w:val="00202534"/>
    <w:rsid w:val="002048A3"/>
    <w:rsid w:val="00206BC7"/>
    <w:rsid w:val="00207652"/>
    <w:rsid w:val="00207743"/>
    <w:rsid w:val="00210883"/>
    <w:rsid w:val="00213781"/>
    <w:rsid w:val="00214ACE"/>
    <w:rsid w:val="00215E68"/>
    <w:rsid w:val="00216020"/>
    <w:rsid w:val="00216775"/>
    <w:rsid w:val="00221605"/>
    <w:rsid w:val="002217D3"/>
    <w:rsid w:val="00224529"/>
    <w:rsid w:val="0022784F"/>
    <w:rsid w:val="00230F96"/>
    <w:rsid w:val="00231D36"/>
    <w:rsid w:val="0023362A"/>
    <w:rsid w:val="002370D9"/>
    <w:rsid w:val="0024127B"/>
    <w:rsid w:val="002432E5"/>
    <w:rsid w:val="00244577"/>
    <w:rsid w:val="00250A64"/>
    <w:rsid w:val="00254100"/>
    <w:rsid w:val="0025455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87F68"/>
    <w:rsid w:val="00290FC6"/>
    <w:rsid w:val="002930BD"/>
    <w:rsid w:val="002948E5"/>
    <w:rsid w:val="00295147"/>
    <w:rsid w:val="00295A30"/>
    <w:rsid w:val="00296683"/>
    <w:rsid w:val="002969F3"/>
    <w:rsid w:val="00296B71"/>
    <w:rsid w:val="002A2075"/>
    <w:rsid w:val="002A20B3"/>
    <w:rsid w:val="002A3368"/>
    <w:rsid w:val="002A3520"/>
    <w:rsid w:val="002A40E8"/>
    <w:rsid w:val="002A5BD6"/>
    <w:rsid w:val="002A6062"/>
    <w:rsid w:val="002B03CC"/>
    <w:rsid w:val="002B0DEC"/>
    <w:rsid w:val="002B3462"/>
    <w:rsid w:val="002B7FB0"/>
    <w:rsid w:val="002C0A13"/>
    <w:rsid w:val="002C1998"/>
    <w:rsid w:val="002C4298"/>
    <w:rsid w:val="002C50E6"/>
    <w:rsid w:val="002C51A6"/>
    <w:rsid w:val="002C578E"/>
    <w:rsid w:val="002C73D0"/>
    <w:rsid w:val="002D06DF"/>
    <w:rsid w:val="002D11F5"/>
    <w:rsid w:val="002D1C0D"/>
    <w:rsid w:val="002D7A46"/>
    <w:rsid w:val="002E0F85"/>
    <w:rsid w:val="002E17BB"/>
    <w:rsid w:val="002E3CFE"/>
    <w:rsid w:val="002E5862"/>
    <w:rsid w:val="002E673D"/>
    <w:rsid w:val="002E6FED"/>
    <w:rsid w:val="002F0218"/>
    <w:rsid w:val="002F4615"/>
    <w:rsid w:val="002F7887"/>
    <w:rsid w:val="003006FD"/>
    <w:rsid w:val="00300E0C"/>
    <w:rsid w:val="003068DE"/>
    <w:rsid w:val="00306CA5"/>
    <w:rsid w:val="003071F3"/>
    <w:rsid w:val="00311E9F"/>
    <w:rsid w:val="00317BC2"/>
    <w:rsid w:val="003216A9"/>
    <w:rsid w:val="0032367F"/>
    <w:rsid w:val="00323A21"/>
    <w:rsid w:val="0032458D"/>
    <w:rsid w:val="003253F1"/>
    <w:rsid w:val="00325654"/>
    <w:rsid w:val="0032604F"/>
    <w:rsid w:val="00331C12"/>
    <w:rsid w:val="00335113"/>
    <w:rsid w:val="0033790F"/>
    <w:rsid w:val="00337BE0"/>
    <w:rsid w:val="003402FE"/>
    <w:rsid w:val="003428F3"/>
    <w:rsid w:val="003435A0"/>
    <w:rsid w:val="00343A1C"/>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4A19"/>
    <w:rsid w:val="00375B9C"/>
    <w:rsid w:val="00376606"/>
    <w:rsid w:val="003766EF"/>
    <w:rsid w:val="00383379"/>
    <w:rsid w:val="003843C8"/>
    <w:rsid w:val="0038738F"/>
    <w:rsid w:val="00393988"/>
    <w:rsid w:val="00394A8C"/>
    <w:rsid w:val="00395F09"/>
    <w:rsid w:val="00396692"/>
    <w:rsid w:val="003966B0"/>
    <w:rsid w:val="003A016D"/>
    <w:rsid w:val="003A041B"/>
    <w:rsid w:val="003A3353"/>
    <w:rsid w:val="003A5862"/>
    <w:rsid w:val="003A594F"/>
    <w:rsid w:val="003A6E06"/>
    <w:rsid w:val="003B142A"/>
    <w:rsid w:val="003B5C0B"/>
    <w:rsid w:val="003B6F09"/>
    <w:rsid w:val="003B772C"/>
    <w:rsid w:val="003C0DA5"/>
    <w:rsid w:val="003C16A8"/>
    <w:rsid w:val="003C29C4"/>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3F98"/>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62D1"/>
    <w:rsid w:val="00446E52"/>
    <w:rsid w:val="00447880"/>
    <w:rsid w:val="00456AB7"/>
    <w:rsid w:val="0046022C"/>
    <w:rsid w:val="00460544"/>
    <w:rsid w:val="00462AB4"/>
    <w:rsid w:val="0046389B"/>
    <w:rsid w:val="004640B3"/>
    <w:rsid w:val="004677A9"/>
    <w:rsid w:val="004700D5"/>
    <w:rsid w:val="00471C18"/>
    <w:rsid w:val="00472CF3"/>
    <w:rsid w:val="004770E5"/>
    <w:rsid w:val="004774D6"/>
    <w:rsid w:val="004808F7"/>
    <w:rsid w:val="00482007"/>
    <w:rsid w:val="004824A9"/>
    <w:rsid w:val="0048261B"/>
    <w:rsid w:val="0048475F"/>
    <w:rsid w:val="00484A20"/>
    <w:rsid w:val="00484CD8"/>
    <w:rsid w:val="00490CC5"/>
    <w:rsid w:val="00491D85"/>
    <w:rsid w:val="00491EA0"/>
    <w:rsid w:val="004923D4"/>
    <w:rsid w:val="00493080"/>
    <w:rsid w:val="00495B76"/>
    <w:rsid w:val="0049605D"/>
    <w:rsid w:val="00496916"/>
    <w:rsid w:val="004A1747"/>
    <w:rsid w:val="004A1FDB"/>
    <w:rsid w:val="004A2D0E"/>
    <w:rsid w:val="004A330D"/>
    <w:rsid w:val="004A3F7D"/>
    <w:rsid w:val="004A4FC9"/>
    <w:rsid w:val="004A6E2D"/>
    <w:rsid w:val="004A6E8A"/>
    <w:rsid w:val="004B1154"/>
    <w:rsid w:val="004B13A6"/>
    <w:rsid w:val="004B1C50"/>
    <w:rsid w:val="004B2D4F"/>
    <w:rsid w:val="004B35E5"/>
    <w:rsid w:val="004B6EAD"/>
    <w:rsid w:val="004B72D1"/>
    <w:rsid w:val="004B735F"/>
    <w:rsid w:val="004B744D"/>
    <w:rsid w:val="004C2C49"/>
    <w:rsid w:val="004C6011"/>
    <w:rsid w:val="004C7913"/>
    <w:rsid w:val="004D2D6C"/>
    <w:rsid w:val="004D2FF1"/>
    <w:rsid w:val="004D4A66"/>
    <w:rsid w:val="004D55A9"/>
    <w:rsid w:val="004D6C6D"/>
    <w:rsid w:val="004D6D5C"/>
    <w:rsid w:val="004D76A4"/>
    <w:rsid w:val="004E35CE"/>
    <w:rsid w:val="004E6841"/>
    <w:rsid w:val="004E760B"/>
    <w:rsid w:val="004F0079"/>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542D"/>
    <w:rsid w:val="00526671"/>
    <w:rsid w:val="00530B9D"/>
    <w:rsid w:val="00530BC3"/>
    <w:rsid w:val="00531DC2"/>
    <w:rsid w:val="0053277A"/>
    <w:rsid w:val="00533839"/>
    <w:rsid w:val="0053497E"/>
    <w:rsid w:val="005355FC"/>
    <w:rsid w:val="00536579"/>
    <w:rsid w:val="00536BBF"/>
    <w:rsid w:val="00537CD7"/>
    <w:rsid w:val="005411B5"/>
    <w:rsid w:val="00541D93"/>
    <w:rsid w:val="00543F21"/>
    <w:rsid w:val="00544318"/>
    <w:rsid w:val="005443EB"/>
    <w:rsid w:val="00545344"/>
    <w:rsid w:val="005465C2"/>
    <w:rsid w:val="00547C23"/>
    <w:rsid w:val="00550CD6"/>
    <w:rsid w:val="0055150E"/>
    <w:rsid w:val="005543F1"/>
    <w:rsid w:val="00554723"/>
    <w:rsid w:val="0055573D"/>
    <w:rsid w:val="00555DE5"/>
    <w:rsid w:val="00560B7B"/>
    <w:rsid w:val="00561A5A"/>
    <w:rsid w:val="005620CC"/>
    <w:rsid w:val="005633F3"/>
    <w:rsid w:val="005658C9"/>
    <w:rsid w:val="00565A27"/>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A37"/>
    <w:rsid w:val="005A5B25"/>
    <w:rsid w:val="005A5C2E"/>
    <w:rsid w:val="005B236C"/>
    <w:rsid w:val="005B4D00"/>
    <w:rsid w:val="005B4EB2"/>
    <w:rsid w:val="005C0F43"/>
    <w:rsid w:val="005C1B88"/>
    <w:rsid w:val="005C33A2"/>
    <w:rsid w:val="005C5246"/>
    <w:rsid w:val="005C5D26"/>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17F9F"/>
    <w:rsid w:val="006208E7"/>
    <w:rsid w:val="00621CB3"/>
    <w:rsid w:val="00622196"/>
    <w:rsid w:val="00624BC4"/>
    <w:rsid w:val="00630145"/>
    <w:rsid w:val="006310D7"/>
    <w:rsid w:val="00631286"/>
    <w:rsid w:val="006315A8"/>
    <w:rsid w:val="00637BBF"/>
    <w:rsid w:val="00637D27"/>
    <w:rsid w:val="00637D82"/>
    <w:rsid w:val="00640106"/>
    <w:rsid w:val="00641D09"/>
    <w:rsid w:val="00644C25"/>
    <w:rsid w:val="0064661F"/>
    <w:rsid w:val="0064773D"/>
    <w:rsid w:val="0064798C"/>
    <w:rsid w:val="00650B0F"/>
    <w:rsid w:val="00652AAD"/>
    <w:rsid w:val="00654590"/>
    <w:rsid w:val="00654F20"/>
    <w:rsid w:val="0065550D"/>
    <w:rsid w:val="00657CE9"/>
    <w:rsid w:val="00661871"/>
    <w:rsid w:val="006634E1"/>
    <w:rsid w:val="006639A1"/>
    <w:rsid w:val="00674103"/>
    <w:rsid w:val="00674AEB"/>
    <w:rsid w:val="00675CB6"/>
    <w:rsid w:val="006775D3"/>
    <w:rsid w:val="006800B3"/>
    <w:rsid w:val="00681310"/>
    <w:rsid w:val="00681474"/>
    <w:rsid w:val="00681F63"/>
    <w:rsid w:val="00686268"/>
    <w:rsid w:val="00687D54"/>
    <w:rsid w:val="00690A11"/>
    <w:rsid w:val="00692118"/>
    <w:rsid w:val="00692532"/>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E69C1"/>
    <w:rsid w:val="006F42F8"/>
    <w:rsid w:val="006F53B5"/>
    <w:rsid w:val="006F6D69"/>
    <w:rsid w:val="006F7462"/>
    <w:rsid w:val="00700132"/>
    <w:rsid w:val="00702F53"/>
    <w:rsid w:val="00703E29"/>
    <w:rsid w:val="0070411A"/>
    <w:rsid w:val="00704EED"/>
    <w:rsid w:val="00707527"/>
    <w:rsid w:val="0071102F"/>
    <w:rsid w:val="00713304"/>
    <w:rsid w:val="007138A7"/>
    <w:rsid w:val="007138E6"/>
    <w:rsid w:val="00715DED"/>
    <w:rsid w:val="00724854"/>
    <w:rsid w:val="0072567D"/>
    <w:rsid w:val="007258B1"/>
    <w:rsid w:val="00726A8F"/>
    <w:rsid w:val="00730012"/>
    <w:rsid w:val="007303A5"/>
    <w:rsid w:val="007313FD"/>
    <w:rsid w:val="00732219"/>
    <w:rsid w:val="007324A9"/>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24F1"/>
    <w:rsid w:val="00764B52"/>
    <w:rsid w:val="00765194"/>
    <w:rsid w:val="007664EE"/>
    <w:rsid w:val="00766608"/>
    <w:rsid w:val="007672B9"/>
    <w:rsid w:val="0077016A"/>
    <w:rsid w:val="007755A3"/>
    <w:rsid w:val="00782CBE"/>
    <w:rsid w:val="00783EEA"/>
    <w:rsid w:val="00783FAF"/>
    <w:rsid w:val="007916A7"/>
    <w:rsid w:val="00792C7B"/>
    <w:rsid w:val="007951BF"/>
    <w:rsid w:val="0079698F"/>
    <w:rsid w:val="007A02EA"/>
    <w:rsid w:val="007A1462"/>
    <w:rsid w:val="007A1765"/>
    <w:rsid w:val="007A1EA2"/>
    <w:rsid w:val="007A4620"/>
    <w:rsid w:val="007A4CF8"/>
    <w:rsid w:val="007A580E"/>
    <w:rsid w:val="007A5EEB"/>
    <w:rsid w:val="007A63DB"/>
    <w:rsid w:val="007A7C0C"/>
    <w:rsid w:val="007B0851"/>
    <w:rsid w:val="007B1BBD"/>
    <w:rsid w:val="007B2222"/>
    <w:rsid w:val="007B40F7"/>
    <w:rsid w:val="007B54AA"/>
    <w:rsid w:val="007C0558"/>
    <w:rsid w:val="007C0A48"/>
    <w:rsid w:val="007C270D"/>
    <w:rsid w:val="007C28AA"/>
    <w:rsid w:val="007C2908"/>
    <w:rsid w:val="007C3027"/>
    <w:rsid w:val="007C30A7"/>
    <w:rsid w:val="007C4C7C"/>
    <w:rsid w:val="007C4D82"/>
    <w:rsid w:val="007C5260"/>
    <w:rsid w:val="007C7844"/>
    <w:rsid w:val="007D43E7"/>
    <w:rsid w:val="007D6893"/>
    <w:rsid w:val="007E01D7"/>
    <w:rsid w:val="007E1BC4"/>
    <w:rsid w:val="007E1D7B"/>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3CBF"/>
    <w:rsid w:val="00865F95"/>
    <w:rsid w:val="0087074B"/>
    <w:rsid w:val="00871507"/>
    <w:rsid w:val="0087601E"/>
    <w:rsid w:val="00876218"/>
    <w:rsid w:val="00876CAD"/>
    <w:rsid w:val="008804AB"/>
    <w:rsid w:val="00882C4D"/>
    <w:rsid w:val="0088305F"/>
    <w:rsid w:val="00884266"/>
    <w:rsid w:val="008843B6"/>
    <w:rsid w:val="00884BEA"/>
    <w:rsid w:val="00885291"/>
    <w:rsid w:val="0088596B"/>
    <w:rsid w:val="00890879"/>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7ED"/>
    <w:rsid w:val="008D3A24"/>
    <w:rsid w:val="008D75D1"/>
    <w:rsid w:val="008E1FC6"/>
    <w:rsid w:val="008E2909"/>
    <w:rsid w:val="008E371A"/>
    <w:rsid w:val="008E4F0C"/>
    <w:rsid w:val="008E596B"/>
    <w:rsid w:val="008F054A"/>
    <w:rsid w:val="008F15CA"/>
    <w:rsid w:val="008F2ACB"/>
    <w:rsid w:val="008F3D66"/>
    <w:rsid w:val="008F7EB1"/>
    <w:rsid w:val="009003F6"/>
    <w:rsid w:val="00902240"/>
    <w:rsid w:val="00904E4D"/>
    <w:rsid w:val="0090567F"/>
    <w:rsid w:val="00913296"/>
    <w:rsid w:val="009154D9"/>
    <w:rsid w:val="0091623C"/>
    <w:rsid w:val="00916FD9"/>
    <w:rsid w:val="009178E3"/>
    <w:rsid w:val="00921DA4"/>
    <w:rsid w:val="00926436"/>
    <w:rsid w:val="009278A1"/>
    <w:rsid w:val="00927CC9"/>
    <w:rsid w:val="009306FE"/>
    <w:rsid w:val="00930785"/>
    <w:rsid w:val="00930E04"/>
    <w:rsid w:val="00931325"/>
    <w:rsid w:val="0093179D"/>
    <w:rsid w:val="00931FD5"/>
    <w:rsid w:val="00932D84"/>
    <w:rsid w:val="00933ABB"/>
    <w:rsid w:val="00933BFC"/>
    <w:rsid w:val="00937A57"/>
    <w:rsid w:val="00941234"/>
    <w:rsid w:val="0094186D"/>
    <w:rsid w:val="00942575"/>
    <w:rsid w:val="0094357B"/>
    <w:rsid w:val="00945D56"/>
    <w:rsid w:val="00946D24"/>
    <w:rsid w:val="00947FFA"/>
    <w:rsid w:val="00950AAF"/>
    <w:rsid w:val="00951D84"/>
    <w:rsid w:val="00953922"/>
    <w:rsid w:val="009540D5"/>
    <w:rsid w:val="0095546D"/>
    <w:rsid w:val="00955841"/>
    <w:rsid w:val="0095624A"/>
    <w:rsid w:val="00957DA0"/>
    <w:rsid w:val="00961884"/>
    <w:rsid w:val="009628E8"/>
    <w:rsid w:val="00966207"/>
    <w:rsid w:val="00966C93"/>
    <w:rsid w:val="00966D57"/>
    <w:rsid w:val="00967711"/>
    <w:rsid w:val="00967785"/>
    <w:rsid w:val="009704A2"/>
    <w:rsid w:val="00970E60"/>
    <w:rsid w:val="009717F8"/>
    <w:rsid w:val="00971E03"/>
    <w:rsid w:val="009722CB"/>
    <w:rsid w:val="00974212"/>
    <w:rsid w:val="0097707A"/>
    <w:rsid w:val="0097785C"/>
    <w:rsid w:val="00977AB9"/>
    <w:rsid w:val="00977C25"/>
    <w:rsid w:val="009828C4"/>
    <w:rsid w:val="00983F0D"/>
    <w:rsid w:val="009918F8"/>
    <w:rsid w:val="0099345F"/>
    <w:rsid w:val="00997254"/>
    <w:rsid w:val="009A1B98"/>
    <w:rsid w:val="009A240C"/>
    <w:rsid w:val="009A2459"/>
    <w:rsid w:val="009A3BF1"/>
    <w:rsid w:val="009A5C7D"/>
    <w:rsid w:val="009A5DAF"/>
    <w:rsid w:val="009A673F"/>
    <w:rsid w:val="009A6874"/>
    <w:rsid w:val="009A7601"/>
    <w:rsid w:val="009B026F"/>
    <w:rsid w:val="009B1286"/>
    <w:rsid w:val="009B3ABD"/>
    <w:rsid w:val="009B7AEF"/>
    <w:rsid w:val="009C16F8"/>
    <w:rsid w:val="009D2C13"/>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C91"/>
    <w:rsid w:val="009F61D8"/>
    <w:rsid w:val="00A00EF8"/>
    <w:rsid w:val="00A053E7"/>
    <w:rsid w:val="00A056CC"/>
    <w:rsid w:val="00A06C7A"/>
    <w:rsid w:val="00A10C5C"/>
    <w:rsid w:val="00A11286"/>
    <w:rsid w:val="00A11394"/>
    <w:rsid w:val="00A20428"/>
    <w:rsid w:val="00A2244E"/>
    <w:rsid w:val="00A23612"/>
    <w:rsid w:val="00A23A2C"/>
    <w:rsid w:val="00A24451"/>
    <w:rsid w:val="00A25B82"/>
    <w:rsid w:val="00A25EE6"/>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70B9"/>
    <w:rsid w:val="00A72546"/>
    <w:rsid w:val="00A74559"/>
    <w:rsid w:val="00A7526A"/>
    <w:rsid w:val="00A75709"/>
    <w:rsid w:val="00A76332"/>
    <w:rsid w:val="00A822A4"/>
    <w:rsid w:val="00A8232E"/>
    <w:rsid w:val="00A84995"/>
    <w:rsid w:val="00A85E4A"/>
    <w:rsid w:val="00A86143"/>
    <w:rsid w:val="00A86B82"/>
    <w:rsid w:val="00A86C51"/>
    <w:rsid w:val="00A87A5F"/>
    <w:rsid w:val="00A94E63"/>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70C1"/>
    <w:rsid w:val="00AE16B6"/>
    <w:rsid w:val="00AE24BF"/>
    <w:rsid w:val="00AE3152"/>
    <w:rsid w:val="00AE34ED"/>
    <w:rsid w:val="00AE7837"/>
    <w:rsid w:val="00AF1684"/>
    <w:rsid w:val="00AF1BCF"/>
    <w:rsid w:val="00AF3530"/>
    <w:rsid w:val="00AF519C"/>
    <w:rsid w:val="00AF6BD7"/>
    <w:rsid w:val="00AF78B6"/>
    <w:rsid w:val="00B00964"/>
    <w:rsid w:val="00B0118B"/>
    <w:rsid w:val="00B02A59"/>
    <w:rsid w:val="00B03079"/>
    <w:rsid w:val="00B03C06"/>
    <w:rsid w:val="00B079F8"/>
    <w:rsid w:val="00B1112F"/>
    <w:rsid w:val="00B12B9F"/>
    <w:rsid w:val="00B16B54"/>
    <w:rsid w:val="00B21775"/>
    <w:rsid w:val="00B220C8"/>
    <w:rsid w:val="00B22974"/>
    <w:rsid w:val="00B232A4"/>
    <w:rsid w:val="00B2503F"/>
    <w:rsid w:val="00B25514"/>
    <w:rsid w:val="00B25E55"/>
    <w:rsid w:val="00B27668"/>
    <w:rsid w:val="00B27790"/>
    <w:rsid w:val="00B30E28"/>
    <w:rsid w:val="00B413F2"/>
    <w:rsid w:val="00B423B7"/>
    <w:rsid w:val="00B46BAB"/>
    <w:rsid w:val="00B47398"/>
    <w:rsid w:val="00B47730"/>
    <w:rsid w:val="00B47C6F"/>
    <w:rsid w:val="00B47D6F"/>
    <w:rsid w:val="00B47F45"/>
    <w:rsid w:val="00B50D6B"/>
    <w:rsid w:val="00B523BF"/>
    <w:rsid w:val="00B5278E"/>
    <w:rsid w:val="00B53683"/>
    <w:rsid w:val="00B53A02"/>
    <w:rsid w:val="00B555DE"/>
    <w:rsid w:val="00B6051E"/>
    <w:rsid w:val="00B613CB"/>
    <w:rsid w:val="00B63B21"/>
    <w:rsid w:val="00B70394"/>
    <w:rsid w:val="00B72F06"/>
    <w:rsid w:val="00B736B3"/>
    <w:rsid w:val="00B73783"/>
    <w:rsid w:val="00B73C2D"/>
    <w:rsid w:val="00B76C1C"/>
    <w:rsid w:val="00B82274"/>
    <w:rsid w:val="00B82B7A"/>
    <w:rsid w:val="00B82C84"/>
    <w:rsid w:val="00B84BB2"/>
    <w:rsid w:val="00B85437"/>
    <w:rsid w:val="00B95221"/>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6146"/>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3"/>
    <w:rsid w:val="00BD13DC"/>
    <w:rsid w:val="00BD27AB"/>
    <w:rsid w:val="00BD42DE"/>
    <w:rsid w:val="00BD473C"/>
    <w:rsid w:val="00BD4E92"/>
    <w:rsid w:val="00BD5079"/>
    <w:rsid w:val="00BD574A"/>
    <w:rsid w:val="00BD5E7C"/>
    <w:rsid w:val="00BE14A3"/>
    <w:rsid w:val="00BE17F4"/>
    <w:rsid w:val="00BE1AF3"/>
    <w:rsid w:val="00BE22B3"/>
    <w:rsid w:val="00BE422C"/>
    <w:rsid w:val="00BE614C"/>
    <w:rsid w:val="00BE67AE"/>
    <w:rsid w:val="00BE6B18"/>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5BA"/>
    <w:rsid w:val="00C176BF"/>
    <w:rsid w:val="00C17AE0"/>
    <w:rsid w:val="00C250A2"/>
    <w:rsid w:val="00C3028C"/>
    <w:rsid w:val="00C30D11"/>
    <w:rsid w:val="00C31861"/>
    <w:rsid w:val="00C3330C"/>
    <w:rsid w:val="00C356F5"/>
    <w:rsid w:val="00C3656A"/>
    <w:rsid w:val="00C36CB8"/>
    <w:rsid w:val="00C415DA"/>
    <w:rsid w:val="00C446BC"/>
    <w:rsid w:val="00C448F8"/>
    <w:rsid w:val="00C44970"/>
    <w:rsid w:val="00C44CAA"/>
    <w:rsid w:val="00C455D0"/>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3B95"/>
    <w:rsid w:val="00C740AB"/>
    <w:rsid w:val="00C7509C"/>
    <w:rsid w:val="00C75AF8"/>
    <w:rsid w:val="00C76965"/>
    <w:rsid w:val="00C76AE5"/>
    <w:rsid w:val="00C81131"/>
    <w:rsid w:val="00C81E8F"/>
    <w:rsid w:val="00C823B5"/>
    <w:rsid w:val="00C823BD"/>
    <w:rsid w:val="00C823C0"/>
    <w:rsid w:val="00C828D4"/>
    <w:rsid w:val="00C82ADF"/>
    <w:rsid w:val="00C85898"/>
    <w:rsid w:val="00C85B23"/>
    <w:rsid w:val="00C85DFC"/>
    <w:rsid w:val="00C87D04"/>
    <w:rsid w:val="00C87EFC"/>
    <w:rsid w:val="00C914B2"/>
    <w:rsid w:val="00C93E0F"/>
    <w:rsid w:val="00C96AA0"/>
    <w:rsid w:val="00C96B4E"/>
    <w:rsid w:val="00C9754C"/>
    <w:rsid w:val="00CA0CE1"/>
    <w:rsid w:val="00CA1153"/>
    <w:rsid w:val="00CA40B0"/>
    <w:rsid w:val="00CA5963"/>
    <w:rsid w:val="00CA5F3C"/>
    <w:rsid w:val="00CA5FB8"/>
    <w:rsid w:val="00CA6285"/>
    <w:rsid w:val="00CA62D8"/>
    <w:rsid w:val="00CB23BD"/>
    <w:rsid w:val="00CB3998"/>
    <w:rsid w:val="00CB5618"/>
    <w:rsid w:val="00CB577A"/>
    <w:rsid w:val="00CC290D"/>
    <w:rsid w:val="00CC483E"/>
    <w:rsid w:val="00CD0519"/>
    <w:rsid w:val="00CD09B1"/>
    <w:rsid w:val="00CD2075"/>
    <w:rsid w:val="00CD3E21"/>
    <w:rsid w:val="00CD4E82"/>
    <w:rsid w:val="00CD5F14"/>
    <w:rsid w:val="00CD6A04"/>
    <w:rsid w:val="00CE374C"/>
    <w:rsid w:val="00CE4A6D"/>
    <w:rsid w:val="00CE4D63"/>
    <w:rsid w:val="00CE5795"/>
    <w:rsid w:val="00CE63C1"/>
    <w:rsid w:val="00CF1E4D"/>
    <w:rsid w:val="00CF2A56"/>
    <w:rsid w:val="00CF44E4"/>
    <w:rsid w:val="00CF46A3"/>
    <w:rsid w:val="00CF5FE7"/>
    <w:rsid w:val="00CF77FD"/>
    <w:rsid w:val="00D07067"/>
    <w:rsid w:val="00D075AA"/>
    <w:rsid w:val="00D10370"/>
    <w:rsid w:val="00D11861"/>
    <w:rsid w:val="00D11D57"/>
    <w:rsid w:val="00D13748"/>
    <w:rsid w:val="00D15067"/>
    <w:rsid w:val="00D16C7C"/>
    <w:rsid w:val="00D16E03"/>
    <w:rsid w:val="00D17401"/>
    <w:rsid w:val="00D200F8"/>
    <w:rsid w:val="00D208E9"/>
    <w:rsid w:val="00D2146D"/>
    <w:rsid w:val="00D234C0"/>
    <w:rsid w:val="00D23EC6"/>
    <w:rsid w:val="00D2601F"/>
    <w:rsid w:val="00D27CC0"/>
    <w:rsid w:val="00D30E41"/>
    <w:rsid w:val="00D31534"/>
    <w:rsid w:val="00D32EF8"/>
    <w:rsid w:val="00D338A7"/>
    <w:rsid w:val="00D34548"/>
    <w:rsid w:val="00D35734"/>
    <w:rsid w:val="00D35A83"/>
    <w:rsid w:val="00D3766E"/>
    <w:rsid w:val="00D40975"/>
    <w:rsid w:val="00D40E5E"/>
    <w:rsid w:val="00D41A97"/>
    <w:rsid w:val="00D42DF0"/>
    <w:rsid w:val="00D432B7"/>
    <w:rsid w:val="00D4676D"/>
    <w:rsid w:val="00D47561"/>
    <w:rsid w:val="00D50379"/>
    <w:rsid w:val="00D526AB"/>
    <w:rsid w:val="00D56390"/>
    <w:rsid w:val="00D564D7"/>
    <w:rsid w:val="00D5664C"/>
    <w:rsid w:val="00D578DE"/>
    <w:rsid w:val="00D605E6"/>
    <w:rsid w:val="00D62577"/>
    <w:rsid w:val="00D62CAD"/>
    <w:rsid w:val="00D6300E"/>
    <w:rsid w:val="00D65C70"/>
    <w:rsid w:val="00D662D3"/>
    <w:rsid w:val="00D6663F"/>
    <w:rsid w:val="00D6718D"/>
    <w:rsid w:val="00D67AAC"/>
    <w:rsid w:val="00D70021"/>
    <w:rsid w:val="00D70156"/>
    <w:rsid w:val="00D72C3E"/>
    <w:rsid w:val="00D72E1C"/>
    <w:rsid w:val="00D74508"/>
    <w:rsid w:val="00D75432"/>
    <w:rsid w:val="00D776E0"/>
    <w:rsid w:val="00D81B90"/>
    <w:rsid w:val="00D83B77"/>
    <w:rsid w:val="00D83E3D"/>
    <w:rsid w:val="00D84631"/>
    <w:rsid w:val="00D87D4E"/>
    <w:rsid w:val="00D9330E"/>
    <w:rsid w:val="00D94AEA"/>
    <w:rsid w:val="00D96F13"/>
    <w:rsid w:val="00D97EEB"/>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5923"/>
    <w:rsid w:val="00E00586"/>
    <w:rsid w:val="00E03013"/>
    <w:rsid w:val="00E04A09"/>
    <w:rsid w:val="00E05768"/>
    <w:rsid w:val="00E06E01"/>
    <w:rsid w:val="00E07261"/>
    <w:rsid w:val="00E163F5"/>
    <w:rsid w:val="00E16CF4"/>
    <w:rsid w:val="00E17AAA"/>
    <w:rsid w:val="00E17F8B"/>
    <w:rsid w:val="00E2023C"/>
    <w:rsid w:val="00E254DE"/>
    <w:rsid w:val="00E279C7"/>
    <w:rsid w:val="00E27DAF"/>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5797A"/>
    <w:rsid w:val="00E641C3"/>
    <w:rsid w:val="00E64429"/>
    <w:rsid w:val="00E65054"/>
    <w:rsid w:val="00E6534B"/>
    <w:rsid w:val="00E66780"/>
    <w:rsid w:val="00E6678D"/>
    <w:rsid w:val="00E705B8"/>
    <w:rsid w:val="00E70C4F"/>
    <w:rsid w:val="00E711DA"/>
    <w:rsid w:val="00E7715F"/>
    <w:rsid w:val="00E773DC"/>
    <w:rsid w:val="00E810AC"/>
    <w:rsid w:val="00E828AC"/>
    <w:rsid w:val="00E87A46"/>
    <w:rsid w:val="00E87CC3"/>
    <w:rsid w:val="00E91098"/>
    <w:rsid w:val="00E9210B"/>
    <w:rsid w:val="00EA3AE2"/>
    <w:rsid w:val="00EA4CD3"/>
    <w:rsid w:val="00EA4FFB"/>
    <w:rsid w:val="00EA6164"/>
    <w:rsid w:val="00EA7A01"/>
    <w:rsid w:val="00EA7CCD"/>
    <w:rsid w:val="00EB154B"/>
    <w:rsid w:val="00EB234D"/>
    <w:rsid w:val="00EB51F0"/>
    <w:rsid w:val="00EB5C44"/>
    <w:rsid w:val="00EB5FE0"/>
    <w:rsid w:val="00EC185B"/>
    <w:rsid w:val="00EC428E"/>
    <w:rsid w:val="00EC50AD"/>
    <w:rsid w:val="00ED0449"/>
    <w:rsid w:val="00ED1087"/>
    <w:rsid w:val="00ED5A7B"/>
    <w:rsid w:val="00ED6F2A"/>
    <w:rsid w:val="00ED769C"/>
    <w:rsid w:val="00EE1AAB"/>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3630"/>
    <w:rsid w:val="00F05B1C"/>
    <w:rsid w:val="00F05F94"/>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3EA5"/>
    <w:rsid w:val="00F350B8"/>
    <w:rsid w:val="00F378BC"/>
    <w:rsid w:val="00F37EDA"/>
    <w:rsid w:val="00F4014E"/>
    <w:rsid w:val="00F41415"/>
    <w:rsid w:val="00F42133"/>
    <w:rsid w:val="00F437CD"/>
    <w:rsid w:val="00F4394B"/>
    <w:rsid w:val="00F447D2"/>
    <w:rsid w:val="00F44A63"/>
    <w:rsid w:val="00F44EFB"/>
    <w:rsid w:val="00F45334"/>
    <w:rsid w:val="00F47327"/>
    <w:rsid w:val="00F476B3"/>
    <w:rsid w:val="00F477AC"/>
    <w:rsid w:val="00F479E9"/>
    <w:rsid w:val="00F51A25"/>
    <w:rsid w:val="00F52FDD"/>
    <w:rsid w:val="00F533E4"/>
    <w:rsid w:val="00F5587C"/>
    <w:rsid w:val="00F56AC4"/>
    <w:rsid w:val="00F56CFF"/>
    <w:rsid w:val="00F57183"/>
    <w:rsid w:val="00F600C5"/>
    <w:rsid w:val="00F61452"/>
    <w:rsid w:val="00F618BE"/>
    <w:rsid w:val="00F62F7C"/>
    <w:rsid w:val="00F64C77"/>
    <w:rsid w:val="00F66586"/>
    <w:rsid w:val="00F6669E"/>
    <w:rsid w:val="00F666D6"/>
    <w:rsid w:val="00F67D23"/>
    <w:rsid w:val="00F7320A"/>
    <w:rsid w:val="00F74046"/>
    <w:rsid w:val="00F74248"/>
    <w:rsid w:val="00F74414"/>
    <w:rsid w:val="00F75D20"/>
    <w:rsid w:val="00F80FF3"/>
    <w:rsid w:val="00F87EFB"/>
    <w:rsid w:val="00F90C71"/>
    <w:rsid w:val="00F91F35"/>
    <w:rsid w:val="00F922A6"/>
    <w:rsid w:val="00F94792"/>
    <w:rsid w:val="00F95401"/>
    <w:rsid w:val="00F96A74"/>
    <w:rsid w:val="00FA2572"/>
    <w:rsid w:val="00FA28FE"/>
    <w:rsid w:val="00FA2973"/>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4A9250C"/>
    <w:rsid w:val="05F83D8C"/>
    <w:rsid w:val="0969226A"/>
    <w:rsid w:val="0EC3137E"/>
    <w:rsid w:val="0F8006A3"/>
    <w:rsid w:val="13A447CF"/>
    <w:rsid w:val="15C40D7D"/>
    <w:rsid w:val="1815386B"/>
    <w:rsid w:val="19B86374"/>
    <w:rsid w:val="1A3032ED"/>
    <w:rsid w:val="1B393E81"/>
    <w:rsid w:val="21747CD2"/>
    <w:rsid w:val="257B53D8"/>
    <w:rsid w:val="261371E2"/>
    <w:rsid w:val="26E4757F"/>
    <w:rsid w:val="27923A7E"/>
    <w:rsid w:val="280C0C82"/>
    <w:rsid w:val="29A00293"/>
    <w:rsid w:val="2AA9206F"/>
    <w:rsid w:val="2F7D18EE"/>
    <w:rsid w:val="334977FD"/>
    <w:rsid w:val="344076FA"/>
    <w:rsid w:val="36017878"/>
    <w:rsid w:val="36AF6C5F"/>
    <w:rsid w:val="37AE5168"/>
    <w:rsid w:val="3C681C83"/>
    <w:rsid w:val="3C952237"/>
    <w:rsid w:val="3C9B328B"/>
    <w:rsid w:val="41813C2F"/>
    <w:rsid w:val="41BD2B78"/>
    <w:rsid w:val="488F0E01"/>
    <w:rsid w:val="4A470F99"/>
    <w:rsid w:val="4AE04866"/>
    <w:rsid w:val="4B5C4308"/>
    <w:rsid w:val="4D087EF3"/>
    <w:rsid w:val="4E4B09DC"/>
    <w:rsid w:val="503264DF"/>
    <w:rsid w:val="534710EE"/>
    <w:rsid w:val="53511372"/>
    <w:rsid w:val="544818ED"/>
    <w:rsid w:val="5474378E"/>
    <w:rsid w:val="58FA6008"/>
    <w:rsid w:val="5EAA785F"/>
    <w:rsid w:val="646B7484"/>
    <w:rsid w:val="6741102F"/>
    <w:rsid w:val="697F5FDF"/>
    <w:rsid w:val="69C064B2"/>
    <w:rsid w:val="6D341690"/>
    <w:rsid w:val="6E5428A6"/>
    <w:rsid w:val="6F4C55E1"/>
    <w:rsid w:val="6FB70357"/>
    <w:rsid w:val="712A326A"/>
    <w:rsid w:val="71CC2622"/>
    <w:rsid w:val="734211AA"/>
    <w:rsid w:val="74E97E9C"/>
    <w:rsid w:val="76F2457F"/>
    <w:rsid w:val="77B146EF"/>
    <w:rsid w:val="79651AD2"/>
    <w:rsid w:val="7BEC1388"/>
    <w:rsid w:val="7C435FE4"/>
    <w:rsid w:val="7D2012E9"/>
    <w:rsid w:val="7DA55C93"/>
    <w:rsid w:val="7E2C37A8"/>
    <w:rsid w:val="7E723DC7"/>
    <w:rsid w:val="7E8F2BCB"/>
    <w:rsid w:val="7EB63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6"/>
    <w:semiHidden/>
    <w:unhideWhenUsed/>
    <w:qFormat/>
    <w:uiPriority w:val="99"/>
    <w:rPr>
      <w:rFonts w:ascii="宋体" w:eastAsia="宋体"/>
      <w:sz w:val="18"/>
      <w:szCs w:val="18"/>
    </w:rPr>
  </w:style>
  <w:style w:type="paragraph" w:styleId="5">
    <w:name w:val="annotation text"/>
    <w:basedOn w:val="1"/>
    <w:link w:val="34"/>
    <w:unhideWhenUsed/>
    <w:qFormat/>
    <w:uiPriority w:val="0"/>
    <w:pPr>
      <w:jc w:val="left"/>
    </w:pPr>
  </w:style>
  <w:style w:type="paragraph" w:styleId="6">
    <w:name w:val="Body Text"/>
    <w:basedOn w:val="1"/>
    <w:qFormat/>
    <w:uiPriority w:val="99"/>
    <w:pPr>
      <w:spacing w:before="102" w:line="360" w:lineRule="auto"/>
      <w:ind w:left="112" w:firstLine="480"/>
      <w:contextualSpacing/>
    </w:pPr>
    <w:rPr>
      <w:rFonts w:cs="宋体" w:asciiTheme="minorEastAsia" w:hAnsiTheme="minorEastAsia"/>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53"/>
    <w:semiHidden/>
    <w:unhideWhenUsed/>
    <w:qFormat/>
    <w:uiPriority w:val="99"/>
    <w:pPr>
      <w:snapToGrid w:val="0"/>
      <w:jc w:val="left"/>
    </w:pPr>
    <w:rPr>
      <w:sz w:val="18"/>
      <w:szCs w:val="18"/>
    </w:rPr>
  </w:style>
  <w:style w:type="paragraph" w:styleId="11">
    <w:name w:val="Normal (Web)"/>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Cs w:val="24"/>
    </w:rPr>
  </w:style>
  <w:style w:type="paragraph" w:styleId="12">
    <w:name w:val="annotation subject"/>
    <w:basedOn w:val="5"/>
    <w:next w:val="5"/>
    <w:link w:val="36"/>
    <w:semiHidden/>
    <w:unhideWhenUsed/>
    <w:qFormat/>
    <w:uiPriority w:val="99"/>
    <w:rPr>
      <w:b/>
      <w:bCs/>
    </w:rPr>
  </w:style>
  <w:style w:type="table" w:styleId="14">
    <w:name w:val="Table Grid"/>
    <w:basedOn w:val="1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22"/>
    <w:rPr>
      <w:b/>
    </w:rPr>
  </w:style>
  <w:style w:type="character" w:styleId="17">
    <w:name w:val="annotation reference"/>
    <w:basedOn w:val="15"/>
    <w:semiHidden/>
    <w:unhideWhenUsed/>
    <w:qFormat/>
    <w:uiPriority w:val="99"/>
    <w:rPr>
      <w:sz w:val="21"/>
      <w:szCs w:val="21"/>
    </w:rPr>
  </w:style>
  <w:style w:type="character" w:styleId="18">
    <w:name w:val="footnote reference"/>
    <w:basedOn w:val="15"/>
    <w:semiHidden/>
    <w:unhideWhenUsed/>
    <w:qFormat/>
    <w:uiPriority w:val="99"/>
    <w:rPr>
      <w:vertAlign w:val="superscript"/>
    </w:rPr>
  </w:style>
  <w:style w:type="character" w:customStyle="1" w:styleId="19">
    <w:name w:val="批注框文本 字符"/>
    <w:basedOn w:val="15"/>
    <w:link w:val="7"/>
    <w:semiHidden/>
    <w:qFormat/>
    <w:uiPriority w:val="99"/>
    <w:rPr>
      <w:sz w:val="18"/>
      <w:szCs w:val="18"/>
    </w:rPr>
  </w:style>
  <w:style w:type="character" w:customStyle="1" w:styleId="20">
    <w:name w:val="标题 1 字符"/>
    <w:basedOn w:val="15"/>
    <w:link w:val="2"/>
    <w:qFormat/>
    <w:uiPriority w:val="9"/>
    <w:rPr>
      <w:b/>
      <w:bCs/>
      <w:kern w:val="44"/>
      <w:sz w:val="44"/>
      <w:szCs w:val="44"/>
    </w:rPr>
  </w:style>
  <w:style w:type="paragraph" w:styleId="21">
    <w:name w:val="List Paragraph"/>
    <w:basedOn w:val="1"/>
    <w:qFormat/>
    <w:uiPriority w:val="34"/>
    <w:pPr>
      <w:ind w:firstLine="420"/>
    </w:pPr>
  </w:style>
  <w:style w:type="character" w:styleId="22">
    <w:name w:val="Placeholder Text"/>
    <w:basedOn w:val="15"/>
    <w:semiHidden/>
    <w:qFormat/>
    <w:uiPriority w:val="99"/>
    <w:rPr>
      <w:color w:val="auto"/>
    </w:rPr>
  </w:style>
  <w:style w:type="character" w:customStyle="1" w:styleId="23">
    <w:name w:val="页眉 字符"/>
    <w:basedOn w:val="15"/>
    <w:link w:val="9"/>
    <w:qFormat/>
    <w:uiPriority w:val="99"/>
    <w:rPr>
      <w:sz w:val="18"/>
      <w:szCs w:val="18"/>
    </w:rPr>
  </w:style>
  <w:style w:type="character" w:customStyle="1" w:styleId="24">
    <w:name w:val="页脚 字符"/>
    <w:basedOn w:val="15"/>
    <w:link w:val="8"/>
    <w:qFormat/>
    <w:uiPriority w:val="99"/>
    <w:rPr>
      <w:sz w:val="18"/>
      <w:szCs w:val="18"/>
    </w:rPr>
  </w:style>
  <w:style w:type="character" w:customStyle="1" w:styleId="25">
    <w:name w:val="标题 2 字符"/>
    <w:basedOn w:val="15"/>
    <w:link w:val="3"/>
    <w:qFormat/>
    <w:uiPriority w:val="9"/>
    <w:rPr>
      <w:rFonts w:asciiTheme="majorHAnsi" w:hAnsiTheme="majorHAnsi" w:eastAsiaTheme="majorEastAsia" w:cstheme="majorBidi"/>
      <w:b/>
      <w:bCs/>
      <w:sz w:val="32"/>
      <w:szCs w:val="32"/>
    </w:rPr>
  </w:style>
  <w:style w:type="character" w:customStyle="1" w:styleId="26">
    <w:name w:val="文档结构图 字符"/>
    <w:basedOn w:val="15"/>
    <w:link w:val="4"/>
    <w:semiHidden/>
    <w:qFormat/>
    <w:uiPriority w:val="99"/>
    <w:rPr>
      <w:rFonts w:ascii="宋体" w:eastAsia="宋体"/>
      <w:sz w:val="18"/>
      <w:szCs w:val="18"/>
    </w:rPr>
  </w:style>
  <w:style w:type="character" w:customStyle="1" w:styleId="27">
    <w:name w:val="样式1"/>
    <w:qFormat/>
    <w:uiPriority w:val="1"/>
  </w:style>
  <w:style w:type="character" w:customStyle="1" w:styleId="28">
    <w:name w:val="样式2"/>
    <w:basedOn w:val="27"/>
    <w:qFormat/>
    <w:uiPriority w:val="1"/>
  </w:style>
  <w:style w:type="character" w:customStyle="1" w:styleId="29">
    <w:name w:val="样式3"/>
    <w:basedOn w:val="27"/>
    <w:qFormat/>
    <w:uiPriority w:val="1"/>
  </w:style>
  <w:style w:type="character" w:customStyle="1" w:styleId="30">
    <w:name w:val="样式4"/>
    <w:basedOn w:val="27"/>
    <w:qFormat/>
    <w:uiPriority w:val="1"/>
  </w:style>
  <w:style w:type="character" w:customStyle="1" w:styleId="31">
    <w:name w:val="样式5"/>
    <w:basedOn w:val="27"/>
    <w:qFormat/>
    <w:uiPriority w:val="1"/>
  </w:style>
  <w:style w:type="character" w:customStyle="1" w:styleId="32">
    <w:name w:val="样式6"/>
    <w:basedOn w:val="30"/>
    <w:qFormat/>
    <w:uiPriority w:val="1"/>
  </w:style>
  <w:style w:type="character" w:customStyle="1" w:styleId="33">
    <w:name w:val="样式7"/>
    <w:basedOn w:val="30"/>
    <w:qFormat/>
    <w:uiPriority w:val="1"/>
  </w:style>
  <w:style w:type="character" w:customStyle="1" w:styleId="34">
    <w:name w:val="批注文字 字符"/>
    <w:basedOn w:val="15"/>
    <w:link w:val="5"/>
    <w:qFormat/>
    <w:uiPriority w:val="0"/>
  </w:style>
  <w:style w:type="paragraph" w:customStyle="1" w:styleId="35">
    <w:name w:val="p0"/>
    <w:basedOn w:val="1"/>
    <w:qFormat/>
    <w:uiPriority w:val="0"/>
    <w:pPr>
      <w:widowControl/>
    </w:pPr>
    <w:rPr>
      <w:rFonts w:ascii="Book Antiqua" w:hAnsi="Book Antiqua" w:eastAsia="宋体" w:cs="宋体"/>
      <w:kern w:val="0"/>
      <w:szCs w:val="24"/>
    </w:rPr>
  </w:style>
  <w:style w:type="character" w:customStyle="1" w:styleId="36">
    <w:name w:val="批注主题 字符"/>
    <w:basedOn w:val="34"/>
    <w:link w:val="12"/>
    <w:semiHidden/>
    <w:qFormat/>
    <w:uiPriority w:val="99"/>
    <w:rPr>
      <w:b/>
      <w:bCs/>
    </w:rPr>
  </w:style>
  <w:style w:type="table" w:customStyle="1" w:styleId="37">
    <w:name w:val="网格型1"/>
    <w:basedOn w:val="13"/>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网格型2"/>
    <w:basedOn w:val="13"/>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9">
    <w:name w:val="正文文本 (2)1"/>
    <w:basedOn w:val="1"/>
    <w:link w:val="40"/>
    <w:qFormat/>
    <w:uiPriority w:val="99"/>
    <w:pPr>
      <w:shd w:val="clear" w:color="auto" w:fill="FFFFFF"/>
      <w:spacing w:before="540" w:line="466" w:lineRule="exact"/>
      <w:ind w:hanging="140"/>
    </w:pPr>
    <w:rPr>
      <w:rFonts w:ascii="宋体" w:eastAsia="宋体" w:cs="宋体"/>
      <w:sz w:val="22"/>
    </w:rPr>
  </w:style>
  <w:style w:type="character" w:customStyle="1" w:styleId="40">
    <w:name w:val="正文文本 (2)_"/>
    <w:basedOn w:val="15"/>
    <w:link w:val="39"/>
    <w:qFormat/>
    <w:locked/>
    <w:uiPriority w:val="99"/>
    <w:rPr>
      <w:rFonts w:ascii="宋体" w:eastAsia="宋体" w:cs="宋体"/>
      <w:color w:val="auto"/>
      <w:sz w:val="22"/>
      <w:szCs w:val="22"/>
      <w:lang w:val="en-US" w:eastAsia="zh-CN"/>
    </w:rPr>
  </w:style>
  <w:style w:type="paragraph" w:customStyle="1" w:styleId="41">
    <w:name w:val="标题 #2"/>
    <w:basedOn w:val="1"/>
    <w:link w:val="42"/>
    <w:qFormat/>
    <w:uiPriority w:val="99"/>
    <w:pPr>
      <w:shd w:val="clear" w:color="auto" w:fill="FFFFFF"/>
      <w:spacing w:line="466" w:lineRule="exact"/>
      <w:jc w:val="distribute"/>
      <w:outlineLvl w:val="1"/>
    </w:pPr>
    <w:rPr>
      <w:rFonts w:ascii="宋体" w:eastAsia="宋体" w:cs="宋体"/>
      <w:b/>
      <w:bCs/>
    </w:rPr>
  </w:style>
  <w:style w:type="character" w:customStyle="1" w:styleId="42">
    <w:name w:val="标题 #2_"/>
    <w:basedOn w:val="15"/>
    <w:link w:val="41"/>
    <w:qFormat/>
    <w:locked/>
    <w:uiPriority w:val="99"/>
    <w:rPr>
      <w:rFonts w:ascii="宋体" w:eastAsia="宋体" w:cs="宋体"/>
      <w:b/>
      <w:bCs/>
      <w:color w:val="auto"/>
      <w:lang w:val="en-US" w:eastAsia="zh-CN"/>
    </w:rPr>
  </w:style>
  <w:style w:type="paragraph" w:customStyle="1" w:styleId="4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正文文本 (3)"/>
    <w:basedOn w:val="1"/>
    <w:link w:val="45"/>
    <w:qFormat/>
    <w:uiPriority w:val="99"/>
    <w:pPr>
      <w:shd w:val="clear" w:color="auto" w:fill="FFFFFF"/>
      <w:spacing w:line="466" w:lineRule="exact"/>
    </w:pPr>
    <w:rPr>
      <w:rFonts w:ascii="宋体" w:eastAsia="宋体" w:cs="宋体"/>
      <w:b/>
      <w:bCs/>
    </w:rPr>
  </w:style>
  <w:style w:type="character" w:customStyle="1" w:styleId="45">
    <w:name w:val="正文文本 (3)_"/>
    <w:basedOn w:val="15"/>
    <w:link w:val="44"/>
    <w:qFormat/>
    <w:locked/>
    <w:uiPriority w:val="99"/>
    <w:rPr>
      <w:rFonts w:ascii="宋体" w:eastAsia="宋体" w:cs="宋体"/>
      <w:b/>
      <w:bCs/>
      <w:color w:val="auto"/>
      <w:lang w:val="en-US" w:eastAsia="zh-CN"/>
    </w:rPr>
  </w:style>
  <w:style w:type="character" w:customStyle="1" w:styleId="46">
    <w:name w:val="正文文本 (2)"/>
    <w:basedOn w:val="40"/>
    <w:qFormat/>
    <w:uiPriority w:val="99"/>
    <w:rPr>
      <w:rFonts w:ascii="宋体" w:eastAsia="宋体" w:cs="宋体"/>
      <w:color w:val="auto"/>
      <w:sz w:val="22"/>
      <w:szCs w:val="22"/>
      <w:u w:val="none"/>
      <w:lang w:val="en-US" w:eastAsia="zh-CN"/>
    </w:rPr>
  </w:style>
  <w:style w:type="paragraph" w:customStyle="1" w:styleId="47">
    <w:name w:val="正文文本 (5)"/>
    <w:basedOn w:val="1"/>
    <w:qFormat/>
    <w:uiPriority w:val="99"/>
    <w:pPr>
      <w:shd w:val="clear" w:color="auto" w:fill="FFFFFF"/>
      <w:spacing w:line="240" w:lineRule="atLeast"/>
    </w:pPr>
    <w:rPr>
      <w:rFonts w:ascii="宋体" w:eastAsia="宋体" w:cs="宋体"/>
      <w:sz w:val="20"/>
      <w:szCs w:val="20"/>
    </w:rPr>
  </w:style>
  <w:style w:type="character" w:customStyle="1" w:styleId="48">
    <w:name w:val="正文文本 (2) + 8.5 pt3"/>
    <w:basedOn w:val="40"/>
    <w:qFormat/>
    <w:uiPriority w:val="99"/>
    <w:rPr>
      <w:rFonts w:ascii="宋体" w:eastAsia="宋体" w:cs="宋体"/>
      <w:b/>
      <w:bCs/>
      <w:color w:val="auto"/>
      <w:spacing w:val="-10"/>
      <w:sz w:val="17"/>
      <w:szCs w:val="17"/>
      <w:u w:val="none"/>
      <w:lang w:val="en-US" w:eastAsia="en-US"/>
    </w:rPr>
  </w:style>
  <w:style w:type="character" w:customStyle="1" w:styleId="49">
    <w:name w:val="表格标题 (2)_"/>
    <w:basedOn w:val="15"/>
    <w:link w:val="50"/>
    <w:qFormat/>
    <w:locked/>
    <w:uiPriority w:val="99"/>
    <w:rPr>
      <w:rFonts w:ascii="宋体" w:eastAsia="宋体" w:cs="宋体"/>
      <w:color w:val="auto"/>
      <w:sz w:val="22"/>
      <w:szCs w:val="22"/>
      <w:lang w:val="en-US" w:eastAsia="zh-CN"/>
    </w:rPr>
  </w:style>
  <w:style w:type="paragraph" w:customStyle="1" w:styleId="50">
    <w:name w:val="表格标题 (2)"/>
    <w:basedOn w:val="1"/>
    <w:link w:val="49"/>
    <w:qFormat/>
    <w:uiPriority w:val="99"/>
    <w:pPr>
      <w:shd w:val="clear" w:color="auto" w:fill="FFFFFF"/>
      <w:spacing w:line="240" w:lineRule="atLeast"/>
    </w:pPr>
    <w:rPr>
      <w:rFonts w:ascii="宋体" w:eastAsia="宋体" w:cs="宋体"/>
      <w:sz w:val="22"/>
    </w:rPr>
  </w:style>
  <w:style w:type="paragraph" w:customStyle="1" w:styleId="51">
    <w:name w:val="_Style 33"/>
    <w:qFormat/>
    <w:uiPriority w:val="0"/>
    <w:rPr>
      <w:rFonts w:ascii="Times New Roman" w:hAnsi="Times New Roman" w:eastAsia="宋体" w:cs="Times New Roman"/>
      <w:sz w:val="21"/>
      <w:szCs w:val="21"/>
      <w:lang w:val="en-US" w:eastAsia="zh-CN" w:bidi="ar-SA"/>
    </w:rPr>
  </w:style>
  <w:style w:type="paragraph" w:customStyle="1" w:styleId="52">
    <w:name w:val="修订1"/>
    <w:hidden/>
    <w:unhideWhenUsed/>
    <w:qFormat/>
    <w:uiPriority w:val="99"/>
    <w:rPr>
      <w:rFonts w:asciiTheme="minorHAnsi" w:hAnsiTheme="minorHAnsi" w:eastAsiaTheme="minorEastAsia" w:cstheme="minorBidi"/>
      <w:kern w:val="2"/>
      <w:sz w:val="24"/>
      <w:szCs w:val="22"/>
      <w:lang w:val="en-US" w:eastAsia="zh-CN" w:bidi="ar-SA"/>
    </w:rPr>
  </w:style>
  <w:style w:type="character" w:customStyle="1" w:styleId="53">
    <w:name w:val="脚注文本 字符"/>
    <w:basedOn w:val="15"/>
    <w:link w:val="10"/>
    <w:semiHidden/>
    <w:qFormat/>
    <w:uiPriority w:val="99"/>
    <w:rPr>
      <w:rFonts w:asciiTheme="minorHAnsi" w:hAnsiTheme="minorHAnsi" w:eastAsiaTheme="minorEastAsia" w:cstheme="minorBidi"/>
      <w:kern w:val="2"/>
      <w:sz w:val="18"/>
      <w:szCs w:val="18"/>
    </w:rPr>
  </w:style>
  <w:style w:type="paragraph" w:customStyle="1" w:styleId="54">
    <w:name w:val="Revision"/>
    <w:hidden/>
    <w:unhideWhenUsed/>
    <w:qFormat/>
    <w:uiPriority w:val="99"/>
    <w:rPr>
      <w:rFonts w:asciiTheme="minorHAnsi" w:hAnsiTheme="minorHAnsi" w:eastAsiaTheme="minorEastAsia"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5.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US\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9C1B8E7C-6535-4FB7-A9C1-1D945F7251BD}"/>
      </w:docPartPr>
      <w:docPartBody>
        <w:p w14:paraId="4D07B065">
          <w:pPr>
            <w:pStyle w:val="5"/>
            <w:rPr>
              <w:rFonts w:hint="eastAsia"/>
            </w:rPr>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DF4"/>
    <w:rsid w:val="00032CF6"/>
    <w:rsid w:val="000343D6"/>
    <w:rsid w:val="0004422D"/>
    <w:rsid w:val="00044B12"/>
    <w:rsid w:val="00051238"/>
    <w:rsid w:val="00061EF5"/>
    <w:rsid w:val="00064914"/>
    <w:rsid w:val="000777D0"/>
    <w:rsid w:val="00083392"/>
    <w:rsid w:val="00091B04"/>
    <w:rsid w:val="000927E9"/>
    <w:rsid w:val="000B72CA"/>
    <w:rsid w:val="000D5200"/>
    <w:rsid w:val="000E3071"/>
    <w:rsid w:val="00111BD1"/>
    <w:rsid w:val="00121EB3"/>
    <w:rsid w:val="001454B0"/>
    <w:rsid w:val="00145670"/>
    <w:rsid w:val="0016580D"/>
    <w:rsid w:val="0019225F"/>
    <w:rsid w:val="001D5BCD"/>
    <w:rsid w:val="001D6115"/>
    <w:rsid w:val="001D6EF3"/>
    <w:rsid w:val="001E22BB"/>
    <w:rsid w:val="001F1577"/>
    <w:rsid w:val="002143E6"/>
    <w:rsid w:val="00256D89"/>
    <w:rsid w:val="00267098"/>
    <w:rsid w:val="00282A8F"/>
    <w:rsid w:val="00282D66"/>
    <w:rsid w:val="002E6255"/>
    <w:rsid w:val="00306E3D"/>
    <w:rsid w:val="00316D69"/>
    <w:rsid w:val="00331366"/>
    <w:rsid w:val="0033790F"/>
    <w:rsid w:val="003435A0"/>
    <w:rsid w:val="00354018"/>
    <w:rsid w:val="0036106E"/>
    <w:rsid w:val="00376DD0"/>
    <w:rsid w:val="003810DE"/>
    <w:rsid w:val="00383379"/>
    <w:rsid w:val="003906EF"/>
    <w:rsid w:val="0039206D"/>
    <w:rsid w:val="003B04EC"/>
    <w:rsid w:val="003B50D8"/>
    <w:rsid w:val="003C29C4"/>
    <w:rsid w:val="003D385E"/>
    <w:rsid w:val="003F2D0A"/>
    <w:rsid w:val="00403F98"/>
    <w:rsid w:val="0043069B"/>
    <w:rsid w:val="00446E52"/>
    <w:rsid w:val="00456AB7"/>
    <w:rsid w:val="004573BC"/>
    <w:rsid w:val="0049097E"/>
    <w:rsid w:val="00495DE2"/>
    <w:rsid w:val="004A1379"/>
    <w:rsid w:val="004A2790"/>
    <w:rsid w:val="004A4D38"/>
    <w:rsid w:val="004A6E2D"/>
    <w:rsid w:val="004A7768"/>
    <w:rsid w:val="004B104B"/>
    <w:rsid w:val="004B2A73"/>
    <w:rsid w:val="004B72D1"/>
    <w:rsid w:val="004E1D2B"/>
    <w:rsid w:val="004E2C00"/>
    <w:rsid w:val="004E760B"/>
    <w:rsid w:val="00505B16"/>
    <w:rsid w:val="00524560"/>
    <w:rsid w:val="005409B4"/>
    <w:rsid w:val="00541ABD"/>
    <w:rsid w:val="005620CC"/>
    <w:rsid w:val="005806C9"/>
    <w:rsid w:val="0058301E"/>
    <w:rsid w:val="0058791E"/>
    <w:rsid w:val="005964EA"/>
    <w:rsid w:val="005A02F7"/>
    <w:rsid w:val="005B1E3A"/>
    <w:rsid w:val="005C5246"/>
    <w:rsid w:val="005D54A9"/>
    <w:rsid w:val="005F0412"/>
    <w:rsid w:val="00602E7D"/>
    <w:rsid w:val="00633C9B"/>
    <w:rsid w:val="00634524"/>
    <w:rsid w:val="00642713"/>
    <w:rsid w:val="00645CB1"/>
    <w:rsid w:val="00655627"/>
    <w:rsid w:val="00661871"/>
    <w:rsid w:val="006639A1"/>
    <w:rsid w:val="00687612"/>
    <w:rsid w:val="006B7BE4"/>
    <w:rsid w:val="006E69C1"/>
    <w:rsid w:val="00734AD3"/>
    <w:rsid w:val="00742BAB"/>
    <w:rsid w:val="00752860"/>
    <w:rsid w:val="00765580"/>
    <w:rsid w:val="00777D46"/>
    <w:rsid w:val="00780325"/>
    <w:rsid w:val="00781254"/>
    <w:rsid w:val="0078693E"/>
    <w:rsid w:val="007A02EA"/>
    <w:rsid w:val="007A1611"/>
    <w:rsid w:val="007A4890"/>
    <w:rsid w:val="007B03CC"/>
    <w:rsid w:val="007B1DA5"/>
    <w:rsid w:val="007C7D34"/>
    <w:rsid w:val="007E4DF1"/>
    <w:rsid w:val="00800822"/>
    <w:rsid w:val="00805E2F"/>
    <w:rsid w:val="00823B30"/>
    <w:rsid w:val="008444EF"/>
    <w:rsid w:val="00846FD4"/>
    <w:rsid w:val="00851D98"/>
    <w:rsid w:val="00882BAE"/>
    <w:rsid w:val="008843B6"/>
    <w:rsid w:val="00890879"/>
    <w:rsid w:val="008E3B35"/>
    <w:rsid w:val="00932870"/>
    <w:rsid w:val="0095546D"/>
    <w:rsid w:val="00977AB9"/>
    <w:rsid w:val="009830BF"/>
    <w:rsid w:val="00985796"/>
    <w:rsid w:val="0098763C"/>
    <w:rsid w:val="00996F77"/>
    <w:rsid w:val="009A3853"/>
    <w:rsid w:val="009A6F9B"/>
    <w:rsid w:val="009C514E"/>
    <w:rsid w:val="00A10E8A"/>
    <w:rsid w:val="00A3150D"/>
    <w:rsid w:val="00A35B61"/>
    <w:rsid w:val="00A41B15"/>
    <w:rsid w:val="00A42C01"/>
    <w:rsid w:val="00A54EEF"/>
    <w:rsid w:val="00A71077"/>
    <w:rsid w:val="00A738D7"/>
    <w:rsid w:val="00A76F92"/>
    <w:rsid w:val="00A808AB"/>
    <w:rsid w:val="00A86D8A"/>
    <w:rsid w:val="00A9159D"/>
    <w:rsid w:val="00AA1850"/>
    <w:rsid w:val="00AA1CD6"/>
    <w:rsid w:val="00AB46B1"/>
    <w:rsid w:val="00AC3BE8"/>
    <w:rsid w:val="00AD0371"/>
    <w:rsid w:val="00AE60AC"/>
    <w:rsid w:val="00AF1684"/>
    <w:rsid w:val="00AF4863"/>
    <w:rsid w:val="00B03079"/>
    <w:rsid w:val="00B16219"/>
    <w:rsid w:val="00B91F21"/>
    <w:rsid w:val="00BA1417"/>
    <w:rsid w:val="00BA50F1"/>
    <w:rsid w:val="00BC1B15"/>
    <w:rsid w:val="00BD611D"/>
    <w:rsid w:val="00C01254"/>
    <w:rsid w:val="00C1573E"/>
    <w:rsid w:val="00C175BA"/>
    <w:rsid w:val="00C3656A"/>
    <w:rsid w:val="00C67793"/>
    <w:rsid w:val="00C823B5"/>
    <w:rsid w:val="00C95A0F"/>
    <w:rsid w:val="00CA0358"/>
    <w:rsid w:val="00CB6A47"/>
    <w:rsid w:val="00CF77FD"/>
    <w:rsid w:val="00D047C8"/>
    <w:rsid w:val="00D17401"/>
    <w:rsid w:val="00D26A94"/>
    <w:rsid w:val="00D4207A"/>
    <w:rsid w:val="00D711C1"/>
    <w:rsid w:val="00D74505"/>
    <w:rsid w:val="00D75C15"/>
    <w:rsid w:val="00D839D6"/>
    <w:rsid w:val="00D87D4E"/>
    <w:rsid w:val="00DB1BD1"/>
    <w:rsid w:val="00DC38EF"/>
    <w:rsid w:val="00DD166E"/>
    <w:rsid w:val="00DF2409"/>
    <w:rsid w:val="00DF5923"/>
    <w:rsid w:val="00E1206B"/>
    <w:rsid w:val="00E717CD"/>
    <w:rsid w:val="00E77021"/>
    <w:rsid w:val="00E93D68"/>
    <w:rsid w:val="00EA05B6"/>
    <w:rsid w:val="00EE0BEA"/>
    <w:rsid w:val="00F059B3"/>
    <w:rsid w:val="00F05F94"/>
    <w:rsid w:val="00F143C9"/>
    <w:rsid w:val="00F1554B"/>
    <w:rsid w:val="00F43A2A"/>
    <w:rsid w:val="00F44EFB"/>
    <w:rsid w:val="00F47327"/>
    <w:rsid w:val="00F476B3"/>
    <w:rsid w:val="00F62F7C"/>
    <w:rsid w:val="00F66586"/>
    <w:rsid w:val="00F774E5"/>
    <w:rsid w:val="00F8162A"/>
    <w:rsid w:val="00FB76F7"/>
    <w:rsid w:val="00FD227C"/>
    <w:rsid w:val="00FD3FDE"/>
    <w:rsid w:val="00FF0CAF"/>
    <w:rsid w:val="00FF10E9"/>
    <w:rsid w:val="00F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template xmlns:t="http://mapping.word.org/2012/template">
  <t:sse><![CDATA[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]]></t:sse>
</t:templat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sc:sections xmlns:sc="http://mapping.word.org/2014/section/customiz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Props1.xml><?xml version="1.0" encoding="utf-8"?>
<ds:datastoreItem xmlns:ds="http://schemas.openxmlformats.org/officeDocument/2006/customXml" ds:itemID="{84002876-4299-4888-9aee-364da24f5f84}">
  <ds:schemaRefs/>
</ds:datastoreItem>
</file>

<file path=customXml/itemProps2.xml><?xml version="1.0" encoding="utf-8"?>
<ds:datastoreItem xmlns:ds="http://schemas.openxmlformats.org/officeDocument/2006/customXml" ds:itemID="{BA98B501-917D-472D-AC19-F30F1EB82784}">
  <ds:schemaRefs/>
</ds:datastoreItem>
</file>

<file path=customXml/itemProps3.xml><?xml version="1.0" encoding="utf-8"?>
<ds:datastoreItem xmlns:ds="http://schemas.openxmlformats.org/officeDocument/2006/customXml" ds:itemID="{4707F119-D0EA-4D81-996D-5CADFACF9FAE}">
  <ds:schemaRefs/>
</ds:datastoreItem>
</file>

<file path=customXml/itemProps4.xml><?xml version="1.0" encoding="utf-8"?>
<ds:datastoreItem xmlns:ds="http://schemas.openxmlformats.org/officeDocument/2006/customXml" ds:itemID="{C649303E-E6DA-406D-A673-CE3413ABE7AA}">
  <ds:schemaRefs/>
</ds:datastoreItem>
</file>

<file path=customXml/itemProps5.xml><?xml version="1.0" encoding="utf-8"?>
<ds:datastoreItem xmlns:ds="http://schemas.openxmlformats.org/officeDocument/2006/customXml" ds:itemID="{4FD3E282-F217-490A-AFDF-CBBCF6B9F6C2}">
  <ds:schemaRefs/>
</ds:datastoreItem>
</file>

<file path=docProps/app.xml><?xml version="1.0" encoding="utf-8"?>
<Properties xmlns="http://schemas.openxmlformats.org/officeDocument/2006/extended-properties" xmlns:vt="http://schemas.openxmlformats.org/officeDocument/2006/docPropsVTypes">
  <Template>SSEReport</Template>
  <Pages>21</Pages>
  <Words>2961</Words>
  <Characters>3126</Characters>
  <Lines>191</Lines>
  <Paragraphs>53</Paragraphs>
  <TotalTime>18</TotalTime>
  <ScaleCrop>false</ScaleCrop>
  <LinksUpToDate>false</LinksUpToDate>
  <CharactersWithSpaces>3140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2026-04-10T08:35:00Z</dcterms:created>
  <dc:creator>yangzhiquan</dc:creator>
  <cp:lastModifiedBy>卢柯言</cp:lastModifiedBy>
  <dcterms:modified xsi:type="dcterms:W3CDTF">2026-04-29T07:00:42Z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eyJoZGlkIjoiM2NmMmIwMWIxYzAyZmZiMWZlOTY3NTcxZmU2NzhhZTEiLCJ1c2VySWQiOiIxNjcyMzMwMzQ3In0=</vt:lpwstr>
  </property>
  <property fmtid="{D5CDD505-2E9C-101B-9397-08002B2CF9AE}" pid="3" name="KSOProductBuildVer">
    <vt:lpwstr>2052-12.1.0.25225</vt:lpwstr>
  </property>
  <property fmtid="{D5CDD505-2E9C-101B-9397-08002B2CF9AE}" pid="4" name="ICV">
    <vt:lpwstr>93B9130F471B4F3FBCB7A9A02B8533D3_13</vt:lpwstr>
  </property>
</Properties>
</file>