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48CFC">
      <w:pPr>
        <w:spacing w:line="580" w:lineRule="exact"/>
        <w:jc w:val="center"/>
        <w:rPr>
          <w:rFonts w:ascii="方正大标宋简体" w:eastAsia="方正大标宋简体" w:hAnsiTheme="minorHAnsi" w:cstheme="minorBidi"/>
          <w:sz w:val="44"/>
          <w:szCs w:val="44"/>
        </w:rPr>
      </w:pPr>
    </w:p>
    <w:p w14:paraId="32C7F6ED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江苏宁沪高速公路股份有限公司</w:t>
      </w:r>
    </w:p>
    <w:p w14:paraId="337A75D3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董事会审计委员会对会计师事务所</w:t>
      </w:r>
    </w:p>
    <w:p w14:paraId="77ABFF82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2025年度履行监督职责情况报告</w:t>
      </w:r>
    </w:p>
    <w:p w14:paraId="794644D7">
      <w:pPr>
        <w:ind w:firstLine="600" w:firstLineChars="200"/>
        <w:rPr>
          <w:rFonts w:ascii="monospace" w:hAnsi="monospace" w:eastAsia="monospace" w:cs="monospace"/>
          <w:sz w:val="30"/>
          <w:szCs w:val="30"/>
          <w:shd w:val="clear" w:color="auto" w:fill="FFFFFF"/>
        </w:rPr>
      </w:pPr>
    </w:p>
    <w:p w14:paraId="7F08AF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根据《中华人民共和国公司法》《中华人民共和国证券法》《上市公司治理准则》《国有企业、上市公司选聘会计师事务所管理办法》《上海证券交易所上市公司自律监管指引第1号——规范运作》和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江苏宁沪高速公路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股份有限公司（以下简称“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公司”）的《公司章程》《董事会审计委员会议事规则》等规定和要求，董事会审计委员会本着勤勉尽责的原则，恪尽职守，认真履职。现将董事会审计委员会对会计师事务所202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年度履职评估及履行监督职责的情况汇报如下：</w:t>
      </w:r>
    </w:p>
    <w:p w14:paraId="786214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zh-CN"/>
        </w:rPr>
        <w:t>一、202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5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zh-CN"/>
        </w:rPr>
        <w:t>年年审会计师事务所基本情况</w:t>
      </w:r>
    </w:p>
    <w:p w14:paraId="565CA3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zh-CN"/>
        </w:rPr>
        <w:t>（一</w:t>
      </w:r>
      <w:r>
        <w:rPr>
          <w:rFonts w:hint="eastAsia" w:ascii="楷体_GB2312" w:hAnsi="楷体_GB2312" w:eastAsia="楷体_GB2312" w:cs="楷体_GB2312"/>
          <w:color w:val="C00000"/>
          <w:kern w:val="0"/>
          <w:sz w:val="32"/>
          <w:szCs w:val="32"/>
          <w:lang w:val="zh-CN"/>
        </w:rPr>
        <w:t>）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zh-CN"/>
        </w:rPr>
        <w:t>会计师事务所基本情况</w:t>
      </w:r>
    </w:p>
    <w:p w14:paraId="14BEBE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毕马威华振会计师事务所于1992年8月18日在北京成立，于2012年7月5日获财政部批准转制为特殊普通合伙的合伙制企业，更名为毕马威华振会计师事务所（特殊普通合伙）（以下简称“毕马威华振”），2012年7月10日取得工商营业执照，并于2012年8月1日正式运营。毕马威华振总所位于北京，注册地址为北京市东城区东长安街1号东方广场东2座办公楼8层。毕马威华振的首席合伙人邹俊，中国国籍，具有中国注册会计师资格。</w:t>
      </w:r>
    </w:p>
    <w:p w14:paraId="6694B4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截至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年12月31日，毕马威华振有合伙人2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47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人，注册会计师1,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412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人，其中签署过证券服务业务审计报告的注册会计师超过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330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人。毕马威华振202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经审计的业务收入总额超过人民币41亿元，其中审计业务收入超过人民币40亿元（包括境内法定证券服务业务收入超过人民币9亿元，其他证券服务业务收入超过人民币10亿元，证券服务业务收入共计超过人民币19亿元）。</w:t>
      </w:r>
    </w:p>
    <w:p w14:paraId="660645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毕马威华振202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年上市公司年报审计客户家数为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127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家，上市公司财务报表审计收费总额约为人民币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6.82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亿元。这些上市公司主要行业涉及制造业，金融业，交通运输、仓储和邮政业，信息传输、软件和信息技术服务业，房地产业，电力、热力、燃气及水生产和供应业，采矿业，批发和零售业，农、林、牧、渔业，住宿和餐饮业，科学研究和技术服务业，卫生和社会工作，水利、环境和公共设施管理业，文化、体育和娱乐业以及租赁和商务服务业。毕马威华振2024年本公司同行业上市公司审计客户家数为8家。</w:t>
      </w:r>
    </w:p>
    <w:p w14:paraId="510CB2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（二）聘任会计师事务所履行的程序</w:t>
      </w:r>
    </w:p>
    <w:p w14:paraId="7ABE65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公司于202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日召开的第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十一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届董事会第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次会议、第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十一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届监事会第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次会议审议通过了《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关于聘任财务审计师及内部控制审计师的议案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，后该议案于202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27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日经202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年年度股东大会审议通过。</w:t>
      </w:r>
    </w:p>
    <w:p w14:paraId="5D23B2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</w:p>
    <w:p w14:paraId="4809AF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二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zh-CN"/>
        </w:rPr>
        <w:t>、审计委员会对会计师事务所监督情况</w:t>
      </w:r>
    </w:p>
    <w:p w14:paraId="54254C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根据公司《董事会审计委员会工作规则》等有关规定，审计委员会对会计师事务所履行监督职责的情况如下：</w:t>
      </w:r>
    </w:p>
    <w:p w14:paraId="40B907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(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)审计委员会对毕马威华振的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资质条件、执业记录、质量管理水平、审计方案、人力及资源配备、信息安全管理及风险承担能力等进行了全面且严谨的核查与评价。审计委员会认为，毕马威华振具备为公司提供审计服务所需的专业资质、能力及独立性，诚信状况良好，投资者保护能力充足，能够满足公司审计工作需求。2025年3月25日，审计委员会会议审议通过了《关于聘任财务审计师及内部控制审计师的议案》，同意续聘毕马威华振为公司2025年度财务报表及内部控制审计机构，并将该议案提交公司第十一届董事会第九次会议审议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。</w:t>
      </w:r>
    </w:p>
    <w:p w14:paraId="2EF589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(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)202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年12月18日，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审计委员会与负责本公司审计工作的签字注册会计师黄晓冬、曹洋举行了审前沟通会议。双方就2025年度年报审计的范围、方案独立性、关键审计事项预测及审计团队架构等进行了深度交流，并讨论通过了毕马威华振2025年度审计计划，确保了审计工作的科学性与有效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。</w:t>
      </w:r>
    </w:p>
    <w:p w14:paraId="79D847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(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)202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年3月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日，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审计委员会再次与签字注册会计师黄晓冬、曹洋召开沟通会议，详细听取了审计师关于公司审计发现、内部控制运行有效性、未更正审计错报、独立性确认及审计收费等事项的汇报，对审计过程中的重点难点问题进行了充分探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。</w:t>
      </w:r>
    </w:p>
    <w:p w14:paraId="5E135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(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)202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年3月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日，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审计委员会召开专题会议，审议通过了公司《2025年年度报告》、公司《2025年度内部控制评价报告》及《控股股东及其他关联方资金占用情况的专项说明》等相关议案。审计委员会认为，审计师出具的报告客观、公允地反映了公司的财务状况与内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实际情况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，一致同意将上述议案提交董事会审议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。</w:t>
      </w:r>
    </w:p>
    <w:p w14:paraId="7BA9AA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bookmarkStart w:id="0" w:name="_GoBack"/>
      <w:bookmarkEnd w:id="0"/>
    </w:p>
    <w:p w14:paraId="7210D860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zh-CN"/>
        </w:rPr>
        <w:t>总体评价</w:t>
      </w:r>
    </w:p>
    <w:p w14:paraId="39026F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公司审计委员会严格遵守证监会、上交所及《公司章程》《董事会审计委员会工作规则》等有关规定，充分发挥专业委员会的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核心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作用，对会计师事务所相关资质和执业能力等进行了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全面细致的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审查。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在年报审计的关键阶段，委员会与外部审计机构开展了多轮深度沟通，就审计范围、关键审计事项及风险评估等方面达成充分共识。通过建立常态化的督导机制，我们积极推动会计师事务所秉持客观、公正的执业原则，严控审计质量，确保了审计报告在内容完整性、逻辑清晰度及披露时效性上均达到高标准要求。报告期内，审计委员会切实履行了对会计师事务所的选聘、监督与指导职责，有力保障了公司财务信息的透明度与公信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。</w:t>
      </w:r>
    </w:p>
    <w:p w14:paraId="511A15B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429420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3A53353">
      <w:pPr>
        <w:ind w:firstLine="1928" w:firstLineChars="6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江苏宁沪高速公路股份有限公司审计委员会</w:t>
      </w:r>
    </w:p>
    <w:p w14:paraId="2D2313CB"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                         2026年3月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72708CB-9D8D-4898-82C4-DF1EC8AE1C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DE51CC6-629C-4A73-A6F8-C35BBAF37DFE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25FA36B-6C70-49B7-B536-4353B5D7D15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CF5998D-2B7C-40D2-A5E6-B724FD8D63E9}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F7A91A05-DBFD-42AF-AFD9-9A0D8B3F88A1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B55534AF-41CC-47B7-AA71-E33AEEED331C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7" w:fontKey="{60FAE3CE-EF82-4593-9232-67A512DE4D6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5C9CCB">
    <w:pPr>
      <w:pStyle w:val="4"/>
      <w:pBdr>
        <w:bottom w:val="none" w:color="auto" w:sz="0" w:space="1"/>
      </w:pBdr>
      <w:jc w:val="both"/>
      <w:rPr>
        <w:rFonts w:hint="eastAsia" w:ascii="仿宋" w:hAnsi="仿宋" w:eastAsia="仿宋" w:cs="仿宋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C6F5CC"/>
    <w:multiLevelType w:val="singleLevel"/>
    <w:tmpl w:val="EEC6F5C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3MTQ5ZTUzOWQ1MzYyYzZkMzdkMTc0ODQ1YmViZWYifQ=="/>
  </w:docVars>
  <w:rsids>
    <w:rsidRoot w:val="00D31519"/>
    <w:rsid w:val="00017AF3"/>
    <w:rsid w:val="00031153"/>
    <w:rsid w:val="000470B3"/>
    <w:rsid w:val="000963ED"/>
    <w:rsid w:val="000D7402"/>
    <w:rsid w:val="000F0E7D"/>
    <w:rsid w:val="00101E5F"/>
    <w:rsid w:val="0010564D"/>
    <w:rsid w:val="00106E7F"/>
    <w:rsid w:val="00124BA1"/>
    <w:rsid w:val="00137B06"/>
    <w:rsid w:val="00182F76"/>
    <w:rsid w:val="001E1EB2"/>
    <w:rsid w:val="001F39F2"/>
    <w:rsid w:val="001F4332"/>
    <w:rsid w:val="00235291"/>
    <w:rsid w:val="00272F20"/>
    <w:rsid w:val="00294666"/>
    <w:rsid w:val="002A2628"/>
    <w:rsid w:val="002C7B4A"/>
    <w:rsid w:val="0030203E"/>
    <w:rsid w:val="003423B1"/>
    <w:rsid w:val="00365F2B"/>
    <w:rsid w:val="00385A8F"/>
    <w:rsid w:val="003865DC"/>
    <w:rsid w:val="00387625"/>
    <w:rsid w:val="003A591F"/>
    <w:rsid w:val="003B71CB"/>
    <w:rsid w:val="00406FEF"/>
    <w:rsid w:val="00421ACB"/>
    <w:rsid w:val="00434F3B"/>
    <w:rsid w:val="00473A80"/>
    <w:rsid w:val="0048611D"/>
    <w:rsid w:val="004C1DF5"/>
    <w:rsid w:val="004E319B"/>
    <w:rsid w:val="005808E4"/>
    <w:rsid w:val="00581543"/>
    <w:rsid w:val="00586008"/>
    <w:rsid w:val="005B4203"/>
    <w:rsid w:val="005B5FAE"/>
    <w:rsid w:val="005B6244"/>
    <w:rsid w:val="005D6063"/>
    <w:rsid w:val="00623BE8"/>
    <w:rsid w:val="006241DF"/>
    <w:rsid w:val="00626AE6"/>
    <w:rsid w:val="0062709E"/>
    <w:rsid w:val="00634056"/>
    <w:rsid w:val="00640D43"/>
    <w:rsid w:val="00667877"/>
    <w:rsid w:val="006B5065"/>
    <w:rsid w:val="006C2466"/>
    <w:rsid w:val="006E4633"/>
    <w:rsid w:val="00745FE7"/>
    <w:rsid w:val="00752B6E"/>
    <w:rsid w:val="0076384D"/>
    <w:rsid w:val="0076750A"/>
    <w:rsid w:val="007D24BA"/>
    <w:rsid w:val="00803E6F"/>
    <w:rsid w:val="00850A3B"/>
    <w:rsid w:val="00885BF1"/>
    <w:rsid w:val="008A130C"/>
    <w:rsid w:val="008C7916"/>
    <w:rsid w:val="008E109F"/>
    <w:rsid w:val="008E396B"/>
    <w:rsid w:val="00907795"/>
    <w:rsid w:val="00916904"/>
    <w:rsid w:val="009254CE"/>
    <w:rsid w:val="00955D2D"/>
    <w:rsid w:val="00963D38"/>
    <w:rsid w:val="009C47BB"/>
    <w:rsid w:val="009D4D12"/>
    <w:rsid w:val="009E436B"/>
    <w:rsid w:val="009F1600"/>
    <w:rsid w:val="00A24D0A"/>
    <w:rsid w:val="00A37F9B"/>
    <w:rsid w:val="00A505DE"/>
    <w:rsid w:val="00A52637"/>
    <w:rsid w:val="00A65217"/>
    <w:rsid w:val="00A90AC0"/>
    <w:rsid w:val="00AB295A"/>
    <w:rsid w:val="00AD3B59"/>
    <w:rsid w:val="00B11B3F"/>
    <w:rsid w:val="00B958A7"/>
    <w:rsid w:val="00BF069B"/>
    <w:rsid w:val="00BF5FC8"/>
    <w:rsid w:val="00C07313"/>
    <w:rsid w:val="00C52387"/>
    <w:rsid w:val="00CA62F5"/>
    <w:rsid w:val="00CB7C28"/>
    <w:rsid w:val="00D11D57"/>
    <w:rsid w:val="00D14391"/>
    <w:rsid w:val="00D203D6"/>
    <w:rsid w:val="00D31519"/>
    <w:rsid w:val="00D328B7"/>
    <w:rsid w:val="00DC0790"/>
    <w:rsid w:val="00DE3FC7"/>
    <w:rsid w:val="00DE4281"/>
    <w:rsid w:val="00E26C4D"/>
    <w:rsid w:val="00E32E5B"/>
    <w:rsid w:val="00E35F14"/>
    <w:rsid w:val="00E41D1A"/>
    <w:rsid w:val="00EB0F70"/>
    <w:rsid w:val="00F0179D"/>
    <w:rsid w:val="00F023C7"/>
    <w:rsid w:val="00F6390B"/>
    <w:rsid w:val="00F85D26"/>
    <w:rsid w:val="00FE2986"/>
    <w:rsid w:val="22361640"/>
    <w:rsid w:val="2900319C"/>
    <w:rsid w:val="2BC851A3"/>
    <w:rsid w:val="30241216"/>
    <w:rsid w:val="3187583D"/>
    <w:rsid w:val="34C9585C"/>
    <w:rsid w:val="37ED2CF1"/>
    <w:rsid w:val="46207231"/>
    <w:rsid w:val="491055D8"/>
    <w:rsid w:val="4AD8575E"/>
    <w:rsid w:val="5BCC7278"/>
    <w:rsid w:val="5D4C21B7"/>
    <w:rsid w:val="5E174A02"/>
    <w:rsid w:val="65566875"/>
    <w:rsid w:val="66731300"/>
    <w:rsid w:val="6727487B"/>
    <w:rsid w:val="6D4246F7"/>
    <w:rsid w:val="73165914"/>
    <w:rsid w:val="752C2FCB"/>
    <w:rsid w:val="799905B3"/>
    <w:rsid w:val="7F2A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日期 字符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1947</Words>
  <Characters>2051</Characters>
  <Lines>15</Lines>
  <Paragraphs>4</Paragraphs>
  <TotalTime>70</TotalTime>
  <ScaleCrop>false</ScaleCrop>
  <LinksUpToDate>false</LinksUpToDate>
  <CharactersWithSpaces>2099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2019-03-10T10:34:00Z</dcterms:created>
  <dc:creator>Q L</dc:creator>
  <cp:lastModifiedBy>卢柯言</cp:lastModifiedBy>
  <dcterms:modified xsi:type="dcterms:W3CDTF">2026-03-26T07:12:02Z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34B4DEE5FF2B4A03B9AA337F51AC063B_13</vt:lpwstr>
  </property>
  <property fmtid="{D5CDD505-2E9C-101B-9397-08002B2CF9AE}" pid="4" name="KSOTemplateDocerSaveRecord">
    <vt:lpwstr>eyJoZGlkIjoiM2NmMmIwMWIxYzAyZmZiMWZlOTY3NTcxZmU2NzhhZTEiLCJ1c2VySWQiOiIxNjcyMzMwMzQ3In0=</vt:lpwstr>
  </property>
</Properties>
</file>