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DAF09C">
      <w:pPr>
        <w:ind w:firstLine="480"/>
        <w:rPr>
          <w:rFonts w:hint="default" w:asciiTheme="minorEastAsia" w:hAnsiTheme="minorEastAsia" w:eastAsiaTheme="minorEastAsia"/>
          <w:bCs/>
          <w:szCs w:val="24"/>
          <w:lang w:val="en-US" w:eastAsia="zh-CN"/>
        </w:rPr>
      </w:pPr>
      <w:r>
        <w:rPr>
          <w:rFonts w:hint="eastAsia" w:asciiTheme="minorEastAsia" w:hAnsiTheme="minorEastAsia"/>
          <w:bCs/>
          <w:szCs w:val="24"/>
        </w:rPr>
        <w:t>证券代码：</w:t>
      </w:r>
      <w:sdt>
        <w:sdtPr>
          <w:rPr>
            <w:rFonts w:hint="eastAsia" w:asciiTheme="minorEastAsia" w:hAnsiTheme="minorEastAsia"/>
            <w:bCs/>
            <w:szCs w:val="24"/>
          </w:rPr>
          <w:alias w:val="公司代码"/>
          <w:tag w:val="_GBC_62ef04c8e14e4c76b304f7775b7d8722"/>
          <w:id w:val="147472856"/>
          <w:lock w:val="sdtLocked"/>
          <w:placeholder>
            <w:docPart w:val="GBC22222222222222222222222222222"/>
          </w:placeholder>
        </w:sdtPr>
        <w:sdtEndPr>
          <w:rPr>
            <w:rFonts w:hint="eastAsia" w:asciiTheme="minorEastAsia" w:hAnsiTheme="minorEastAsia"/>
            <w:bCs/>
            <w:szCs w:val="24"/>
          </w:rPr>
        </w:sdtEndPr>
        <w:sdtContent>
          <w:r>
            <w:rPr>
              <w:rFonts w:hint="eastAsia" w:asciiTheme="minorEastAsia" w:hAnsiTheme="minorEastAsia"/>
              <w:bCs/>
              <w:szCs w:val="24"/>
            </w:rPr>
            <w:t>600377</w:t>
          </w:r>
        </w:sdtContent>
      </w:sdt>
      <w:r>
        <w:rPr>
          <w:rFonts w:hint="eastAsia" w:asciiTheme="minorEastAsia" w:hAnsiTheme="minorEastAsia"/>
          <w:bCs/>
          <w:szCs w:val="24"/>
        </w:rPr>
        <w:t xml:space="preserve">   </w:t>
      </w:r>
      <w:r>
        <w:rPr>
          <w:rFonts w:asciiTheme="minorEastAsia" w:hAnsiTheme="minorEastAsia"/>
          <w:bCs/>
          <w:szCs w:val="24"/>
        </w:rPr>
        <w:t xml:space="preserve">  </w:t>
      </w:r>
      <w:r>
        <w:rPr>
          <w:rFonts w:hint="eastAsia" w:asciiTheme="minorEastAsia" w:hAnsiTheme="minorEastAsia"/>
          <w:bCs/>
          <w:szCs w:val="24"/>
        </w:rPr>
        <w:t>证券简称：</w:t>
      </w:r>
      <w:sdt>
        <w:sdtPr>
          <w:rPr>
            <w:rFonts w:hint="eastAsia" w:asciiTheme="minorEastAsia" w:hAnsiTheme="minorEastAsia"/>
            <w:bCs/>
            <w:szCs w:val="24"/>
          </w:rPr>
          <w:alias w:val="公司简称"/>
          <w:tag w:val="_GBC_81c31f6c68a741c1acb30ff1595bc381"/>
          <w:id w:val="147455452"/>
          <w:lock w:val="sdtLocked"/>
          <w:placeholder>
            <w:docPart w:val="GBC22222222222222222222222222222"/>
          </w:placeholder>
        </w:sdtPr>
        <w:sdtEndPr>
          <w:rPr>
            <w:rFonts w:hint="eastAsia" w:asciiTheme="minorEastAsia" w:hAnsiTheme="minorEastAsia"/>
            <w:bCs/>
            <w:szCs w:val="24"/>
          </w:rPr>
        </w:sdtEndPr>
        <w:sdtContent>
          <w:r>
            <w:rPr>
              <w:rFonts w:hint="eastAsia" w:asciiTheme="minorEastAsia" w:hAnsiTheme="minorEastAsia"/>
              <w:bCs/>
              <w:szCs w:val="24"/>
            </w:rPr>
            <w:t>宁沪高速</w:t>
          </w:r>
        </w:sdtContent>
      </w:sdt>
      <w:r>
        <w:rPr>
          <w:rFonts w:hint="eastAsia" w:asciiTheme="minorEastAsia" w:hAnsiTheme="minorEastAsia"/>
          <w:bCs/>
          <w:szCs w:val="24"/>
        </w:rPr>
        <w:t xml:space="preserve">   </w:t>
      </w:r>
      <w:r>
        <w:rPr>
          <w:rFonts w:asciiTheme="minorEastAsia" w:hAnsiTheme="minorEastAsia"/>
          <w:bCs/>
          <w:szCs w:val="24"/>
        </w:rPr>
        <w:t xml:space="preserve">  </w:t>
      </w:r>
      <w:r>
        <w:rPr>
          <w:rFonts w:hint="eastAsia" w:asciiTheme="minorEastAsia" w:hAnsiTheme="minorEastAsia"/>
          <w:bCs/>
          <w:szCs w:val="24"/>
        </w:rPr>
        <w:t>公告编号：</w:t>
      </w:r>
      <w:sdt>
        <w:sdtPr>
          <w:rPr>
            <w:rFonts w:hint="eastAsia" w:asciiTheme="minorEastAsia" w:hAnsiTheme="minorEastAsia"/>
            <w:bCs/>
            <w:szCs w:val="24"/>
          </w:rPr>
          <w:alias w:val="临时公告编号"/>
          <w:tag w:val="_GBC_51438e46cb944a2bb6b9cb5e9d53d512"/>
          <w:id w:val="147454684"/>
          <w:lock w:val="sdtLocked"/>
          <w:placeholder>
            <w:docPart w:val="GBC22222222222222222222222222222"/>
          </w:placeholder>
        </w:sdtPr>
        <w:sdtEndPr>
          <w:rPr>
            <w:rFonts w:hint="eastAsia" w:asciiTheme="minorEastAsia" w:hAnsiTheme="minorEastAsia"/>
            <w:bCs/>
            <w:szCs w:val="24"/>
          </w:rPr>
        </w:sdtEndPr>
        <w:sdtContent>
          <w:r>
            <w:rPr>
              <w:rFonts w:hint="eastAsia" w:asciiTheme="minorEastAsia" w:hAnsiTheme="minorEastAsia"/>
              <w:bCs/>
              <w:szCs w:val="24"/>
            </w:rPr>
            <w:t>2026-</w:t>
          </w:r>
        </w:sdtContent>
      </w:sdt>
      <w:r>
        <w:rPr>
          <w:rFonts w:hint="eastAsia" w:asciiTheme="minorEastAsia" w:hAnsiTheme="minorEastAsia"/>
          <w:bCs/>
          <w:szCs w:val="24"/>
          <w:lang w:val="en-US" w:eastAsia="zh-CN"/>
        </w:rPr>
        <w:t>015</w:t>
      </w:r>
    </w:p>
    <w:p w14:paraId="0B32A67F">
      <w:pPr>
        <w:ind w:left="0" w:leftChars="0" w:firstLine="0" w:firstLineChars="0"/>
        <w:jc w:val="both"/>
        <w:rPr>
          <w:rFonts w:hint="eastAsia" w:ascii="黑体" w:hAnsi="黑体" w:eastAsia="黑体"/>
          <w:b/>
          <w:sz w:val="36"/>
          <w:szCs w:val="36"/>
        </w:rPr>
      </w:pPr>
    </w:p>
    <w:p w14:paraId="76838770">
      <w:pPr>
        <w:adjustRightInd w:val="0"/>
        <w:snapToGrid w:val="0"/>
        <w:spacing w:line="360" w:lineRule="auto"/>
        <w:ind w:firstLine="723"/>
        <w:jc w:val="center"/>
        <w:rPr>
          <w:rFonts w:hint="eastAsia" w:ascii="黑体" w:hAnsi="黑体" w:eastAsia="黑体"/>
          <w:b/>
          <w:color w:val="FF0000"/>
          <w:sz w:val="36"/>
          <w:szCs w:val="24"/>
        </w:rPr>
      </w:pPr>
      <w:r>
        <w:rPr>
          <w:rFonts w:hint="eastAsia" w:ascii="黑体" w:hAnsi="黑体" w:eastAsia="黑体"/>
          <w:b/>
          <w:color w:val="FF0000"/>
          <w:sz w:val="36"/>
          <w:szCs w:val="24"/>
        </w:rPr>
        <w:t>江苏宁沪高速公路股份有限公司</w:t>
      </w:r>
    </w:p>
    <w:p w14:paraId="1F366BC9">
      <w:pPr>
        <w:adjustRightInd w:val="0"/>
        <w:snapToGrid w:val="0"/>
        <w:spacing w:line="360" w:lineRule="auto"/>
        <w:ind w:firstLine="723"/>
        <w:jc w:val="center"/>
        <w:rPr>
          <w:rFonts w:hint="eastAsia" w:ascii="黑体" w:hAnsi="黑体" w:eastAsia="黑体"/>
          <w:b/>
          <w:color w:val="FF0000"/>
          <w:sz w:val="36"/>
          <w:szCs w:val="24"/>
        </w:rPr>
      </w:pPr>
      <w:r>
        <w:rPr>
          <w:rFonts w:hint="eastAsia" w:ascii="黑体" w:hAnsi="黑体" w:eastAsia="黑体"/>
          <w:b/>
          <w:color w:val="FF0000"/>
          <w:sz w:val="36"/>
          <w:szCs w:val="24"/>
        </w:rPr>
        <w:t>关于洛德汇智基金投资事项的进展公告</w:t>
      </w:r>
    </w:p>
    <w:p w14:paraId="3A95FA6E">
      <w:pPr>
        <w:pBdr>
          <w:top w:val="single" w:color="auto" w:sz="4" w:space="4"/>
          <w:left w:val="single" w:color="auto" w:sz="4" w:space="3"/>
          <w:bottom w:val="single" w:color="auto" w:sz="4" w:space="1"/>
          <w:right w:val="single" w:color="auto" w:sz="4" w:space="4"/>
        </w:pBdr>
        <w:adjustRightInd w:val="0"/>
        <w:snapToGrid w:val="0"/>
        <w:spacing w:line="360" w:lineRule="auto"/>
        <w:ind w:firstLine="480"/>
        <w:rPr>
          <w:rFonts w:hint="eastAsia" w:asciiTheme="minorEastAsia" w:hAnsiTheme="minorEastAsia"/>
          <w:color w:val="000000"/>
          <w:szCs w:val="24"/>
        </w:rPr>
      </w:pPr>
      <w:r>
        <w:rPr>
          <w:rFonts w:hint="eastAsia" w:cs="宋体" w:asciiTheme="minorEastAsia" w:hAnsiTheme="minorEastAsia"/>
          <w:color w:val="000000"/>
          <w:kern w:val="0"/>
          <w:szCs w:val="24"/>
        </w:rPr>
        <w:t>本公司董事会及全体董事保证本公告内容不存在任何虚假记载、误导性陈述或者重大遗漏，并对其内容的真实性、准确性和完整性承担法律责任。</w:t>
      </w:r>
    </w:p>
    <w:p w14:paraId="3435071D">
      <w:pPr>
        <w:widowControl/>
        <w:adjustRightInd w:val="0"/>
        <w:snapToGrid w:val="0"/>
        <w:spacing w:after="156" w:afterLines="50"/>
        <w:ind w:firstLine="0" w:firstLineChars="0"/>
        <w:rPr>
          <w:rFonts w:hint="eastAsia" w:asciiTheme="minorEastAsia" w:hAnsiTheme="minorEastAsia" w:cstheme="minorEastAsia"/>
          <w:kern w:val="0"/>
          <w:sz w:val="24"/>
          <w:szCs w:val="24"/>
        </w:rPr>
      </w:pPr>
    </w:p>
    <w:p w14:paraId="0456FCBA">
      <w:pPr>
        <w:widowControl/>
        <w:numPr>
          <w:ilvl w:val="0"/>
          <w:numId w:val="1"/>
        </w:numPr>
        <w:adjustRightInd w:val="0"/>
        <w:snapToGrid w:val="0"/>
        <w:spacing w:before="0" w:beforeLines="0" w:after="0" w:afterLines="0" w:line="360" w:lineRule="auto"/>
        <w:ind w:firstLine="562"/>
        <w:outlineLvl w:val="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投资基本</w:t>
      </w:r>
      <w:r>
        <w:rPr>
          <w:rFonts w:hint="eastAsia" w:asciiTheme="minorEastAsia" w:hAnsiTheme="minorEastAsia" w:cstheme="minorEastAsia"/>
          <w:b/>
          <w:bCs/>
          <w:sz w:val="24"/>
          <w:szCs w:val="24"/>
        </w:rPr>
        <w:t>概述</w:t>
      </w:r>
      <w:r>
        <w:rPr>
          <w:rFonts w:hint="eastAsia" w:asciiTheme="minorEastAsia" w:hAnsiTheme="minorEastAsia" w:eastAsiaTheme="minorEastAsia" w:cstheme="minorEastAsia"/>
          <w:b/>
          <w:sz w:val="24"/>
          <w:szCs w:val="24"/>
        </w:rPr>
        <w:t>情况</w:t>
      </w:r>
    </w:p>
    <w:p w14:paraId="4F7A8236">
      <w:pPr>
        <w:keepNext w:val="0"/>
        <w:keepLines w:val="0"/>
        <w:pageBreakBefore w:val="0"/>
        <w:kinsoku/>
        <w:wordWrap/>
        <w:overflowPunct/>
        <w:topLinePunct w:val="0"/>
        <w:bidi w:val="0"/>
        <w:spacing w:beforeLines="0" w:afterLines="0" w:line="360" w:lineRule="auto"/>
        <w:ind w:left="0" w:firstLine="480" w:firstLineChars="200"/>
        <w:contextualSpacing/>
        <w:jc w:val="both"/>
        <w:textAlignment w:val="auto"/>
        <w:rPr>
          <w:rFonts w:hint="eastAsia" w:asciiTheme="minorEastAsia" w:hAnsiTheme="minorEastAsia" w:cstheme="minorEastAsia"/>
          <w:szCs w:val="24"/>
        </w:rPr>
      </w:pPr>
      <w:r>
        <w:rPr>
          <w:rFonts w:hint="eastAsia" w:asciiTheme="minorEastAsia" w:hAnsiTheme="minorEastAsia" w:cstheme="minorEastAsia"/>
          <w:szCs w:val="24"/>
        </w:rPr>
        <w:t>江苏宁沪高速公路股份有限公司（以下简称“本公司”）于 2020年4月24日第九届董事会第二十次会议审议批准本公司全资子公司江苏宁沪投资发展有限责任公司（以下简称“宁沪投资公司”）以自有资金出资不超过人民币5亿元参与投资南京洛德汇智股权投资合伙企业（有限合伙）（以下简称“洛德汇智基金”）。具体内容详见本公司2020年4月25日披露于上海证券交易所官网（www.sse.com.cn）的编号2020-032公告。</w:t>
      </w:r>
    </w:p>
    <w:p w14:paraId="29D4291B">
      <w:pPr>
        <w:pStyle w:val="6"/>
        <w:keepNext w:val="0"/>
        <w:keepLines w:val="0"/>
        <w:pageBreakBefore w:val="0"/>
        <w:kinsoku/>
        <w:wordWrap/>
        <w:overflowPunct/>
        <w:topLinePunct w:val="0"/>
        <w:bidi w:val="0"/>
        <w:spacing w:beforeLines="0" w:afterLines="0" w:line="360" w:lineRule="auto"/>
        <w:ind w:left="0" w:firstLine="480" w:firstLineChars="200"/>
        <w:jc w:val="both"/>
        <w:textAlignment w:val="auto"/>
        <w:rPr>
          <w:rFonts w:hint="eastAsia" w:asciiTheme="minorEastAsia" w:hAnsiTheme="minorEastAsia" w:cstheme="minorEastAsia"/>
          <w:szCs w:val="24"/>
        </w:rPr>
      </w:pPr>
      <w:r>
        <w:rPr>
          <w:rFonts w:hint="eastAsia" w:asciiTheme="minorEastAsia" w:hAnsiTheme="minorEastAsia" w:cstheme="minorEastAsia"/>
          <w:szCs w:val="24"/>
        </w:rPr>
        <w:t>2020年7月 24日，宁沪投资公司、江苏洛德股权投资基金管理有限公司和其全资子公司南京洛德投资管理有限公司、南京公路发展（集团）有限公司、宏源汇智投资有限公司和其全资子公司申万宏源创新(北京)私募基金管理有限公司</w:t>
      </w:r>
      <w:r>
        <w:rPr>
          <w:rFonts w:hint="eastAsia" w:asciiTheme="minorEastAsia" w:hAnsiTheme="minorEastAsia" w:cstheme="minorEastAsia"/>
          <w:szCs w:val="24"/>
          <w:lang w:val="en-US" w:eastAsia="zh-CN"/>
        </w:rPr>
        <w:t>(原</w:t>
      </w:r>
      <w:r>
        <w:rPr>
          <w:rFonts w:hint="eastAsia" w:asciiTheme="minorEastAsia" w:hAnsiTheme="minorEastAsia" w:cstheme="minorEastAsia"/>
          <w:szCs w:val="24"/>
        </w:rPr>
        <w:t>申银万国创新资本管理有限公司</w:t>
      </w:r>
      <w:r>
        <w:rPr>
          <w:rStyle w:val="18"/>
          <w:rFonts w:hint="eastAsia" w:asciiTheme="minorEastAsia" w:hAnsiTheme="minorEastAsia" w:cstheme="minorEastAsia"/>
          <w:sz w:val="24"/>
          <w:szCs w:val="24"/>
          <w:lang w:eastAsia="zh-CN"/>
        </w:rPr>
        <w:t>）</w:t>
      </w:r>
      <w:r>
        <w:rPr>
          <w:rFonts w:hint="eastAsia" w:asciiTheme="minorEastAsia" w:hAnsiTheme="minorEastAsia" w:cstheme="minorEastAsia"/>
          <w:szCs w:val="24"/>
        </w:rPr>
        <w:t>签署《有限合伙协议》，各方协商一致，共同发起设立洛德汇智基金，基金总规模不超过人民币15亿元，基金存续期不低于五年，包括投资期、延长期（如有）及退出期，投资期限预计不超过基金成立日起满三十六个月之日，退出期限预计不超过基金成立日起满六十个月之日，经基金全体合伙人一致审议通过后投资期可延长一年进入投资延长期。具体内容详见本公司2020年7月25日披露于上海证券交易所官网（www.sse.com.cn）的编号2020-045公告。</w:t>
      </w:r>
    </w:p>
    <w:p w14:paraId="64E838FA">
      <w:pPr>
        <w:pStyle w:val="7"/>
        <w:keepNext w:val="0"/>
        <w:keepLines w:val="0"/>
        <w:pageBreakBefore w:val="0"/>
        <w:kinsoku/>
        <w:wordWrap/>
        <w:overflowPunct/>
        <w:topLinePunct w:val="0"/>
        <w:bidi w:val="0"/>
        <w:spacing w:before="0" w:beforeLines="0" w:afterLines="0" w:line="360" w:lineRule="auto"/>
        <w:ind w:left="0" w:firstLine="480" w:firstLineChars="200"/>
        <w:jc w:val="both"/>
        <w:textAlignment w:val="auto"/>
        <w:rPr>
          <w:rFonts w:hint="eastAsia" w:asciiTheme="minorEastAsia" w:hAnsiTheme="minorEastAsia" w:eastAsiaTheme="minorEastAsia" w:cstheme="minorEastAsia"/>
          <w:bCs/>
          <w:color w:val="000000" w:themeColor="text1"/>
          <w:kern w:val="0"/>
          <w14:textFill>
            <w14:solidFill>
              <w14:schemeClr w14:val="tx1"/>
            </w14:solidFill>
          </w14:textFill>
        </w:rPr>
      </w:pPr>
      <w:r>
        <w:rPr>
          <w:rFonts w:hint="eastAsia" w:cstheme="minorEastAsia"/>
        </w:rPr>
        <w:t>2025年7月25日，本公司召开第十一届董事会第十三次会议审议通过了《</w:t>
      </w:r>
      <w:bookmarkStart w:id="0" w:name="_Hlk198715443"/>
      <w:r>
        <w:rPr>
          <w:rFonts w:hint="eastAsia" w:cstheme="minorEastAsia"/>
        </w:rPr>
        <w:t>关于</w:t>
      </w:r>
      <w:bookmarkEnd w:id="0"/>
      <w:r>
        <w:rPr>
          <w:rFonts w:hint="eastAsia" w:cstheme="minorEastAsia"/>
        </w:rPr>
        <w:t>本公司全资子公司宁沪投资公司所持洛德汇智基金延长存续期的议案》，为保证基金的正常运作和已投项目的有序退出，实现基金收益和合伙人权益，同意延长基金存续期至2030年8月3日。具体内容详见本公司2025年7月26日披露于上海证券交易所官网（www.sse.com.cn）的编号2025-034公告</w:t>
      </w:r>
      <w:r>
        <w:rPr>
          <w:rFonts w:hint="eastAsia" w:asciiTheme="minorEastAsia" w:hAnsiTheme="minorEastAsia" w:eastAsiaTheme="minorEastAsia" w:cstheme="minorEastAsia"/>
          <w:bCs/>
          <w:color w:val="000000" w:themeColor="text1"/>
          <w:kern w:val="0"/>
          <w14:textFill>
            <w14:solidFill>
              <w14:schemeClr w14:val="tx1"/>
            </w14:solidFill>
          </w14:textFill>
        </w:rPr>
        <w:t>。</w:t>
      </w:r>
    </w:p>
    <w:p w14:paraId="1A5C27A9">
      <w:pPr>
        <w:pStyle w:val="7"/>
        <w:keepNext w:val="0"/>
        <w:keepLines w:val="0"/>
        <w:pageBreakBefore w:val="0"/>
        <w:kinsoku/>
        <w:wordWrap/>
        <w:overflowPunct/>
        <w:topLinePunct w:val="0"/>
        <w:bidi w:val="0"/>
        <w:spacing w:before="0" w:beforeLines="0" w:afterLines="0" w:line="360" w:lineRule="auto"/>
        <w:ind w:left="0" w:firstLine="480" w:firstLineChars="200"/>
        <w:jc w:val="both"/>
        <w:textAlignment w:val="auto"/>
        <w:rPr>
          <w:rFonts w:hint="eastAsia" w:asciiTheme="minorEastAsia" w:hAnsiTheme="minorEastAsia" w:eastAsiaTheme="minorEastAsia" w:cstheme="minorEastAsia"/>
          <w:bCs/>
          <w:color w:val="000000" w:themeColor="text1"/>
          <w:kern w:val="0"/>
          <w14:textFill>
            <w14:solidFill>
              <w14:schemeClr w14:val="tx1"/>
            </w14:solidFill>
          </w14:textFill>
        </w:rPr>
      </w:pPr>
    </w:p>
    <w:p w14:paraId="63014739">
      <w:pPr>
        <w:keepNext w:val="0"/>
        <w:keepLines w:val="0"/>
        <w:pageBreakBefore w:val="0"/>
        <w:widowControl/>
        <w:numPr>
          <w:ilvl w:val="0"/>
          <w:numId w:val="1"/>
        </w:numPr>
        <w:kinsoku/>
        <w:wordWrap/>
        <w:overflowPunct/>
        <w:topLinePunct w:val="0"/>
        <w:bidi w:val="0"/>
        <w:adjustRightInd w:val="0"/>
        <w:snapToGrid w:val="0"/>
        <w:spacing w:beforeLines="0" w:afterLines="0" w:line="360" w:lineRule="auto"/>
        <w:ind w:left="0" w:firstLine="482" w:firstLineChars="200"/>
        <w:jc w:val="both"/>
        <w:textAlignment w:val="auto"/>
        <w:outlineLvl w:val="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本次对外投资变更情况</w:t>
      </w:r>
    </w:p>
    <w:p w14:paraId="1128181C">
      <w:pPr>
        <w:keepNext w:val="0"/>
        <w:keepLines w:val="0"/>
        <w:pageBreakBefore w:val="0"/>
        <w:kinsoku/>
        <w:wordWrap/>
        <w:overflowPunct/>
        <w:topLinePunct w:val="0"/>
        <w:bidi w:val="0"/>
        <w:spacing w:beforeLines="0" w:afterLines="0" w:line="360" w:lineRule="auto"/>
        <w:ind w:left="0" w:firstLine="480" w:firstLineChars="200"/>
        <w:jc w:val="both"/>
        <w:textAlignment w:val="auto"/>
        <w:rPr>
          <w:rFonts w:hint="eastAsia" w:asciiTheme="minorEastAsia" w:hAnsiTheme="minorEastAsia" w:cstheme="minorEastAsia"/>
          <w:szCs w:val="24"/>
        </w:rPr>
      </w:pPr>
      <w:r>
        <w:rPr>
          <w:rFonts w:hint="eastAsia" w:asciiTheme="minorEastAsia" w:hAnsiTheme="minorEastAsia" w:cstheme="minorEastAsia"/>
          <w:szCs w:val="24"/>
        </w:rPr>
        <w:t>洛德汇智基金的基金管理人为江苏洛德股权投资基金管理有限公司。截至本公告日，本公司全资子公司宁沪投资公司向洛德汇智基金实缴出资人民币50,000万元，已收回资金人民币13,986.15万元。洛德汇智基金共滚动投资了10个项目，目前实现了4个项目退出，仍有6个存续项目未退出。</w:t>
      </w:r>
    </w:p>
    <w:p w14:paraId="5EA85567">
      <w:pPr>
        <w:keepNext w:val="0"/>
        <w:keepLines w:val="0"/>
        <w:pageBreakBefore w:val="0"/>
        <w:kinsoku/>
        <w:wordWrap/>
        <w:overflowPunct/>
        <w:topLinePunct w:val="0"/>
        <w:bidi w:val="0"/>
        <w:spacing w:beforeLines="0" w:afterLines="0" w:line="360" w:lineRule="auto"/>
        <w:ind w:left="0" w:firstLine="480" w:firstLineChars="200"/>
        <w:jc w:val="both"/>
        <w:textAlignment w:val="auto"/>
        <w:rPr>
          <w:rFonts w:hint="eastAsia" w:asciiTheme="minorEastAsia" w:hAnsiTheme="minorEastAsia" w:cstheme="minorEastAsia"/>
          <w:szCs w:val="24"/>
        </w:rPr>
      </w:pPr>
      <w:r>
        <w:rPr>
          <w:rFonts w:hint="eastAsia" w:asciiTheme="minorEastAsia" w:hAnsiTheme="minorEastAsia" w:cstheme="minorEastAsia"/>
          <w:szCs w:val="24"/>
        </w:rPr>
        <w:t>受到市场因素影响，洛德汇智基金在投项目的合作方出现一定经营风险。洛德汇智基金管理人通过司法程序成功保全</w:t>
      </w:r>
      <w:r>
        <w:rPr>
          <w:rFonts w:hint="eastAsia" w:asciiTheme="minorEastAsia" w:hAnsiTheme="minorEastAsia" w:cstheme="minorEastAsia"/>
          <w:szCs w:val="24"/>
          <w:lang w:val="en-US" w:eastAsia="zh-CN"/>
        </w:rPr>
        <w:t>合作方持有的</w:t>
      </w:r>
      <w:r>
        <w:rPr>
          <w:rFonts w:hint="eastAsia" w:asciiTheme="minorEastAsia" w:hAnsiTheme="minorEastAsia" w:cstheme="minorEastAsia"/>
          <w:szCs w:val="24"/>
        </w:rPr>
        <w:t>厦门国际银行（以下简称“厦国行”）</w:t>
      </w:r>
      <w:r>
        <w:rPr>
          <w:rStyle w:val="19"/>
          <w:rFonts w:hint="eastAsia" w:asciiTheme="minorEastAsia" w:hAnsiTheme="minorEastAsia" w:cstheme="minorEastAsia"/>
          <w:szCs w:val="24"/>
        </w:rPr>
        <w:footnoteReference w:id="0"/>
      </w:r>
      <w:r>
        <w:rPr>
          <w:rFonts w:hint="eastAsia" w:asciiTheme="minorEastAsia" w:hAnsiTheme="minorEastAsia" w:cstheme="minorEastAsia"/>
          <w:szCs w:val="24"/>
        </w:rPr>
        <w:t>15,195.18万股股份，</w:t>
      </w:r>
      <w:r>
        <w:rPr>
          <w:rFonts w:hint="eastAsia" w:asciiTheme="minorEastAsia" w:hAnsiTheme="minorEastAsia" w:cstheme="minorEastAsia"/>
          <w:szCs w:val="24"/>
          <w:lang w:val="en-US" w:eastAsia="zh-CN"/>
        </w:rPr>
        <w:t>洛德汇智基金根据司法裁定已依法取得该等股份的抵偿权益，根据司法委托的评估机构</w:t>
      </w:r>
      <w:r>
        <w:rPr>
          <w:rFonts w:hint="eastAsia" w:asciiTheme="minorEastAsia" w:hAnsiTheme="minorEastAsia" w:cstheme="minorEastAsia"/>
          <w:szCs w:val="24"/>
        </w:rPr>
        <w:t>江苏五星资产评估有限责任公司出具的股权价值产评估报告</w:t>
      </w:r>
      <w:r>
        <w:rPr>
          <w:rFonts w:hint="eastAsia" w:asciiTheme="minorEastAsia" w:hAnsiTheme="minorEastAsia" w:eastAsiaTheme="minorEastAsia" w:cstheme="minorEastAsia"/>
          <w:szCs w:val="24"/>
          <w:lang w:eastAsia="zh-CN"/>
        </w:rPr>
        <w:t>〔</w:t>
      </w:r>
      <w:r>
        <w:rPr>
          <w:rFonts w:hint="eastAsia" w:asciiTheme="minorEastAsia" w:hAnsiTheme="minorEastAsia" w:cstheme="minorEastAsia"/>
          <w:szCs w:val="24"/>
        </w:rPr>
        <w:t>苏五星评鉴字（2025）117号</w:t>
      </w:r>
      <w:r>
        <w:rPr>
          <w:rFonts w:hint="eastAsia" w:asciiTheme="minorEastAsia" w:hAnsiTheme="minorEastAsia" w:eastAsiaTheme="minorEastAsia" w:cstheme="minorEastAsia"/>
          <w:szCs w:val="24"/>
          <w:lang w:eastAsia="zh-CN"/>
        </w:rPr>
        <w:t>〕</w:t>
      </w:r>
      <w:r>
        <w:rPr>
          <w:rFonts w:hint="eastAsia" w:asciiTheme="minorEastAsia" w:hAnsiTheme="minorEastAsia" w:cstheme="minorEastAsia"/>
          <w:szCs w:val="24"/>
          <w:lang w:eastAsia="zh-CN"/>
        </w:rPr>
        <w:t>，</w:t>
      </w:r>
      <w:r>
        <w:rPr>
          <w:rFonts w:hint="eastAsia" w:asciiTheme="minorEastAsia" w:hAnsiTheme="minorEastAsia" w:cstheme="minorEastAsia"/>
          <w:szCs w:val="24"/>
        </w:rPr>
        <w:t>评估价为</w:t>
      </w:r>
      <w:r>
        <w:rPr>
          <w:rFonts w:hint="eastAsia" w:asciiTheme="minorEastAsia" w:hAnsiTheme="minorEastAsia" w:cstheme="minorEastAsia"/>
          <w:szCs w:val="24"/>
          <w:lang w:val="en-US" w:eastAsia="zh-CN"/>
        </w:rPr>
        <w:t>人民币</w:t>
      </w:r>
      <w:r>
        <w:rPr>
          <w:rFonts w:hint="eastAsia" w:asciiTheme="minorEastAsia" w:hAnsiTheme="minorEastAsia" w:cstheme="minorEastAsia"/>
          <w:szCs w:val="24"/>
        </w:rPr>
        <w:t>52,426.75万元。</w:t>
      </w:r>
    </w:p>
    <w:p w14:paraId="1777C588">
      <w:pPr>
        <w:keepNext w:val="0"/>
        <w:keepLines w:val="0"/>
        <w:pageBreakBefore w:val="0"/>
        <w:kinsoku/>
        <w:wordWrap/>
        <w:overflowPunct/>
        <w:topLinePunct w:val="0"/>
        <w:bidi w:val="0"/>
        <w:spacing w:beforeLines="0" w:afterLines="0" w:line="360" w:lineRule="auto"/>
        <w:ind w:left="0" w:firstLine="480" w:firstLineChars="200"/>
        <w:jc w:val="both"/>
        <w:textAlignment w:val="auto"/>
        <w:rPr>
          <w:rFonts w:hint="eastAsia" w:asciiTheme="minorEastAsia" w:hAnsiTheme="minorEastAsia" w:cstheme="minorEastAsia"/>
          <w:szCs w:val="24"/>
        </w:rPr>
      </w:pPr>
      <w:r>
        <w:rPr>
          <w:rFonts w:hint="eastAsia" w:asciiTheme="minorEastAsia" w:hAnsiTheme="minorEastAsia" w:cstheme="minorEastAsia"/>
          <w:szCs w:val="24"/>
        </w:rPr>
        <w:t>管理人与各有限合伙人（LP）协商</w:t>
      </w:r>
      <w:r>
        <w:rPr>
          <w:rFonts w:hint="eastAsia" w:asciiTheme="minorEastAsia" w:hAnsiTheme="minorEastAsia" w:cstheme="minorEastAsia"/>
          <w:szCs w:val="24"/>
          <w:lang w:val="en-US" w:eastAsia="zh-CN"/>
        </w:rPr>
        <w:t>同意</w:t>
      </w:r>
      <w:r>
        <w:rPr>
          <w:rFonts w:hint="eastAsia" w:asciiTheme="minorEastAsia" w:hAnsiTheme="minorEastAsia" w:cstheme="minorEastAsia"/>
          <w:szCs w:val="24"/>
        </w:rPr>
        <w:t>合伙人以实物分配方式</w:t>
      </w:r>
      <w:r>
        <w:rPr>
          <w:rFonts w:hint="eastAsia" w:asciiTheme="minorEastAsia" w:hAnsiTheme="minorEastAsia" w:cstheme="minorEastAsia"/>
          <w:szCs w:val="24"/>
          <w:lang w:val="en-US" w:eastAsia="zh-CN"/>
        </w:rPr>
        <w:t>,</w:t>
      </w:r>
      <w:r>
        <w:rPr>
          <w:rFonts w:hint="eastAsia" w:asciiTheme="minorEastAsia" w:hAnsiTheme="minorEastAsia" w:cstheme="minorEastAsia"/>
          <w:szCs w:val="24"/>
        </w:rPr>
        <w:t>按照厦国行股份的总估值</w:t>
      </w:r>
      <w:r>
        <w:rPr>
          <w:rFonts w:hint="eastAsia" w:asciiTheme="minorEastAsia" w:hAnsiTheme="minorEastAsia" w:cstheme="minorEastAsia"/>
          <w:szCs w:val="24"/>
          <w:lang w:val="en-US" w:eastAsia="zh-CN"/>
        </w:rPr>
        <w:t>人民币</w:t>
      </w:r>
      <w:r>
        <w:rPr>
          <w:rFonts w:hint="eastAsia" w:asciiTheme="minorEastAsia" w:hAnsiTheme="minorEastAsia" w:cstheme="minorEastAsia"/>
          <w:szCs w:val="24"/>
        </w:rPr>
        <w:t>52,426.75万元作为分配及后续权益核算的基准依据，将上述股份分配至符合条件的合伙人。基于实缴出资比例，宁沪投资公司应分</w:t>
      </w:r>
      <w:r>
        <w:rPr>
          <w:rFonts w:hint="eastAsia" w:asciiTheme="minorEastAsia" w:hAnsiTheme="minorEastAsia" w:cstheme="minorEastAsia"/>
          <w:szCs w:val="24"/>
          <w:lang w:val="en-US" w:eastAsia="zh-CN"/>
        </w:rPr>
        <w:t>厦国行</w:t>
      </w:r>
      <w:r>
        <w:rPr>
          <w:rFonts w:hint="eastAsia" w:asciiTheme="minorEastAsia" w:hAnsiTheme="minorEastAsia" w:cstheme="minorEastAsia"/>
          <w:szCs w:val="24"/>
        </w:rPr>
        <w:t>股份63,313,250股，对应金额</w:t>
      </w:r>
      <w:r>
        <w:rPr>
          <w:rFonts w:hint="eastAsia" w:asciiTheme="minorEastAsia" w:hAnsiTheme="minorEastAsia" w:cstheme="minorEastAsia"/>
          <w:szCs w:val="24"/>
          <w:lang w:val="en-US" w:eastAsia="zh-CN"/>
        </w:rPr>
        <w:t>人民币</w:t>
      </w:r>
      <w:r>
        <w:rPr>
          <w:rFonts w:hint="eastAsia" w:asciiTheme="minorEastAsia" w:hAnsiTheme="minorEastAsia" w:cstheme="minorEastAsia"/>
          <w:szCs w:val="24"/>
        </w:rPr>
        <w:t>21,844.48万元。由于宁沪投资公司本身不符合银行股东</w:t>
      </w:r>
      <w:r>
        <w:rPr>
          <w:rFonts w:hint="eastAsia" w:asciiTheme="minorEastAsia" w:hAnsiTheme="minorEastAsia" w:cstheme="minorEastAsia"/>
          <w:szCs w:val="24"/>
          <w:lang w:val="en-US" w:eastAsia="zh-CN"/>
        </w:rPr>
        <w:t>资质</w:t>
      </w:r>
      <w:r>
        <w:rPr>
          <w:rFonts w:hint="eastAsia" w:asciiTheme="minorEastAsia" w:hAnsiTheme="minorEastAsia" w:cstheme="minorEastAsia"/>
          <w:szCs w:val="24"/>
        </w:rPr>
        <w:t>要求，因此拟</w:t>
      </w:r>
      <w:r>
        <w:rPr>
          <w:rFonts w:hint="eastAsia" w:asciiTheme="minorEastAsia" w:hAnsiTheme="minorEastAsia" w:cstheme="minorEastAsia"/>
          <w:szCs w:val="24"/>
          <w:lang w:val="en-US" w:eastAsia="zh-CN"/>
        </w:rPr>
        <w:t>通过宁沪投资公司向本公司实施实物利润分配的方式，</w:t>
      </w:r>
      <w:r>
        <w:rPr>
          <w:rFonts w:hint="eastAsia" w:asciiTheme="minorEastAsia" w:hAnsiTheme="minorEastAsia" w:cstheme="minorEastAsia"/>
          <w:szCs w:val="24"/>
        </w:rPr>
        <w:t>由本公司承接该部分股份，并与洛德汇智基金</w:t>
      </w:r>
      <w:r>
        <w:rPr>
          <w:rFonts w:hint="eastAsia" w:asciiTheme="minorEastAsia" w:hAnsiTheme="minorEastAsia" w:cstheme="minorEastAsia"/>
          <w:szCs w:val="24"/>
          <w:lang w:val="en-US" w:eastAsia="zh-CN"/>
        </w:rPr>
        <w:t>等</w:t>
      </w:r>
      <w:r>
        <w:rPr>
          <w:rFonts w:hint="eastAsia" w:asciiTheme="minorEastAsia" w:hAnsiTheme="minorEastAsia" w:cstheme="minorEastAsia"/>
          <w:szCs w:val="24"/>
        </w:rPr>
        <w:t>签订《股份分配协议》，共同向厦国行及厦门</w:t>
      </w:r>
      <w:r>
        <w:rPr>
          <w:rFonts w:hint="eastAsia" w:asciiTheme="minorEastAsia" w:hAnsiTheme="minorEastAsia" w:cstheme="minorEastAsia"/>
          <w:szCs w:val="24"/>
          <w:lang w:val="en-US" w:eastAsia="zh-CN"/>
        </w:rPr>
        <w:t>市股权</w:t>
      </w:r>
      <w:r>
        <w:rPr>
          <w:rFonts w:hint="eastAsia" w:asciiTheme="minorEastAsia" w:hAnsiTheme="minorEastAsia" w:cstheme="minorEastAsia"/>
          <w:szCs w:val="24"/>
        </w:rPr>
        <w:t>托管</w:t>
      </w:r>
      <w:r>
        <w:rPr>
          <w:rFonts w:hint="eastAsia" w:asciiTheme="minorEastAsia" w:hAnsiTheme="minorEastAsia" w:cstheme="minorEastAsia"/>
          <w:szCs w:val="24"/>
          <w:lang w:val="en-US" w:eastAsia="zh-CN"/>
        </w:rPr>
        <w:t>交易</w:t>
      </w:r>
      <w:r>
        <w:rPr>
          <w:rFonts w:hint="eastAsia" w:asciiTheme="minorEastAsia" w:hAnsiTheme="minorEastAsia" w:cstheme="minorEastAsia"/>
          <w:szCs w:val="24"/>
        </w:rPr>
        <w:t>中心提交申请材料，办理过户登记。</w:t>
      </w:r>
    </w:p>
    <w:p w14:paraId="5FA77F68">
      <w:pPr>
        <w:pStyle w:val="2"/>
        <w:rPr>
          <w:rFonts w:hint="eastAsia" w:asciiTheme="minorEastAsia" w:hAnsiTheme="minorEastAsia" w:cstheme="minorEastAsia"/>
          <w:szCs w:val="24"/>
        </w:rPr>
      </w:pPr>
    </w:p>
    <w:p w14:paraId="42725E61">
      <w:pPr>
        <w:pStyle w:val="2"/>
        <w:rPr>
          <w:rFonts w:hint="eastAsia" w:asciiTheme="minorEastAsia" w:hAnsiTheme="minorEastAsia" w:cstheme="minorEastAsia"/>
          <w:szCs w:val="24"/>
        </w:rPr>
      </w:pPr>
    </w:p>
    <w:p w14:paraId="5E8538A4">
      <w:pPr>
        <w:pStyle w:val="2"/>
        <w:rPr>
          <w:rFonts w:hint="eastAsia" w:asciiTheme="minorEastAsia" w:hAnsiTheme="minorEastAsia" w:cstheme="minorEastAsia"/>
          <w:szCs w:val="24"/>
        </w:rPr>
      </w:pPr>
    </w:p>
    <w:p w14:paraId="0E77267B">
      <w:pPr>
        <w:pStyle w:val="7"/>
        <w:keepNext w:val="0"/>
        <w:keepLines w:val="0"/>
        <w:pageBreakBefore w:val="0"/>
        <w:kinsoku/>
        <w:wordWrap/>
        <w:overflowPunct/>
        <w:topLinePunct w:val="0"/>
        <w:bidi w:val="0"/>
        <w:spacing w:before="0" w:beforeLines="0" w:afterLines="0" w:line="360" w:lineRule="auto"/>
        <w:ind w:left="0" w:firstLine="482" w:firstLineChars="200"/>
        <w:jc w:val="both"/>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三、相关审议程序</w:t>
      </w:r>
    </w:p>
    <w:p w14:paraId="6293E520">
      <w:pPr>
        <w:keepNext w:val="0"/>
        <w:keepLines w:val="0"/>
        <w:pageBreakBefore w:val="0"/>
        <w:widowControl/>
        <w:kinsoku/>
        <w:wordWrap/>
        <w:overflowPunct/>
        <w:topLinePunct w:val="0"/>
        <w:bidi w:val="0"/>
        <w:adjustRightInd/>
        <w:snapToGrid/>
        <w:spacing w:beforeLines="0" w:afterLines="0" w:line="360" w:lineRule="auto"/>
        <w:ind w:left="0" w:firstLine="480" w:firstLineChars="200"/>
        <w:jc w:val="both"/>
        <w:textAlignment w:val="auto"/>
        <w:rPr>
          <w:rFonts w:hint="eastAsia" w:asciiTheme="minorEastAsia" w:hAnsiTheme="minorEastAsia" w:cstheme="minorEastAsia"/>
          <w:szCs w:val="24"/>
          <w:lang w:eastAsia="zh-CN"/>
        </w:rPr>
      </w:pPr>
      <w:r>
        <w:rPr>
          <w:rFonts w:hint="eastAsia" w:asciiTheme="minorEastAsia" w:hAnsiTheme="minorEastAsia" w:cstheme="minorEastAsia"/>
          <w:bCs/>
          <w:color w:val="000000" w:themeColor="text1"/>
          <w:kern w:val="0"/>
          <w:szCs w:val="24"/>
          <w14:textFill>
            <w14:solidFill>
              <w14:schemeClr w14:val="tx1"/>
            </w14:solidFill>
          </w14:textFill>
        </w:rPr>
        <w:t>2026年3月27日，</w:t>
      </w:r>
      <w:r>
        <w:rPr>
          <w:rFonts w:hint="eastAsia" w:asciiTheme="minorEastAsia" w:hAnsiTheme="minorEastAsia" w:cstheme="minorEastAsia"/>
          <w:szCs w:val="24"/>
        </w:rPr>
        <w:t>本公司召开第十一届董事会第二十次会议审议通过了《关于洛德汇智基金</w:t>
      </w:r>
      <w:r>
        <w:rPr>
          <w:rFonts w:hint="eastAsia" w:asciiTheme="minorEastAsia" w:hAnsiTheme="minorEastAsia" w:cstheme="minorEastAsia"/>
          <w:szCs w:val="24"/>
          <w:highlight w:val="none"/>
        </w:rPr>
        <w:t>拟</w:t>
      </w:r>
      <w:r>
        <w:rPr>
          <w:rFonts w:hint="eastAsia" w:asciiTheme="minorEastAsia" w:hAnsiTheme="minorEastAsia" w:cstheme="minorEastAsia"/>
          <w:szCs w:val="24"/>
        </w:rPr>
        <w:t>分配厦门国际银行股权资产的议案》，同意洛德汇智母基金将依法取得的15,195.18万股厦国行股份以总估值</w:t>
      </w:r>
      <w:r>
        <w:rPr>
          <w:rFonts w:hint="eastAsia" w:asciiTheme="minorEastAsia" w:hAnsiTheme="minorEastAsia" w:cstheme="minorEastAsia"/>
          <w:szCs w:val="24"/>
          <w:lang w:val="en-US" w:eastAsia="zh-CN"/>
        </w:rPr>
        <w:t>人民币</w:t>
      </w:r>
      <w:r>
        <w:rPr>
          <w:rFonts w:hint="eastAsia" w:asciiTheme="minorEastAsia" w:hAnsiTheme="minorEastAsia" w:cstheme="minorEastAsia"/>
          <w:szCs w:val="24"/>
        </w:rPr>
        <w:t>52,426.75万元的基准依据，以实物分配方式将上述股份分配至符合条件的合伙人</w:t>
      </w:r>
      <w:r>
        <w:rPr>
          <w:rFonts w:hint="eastAsia" w:asciiTheme="minorEastAsia" w:hAnsiTheme="minorEastAsia" w:cstheme="minorEastAsia"/>
          <w:szCs w:val="24"/>
          <w:lang w:eastAsia="zh-CN"/>
        </w:rPr>
        <w:t>；同意</w:t>
      </w:r>
      <w:r>
        <w:rPr>
          <w:rFonts w:hint="eastAsia" w:asciiTheme="minorEastAsia" w:hAnsiTheme="minorEastAsia" w:cstheme="minorEastAsia"/>
          <w:szCs w:val="24"/>
          <w:lang w:val="en-US" w:eastAsia="zh-CN"/>
        </w:rPr>
        <w:t>通过宁沪投资公司向本公司实施实物利润分配的方式，</w:t>
      </w:r>
      <w:r>
        <w:rPr>
          <w:rFonts w:hint="eastAsia" w:asciiTheme="minorEastAsia" w:hAnsiTheme="minorEastAsia" w:cstheme="minorEastAsia"/>
          <w:szCs w:val="24"/>
          <w:lang w:eastAsia="zh-CN"/>
        </w:rPr>
        <w:t>由本公司承接应分厦国行股份</w:t>
      </w:r>
      <w:r>
        <w:rPr>
          <w:rFonts w:hint="eastAsia" w:asciiTheme="minorEastAsia" w:hAnsiTheme="minorEastAsia" w:cstheme="minorEastAsia"/>
          <w:szCs w:val="24"/>
          <w:lang w:val="en-US" w:eastAsia="zh-CN"/>
        </w:rPr>
        <w:t>并</w:t>
      </w:r>
      <w:r>
        <w:rPr>
          <w:rFonts w:hint="eastAsia" w:asciiTheme="minorEastAsia" w:hAnsiTheme="minorEastAsia" w:cstheme="minorEastAsia"/>
          <w:szCs w:val="24"/>
          <w:lang w:eastAsia="zh-CN"/>
        </w:rPr>
        <w:t>与洛德汇智基金签订《股份分配协议》。</w:t>
      </w:r>
    </w:p>
    <w:p w14:paraId="77500046">
      <w:pPr>
        <w:pStyle w:val="2"/>
        <w:rPr>
          <w:rFonts w:hint="eastAsia"/>
        </w:rPr>
      </w:pPr>
      <w:bookmarkStart w:id="1" w:name="_GoBack"/>
      <w:bookmarkEnd w:id="1"/>
    </w:p>
    <w:p w14:paraId="1D4B1261">
      <w:pPr>
        <w:keepNext w:val="0"/>
        <w:keepLines w:val="0"/>
        <w:pageBreakBefore w:val="0"/>
        <w:kinsoku/>
        <w:wordWrap/>
        <w:overflowPunct/>
        <w:topLinePunct w:val="0"/>
        <w:autoSpaceDE/>
        <w:autoSpaceDN/>
        <w:bidi w:val="0"/>
        <w:adjustRightInd w:val="0"/>
        <w:snapToGrid w:val="0"/>
        <w:spacing w:beforeLines="0" w:afterLines="0" w:line="360" w:lineRule="auto"/>
        <w:ind w:left="0" w:firstLine="482" w:firstLineChars="200"/>
        <w:jc w:val="both"/>
        <w:textAlignment w:val="auto"/>
        <w:outlineLvl w:val="0"/>
        <w:rPr>
          <w:rFonts w:hint="eastAsia" w:asciiTheme="minorEastAsia" w:hAnsiTheme="minorEastAsia" w:cstheme="minorEastAsia"/>
          <w:szCs w:val="24"/>
        </w:rPr>
      </w:pPr>
      <w:r>
        <w:rPr>
          <w:rFonts w:hint="eastAsia" w:asciiTheme="minorEastAsia" w:hAnsiTheme="minorEastAsia" w:eastAsiaTheme="minorEastAsia" w:cstheme="minorEastAsia"/>
          <w:b/>
          <w:sz w:val="24"/>
          <w:szCs w:val="24"/>
        </w:rPr>
        <w:t>四、对公司的影响及拟采取的应对措施</w:t>
      </w:r>
    </w:p>
    <w:p w14:paraId="227F812C">
      <w:pPr>
        <w:pStyle w:val="7"/>
        <w:keepNext w:val="0"/>
        <w:keepLines w:val="0"/>
        <w:pageBreakBefore w:val="0"/>
        <w:kinsoku/>
        <w:wordWrap/>
        <w:overflowPunct/>
        <w:topLinePunct w:val="0"/>
        <w:bidi w:val="0"/>
        <w:spacing w:before="0" w:beforeLines="0" w:afterLines="0" w:line="360" w:lineRule="auto"/>
        <w:ind w:left="0" w:firstLine="480" w:firstLineChars="200"/>
        <w:jc w:val="both"/>
        <w:textAlignment w:val="auto"/>
        <w:rPr>
          <w:rFonts w:hint="eastAsia" w:asciiTheme="minorEastAsia" w:hAnsiTheme="minorEastAsia" w:cstheme="minorEastAsia"/>
          <w:szCs w:val="24"/>
        </w:rPr>
      </w:pPr>
      <w:r>
        <w:rPr>
          <w:rFonts w:hint="eastAsia" w:cstheme="minorEastAsia"/>
        </w:rPr>
        <w:t>本次实物分配为基金延长期内的投资回收行为，</w:t>
      </w:r>
      <w:r>
        <w:rPr>
          <w:rFonts w:hint="eastAsia" w:asciiTheme="minorEastAsia" w:hAnsiTheme="minorEastAsia" w:cstheme="minorEastAsia"/>
          <w:szCs w:val="24"/>
        </w:rPr>
        <w:t>不会对本公司业绩和生产经营产生重大影响，不存在损害上市公司及全体股东特别是中小股东利益的情形。</w:t>
      </w:r>
      <w:r>
        <w:rPr>
          <w:rFonts w:hint="eastAsia" w:cstheme="minorEastAsia"/>
        </w:rPr>
        <w:t>本公司将持续跟踪并有效地推进已投项目的有序退出工作，密切关注投资基金的</w:t>
      </w:r>
      <w:r>
        <w:rPr>
          <w:rFonts w:hint="eastAsia" w:cstheme="minorEastAsia"/>
          <w:lang w:val="en-US" w:eastAsia="zh-CN"/>
        </w:rPr>
        <w:t>回收</w:t>
      </w:r>
      <w:r>
        <w:rPr>
          <w:rFonts w:hint="eastAsia" w:cstheme="minorEastAsia"/>
        </w:rPr>
        <w:t>情况，及时履行信息披露义务。</w:t>
      </w:r>
    </w:p>
    <w:p w14:paraId="613852FA">
      <w:pPr>
        <w:keepNext w:val="0"/>
        <w:keepLines w:val="0"/>
        <w:pageBreakBefore w:val="0"/>
        <w:kinsoku/>
        <w:wordWrap/>
        <w:overflowPunct/>
        <w:topLinePunct w:val="0"/>
        <w:bidi w:val="0"/>
        <w:spacing w:beforeLines="0" w:afterLines="0" w:line="360" w:lineRule="auto"/>
        <w:ind w:left="0" w:firstLine="480" w:firstLineChars="200"/>
        <w:jc w:val="both"/>
        <w:textAlignment w:val="auto"/>
        <w:rPr>
          <w:rFonts w:hint="eastAsia" w:asciiTheme="minorEastAsia" w:hAnsiTheme="minorEastAsia" w:cstheme="minorEastAsia"/>
          <w:szCs w:val="24"/>
        </w:rPr>
      </w:pPr>
      <w:r>
        <w:rPr>
          <w:rFonts w:hint="eastAsia" w:asciiTheme="minorEastAsia" w:hAnsiTheme="minorEastAsia" w:cstheme="minorEastAsia"/>
          <w:szCs w:val="24"/>
        </w:rPr>
        <w:t>为切实维护公司和股东权益，本公司将积极关注目标银行的经营发展。同时，由于相关股</w:t>
      </w:r>
      <w:r>
        <w:rPr>
          <w:rFonts w:hint="eastAsia" w:asciiTheme="minorEastAsia" w:hAnsiTheme="minorEastAsia" w:cstheme="minorEastAsia"/>
          <w:szCs w:val="24"/>
          <w:lang w:val="en-US" w:eastAsia="zh-CN"/>
        </w:rPr>
        <w:t>份价值</w:t>
      </w:r>
      <w:r>
        <w:rPr>
          <w:rFonts w:hint="eastAsia" w:asciiTheme="minorEastAsia" w:hAnsiTheme="minorEastAsia" w:cstheme="minorEastAsia"/>
          <w:szCs w:val="24"/>
        </w:rPr>
        <w:t>不同程度受到宏观经济、行业周期、市场政策等多种因素影响，可能存在</w:t>
      </w:r>
      <w:r>
        <w:rPr>
          <w:rFonts w:hint="eastAsia" w:asciiTheme="minorEastAsia" w:hAnsiTheme="minorEastAsia" w:cstheme="minorEastAsia"/>
          <w:szCs w:val="24"/>
          <w:lang w:val="en-US" w:eastAsia="zh-CN"/>
        </w:rPr>
        <w:t>经营</w:t>
      </w:r>
      <w:r>
        <w:rPr>
          <w:rFonts w:hint="eastAsia" w:asciiTheme="minorEastAsia" w:hAnsiTheme="minorEastAsia" w:cstheme="minorEastAsia"/>
          <w:szCs w:val="24"/>
        </w:rPr>
        <w:t>效益不达预期或者亏损的风险，敬请广大投资者注意投资风险。</w:t>
      </w:r>
    </w:p>
    <w:p w14:paraId="280C7F32">
      <w:pPr>
        <w:pStyle w:val="7"/>
        <w:spacing w:beforeLines="0" w:afterLines="0"/>
        <w:ind w:left="0"/>
        <w:rPr>
          <w:rFonts w:hint="eastAsia" w:cstheme="minorEastAsia"/>
        </w:rPr>
      </w:pPr>
    </w:p>
    <w:p w14:paraId="15D1E231">
      <w:pPr>
        <w:adjustRightInd w:val="0"/>
        <w:snapToGrid w:val="0"/>
        <w:ind w:firstLine="480"/>
        <w:jc w:val="left"/>
        <w:rPr>
          <w:rFonts w:hint="eastAsia" w:asciiTheme="minorEastAsia" w:hAnsiTheme="minorEastAsia" w:cstheme="minorEastAsia"/>
          <w:szCs w:val="24"/>
        </w:rPr>
      </w:pPr>
      <w:r>
        <w:rPr>
          <w:rFonts w:hint="eastAsia" w:asciiTheme="minorEastAsia" w:hAnsiTheme="minorEastAsia" w:cstheme="minorEastAsia"/>
          <w:szCs w:val="24"/>
        </w:rPr>
        <w:t>特此公告。</w:t>
      </w:r>
    </w:p>
    <w:p w14:paraId="34B75AC0">
      <w:pPr>
        <w:adjustRightInd w:val="0"/>
        <w:snapToGrid w:val="0"/>
        <w:ind w:firstLine="480"/>
        <w:rPr>
          <w:rFonts w:hint="eastAsia" w:asciiTheme="minorEastAsia" w:hAnsiTheme="minorEastAsia" w:cstheme="minorEastAsia"/>
          <w:szCs w:val="24"/>
        </w:rPr>
      </w:pPr>
    </w:p>
    <w:p w14:paraId="499BE010">
      <w:pPr>
        <w:adjustRightInd w:val="0"/>
        <w:snapToGrid w:val="0"/>
        <w:ind w:firstLine="480"/>
        <w:jc w:val="right"/>
        <w:rPr>
          <w:rFonts w:hint="eastAsia" w:asciiTheme="minorEastAsia" w:hAnsiTheme="minorEastAsia" w:cstheme="minorEastAsia"/>
          <w:szCs w:val="24"/>
        </w:rPr>
      </w:pPr>
      <w:r>
        <w:rPr>
          <w:rFonts w:hint="eastAsia" w:asciiTheme="minorEastAsia" w:hAnsiTheme="minorEastAsia" w:cstheme="minorEastAsia"/>
          <w:szCs w:val="24"/>
        </w:rPr>
        <w:t>江苏宁沪高速公路股份有限公司董事会</w:t>
      </w:r>
    </w:p>
    <w:p w14:paraId="5F7A6BCC">
      <w:pPr>
        <w:adjustRightInd w:val="0"/>
        <w:snapToGrid w:val="0"/>
        <w:ind w:firstLine="480"/>
        <w:jc w:val="right"/>
        <w:rPr>
          <w:rFonts w:hint="eastAsia" w:asciiTheme="minorEastAsia" w:hAnsiTheme="minorEastAsia" w:cstheme="minorEastAsia"/>
          <w:szCs w:val="24"/>
        </w:rPr>
      </w:pPr>
      <w:r>
        <w:rPr>
          <w:rFonts w:hint="eastAsia" w:asciiTheme="minorEastAsia" w:hAnsiTheme="minorEastAsia" w:cstheme="minorEastAsia"/>
          <w:szCs w:val="24"/>
        </w:rPr>
        <w:t>2026年 3月 30 日</w:t>
      </w:r>
    </w:p>
    <w:p w14:paraId="4AD17D97">
      <w:pPr>
        <w:widowControl/>
        <w:adjustRightInd w:val="0"/>
        <w:snapToGrid w:val="0"/>
        <w:ind w:firstLine="480"/>
        <w:jc w:val="left"/>
        <w:rPr>
          <w:rFonts w:hint="eastAsia" w:asciiTheme="minorEastAsia" w:hAnsiTheme="minorEastAsia" w:cstheme="minorEastAsia"/>
          <w:szCs w:val="24"/>
        </w:rPr>
      </w:pPr>
    </w:p>
    <w:p w14:paraId="01259FC2">
      <w:pPr>
        <w:ind w:firstLine="482"/>
        <w:jc w:val="right"/>
        <w:rPr>
          <w:rFonts w:hint="eastAsia" w:asciiTheme="minorEastAsia" w:hAnsiTheme="minorEastAsia"/>
          <w:b/>
          <w:szCs w:val="24"/>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Book Antiqua">
    <w:panose1 w:val="02040602050305030304"/>
    <w:charset w:val="00"/>
    <w:family w:val="roman"/>
    <w:pitch w:val="default"/>
    <w:sig w:usb0="00000287" w:usb1="00000000" w:usb2="00000000" w:usb3="00000000" w:csb0="2000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C67AE">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03EC9">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87B07">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ind w:firstLine="480"/>
      </w:pPr>
      <w:r>
        <w:separator/>
      </w:r>
    </w:p>
  </w:footnote>
  <w:footnote w:type="continuationSeparator" w:id="3">
    <w:p>
      <w:pPr>
        <w:spacing w:line="240" w:lineRule="auto"/>
        <w:ind w:firstLine="480"/>
      </w:pPr>
      <w:r>
        <w:continuationSeparator/>
      </w:r>
    </w:p>
  </w:footnote>
  <w:footnote w:id="0">
    <w:p w14:paraId="6E7BC4DD">
      <w:pPr>
        <w:pStyle w:val="7"/>
        <w:keepNext w:val="0"/>
        <w:keepLines w:val="0"/>
        <w:pageBreakBefore w:val="0"/>
        <w:kinsoku/>
        <w:wordWrap/>
        <w:overflowPunct/>
        <w:topLinePunct w:val="0"/>
        <w:bidi w:val="0"/>
        <w:spacing w:before="0" w:beforeLines="0" w:afterLines="0" w:line="360" w:lineRule="auto"/>
        <w:ind w:left="0" w:firstLine="480" w:firstLineChars="200"/>
        <w:jc w:val="both"/>
        <w:textAlignment w:val="auto"/>
        <w:rPr>
          <w:rFonts w:hint="eastAsia" w:ascii="仿宋_GB2312" w:hAnsi="仿宋_GB2312" w:eastAsia="仿宋_GB2312" w:cs="仿宋_GB2312"/>
          <w:b/>
          <w:sz w:val="21"/>
          <w:szCs w:val="21"/>
        </w:rPr>
      </w:pPr>
      <w:r>
        <w:rPr>
          <w:rStyle w:val="19"/>
        </w:rPr>
        <w:footnoteRef/>
      </w:r>
      <w:r>
        <w:t xml:space="preserve"> </w:t>
      </w:r>
      <w:r>
        <w:rPr>
          <w:rFonts w:hint="eastAsia" w:ascii="仿宋_GB2312" w:hAnsi="仿宋_GB2312" w:eastAsia="仿宋_GB2312" w:cs="仿宋_GB2312"/>
          <w:sz w:val="21"/>
          <w:szCs w:val="21"/>
        </w:rPr>
        <w:t>厦门国际银行股份有限公司成立于1985年，总部位于厦门，2013年改制为中资商业银行，是福建省属重点国有金融机构。旗下拥有澳门国际银行、集友银行两家境外附属机构，在境内外设有多家营业机构，业务涵盖商业银行各领域，资质完备，运营规范。</w:t>
      </w:r>
    </w:p>
    <w:p w14:paraId="19901FBC">
      <w:pPr>
        <w:pStyle w:val="11"/>
        <w:snapToGrid w:val="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91770">
    <w:pPr>
      <w:pStyle w:val="10"/>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57AE9">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F0FF10">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9EBDED"/>
    <w:multiLevelType w:val="singleLevel"/>
    <w:tmpl w:val="9E9EBDE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footnotePr>
    <w:footnote w:id="2"/>
    <w:footnote w:id="3"/>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isclosure_Version" w:val="true"/>
    <w:docVar w:name="RemovedBindingXPath" w:val="true"/>
  </w:docVars>
  <w:rsids>
    <w:rsidRoot w:val="008C5DB8"/>
    <w:rsid w:val="00004EF0"/>
    <w:rsid w:val="0000544D"/>
    <w:rsid w:val="0000622B"/>
    <w:rsid w:val="00007894"/>
    <w:rsid w:val="00011B58"/>
    <w:rsid w:val="00011D6B"/>
    <w:rsid w:val="00011E7C"/>
    <w:rsid w:val="000134A9"/>
    <w:rsid w:val="00013C7A"/>
    <w:rsid w:val="00014DAA"/>
    <w:rsid w:val="0001513D"/>
    <w:rsid w:val="00016A68"/>
    <w:rsid w:val="00017DF4"/>
    <w:rsid w:val="000209EB"/>
    <w:rsid w:val="00023FE2"/>
    <w:rsid w:val="00024791"/>
    <w:rsid w:val="00024B0F"/>
    <w:rsid w:val="000316A0"/>
    <w:rsid w:val="000316DE"/>
    <w:rsid w:val="000318EE"/>
    <w:rsid w:val="000320FF"/>
    <w:rsid w:val="000329AD"/>
    <w:rsid w:val="00033287"/>
    <w:rsid w:val="00036E39"/>
    <w:rsid w:val="000415E2"/>
    <w:rsid w:val="00041AFF"/>
    <w:rsid w:val="00041B70"/>
    <w:rsid w:val="0005296D"/>
    <w:rsid w:val="0005330F"/>
    <w:rsid w:val="000552DE"/>
    <w:rsid w:val="00055BB1"/>
    <w:rsid w:val="00055D12"/>
    <w:rsid w:val="0005649D"/>
    <w:rsid w:val="00057954"/>
    <w:rsid w:val="00057AAF"/>
    <w:rsid w:val="0006154D"/>
    <w:rsid w:val="00061EF5"/>
    <w:rsid w:val="000657A0"/>
    <w:rsid w:val="00071209"/>
    <w:rsid w:val="00071335"/>
    <w:rsid w:val="000715B9"/>
    <w:rsid w:val="00071DCE"/>
    <w:rsid w:val="00071DFD"/>
    <w:rsid w:val="00071EFB"/>
    <w:rsid w:val="0007584E"/>
    <w:rsid w:val="0007700C"/>
    <w:rsid w:val="00083392"/>
    <w:rsid w:val="000843BF"/>
    <w:rsid w:val="000847A8"/>
    <w:rsid w:val="0008599D"/>
    <w:rsid w:val="0008617F"/>
    <w:rsid w:val="00091B04"/>
    <w:rsid w:val="00091E1F"/>
    <w:rsid w:val="00093A5E"/>
    <w:rsid w:val="00094CDA"/>
    <w:rsid w:val="00095035"/>
    <w:rsid w:val="0009529B"/>
    <w:rsid w:val="0009688B"/>
    <w:rsid w:val="00096AF6"/>
    <w:rsid w:val="00097314"/>
    <w:rsid w:val="000A0447"/>
    <w:rsid w:val="000A0B83"/>
    <w:rsid w:val="000A0BA2"/>
    <w:rsid w:val="000A2CC0"/>
    <w:rsid w:val="000A2F81"/>
    <w:rsid w:val="000A5346"/>
    <w:rsid w:val="000A581B"/>
    <w:rsid w:val="000A777E"/>
    <w:rsid w:val="000A779D"/>
    <w:rsid w:val="000B1C0F"/>
    <w:rsid w:val="000B26F4"/>
    <w:rsid w:val="000B2D61"/>
    <w:rsid w:val="000B5402"/>
    <w:rsid w:val="000B61DD"/>
    <w:rsid w:val="000B6EFB"/>
    <w:rsid w:val="000C126A"/>
    <w:rsid w:val="000C1CD5"/>
    <w:rsid w:val="000C26F1"/>
    <w:rsid w:val="000C2BA7"/>
    <w:rsid w:val="000C4D9C"/>
    <w:rsid w:val="000C4F6E"/>
    <w:rsid w:val="000D0554"/>
    <w:rsid w:val="000D408E"/>
    <w:rsid w:val="000D4135"/>
    <w:rsid w:val="000D46D2"/>
    <w:rsid w:val="000D70E1"/>
    <w:rsid w:val="000D71C2"/>
    <w:rsid w:val="000E2BD7"/>
    <w:rsid w:val="000E4C4B"/>
    <w:rsid w:val="000E5CEE"/>
    <w:rsid w:val="000E5D69"/>
    <w:rsid w:val="000E65BF"/>
    <w:rsid w:val="000F2FE3"/>
    <w:rsid w:val="000F32A6"/>
    <w:rsid w:val="000F39F7"/>
    <w:rsid w:val="000F4243"/>
    <w:rsid w:val="00102EE0"/>
    <w:rsid w:val="00105374"/>
    <w:rsid w:val="00110400"/>
    <w:rsid w:val="00110C53"/>
    <w:rsid w:val="00110FD3"/>
    <w:rsid w:val="00111FD6"/>
    <w:rsid w:val="00117BC7"/>
    <w:rsid w:val="00120E15"/>
    <w:rsid w:val="00121EB3"/>
    <w:rsid w:val="00123A27"/>
    <w:rsid w:val="0013329D"/>
    <w:rsid w:val="001345D6"/>
    <w:rsid w:val="00135412"/>
    <w:rsid w:val="00136B4D"/>
    <w:rsid w:val="00142572"/>
    <w:rsid w:val="00142BE7"/>
    <w:rsid w:val="001445A8"/>
    <w:rsid w:val="00144A2D"/>
    <w:rsid w:val="00145AE4"/>
    <w:rsid w:val="00146AE6"/>
    <w:rsid w:val="00147BA3"/>
    <w:rsid w:val="001509BD"/>
    <w:rsid w:val="00154ECD"/>
    <w:rsid w:val="00154F63"/>
    <w:rsid w:val="00156132"/>
    <w:rsid w:val="001615EE"/>
    <w:rsid w:val="001627BA"/>
    <w:rsid w:val="001635C5"/>
    <w:rsid w:val="001656ED"/>
    <w:rsid w:val="001745A0"/>
    <w:rsid w:val="00174FAC"/>
    <w:rsid w:val="001763D0"/>
    <w:rsid w:val="00183AD3"/>
    <w:rsid w:val="00185D57"/>
    <w:rsid w:val="00186AC7"/>
    <w:rsid w:val="0019044B"/>
    <w:rsid w:val="00191625"/>
    <w:rsid w:val="00191AE4"/>
    <w:rsid w:val="00192312"/>
    <w:rsid w:val="00192FA9"/>
    <w:rsid w:val="00193328"/>
    <w:rsid w:val="001953C1"/>
    <w:rsid w:val="00196385"/>
    <w:rsid w:val="00196816"/>
    <w:rsid w:val="001A2E2D"/>
    <w:rsid w:val="001A3084"/>
    <w:rsid w:val="001A4B40"/>
    <w:rsid w:val="001A5AD2"/>
    <w:rsid w:val="001A6EA4"/>
    <w:rsid w:val="001B0753"/>
    <w:rsid w:val="001B0861"/>
    <w:rsid w:val="001B0FAE"/>
    <w:rsid w:val="001B11FC"/>
    <w:rsid w:val="001B3894"/>
    <w:rsid w:val="001B39F3"/>
    <w:rsid w:val="001B403D"/>
    <w:rsid w:val="001B7DD7"/>
    <w:rsid w:val="001C0B03"/>
    <w:rsid w:val="001C1F7E"/>
    <w:rsid w:val="001C20B5"/>
    <w:rsid w:val="001C2826"/>
    <w:rsid w:val="001C3E4D"/>
    <w:rsid w:val="001C3E6D"/>
    <w:rsid w:val="001C61C9"/>
    <w:rsid w:val="001C6DB0"/>
    <w:rsid w:val="001D05A4"/>
    <w:rsid w:val="001D157D"/>
    <w:rsid w:val="001D269D"/>
    <w:rsid w:val="001D5AFC"/>
    <w:rsid w:val="001D5BCD"/>
    <w:rsid w:val="001D5FB4"/>
    <w:rsid w:val="001D6ABC"/>
    <w:rsid w:val="001E1D88"/>
    <w:rsid w:val="001E6D93"/>
    <w:rsid w:val="001E75C4"/>
    <w:rsid w:val="001F1AEC"/>
    <w:rsid w:val="001F2083"/>
    <w:rsid w:val="001F422F"/>
    <w:rsid w:val="001F6B2B"/>
    <w:rsid w:val="00202534"/>
    <w:rsid w:val="002048A3"/>
    <w:rsid w:val="00206BC7"/>
    <w:rsid w:val="00207652"/>
    <w:rsid w:val="00207743"/>
    <w:rsid w:val="00210883"/>
    <w:rsid w:val="00213781"/>
    <w:rsid w:val="00214ACE"/>
    <w:rsid w:val="00215E68"/>
    <w:rsid w:val="00216020"/>
    <w:rsid w:val="00216775"/>
    <w:rsid w:val="00221605"/>
    <w:rsid w:val="002217D3"/>
    <w:rsid w:val="00224529"/>
    <w:rsid w:val="0022784F"/>
    <w:rsid w:val="00230F96"/>
    <w:rsid w:val="00231D36"/>
    <w:rsid w:val="0023362A"/>
    <w:rsid w:val="002370D9"/>
    <w:rsid w:val="0024127B"/>
    <w:rsid w:val="002432E5"/>
    <w:rsid w:val="00244577"/>
    <w:rsid w:val="00250A64"/>
    <w:rsid w:val="00254100"/>
    <w:rsid w:val="00254558"/>
    <w:rsid w:val="0025534A"/>
    <w:rsid w:val="00260131"/>
    <w:rsid w:val="0026315D"/>
    <w:rsid w:val="00264A3A"/>
    <w:rsid w:val="00264CAD"/>
    <w:rsid w:val="002659BF"/>
    <w:rsid w:val="00265D6C"/>
    <w:rsid w:val="00265E5F"/>
    <w:rsid w:val="0026718A"/>
    <w:rsid w:val="00272C91"/>
    <w:rsid w:val="00272F07"/>
    <w:rsid w:val="00275078"/>
    <w:rsid w:val="00276EB0"/>
    <w:rsid w:val="00277C1E"/>
    <w:rsid w:val="00281CD4"/>
    <w:rsid w:val="002820C2"/>
    <w:rsid w:val="0028573B"/>
    <w:rsid w:val="002859DB"/>
    <w:rsid w:val="00287F68"/>
    <w:rsid w:val="00290FC6"/>
    <w:rsid w:val="002930BD"/>
    <w:rsid w:val="002948E5"/>
    <w:rsid w:val="00295147"/>
    <w:rsid w:val="00295A30"/>
    <w:rsid w:val="002969F3"/>
    <w:rsid w:val="00296B71"/>
    <w:rsid w:val="002A2075"/>
    <w:rsid w:val="002A20B3"/>
    <w:rsid w:val="002A3368"/>
    <w:rsid w:val="002A3520"/>
    <w:rsid w:val="002A40E8"/>
    <w:rsid w:val="002A5BD6"/>
    <w:rsid w:val="002A6062"/>
    <w:rsid w:val="002B03CC"/>
    <w:rsid w:val="002B0DEC"/>
    <w:rsid w:val="002B3462"/>
    <w:rsid w:val="002B7FB0"/>
    <w:rsid w:val="002C0A13"/>
    <w:rsid w:val="002C1998"/>
    <w:rsid w:val="002C4298"/>
    <w:rsid w:val="002C50E6"/>
    <w:rsid w:val="002C51A6"/>
    <w:rsid w:val="002C578E"/>
    <w:rsid w:val="002C73D0"/>
    <w:rsid w:val="002D06DF"/>
    <w:rsid w:val="002D11F5"/>
    <w:rsid w:val="002D1C0D"/>
    <w:rsid w:val="002D7A46"/>
    <w:rsid w:val="002E0F85"/>
    <w:rsid w:val="002E17BB"/>
    <w:rsid w:val="002E3CFE"/>
    <w:rsid w:val="002E5862"/>
    <w:rsid w:val="002E673D"/>
    <w:rsid w:val="002E6FED"/>
    <w:rsid w:val="002F0218"/>
    <w:rsid w:val="002F4615"/>
    <w:rsid w:val="002F7887"/>
    <w:rsid w:val="003006FD"/>
    <w:rsid w:val="00300E0C"/>
    <w:rsid w:val="003068DE"/>
    <w:rsid w:val="00306CA5"/>
    <w:rsid w:val="003071F3"/>
    <w:rsid w:val="00311E9F"/>
    <w:rsid w:val="00317BC2"/>
    <w:rsid w:val="003216A9"/>
    <w:rsid w:val="0032367F"/>
    <w:rsid w:val="00323A21"/>
    <w:rsid w:val="0032458D"/>
    <w:rsid w:val="003253F1"/>
    <w:rsid w:val="00325654"/>
    <w:rsid w:val="0032604F"/>
    <w:rsid w:val="00331C12"/>
    <w:rsid w:val="00335113"/>
    <w:rsid w:val="0033790F"/>
    <w:rsid w:val="00337BE0"/>
    <w:rsid w:val="003402FE"/>
    <w:rsid w:val="003428F3"/>
    <w:rsid w:val="003435A0"/>
    <w:rsid w:val="00343A1C"/>
    <w:rsid w:val="0034755D"/>
    <w:rsid w:val="00352FEF"/>
    <w:rsid w:val="0035344A"/>
    <w:rsid w:val="00353872"/>
    <w:rsid w:val="00354018"/>
    <w:rsid w:val="00355E1B"/>
    <w:rsid w:val="00356E10"/>
    <w:rsid w:val="00357EA0"/>
    <w:rsid w:val="00361700"/>
    <w:rsid w:val="00364663"/>
    <w:rsid w:val="003651DF"/>
    <w:rsid w:val="003653F5"/>
    <w:rsid w:val="00366CCD"/>
    <w:rsid w:val="00367453"/>
    <w:rsid w:val="00370B90"/>
    <w:rsid w:val="00374A19"/>
    <w:rsid w:val="00375B9C"/>
    <w:rsid w:val="00376606"/>
    <w:rsid w:val="003766EF"/>
    <w:rsid w:val="00383379"/>
    <w:rsid w:val="003843C8"/>
    <w:rsid w:val="0038738F"/>
    <w:rsid w:val="00393988"/>
    <w:rsid w:val="00394A8C"/>
    <w:rsid w:val="00395F09"/>
    <w:rsid w:val="00396692"/>
    <w:rsid w:val="003966B0"/>
    <w:rsid w:val="003A016D"/>
    <w:rsid w:val="003A041B"/>
    <w:rsid w:val="003A3353"/>
    <w:rsid w:val="003A5862"/>
    <w:rsid w:val="003A594F"/>
    <w:rsid w:val="003A6E06"/>
    <w:rsid w:val="003B142A"/>
    <w:rsid w:val="003B5C0B"/>
    <w:rsid w:val="003B6F09"/>
    <w:rsid w:val="003B772C"/>
    <w:rsid w:val="003C0DA5"/>
    <w:rsid w:val="003C16A8"/>
    <w:rsid w:val="003C29C4"/>
    <w:rsid w:val="003C6D08"/>
    <w:rsid w:val="003D0C6A"/>
    <w:rsid w:val="003D4895"/>
    <w:rsid w:val="003D508E"/>
    <w:rsid w:val="003E1749"/>
    <w:rsid w:val="003E2F2A"/>
    <w:rsid w:val="003E2F5B"/>
    <w:rsid w:val="003E4198"/>
    <w:rsid w:val="003E4F31"/>
    <w:rsid w:val="003E6330"/>
    <w:rsid w:val="003F03CB"/>
    <w:rsid w:val="003F333E"/>
    <w:rsid w:val="003F59BF"/>
    <w:rsid w:val="003F619C"/>
    <w:rsid w:val="003F651E"/>
    <w:rsid w:val="004022C5"/>
    <w:rsid w:val="00404DF5"/>
    <w:rsid w:val="00405849"/>
    <w:rsid w:val="00405F2E"/>
    <w:rsid w:val="0040650F"/>
    <w:rsid w:val="004150E8"/>
    <w:rsid w:val="00423B5B"/>
    <w:rsid w:val="004240D4"/>
    <w:rsid w:val="00424E22"/>
    <w:rsid w:val="00425642"/>
    <w:rsid w:val="00426491"/>
    <w:rsid w:val="00427543"/>
    <w:rsid w:val="00430B69"/>
    <w:rsid w:val="0043754A"/>
    <w:rsid w:val="00437CE1"/>
    <w:rsid w:val="0044168F"/>
    <w:rsid w:val="00442A1B"/>
    <w:rsid w:val="004443A8"/>
    <w:rsid w:val="00444D15"/>
    <w:rsid w:val="004452CF"/>
    <w:rsid w:val="004462D1"/>
    <w:rsid w:val="00446E52"/>
    <w:rsid w:val="00447880"/>
    <w:rsid w:val="00456AB7"/>
    <w:rsid w:val="0046022C"/>
    <w:rsid w:val="00460544"/>
    <w:rsid w:val="0046389B"/>
    <w:rsid w:val="004640B3"/>
    <w:rsid w:val="004677A9"/>
    <w:rsid w:val="004700D5"/>
    <w:rsid w:val="00471C18"/>
    <w:rsid w:val="00472CF3"/>
    <w:rsid w:val="004770E5"/>
    <w:rsid w:val="004808F7"/>
    <w:rsid w:val="00482007"/>
    <w:rsid w:val="004824A9"/>
    <w:rsid w:val="0048261B"/>
    <w:rsid w:val="0048475F"/>
    <w:rsid w:val="00484A20"/>
    <w:rsid w:val="00484CD8"/>
    <w:rsid w:val="00490CC5"/>
    <w:rsid w:val="00491D85"/>
    <w:rsid w:val="00491EA0"/>
    <w:rsid w:val="004923D4"/>
    <w:rsid w:val="00493080"/>
    <w:rsid w:val="0049605D"/>
    <w:rsid w:val="00496916"/>
    <w:rsid w:val="004A1747"/>
    <w:rsid w:val="004A1FDB"/>
    <w:rsid w:val="004A2D0E"/>
    <w:rsid w:val="004A330D"/>
    <w:rsid w:val="004A3F7D"/>
    <w:rsid w:val="004A4FC9"/>
    <w:rsid w:val="004A6E2D"/>
    <w:rsid w:val="004A6E8A"/>
    <w:rsid w:val="004B1154"/>
    <w:rsid w:val="004B13A6"/>
    <w:rsid w:val="004B1C50"/>
    <w:rsid w:val="004B2D4F"/>
    <w:rsid w:val="004B35E5"/>
    <w:rsid w:val="004B6EAD"/>
    <w:rsid w:val="004B72D1"/>
    <w:rsid w:val="004B735F"/>
    <w:rsid w:val="004B744D"/>
    <w:rsid w:val="004C2C49"/>
    <w:rsid w:val="004C6011"/>
    <w:rsid w:val="004C7913"/>
    <w:rsid w:val="004D2D6C"/>
    <w:rsid w:val="004D2FF1"/>
    <w:rsid w:val="004D4A66"/>
    <w:rsid w:val="004D55A9"/>
    <w:rsid w:val="004D6C6D"/>
    <w:rsid w:val="004D6D5C"/>
    <w:rsid w:val="004D76A4"/>
    <w:rsid w:val="004E35CE"/>
    <w:rsid w:val="004E6841"/>
    <w:rsid w:val="004E760B"/>
    <w:rsid w:val="004F0079"/>
    <w:rsid w:val="004F0C29"/>
    <w:rsid w:val="004F0C8D"/>
    <w:rsid w:val="004F383D"/>
    <w:rsid w:val="004F3E45"/>
    <w:rsid w:val="004F5D84"/>
    <w:rsid w:val="004F75C1"/>
    <w:rsid w:val="004F7871"/>
    <w:rsid w:val="005008F9"/>
    <w:rsid w:val="00501DE4"/>
    <w:rsid w:val="00502892"/>
    <w:rsid w:val="00503448"/>
    <w:rsid w:val="00503EC5"/>
    <w:rsid w:val="00504C06"/>
    <w:rsid w:val="0050528F"/>
    <w:rsid w:val="0050633D"/>
    <w:rsid w:val="00507910"/>
    <w:rsid w:val="0051261C"/>
    <w:rsid w:val="0051318F"/>
    <w:rsid w:val="00513AA2"/>
    <w:rsid w:val="005173B0"/>
    <w:rsid w:val="00521184"/>
    <w:rsid w:val="0052542D"/>
    <w:rsid w:val="00526671"/>
    <w:rsid w:val="00530B9D"/>
    <w:rsid w:val="00530BC3"/>
    <w:rsid w:val="0053277A"/>
    <w:rsid w:val="00533839"/>
    <w:rsid w:val="0053497E"/>
    <w:rsid w:val="005355FC"/>
    <w:rsid w:val="00536579"/>
    <w:rsid w:val="00536BBF"/>
    <w:rsid w:val="00537CD7"/>
    <w:rsid w:val="005411B5"/>
    <w:rsid w:val="00541D93"/>
    <w:rsid w:val="00543F21"/>
    <w:rsid w:val="00544318"/>
    <w:rsid w:val="005443EB"/>
    <w:rsid w:val="00545344"/>
    <w:rsid w:val="005465C2"/>
    <w:rsid w:val="00547C23"/>
    <w:rsid w:val="00550CD6"/>
    <w:rsid w:val="0055150E"/>
    <w:rsid w:val="005543F1"/>
    <w:rsid w:val="00554723"/>
    <w:rsid w:val="0055573D"/>
    <w:rsid w:val="00555DE5"/>
    <w:rsid w:val="00560B7B"/>
    <w:rsid w:val="00561A5A"/>
    <w:rsid w:val="005633F3"/>
    <w:rsid w:val="005658C9"/>
    <w:rsid w:val="005755D1"/>
    <w:rsid w:val="00580A5C"/>
    <w:rsid w:val="0058191C"/>
    <w:rsid w:val="00581D6A"/>
    <w:rsid w:val="005876FC"/>
    <w:rsid w:val="0059056B"/>
    <w:rsid w:val="00591B49"/>
    <w:rsid w:val="0059356D"/>
    <w:rsid w:val="00594A91"/>
    <w:rsid w:val="005970A7"/>
    <w:rsid w:val="005A1457"/>
    <w:rsid w:val="005A1EDA"/>
    <w:rsid w:val="005A26F2"/>
    <w:rsid w:val="005A2FBD"/>
    <w:rsid w:val="005A53C1"/>
    <w:rsid w:val="005A5B25"/>
    <w:rsid w:val="005A5C2E"/>
    <w:rsid w:val="005B236C"/>
    <w:rsid w:val="005B4D00"/>
    <w:rsid w:val="005B4EB2"/>
    <w:rsid w:val="005C0F43"/>
    <w:rsid w:val="005C1B88"/>
    <w:rsid w:val="005C33A2"/>
    <w:rsid w:val="005C5246"/>
    <w:rsid w:val="005C5D26"/>
    <w:rsid w:val="005D4820"/>
    <w:rsid w:val="005D5B49"/>
    <w:rsid w:val="005D6496"/>
    <w:rsid w:val="005D6A27"/>
    <w:rsid w:val="005D7D35"/>
    <w:rsid w:val="005E05A5"/>
    <w:rsid w:val="005E0600"/>
    <w:rsid w:val="005E0636"/>
    <w:rsid w:val="005E1DCC"/>
    <w:rsid w:val="005E1E6C"/>
    <w:rsid w:val="005E1F3C"/>
    <w:rsid w:val="005E2BF5"/>
    <w:rsid w:val="005E344D"/>
    <w:rsid w:val="005E70DF"/>
    <w:rsid w:val="005F0412"/>
    <w:rsid w:val="005F0F25"/>
    <w:rsid w:val="005F0FC0"/>
    <w:rsid w:val="005F24D8"/>
    <w:rsid w:val="005F5073"/>
    <w:rsid w:val="005F6043"/>
    <w:rsid w:val="006026D7"/>
    <w:rsid w:val="00603347"/>
    <w:rsid w:val="00604BA9"/>
    <w:rsid w:val="00606026"/>
    <w:rsid w:val="0060615A"/>
    <w:rsid w:val="00607A44"/>
    <w:rsid w:val="00610692"/>
    <w:rsid w:val="00610DA7"/>
    <w:rsid w:val="00611348"/>
    <w:rsid w:val="006136ED"/>
    <w:rsid w:val="006149BA"/>
    <w:rsid w:val="00617BE8"/>
    <w:rsid w:val="00617F9F"/>
    <w:rsid w:val="006208E7"/>
    <w:rsid w:val="00621CB3"/>
    <w:rsid w:val="00622196"/>
    <w:rsid w:val="00624BC4"/>
    <w:rsid w:val="00630145"/>
    <w:rsid w:val="006310D7"/>
    <w:rsid w:val="00631286"/>
    <w:rsid w:val="006315A8"/>
    <w:rsid w:val="00637BBF"/>
    <w:rsid w:val="00637D27"/>
    <w:rsid w:val="00637D82"/>
    <w:rsid w:val="00640106"/>
    <w:rsid w:val="00641D09"/>
    <w:rsid w:val="00644C25"/>
    <w:rsid w:val="0064661F"/>
    <w:rsid w:val="0064773D"/>
    <w:rsid w:val="0064798C"/>
    <w:rsid w:val="00650B0F"/>
    <w:rsid w:val="00652AAD"/>
    <w:rsid w:val="00654590"/>
    <w:rsid w:val="00654F20"/>
    <w:rsid w:val="0065550D"/>
    <w:rsid w:val="00657CE9"/>
    <w:rsid w:val="006634E1"/>
    <w:rsid w:val="006639A1"/>
    <w:rsid w:val="00674103"/>
    <w:rsid w:val="00674AEB"/>
    <w:rsid w:val="00675CB6"/>
    <w:rsid w:val="006775D3"/>
    <w:rsid w:val="006800B3"/>
    <w:rsid w:val="00681310"/>
    <w:rsid w:val="00681474"/>
    <w:rsid w:val="00681F63"/>
    <w:rsid w:val="00686268"/>
    <w:rsid w:val="00687D54"/>
    <w:rsid w:val="00690A11"/>
    <w:rsid w:val="00692118"/>
    <w:rsid w:val="00692532"/>
    <w:rsid w:val="00695C7D"/>
    <w:rsid w:val="0069742F"/>
    <w:rsid w:val="006A0A03"/>
    <w:rsid w:val="006A2470"/>
    <w:rsid w:val="006A2D38"/>
    <w:rsid w:val="006A7E6C"/>
    <w:rsid w:val="006B3409"/>
    <w:rsid w:val="006B56A9"/>
    <w:rsid w:val="006B6815"/>
    <w:rsid w:val="006C1BEB"/>
    <w:rsid w:val="006C3189"/>
    <w:rsid w:val="006C6684"/>
    <w:rsid w:val="006C6BCF"/>
    <w:rsid w:val="006C6E81"/>
    <w:rsid w:val="006D219E"/>
    <w:rsid w:val="006D26B5"/>
    <w:rsid w:val="006D2DEE"/>
    <w:rsid w:val="006D420A"/>
    <w:rsid w:val="006D553C"/>
    <w:rsid w:val="006D6908"/>
    <w:rsid w:val="006D6B22"/>
    <w:rsid w:val="006E4344"/>
    <w:rsid w:val="006E5D45"/>
    <w:rsid w:val="006E6123"/>
    <w:rsid w:val="006E6358"/>
    <w:rsid w:val="006E69C1"/>
    <w:rsid w:val="006F42F8"/>
    <w:rsid w:val="006F53B5"/>
    <w:rsid w:val="006F6D69"/>
    <w:rsid w:val="006F7462"/>
    <w:rsid w:val="00700132"/>
    <w:rsid w:val="00702F53"/>
    <w:rsid w:val="00703E29"/>
    <w:rsid w:val="0070411A"/>
    <w:rsid w:val="00704EED"/>
    <w:rsid w:val="00707527"/>
    <w:rsid w:val="0071102F"/>
    <w:rsid w:val="00713304"/>
    <w:rsid w:val="007138A7"/>
    <w:rsid w:val="007138E6"/>
    <w:rsid w:val="00715DED"/>
    <w:rsid w:val="00724854"/>
    <w:rsid w:val="0072567D"/>
    <w:rsid w:val="007258B1"/>
    <w:rsid w:val="00726A8F"/>
    <w:rsid w:val="00730012"/>
    <w:rsid w:val="007303A5"/>
    <w:rsid w:val="007313FD"/>
    <w:rsid w:val="00732219"/>
    <w:rsid w:val="007324A9"/>
    <w:rsid w:val="007360F2"/>
    <w:rsid w:val="00740988"/>
    <w:rsid w:val="00740AA9"/>
    <w:rsid w:val="00742BAB"/>
    <w:rsid w:val="0074531C"/>
    <w:rsid w:val="007456C7"/>
    <w:rsid w:val="007475E2"/>
    <w:rsid w:val="0075159E"/>
    <w:rsid w:val="00751CB0"/>
    <w:rsid w:val="007530BA"/>
    <w:rsid w:val="00754B42"/>
    <w:rsid w:val="0075511E"/>
    <w:rsid w:val="00755AB7"/>
    <w:rsid w:val="00760C74"/>
    <w:rsid w:val="00764B52"/>
    <w:rsid w:val="00765194"/>
    <w:rsid w:val="007664EE"/>
    <w:rsid w:val="00766608"/>
    <w:rsid w:val="007672B9"/>
    <w:rsid w:val="0077016A"/>
    <w:rsid w:val="007755A3"/>
    <w:rsid w:val="00782CBE"/>
    <w:rsid w:val="00783EEA"/>
    <w:rsid w:val="00783FAF"/>
    <w:rsid w:val="00792C7B"/>
    <w:rsid w:val="007951BF"/>
    <w:rsid w:val="0079698F"/>
    <w:rsid w:val="007A02EA"/>
    <w:rsid w:val="007A1462"/>
    <w:rsid w:val="007A1765"/>
    <w:rsid w:val="007A1EA2"/>
    <w:rsid w:val="007A4620"/>
    <w:rsid w:val="007A4CF8"/>
    <w:rsid w:val="007A580E"/>
    <w:rsid w:val="007A5EEB"/>
    <w:rsid w:val="007A63DB"/>
    <w:rsid w:val="007B0851"/>
    <w:rsid w:val="007B1BBD"/>
    <w:rsid w:val="007B2222"/>
    <w:rsid w:val="007B40F7"/>
    <w:rsid w:val="007B54AA"/>
    <w:rsid w:val="007C0558"/>
    <w:rsid w:val="007C0A48"/>
    <w:rsid w:val="007C270D"/>
    <w:rsid w:val="007C28AA"/>
    <w:rsid w:val="007C2908"/>
    <w:rsid w:val="007C3027"/>
    <w:rsid w:val="007C30A7"/>
    <w:rsid w:val="007C4C7C"/>
    <w:rsid w:val="007C4D82"/>
    <w:rsid w:val="007C5260"/>
    <w:rsid w:val="007D43E7"/>
    <w:rsid w:val="007D6893"/>
    <w:rsid w:val="007E01D7"/>
    <w:rsid w:val="007E1BC4"/>
    <w:rsid w:val="007E26F1"/>
    <w:rsid w:val="007E5D35"/>
    <w:rsid w:val="007F1A07"/>
    <w:rsid w:val="007F23D2"/>
    <w:rsid w:val="007F2DFB"/>
    <w:rsid w:val="007F2F92"/>
    <w:rsid w:val="007F3AEE"/>
    <w:rsid w:val="007F4653"/>
    <w:rsid w:val="007F471F"/>
    <w:rsid w:val="00800893"/>
    <w:rsid w:val="00801DB9"/>
    <w:rsid w:val="00801EFA"/>
    <w:rsid w:val="00803176"/>
    <w:rsid w:val="008037AC"/>
    <w:rsid w:val="00806033"/>
    <w:rsid w:val="00806E59"/>
    <w:rsid w:val="008073A7"/>
    <w:rsid w:val="00807B57"/>
    <w:rsid w:val="00810BF8"/>
    <w:rsid w:val="0081243A"/>
    <w:rsid w:val="00813917"/>
    <w:rsid w:val="00813F09"/>
    <w:rsid w:val="00814CAB"/>
    <w:rsid w:val="0081586E"/>
    <w:rsid w:val="00816032"/>
    <w:rsid w:val="00820210"/>
    <w:rsid w:val="00820C09"/>
    <w:rsid w:val="00821EE5"/>
    <w:rsid w:val="008222E6"/>
    <w:rsid w:val="008224C8"/>
    <w:rsid w:val="00822AA8"/>
    <w:rsid w:val="00823B30"/>
    <w:rsid w:val="008240B5"/>
    <w:rsid w:val="00824D3A"/>
    <w:rsid w:val="008264FB"/>
    <w:rsid w:val="0083010A"/>
    <w:rsid w:val="00831FC0"/>
    <w:rsid w:val="008328FA"/>
    <w:rsid w:val="0083307E"/>
    <w:rsid w:val="0083648C"/>
    <w:rsid w:val="008367F5"/>
    <w:rsid w:val="008442E4"/>
    <w:rsid w:val="00846D95"/>
    <w:rsid w:val="008531D2"/>
    <w:rsid w:val="008573C5"/>
    <w:rsid w:val="00861AE5"/>
    <w:rsid w:val="00862B46"/>
    <w:rsid w:val="00862EC3"/>
    <w:rsid w:val="00863CBF"/>
    <w:rsid w:val="00865F95"/>
    <w:rsid w:val="0087074B"/>
    <w:rsid w:val="00871507"/>
    <w:rsid w:val="0087601E"/>
    <w:rsid w:val="00876218"/>
    <w:rsid w:val="00876CAD"/>
    <w:rsid w:val="008804AB"/>
    <w:rsid w:val="00882C4D"/>
    <w:rsid w:val="0088305F"/>
    <w:rsid w:val="00884266"/>
    <w:rsid w:val="00884BEA"/>
    <w:rsid w:val="00885291"/>
    <w:rsid w:val="0088596B"/>
    <w:rsid w:val="00890879"/>
    <w:rsid w:val="00895C85"/>
    <w:rsid w:val="00895E83"/>
    <w:rsid w:val="008A2795"/>
    <w:rsid w:val="008A2A43"/>
    <w:rsid w:val="008A402C"/>
    <w:rsid w:val="008A5DB4"/>
    <w:rsid w:val="008A5F7E"/>
    <w:rsid w:val="008A6969"/>
    <w:rsid w:val="008A7D7C"/>
    <w:rsid w:val="008B379F"/>
    <w:rsid w:val="008B3809"/>
    <w:rsid w:val="008B5D12"/>
    <w:rsid w:val="008B74D6"/>
    <w:rsid w:val="008C1E16"/>
    <w:rsid w:val="008C2F86"/>
    <w:rsid w:val="008C307D"/>
    <w:rsid w:val="008C441C"/>
    <w:rsid w:val="008C4C7B"/>
    <w:rsid w:val="008C5451"/>
    <w:rsid w:val="008C5DB8"/>
    <w:rsid w:val="008C6594"/>
    <w:rsid w:val="008C6A69"/>
    <w:rsid w:val="008C6B62"/>
    <w:rsid w:val="008C6EF5"/>
    <w:rsid w:val="008C7C1D"/>
    <w:rsid w:val="008D068D"/>
    <w:rsid w:val="008D0764"/>
    <w:rsid w:val="008D19A4"/>
    <w:rsid w:val="008D27ED"/>
    <w:rsid w:val="008D3A24"/>
    <w:rsid w:val="008D75D1"/>
    <w:rsid w:val="008E2909"/>
    <w:rsid w:val="008E371A"/>
    <w:rsid w:val="008E4F0C"/>
    <w:rsid w:val="008E596B"/>
    <w:rsid w:val="008F054A"/>
    <w:rsid w:val="008F15CA"/>
    <w:rsid w:val="008F2ACB"/>
    <w:rsid w:val="008F3D66"/>
    <w:rsid w:val="008F7EB1"/>
    <w:rsid w:val="009003F6"/>
    <w:rsid w:val="00902240"/>
    <w:rsid w:val="00904E4D"/>
    <w:rsid w:val="0090567F"/>
    <w:rsid w:val="00913296"/>
    <w:rsid w:val="009154D9"/>
    <w:rsid w:val="0091623C"/>
    <w:rsid w:val="00916FD9"/>
    <w:rsid w:val="009178E3"/>
    <w:rsid w:val="00921DA4"/>
    <w:rsid w:val="00926436"/>
    <w:rsid w:val="009278A1"/>
    <w:rsid w:val="00927CC9"/>
    <w:rsid w:val="009306FE"/>
    <w:rsid w:val="00930785"/>
    <w:rsid w:val="00930E04"/>
    <w:rsid w:val="00931325"/>
    <w:rsid w:val="0093179D"/>
    <w:rsid w:val="00932D84"/>
    <w:rsid w:val="00933ABB"/>
    <w:rsid w:val="00933BFC"/>
    <w:rsid w:val="00937A57"/>
    <w:rsid w:val="00941234"/>
    <w:rsid w:val="0094186D"/>
    <w:rsid w:val="00942575"/>
    <w:rsid w:val="0094357B"/>
    <w:rsid w:val="00945D56"/>
    <w:rsid w:val="00946D24"/>
    <w:rsid w:val="00947FFA"/>
    <w:rsid w:val="00950AAF"/>
    <w:rsid w:val="00951D84"/>
    <w:rsid w:val="00953922"/>
    <w:rsid w:val="009540D5"/>
    <w:rsid w:val="0095546D"/>
    <w:rsid w:val="00955841"/>
    <w:rsid w:val="0095624A"/>
    <w:rsid w:val="00957DA0"/>
    <w:rsid w:val="00961884"/>
    <w:rsid w:val="009628E8"/>
    <w:rsid w:val="00966207"/>
    <w:rsid w:val="00966C93"/>
    <w:rsid w:val="00966D57"/>
    <w:rsid w:val="00967711"/>
    <w:rsid w:val="00967785"/>
    <w:rsid w:val="009704A2"/>
    <w:rsid w:val="00970E60"/>
    <w:rsid w:val="009717F8"/>
    <w:rsid w:val="00971E03"/>
    <w:rsid w:val="009722CB"/>
    <w:rsid w:val="00974212"/>
    <w:rsid w:val="0097707A"/>
    <w:rsid w:val="00977AB9"/>
    <w:rsid w:val="00977C25"/>
    <w:rsid w:val="009828C4"/>
    <w:rsid w:val="00983F0D"/>
    <w:rsid w:val="009918F8"/>
    <w:rsid w:val="0099345F"/>
    <w:rsid w:val="00997254"/>
    <w:rsid w:val="009A1B98"/>
    <w:rsid w:val="009A240C"/>
    <w:rsid w:val="009A3BF1"/>
    <w:rsid w:val="009A5C7D"/>
    <w:rsid w:val="009A5DAF"/>
    <w:rsid w:val="009A673F"/>
    <w:rsid w:val="009A6874"/>
    <w:rsid w:val="009A7601"/>
    <w:rsid w:val="009B026F"/>
    <w:rsid w:val="009B1286"/>
    <w:rsid w:val="009B3ABD"/>
    <w:rsid w:val="009B74AB"/>
    <w:rsid w:val="009B7AEF"/>
    <w:rsid w:val="009C16F8"/>
    <w:rsid w:val="009D2C13"/>
    <w:rsid w:val="009D3111"/>
    <w:rsid w:val="009D334A"/>
    <w:rsid w:val="009D6FBE"/>
    <w:rsid w:val="009E13E0"/>
    <w:rsid w:val="009E1B59"/>
    <w:rsid w:val="009E2422"/>
    <w:rsid w:val="009E3118"/>
    <w:rsid w:val="009E3815"/>
    <w:rsid w:val="009E3C2D"/>
    <w:rsid w:val="009E3F9D"/>
    <w:rsid w:val="009E6D6E"/>
    <w:rsid w:val="009E714A"/>
    <w:rsid w:val="009F0C0E"/>
    <w:rsid w:val="009F0CC1"/>
    <w:rsid w:val="009F0D77"/>
    <w:rsid w:val="009F1A88"/>
    <w:rsid w:val="009F36BE"/>
    <w:rsid w:val="009F3885"/>
    <w:rsid w:val="009F3DA9"/>
    <w:rsid w:val="009F43ED"/>
    <w:rsid w:val="009F505D"/>
    <w:rsid w:val="009F5743"/>
    <w:rsid w:val="009F5C91"/>
    <w:rsid w:val="009F61D8"/>
    <w:rsid w:val="00A00EF8"/>
    <w:rsid w:val="00A056CC"/>
    <w:rsid w:val="00A06C7A"/>
    <w:rsid w:val="00A10C5C"/>
    <w:rsid w:val="00A11286"/>
    <w:rsid w:val="00A11394"/>
    <w:rsid w:val="00A20428"/>
    <w:rsid w:val="00A2244E"/>
    <w:rsid w:val="00A23612"/>
    <w:rsid w:val="00A23A2C"/>
    <w:rsid w:val="00A24451"/>
    <w:rsid w:val="00A25B82"/>
    <w:rsid w:val="00A3014C"/>
    <w:rsid w:val="00A304A8"/>
    <w:rsid w:val="00A31830"/>
    <w:rsid w:val="00A327AA"/>
    <w:rsid w:val="00A35B61"/>
    <w:rsid w:val="00A3732D"/>
    <w:rsid w:val="00A409D2"/>
    <w:rsid w:val="00A4105C"/>
    <w:rsid w:val="00A41507"/>
    <w:rsid w:val="00A41B30"/>
    <w:rsid w:val="00A41D14"/>
    <w:rsid w:val="00A4206C"/>
    <w:rsid w:val="00A43302"/>
    <w:rsid w:val="00A455B0"/>
    <w:rsid w:val="00A473BE"/>
    <w:rsid w:val="00A47ADF"/>
    <w:rsid w:val="00A47FE3"/>
    <w:rsid w:val="00A51842"/>
    <w:rsid w:val="00A52454"/>
    <w:rsid w:val="00A52A9E"/>
    <w:rsid w:val="00A530BC"/>
    <w:rsid w:val="00A5444C"/>
    <w:rsid w:val="00A5503D"/>
    <w:rsid w:val="00A62093"/>
    <w:rsid w:val="00A625EC"/>
    <w:rsid w:val="00A627A0"/>
    <w:rsid w:val="00A670B9"/>
    <w:rsid w:val="00A72546"/>
    <w:rsid w:val="00A74559"/>
    <w:rsid w:val="00A7526A"/>
    <w:rsid w:val="00A75709"/>
    <w:rsid w:val="00A76332"/>
    <w:rsid w:val="00A8232E"/>
    <w:rsid w:val="00A84995"/>
    <w:rsid w:val="00A85E4A"/>
    <w:rsid w:val="00A86143"/>
    <w:rsid w:val="00A86B82"/>
    <w:rsid w:val="00A86C51"/>
    <w:rsid w:val="00A87A5F"/>
    <w:rsid w:val="00A93AE1"/>
    <w:rsid w:val="00A94E63"/>
    <w:rsid w:val="00A964BD"/>
    <w:rsid w:val="00A979DD"/>
    <w:rsid w:val="00AA1C47"/>
    <w:rsid w:val="00AA3C83"/>
    <w:rsid w:val="00AA5E72"/>
    <w:rsid w:val="00AA6069"/>
    <w:rsid w:val="00AA7102"/>
    <w:rsid w:val="00AB02F5"/>
    <w:rsid w:val="00AB0831"/>
    <w:rsid w:val="00AB1F2F"/>
    <w:rsid w:val="00AB4698"/>
    <w:rsid w:val="00AB6B5F"/>
    <w:rsid w:val="00AC0223"/>
    <w:rsid w:val="00AC0EEE"/>
    <w:rsid w:val="00AC14B1"/>
    <w:rsid w:val="00AC4F9E"/>
    <w:rsid w:val="00AD1B3E"/>
    <w:rsid w:val="00AD1D01"/>
    <w:rsid w:val="00AD2B2A"/>
    <w:rsid w:val="00AD3133"/>
    <w:rsid w:val="00AD3237"/>
    <w:rsid w:val="00AD5304"/>
    <w:rsid w:val="00AD589B"/>
    <w:rsid w:val="00AD70C1"/>
    <w:rsid w:val="00AE16B6"/>
    <w:rsid w:val="00AE24BF"/>
    <w:rsid w:val="00AE3152"/>
    <w:rsid w:val="00AE34ED"/>
    <w:rsid w:val="00AE7837"/>
    <w:rsid w:val="00AF1BCF"/>
    <w:rsid w:val="00AF3530"/>
    <w:rsid w:val="00AF519C"/>
    <w:rsid w:val="00AF6BD7"/>
    <w:rsid w:val="00AF78B6"/>
    <w:rsid w:val="00B00964"/>
    <w:rsid w:val="00B0118B"/>
    <w:rsid w:val="00B02A59"/>
    <w:rsid w:val="00B03079"/>
    <w:rsid w:val="00B03C06"/>
    <w:rsid w:val="00B079F8"/>
    <w:rsid w:val="00B1112F"/>
    <w:rsid w:val="00B12B9F"/>
    <w:rsid w:val="00B16B54"/>
    <w:rsid w:val="00B21775"/>
    <w:rsid w:val="00B220C8"/>
    <w:rsid w:val="00B22974"/>
    <w:rsid w:val="00B232A4"/>
    <w:rsid w:val="00B2503F"/>
    <w:rsid w:val="00B25514"/>
    <w:rsid w:val="00B25E55"/>
    <w:rsid w:val="00B27668"/>
    <w:rsid w:val="00B27790"/>
    <w:rsid w:val="00B30E28"/>
    <w:rsid w:val="00B413F2"/>
    <w:rsid w:val="00B423B7"/>
    <w:rsid w:val="00B46BAB"/>
    <w:rsid w:val="00B47398"/>
    <w:rsid w:val="00B47730"/>
    <w:rsid w:val="00B47C6F"/>
    <w:rsid w:val="00B47D6F"/>
    <w:rsid w:val="00B47F45"/>
    <w:rsid w:val="00B50D6B"/>
    <w:rsid w:val="00B523BF"/>
    <w:rsid w:val="00B5278E"/>
    <w:rsid w:val="00B53683"/>
    <w:rsid w:val="00B53A02"/>
    <w:rsid w:val="00B555DE"/>
    <w:rsid w:val="00B6051E"/>
    <w:rsid w:val="00B613CB"/>
    <w:rsid w:val="00B63B21"/>
    <w:rsid w:val="00B70394"/>
    <w:rsid w:val="00B72F06"/>
    <w:rsid w:val="00B73783"/>
    <w:rsid w:val="00B73C2D"/>
    <w:rsid w:val="00B76C1C"/>
    <w:rsid w:val="00B82274"/>
    <w:rsid w:val="00B82B7A"/>
    <w:rsid w:val="00B82C84"/>
    <w:rsid w:val="00B84BB2"/>
    <w:rsid w:val="00B85437"/>
    <w:rsid w:val="00B95321"/>
    <w:rsid w:val="00B95C11"/>
    <w:rsid w:val="00B96BA1"/>
    <w:rsid w:val="00B97B6F"/>
    <w:rsid w:val="00B97E3A"/>
    <w:rsid w:val="00BA07DF"/>
    <w:rsid w:val="00BA1185"/>
    <w:rsid w:val="00BA1417"/>
    <w:rsid w:val="00BA14CF"/>
    <w:rsid w:val="00BA17EA"/>
    <w:rsid w:val="00BA230D"/>
    <w:rsid w:val="00BA2515"/>
    <w:rsid w:val="00BA25D9"/>
    <w:rsid w:val="00BA31C0"/>
    <w:rsid w:val="00BA5867"/>
    <w:rsid w:val="00BA58FD"/>
    <w:rsid w:val="00BA5B70"/>
    <w:rsid w:val="00BA7382"/>
    <w:rsid w:val="00BA7EBC"/>
    <w:rsid w:val="00BB0850"/>
    <w:rsid w:val="00BB2FFC"/>
    <w:rsid w:val="00BB496A"/>
    <w:rsid w:val="00BB6105"/>
    <w:rsid w:val="00BB76A0"/>
    <w:rsid w:val="00BB7816"/>
    <w:rsid w:val="00BC1B15"/>
    <w:rsid w:val="00BC2958"/>
    <w:rsid w:val="00BC33E9"/>
    <w:rsid w:val="00BC4521"/>
    <w:rsid w:val="00BC5DE4"/>
    <w:rsid w:val="00BC7D3B"/>
    <w:rsid w:val="00BD129B"/>
    <w:rsid w:val="00BD13D3"/>
    <w:rsid w:val="00BD13DC"/>
    <w:rsid w:val="00BD27AB"/>
    <w:rsid w:val="00BD42DE"/>
    <w:rsid w:val="00BD473C"/>
    <w:rsid w:val="00BD4E92"/>
    <w:rsid w:val="00BD5079"/>
    <w:rsid w:val="00BD574A"/>
    <w:rsid w:val="00BD5E7C"/>
    <w:rsid w:val="00BE14A3"/>
    <w:rsid w:val="00BE17F4"/>
    <w:rsid w:val="00BE1AF3"/>
    <w:rsid w:val="00BE22B3"/>
    <w:rsid w:val="00BE422C"/>
    <w:rsid w:val="00BE614C"/>
    <w:rsid w:val="00BE67AE"/>
    <w:rsid w:val="00BE6B18"/>
    <w:rsid w:val="00BF17E1"/>
    <w:rsid w:val="00BF1E70"/>
    <w:rsid w:val="00BF2FE9"/>
    <w:rsid w:val="00BF47CB"/>
    <w:rsid w:val="00C01659"/>
    <w:rsid w:val="00C02066"/>
    <w:rsid w:val="00C027BB"/>
    <w:rsid w:val="00C034E6"/>
    <w:rsid w:val="00C062AE"/>
    <w:rsid w:val="00C06B3F"/>
    <w:rsid w:val="00C13F3C"/>
    <w:rsid w:val="00C144FC"/>
    <w:rsid w:val="00C154E0"/>
    <w:rsid w:val="00C1607F"/>
    <w:rsid w:val="00C16743"/>
    <w:rsid w:val="00C175BA"/>
    <w:rsid w:val="00C176BF"/>
    <w:rsid w:val="00C17AE0"/>
    <w:rsid w:val="00C3028C"/>
    <w:rsid w:val="00C30D11"/>
    <w:rsid w:val="00C31861"/>
    <w:rsid w:val="00C3330C"/>
    <w:rsid w:val="00C356F5"/>
    <w:rsid w:val="00C3656A"/>
    <w:rsid w:val="00C36CB8"/>
    <w:rsid w:val="00C415DA"/>
    <w:rsid w:val="00C43D79"/>
    <w:rsid w:val="00C446BC"/>
    <w:rsid w:val="00C448F8"/>
    <w:rsid w:val="00C44970"/>
    <w:rsid w:val="00C44CAA"/>
    <w:rsid w:val="00C455D0"/>
    <w:rsid w:val="00C4655E"/>
    <w:rsid w:val="00C47C71"/>
    <w:rsid w:val="00C50EFF"/>
    <w:rsid w:val="00C52357"/>
    <w:rsid w:val="00C525BD"/>
    <w:rsid w:val="00C52D17"/>
    <w:rsid w:val="00C53580"/>
    <w:rsid w:val="00C5731A"/>
    <w:rsid w:val="00C57A49"/>
    <w:rsid w:val="00C6058E"/>
    <w:rsid w:val="00C60C47"/>
    <w:rsid w:val="00C6371D"/>
    <w:rsid w:val="00C6533B"/>
    <w:rsid w:val="00C65853"/>
    <w:rsid w:val="00C65A02"/>
    <w:rsid w:val="00C67A0D"/>
    <w:rsid w:val="00C73B95"/>
    <w:rsid w:val="00C740AB"/>
    <w:rsid w:val="00C7509C"/>
    <w:rsid w:val="00C76965"/>
    <w:rsid w:val="00C76AE5"/>
    <w:rsid w:val="00C81131"/>
    <w:rsid w:val="00C81E8F"/>
    <w:rsid w:val="00C823B5"/>
    <w:rsid w:val="00C823BD"/>
    <w:rsid w:val="00C823C0"/>
    <w:rsid w:val="00C828D4"/>
    <w:rsid w:val="00C82ADF"/>
    <w:rsid w:val="00C85898"/>
    <w:rsid w:val="00C85B23"/>
    <w:rsid w:val="00C85DFC"/>
    <w:rsid w:val="00C87D04"/>
    <w:rsid w:val="00C87EFC"/>
    <w:rsid w:val="00C914B2"/>
    <w:rsid w:val="00C93E0F"/>
    <w:rsid w:val="00C96AA0"/>
    <w:rsid w:val="00C96B4E"/>
    <w:rsid w:val="00C9754C"/>
    <w:rsid w:val="00CA0CE1"/>
    <w:rsid w:val="00CA1153"/>
    <w:rsid w:val="00CA40B0"/>
    <w:rsid w:val="00CA5963"/>
    <w:rsid w:val="00CA5F3C"/>
    <w:rsid w:val="00CA5FB8"/>
    <w:rsid w:val="00CA6285"/>
    <w:rsid w:val="00CA62D8"/>
    <w:rsid w:val="00CB23BD"/>
    <w:rsid w:val="00CB3998"/>
    <w:rsid w:val="00CB5618"/>
    <w:rsid w:val="00CB577A"/>
    <w:rsid w:val="00CC290D"/>
    <w:rsid w:val="00CC483E"/>
    <w:rsid w:val="00CD0519"/>
    <w:rsid w:val="00CD09B1"/>
    <w:rsid w:val="00CD2075"/>
    <w:rsid w:val="00CD3E21"/>
    <w:rsid w:val="00CD4E82"/>
    <w:rsid w:val="00CD5F14"/>
    <w:rsid w:val="00CD6A04"/>
    <w:rsid w:val="00CE374C"/>
    <w:rsid w:val="00CE4A6D"/>
    <w:rsid w:val="00CE5795"/>
    <w:rsid w:val="00CE63C1"/>
    <w:rsid w:val="00CF1E4D"/>
    <w:rsid w:val="00CF2A56"/>
    <w:rsid w:val="00CF44E4"/>
    <w:rsid w:val="00CF46A3"/>
    <w:rsid w:val="00CF5FE7"/>
    <w:rsid w:val="00D01278"/>
    <w:rsid w:val="00D07067"/>
    <w:rsid w:val="00D075AA"/>
    <w:rsid w:val="00D10370"/>
    <w:rsid w:val="00D11861"/>
    <w:rsid w:val="00D11D57"/>
    <w:rsid w:val="00D13748"/>
    <w:rsid w:val="00D15067"/>
    <w:rsid w:val="00D16C7C"/>
    <w:rsid w:val="00D16E03"/>
    <w:rsid w:val="00D200F8"/>
    <w:rsid w:val="00D208E9"/>
    <w:rsid w:val="00D2146D"/>
    <w:rsid w:val="00D234C0"/>
    <w:rsid w:val="00D23EC6"/>
    <w:rsid w:val="00D2601F"/>
    <w:rsid w:val="00D27CC0"/>
    <w:rsid w:val="00D30E41"/>
    <w:rsid w:val="00D31534"/>
    <w:rsid w:val="00D32EF8"/>
    <w:rsid w:val="00D338A7"/>
    <w:rsid w:val="00D35734"/>
    <w:rsid w:val="00D35A83"/>
    <w:rsid w:val="00D40975"/>
    <w:rsid w:val="00D40E5E"/>
    <w:rsid w:val="00D41A97"/>
    <w:rsid w:val="00D42DF0"/>
    <w:rsid w:val="00D432B7"/>
    <w:rsid w:val="00D4676D"/>
    <w:rsid w:val="00D47561"/>
    <w:rsid w:val="00D50379"/>
    <w:rsid w:val="00D526AB"/>
    <w:rsid w:val="00D56390"/>
    <w:rsid w:val="00D564D7"/>
    <w:rsid w:val="00D5664C"/>
    <w:rsid w:val="00D578DE"/>
    <w:rsid w:val="00D605E6"/>
    <w:rsid w:val="00D62577"/>
    <w:rsid w:val="00D62CAD"/>
    <w:rsid w:val="00D6300E"/>
    <w:rsid w:val="00D65C70"/>
    <w:rsid w:val="00D662D3"/>
    <w:rsid w:val="00D6663F"/>
    <w:rsid w:val="00D6718D"/>
    <w:rsid w:val="00D67AAC"/>
    <w:rsid w:val="00D70021"/>
    <w:rsid w:val="00D70156"/>
    <w:rsid w:val="00D72C3E"/>
    <w:rsid w:val="00D72E1C"/>
    <w:rsid w:val="00D74508"/>
    <w:rsid w:val="00D75432"/>
    <w:rsid w:val="00D776E0"/>
    <w:rsid w:val="00D81B90"/>
    <w:rsid w:val="00D83B77"/>
    <w:rsid w:val="00D83E3D"/>
    <w:rsid w:val="00D84631"/>
    <w:rsid w:val="00D87D4E"/>
    <w:rsid w:val="00D9330E"/>
    <w:rsid w:val="00D96F13"/>
    <w:rsid w:val="00D97EEB"/>
    <w:rsid w:val="00DA0D71"/>
    <w:rsid w:val="00DA3E29"/>
    <w:rsid w:val="00DA40EF"/>
    <w:rsid w:val="00DA50DD"/>
    <w:rsid w:val="00DA57AB"/>
    <w:rsid w:val="00DA5B2E"/>
    <w:rsid w:val="00DA6098"/>
    <w:rsid w:val="00DA7208"/>
    <w:rsid w:val="00DB0709"/>
    <w:rsid w:val="00DB091D"/>
    <w:rsid w:val="00DB42D3"/>
    <w:rsid w:val="00DB4607"/>
    <w:rsid w:val="00DB6A1E"/>
    <w:rsid w:val="00DB77A2"/>
    <w:rsid w:val="00DC13DB"/>
    <w:rsid w:val="00DC3E00"/>
    <w:rsid w:val="00DC5BD7"/>
    <w:rsid w:val="00DC678B"/>
    <w:rsid w:val="00DD0F39"/>
    <w:rsid w:val="00DD1C1A"/>
    <w:rsid w:val="00DD1D73"/>
    <w:rsid w:val="00DD24C7"/>
    <w:rsid w:val="00DD2C71"/>
    <w:rsid w:val="00DD402D"/>
    <w:rsid w:val="00DD5114"/>
    <w:rsid w:val="00DD63D0"/>
    <w:rsid w:val="00DD6882"/>
    <w:rsid w:val="00DE1E8E"/>
    <w:rsid w:val="00DE4050"/>
    <w:rsid w:val="00DE6293"/>
    <w:rsid w:val="00DE6C13"/>
    <w:rsid w:val="00DE71AD"/>
    <w:rsid w:val="00DF0B58"/>
    <w:rsid w:val="00DF13E9"/>
    <w:rsid w:val="00DF3259"/>
    <w:rsid w:val="00DF3935"/>
    <w:rsid w:val="00DF5923"/>
    <w:rsid w:val="00E00586"/>
    <w:rsid w:val="00E03013"/>
    <w:rsid w:val="00E04A09"/>
    <w:rsid w:val="00E05768"/>
    <w:rsid w:val="00E06E01"/>
    <w:rsid w:val="00E07261"/>
    <w:rsid w:val="00E163F5"/>
    <w:rsid w:val="00E16CF4"/>
    <w:rsid w:val="00E17AAA"/>
    <w:rsid w:val="00E17F8B"/>
    <w:rsid w:val="00E2023C"/>
    <w:rsid w:val="00E254DE"/>
    <w:rsid w:val="00E279C7"/>
    <w:rsid w:val="00E27DAF"/>
    <w:rsid w:val="00E27F47"/>
    <w:rsid w:val="00E337B2"/>
    <w:rsid w:val="00E36046"/>
    <w:rsid w:val="00E368C1"/>
    <w:rsid w:val="00E42686"/>
    <w:rsid w:val="00E45713"/>
    <w:rsid w:val="00E5141A"/>
    <w:rsid w:val="00E525EF"/>
    <w:rsid w:val="00E52B61"/>
    <w:rsid w:val="00E542ED"/>
    <w:rsid w:val="00E551C4"/>
    <w:rsid w:val="00E5608B"/>
    <w:rsid w:val="00E564F8"/>
    <w:rsid w:val="00E57237"/>
    <w:rsid w:val="00E57487"/>
    <w:rsid w:val="00E5797A"/>
    <w:rsid w:val="00E641C3"/>
    <w:rsid w:val="00E64429"/>
    <w:rsid w:val="00E65054"/>
    <w:rsid w:val="00E6534B"/>
    <w:rsid w:val="00E66780"/>
    <w:rsid w:val="00E6678D"/>
    <w:rsid w:val="00E705B8"/>
    <w:rsid w:val="00E711DA"/>
    <w:rsid w:val="00E7715F"/>
    <w:rsid w:val="00E773DC"/>
    <w:rsid w:val="00E810AC"/>
    <w:rsid w:val="00E828AC"/>
    <w:rsid w:val="00E87A46"/>
    <w:rsid w:val="00E87CC3"/>
    <w:rsid w:val="00E91098"/>
    <w:rsid w:val="00E9210B"/>
    <w:rsid w:val="00EA3AE2"/>
    <w:rsid w:val="00EA4CD3"/>
    <w:rsid w:val="00EA4FFB"/>
    <w:rsid w:val="00EA6164"/>
    <w:rsid w:val="00EA7A01"/>
    <w:rsid w:val="00EA7CCD"/>
    <w:rsid w:val="00EB154B"/>
    <w:rsid w:val="00EB234D"/>
    <w:rsid w:val="00EB51F0"/>
    <w:rsid w:val="00EB5C44"/>
    <w:rsid w:val="00EB5FE0"/>
    <w:rsid w:val="00EC185B"/>
    <w:rsid w:val="00EC428E"/>
    <w:rsid w:val="00EC50AD"/>
    <w:rsid w:val="00ED0449"/>
    <w:rsid w:val="00ED1087"/>
    <w:rsid w:val="00ED5A7B"/>
    <w:rsid w:val="00ED6F2A"/>
    <w:rsid w:val="00ED769C"/>
    <w:rsid w:val="00EE1AAB"/>
    <w:rsid w:val="00EE1C35"/>
    <w:rsid w:val="00EE2292"/>
    <w:rsid w:val="00EE372B"/>
    <w:rsid w:val="00EE4651"/>
    <w:rsid w:val="00EE7822"/>
    <w:rsid w:val="00EE7ED0"/>
    <w:rsid w:val="00EF09B7"/>
    <w:rsid w:val="00EF16B0"/>
    <w:rsid w:val="00EF18F6"/>
    <w:rsid w:val="00EF6CA7"/>
    <w:rsid w:val="00EF7B9C"/>
    <w:rsid w:val="00F00F7F"/>
    <w:rsid w:val="00F02848"/>
    <w:rsid w:val="00F03447"/>
    <w:rsid w:val="00F05B1C"/>
    <w:rsid w:val="00F05F94"/>
    <w:rsid w:val="00F119AC"/>
    <w:rsid w:val="00F12B7F"/>
    <w:rsid w:val="00F12D67"/>
    <w:rsid w:val="00F135AB"/>
    <w:rsid w:val="00F14B55"/>
    <w:rsid w:val="00F154D3"/>
    <w:rsid w:val="00F15DF3"/>
    <w:rsid w:val="00F16609"/>
    <w:rsid w:val="00F2023C"/>
    <w:rsid w:val="00F20512"/>
    <w:rsid w:val="00F23425"/>
    <w:rsid w:val="00F23596"/>
    <w:rsid w:val="00F244D4"/>
    <w:rsid w:val="00F26062"/>
    <w:rsid w:val="00F330F8"/>
    <w:rsid w:val="00F33EA5"/>
    <w:rsid w:val="00F350B8"/>
    <w:rsid w:val="00F378BC"/>
    <w:rsid w:val="00F37EDA"/>
    <w:rsid w:val="00F4014E"/>
    <w:rsid w:val="00F41415"/>
    <w:rsid w:val="00F437CD"/>
    <w:rsid w:val="00F4394B"/>
    <w:rsid w:val="00F447D2"/>
    <w:rsid w:val="00F44A63"/>
    <w:rsid w:val="00F44EFB"/>
    <w:rsid w:val="00F45334"/>
    <w:rsid w:val="00F47327"/>
    <w:rsid w:val="00F476B3"/>
    <w:rsid w:val="00F477AC"/>
    <w:rsid w:val="00F479E9"/>
    <w:rsid w:val="00F51A25"/>
    <w:rsid w:val="00F52FDD"/>
    <w:rsid w:val="00F533E4"/>
    <w:rsid w:val="00F5587C"/>
    <w:rsid w:val="00F56CFF"/>
    <w:rsid w:val="00F57183"/>
    <w:rsid w:val="00F600C5"/>
    <w:rsid w:val="00F618BE"/>
    <w:rsid w:val="00F62F7C"/>
    <w:rsid w:val="00F64C77"/>
    <w:rsid w:val="00F66586"/>
    <w:rsid w:val="00F6669E"/>
    <w:rsid w:val="00F666D6"/>
    <w:rsid w:val="00F67D23"/>
    <w:rsid w:val="00F7320A"/>
    <w:rsid w:val="00F74046"/>
    <w:rsid w:val="00F74248"/>
    <w:rsid w:val="00F74414"/>
    <w:rsid w:val="00F75D20"/>
    <w:rsid w:val="00F80FF3"/>
    <w:rsid w:val="00F87EFB"/>
    <w:rsid w:val="00F90C71"/>
    <w:rsid w:val="00F91F35"/>
    <w:rsid w:val="00F922A6"/>
    <w:rsid w:val="00F94792"/>
    <w:rsid w:val="00F95401"/>
    <w:rsid w:val="00F96A74"/>
    <w:rsid w:val="00FA2572"/>
    <w:rsid w:val="00FA28FE"/>
    <w:rsid w:val="00FA2973"/>
    <w:rsid w:val="00FA4372"/>
    <w:rsid w:val="00FA5CE2"/>
    <w:rsid w:val="00FB0403"/>
    <w:rsid w:val="00FB33C3"/>
    <w:rsid w:val="00FB5F54"/>
    <w:rsid w:val="00FB6C04"/>
    <w:rsid w:val="00FC4C29"/>
    <w:rsid w:val="00FD1625"/>
    <w:rsid w:val="00FD1905"/>
    <w:rsid w:val="00FD20A5"/>
    <w:rsid w:val="00FD3374"/>
    <w:rsid w:val="00FD7736"/>
    <w:rsid w:val="00FE102D"/>
    <w:rsid w:val="00FE1CA2"/>
    <w:rsid w:val="00FE4655"/>
    <w:rsid w:val="00FE46A9"/>
    <w:rsid w:val="00FE4A6A"/>
    <w:rsid w:val="00FE6863"/>
    <w:rsid w:val="00FF1D89"/>
    <w:rsid w:val="00FF1E2E"/>
    <w:rsid w:val="00FF22CF"/>
    <w:rsid w:val="00FF25FD"/>
    <w:rsid w:val="00FF2991"/>
    <w:rsid w:val="00FF4DF1"/>
    <w:rsid w:val="00FF5B20"/>
    <w:rsid w:val="00FF5D8D"/>
    <w:rsid w:val="04A9250C"/>
    <w:rsid w:val="05F83D8C"/>
    <w:rsid w:val="0969226A"/>
    <w:rsid w:val="0F8006A3"/>
    <w:rsid w:val="159A54E8"/>
    <w:rsid w:val="15C40D7D"/>
    <w:rsid w:val="1815386B"/>
    <w:rsid w:val="19B86374"/>
    <w:rsid w:val="1FAE794D"/>
    <w:rsid w:val="21747CD2"/>
    <w:rsid w:val="21A166FF"/>
    <w:rsid w:val="25091FEC"/>
    <w:rsid w:val="25E74A07"/>
    <w:rsid w:val="261371E2"/>
    <w:rsid w:val="26E4757F"/>
    <w:rsid w:val="2942379F"/>
    <w:rsid w:val="29A00293"/>
    <w:rsid w:val="2AA9206F"/>
    <w:rsid w:val="2B190BC4"/>
    <w:rsid w:val="2F7D18EE"/>
    <w:rsid w:val="344076FA"/>
    <w:rsid w:val="36AF6C5F"/>
    <w:rsid w:val="39D4398C"/>
    <w:rsid w:val="3DF106A8"/>
    <w:rsid w:val="41CF2AA3"/>
    <w:rsid w:val="46F74436"/>
    <w:rsid w:val="47833F1C"/>
    <w:rsid w:val="47B16D08"/>
    <w:rsid w:val="488F0E01"/>
    <w:rsid w:val="4AE04866"/>
    <w:rsid w:val="4D087EF3"/>
    <w:rsid w:val="4E4B09DC"/>
    <w:rsid w:val="503264DF"/>
    <w:rsid w:val="525526CE"/>
    <w:rsid w:val="534710EE"/>
    <w:rsid w:val="53511372"/>
    <w:rsid w:val="544818ED"/>
    <w:rsid w:val="549A6186"/>
    <w:rsid w:val="559774CA"/>
    <w:rsid w:val="586E207E"/>
    <w:rsid w:val="60902A4E"/>
    <w:rsid w:val="622765CB"/>
    <w:rsid w:val="646B7484"/>
    <w:rsid w:val="659661FB"/>
    <w:rsid w:val="66080B3B"/>
    <w:rsid w:val="66B45A48"/>
    <w:rsid w:val="66EA0AC3"/>
    <w:rsid w:val="6D341690"/>
    <w:rsid w:val="6E7475A2"/>
    <w:rsid w:val="6F4C55E1"/>
    <w:rsid w:val="712A326A"/>
    <w:rsid w:val="714D2D21"/>
    <w:rsid w:val="734211AA"/>
    <w:rsid w:val="77B146EF"/>
    <w:rsid w:val="79651AD2"/>
    <w:rsid w:val="7BEC1388"/>
    <w:rsid w:val="7C435FE4"/>
    <w:rsid w:val="7D2012E9"/>
    <w:rsid w:val="7D761851"/>
    <w:rsid w:val="7E522EFA"/>
    <w:rsid w:val="7E723D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qFormat="1"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Theme="minorHAnsi" w:hAnsiTheme="minorHAnsi" w:eastAsiaTheme="minorEastAsia" w:cstheme="minorBidi"/>
      <w:kern w:val="2"/>
      <w:sz w:val="24"/>
      <w:szCs w:val="22"/>
      <w:lang w:val="en-US" w:eastAsia="zh-CN" w:bidi="ar-SA"/>
    </w:rPr>
  </w:style>
  <w:style w:type="paragraph" w:styleId="3">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5">
    <w:name w:val="Document Map"/>
    <w:basedOn w:val="1"/>
    <w:link w:val="27"/>
    <w:semiHidden/>
    <w:unhideWhenUsed/>
    <w:qFormat/>
    <w:uiPriority w:val="99"/>
    <w:rPr>
      <w:rFonts w:ascii="宋体" w:eastAsia="宋体"/>
      <w:sz w:val="18"/>
      <w:szCs w:val="18"/>
    </w:rPr>
  </w:style>
  <w:style w:type="paragraph" w:styleId="6">
    <w:name w:val="annotation text"/>
    <w:basedOn w:val="1"/>
    <w:link w:val="35"/>
    <w:unhideWhenUsed/>
    <w:qFormat/>
    <w:uiPriority w:val="0"/>
    <w:pPr>
      <w:jc w:val="left"/>
    </w:pPr>
  </w:style>
  <w:style w:type="paragraph" w:styleId="7">
    <w:name w:val="Body Text"/>
    <w:basedOn w:val="1"/>
    <w:qFormat/>
    <w:uiPriority w:val="99"/>
    <w:pPr>
      <w:spacing w:before="102" w:line="360" w:lineRule="auto"/>
      <w:ind w:left="112" w:firstLine="480"/>
      <w:contextualSpacing/>
    </w:pPr>
    <w:rPr>
      <w:rFonts w:cs="宋体" w:asciiTheme="minorEastAsia" w:hAnsiTheme="minorEastAsia"/>
      <w:szCs w:val="24"/>
    </w:rPr>
  </w:style>
  <w:style w:type="paragraph" w:styleId="8">
    <w:name w:val="Balloon Text"/>
    <w:basedOn w:val="1"/>
    <w:link w:val="20"/>
    <w:semiHidden/>
    <w:unhideWhenUsed/>
    <w:qFormat/>
    <w:uiPriority w:val="99"/>
    <w:rPr>
      <w:sz w:val="18"/>
      <w:szCs w:val="18"/>
    </w:rPr>
  </w:style>
  <w:style w:type="paragraph" w:styleId="9">
    <w:name w:val="footer"/>
    <w:basedOn w:val="1"/>
    <w:link w:val="25"/>
    <w:unhideWhenUsed/>
    <w:qFormat/>
    <w:uiPriority w:val="99"/>
    <w:pPr>
      <w:tabs>
        <w:tab w:val="center" w:pos="4153"/>
        <w:tab w:val="right" w:pos="8306"/>
      </w:tabs>
      <w:snapToGrid w:val="0"/>
      <w:jc w:val="left"/>
    </w:pPr>
    <w:rPr>
      <w:sz w:val="18"/>
      <w:szCs w:val="18"/>
    </w:rPr>
  </w:style>
  <w:style w:type="paragraph" w:styleId="10">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footnote text"/>
    <w:basedOn w:val="1"/>
    <w:semiHidden/>
    <w:unhideWhenUsed/>
    <w:qFormat/>
    <w:uiPriority w:val="99"/>
    <w:pPr>
      <w:snapToGrid w:val="0"/>
      <w:jc w:val="left"/>
    </w:pPr>
    <w:rPr>
      <w:sz w:val="18"/>
    </w:rPr>
  </w:style>
  <w:style w:type="paragraph" w:styleId="12">
    <w:name w:val="Normal (Web)"/>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Cs w:val="24"/>
    </w:rPr>
  </w:style>
  <w:style w:type="paragraph" w:styleId="13">
    <w:name w:val="annotation subject"/>
    <w:basedOn w:val="6"/>
    <w:next w:val="6"/>
    <w:link w:val="37"/>
    <w:semiHidden/>
    <w:unhideWhenUsed/>
    <w:qFormat/>
    <w:uiPriority w:val="99"/>
    <w:rPr>
      <w:b/>
      <w:bCs/>
    </w:rPr>
  </w:style>
  <w:style w:type="table" w:styleId="15">
    <w:name w:val="Table Grid"/>
    <w:basedOn w:val="14"/>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7">
    <w:name w:val="Strong"/>
    <w:basedOn w:val="16"/>
    <w:qFormat/>
    <w:uiPriority w:val="22"/>
    <w:rPr>
      <w:b/>
    </w:rPr>
  </w:style>
  <w:style w:type="character" w:styleId="18">
    <w:name w:val="annotation reference"/>
    <w:basedOn w:val="16"/>
    <w:semiHidden/>
    <w:unhideWhenUsed/>
    <w:qFormat/>
    <w:uiPriority w:val="99"/>
    <w:rPr>
      <w:sz w:val="21"/>
      <w:szCs w:val="21"/>
    </w:rPr>
  </w:style>
  <w:style w:type="character" w:styleId="19">
    <w:name w:val="footnote reference"/>
    <w:basedOn w:val="16"/>
    <w:semiHidden/>
    <w:unhideWhenUsed/>
    <w:qFormat/>
    <w:uiPriority w:val="99"/>
    <w:rPr>
      <w:vertAlign w:val="superscript"/>
    </w:rPr>
  </w:style>
  <w:style w:type="character" w:customStyle="1" w:styleId="20">
    <w:name w:val="批注框文本 字符"/>
    <w:basedOn w:val="16"/>
    <w:link w:val="8"/>
    <w:semiHidden/>
    <w:qFormat/>
    <w:uiPriority w:val="99"/>
    <w:rPr>
      <w:sz w:val="18"/>
      <w:szCs w:val="18"/>
    </w:rPr>
  </w:style>
  <w:style w:type="character" w:customStyle="1" w:styleId="21">
    <w:name w:val="标题 1 字符"/>
    <w:basedOn w:val="16"/>
    <w:link w:val="3"/>
    <w:qFormat/>
    <w:uiPriority w:val="9"/>
    <w:rPr>
      <w:b/>
      <w:bCs/>
      <w:kern w:val="44"/>
      <w:sz w:val="44"/>
      <w:szCs w:val="44"/>
    </w:rPr>
  </w:style>
  <w:style w:type="paragraph" w:styleId="22">
    <w:name w:val="List Paragraph"/>
    <w:basedOn w:val="1"/>
    <w:qFormat/>
    <w:uiPriority w:val="34"/>
    <w:pPr>
      <w:ind w:firstLine="420"/>
    </w:pPr>
  </w:style>
  <w:style w:type="character" w:styleId="23">
    <w:name w:val="Placeholder Text"/>
    <w:basedOn w:val="16"/>
    <w:semiHidden/>
    <w:qFormat/>
    <w:uiPriority w:val="99"/>
    <w:rPr>
      <w:color w:val="auto"/>
    </w:rPr>
  </w:style>
  <w:style w:type="character" w:customStyle="1" w:styleId="24">
    <w:name w:val="页眉 字符"/>
    <w:basedOn w:val="16"/>
    <w:link w:val="10"/>
    <w:qFormat/>
    <w:uiPriority w:val="99"/>
    <w:rPr>
      <w:sz w:val="18"/>
      <w:szCs w:val="18"/>
    </w:rPr>
  </w:style>
  <w:style w:type="character" w:customStyle="1" w:styleId="25">
    <w:name w:val="页脚 字符"/>
    <w:basedOn w:val="16"/>
    <w:link w:val="9"/>
    <w:qFormat/>
    <w:uiPriority w:val="99"/>
    <w:rPr>
      <w:sz w:val="18"/>
      <w:szCs w:val="18"/>
    </w:rPr>
  </w:style>
  <w:style w:type="character" w:customStyle="1" w:styleId="26">
    <w:name w:val="标题 2 字符"/>
    <w:basedOn w:val="16"/>
    <w:link w:val="4"/>
    <w:qFormat/>
    <w:uiPriority w:val="9"/>
    <w:rPr>
      <w:rFonts w:asciiTheme="majorHAnsi" w:hAnsiTheme="majorHAnsi" w:eastAsiaTheme="majorEastAsia" w:cstheme="majorBidi"/>
      <w:b/>
      <w:bCs/>
      <w:sz w:val="32"/>
      <w:szCs w:val="32"/>
    </w:rPr>
  </w:style>
  <w:style w:type="character" w:customStyle="1" w:styleId="27">
    <w:name w:val="文档结构图 字符"/>
    <w:basedOn w:val="16"/>
    <w:link w:val="5"/>
    <w:semiHidden/>
    <w:qFormat/>
    <w:uiPriority w:val="99"/>
    <w:rPr>
      <w:rFonts w:ascii="宋体" w:eastAsia="宋体"/>
      <w:sz w:val="18"/>
      <w:szCs w:val="18"/>
    </w:rPr>
  </w:style>
  <w:style w:type="character" w:customStyle="1" w:styleId="28">
    <w:name w:val="样式1"/>
    <w:qFormat/>
    <w:uiPriority w:val="1"/>
  </w:style>
  <w:style w:type="character" w:customStyle="1" w:styleId="29">
    <w:name w:val="样式2"/>
    <w:basedOn w:val="28"/>
    <w:qFormat/>
    <w:uiPriority w:val="1"/>
  </w:style>
  <w:style w:type="character" w:customStyle="1" w:styleId="30">
    <w:name w:val="样式3"/>
    <w:basedOn w:val="28"/>
    <w:qFormat/>
    <w:uiPriority w:val="1"/>
  </w:style>
  <w:style w:type="character" w:customStyle="1" w:styleId="31">
    <w:name w:val="样式4"/>
    <w:basedOn w:val="28"/>
    <w:qFormat/>
    <w:uiPriority w:val="1"/>
  </w:style>
  <w:style w:type="character" w:customStyle="1" w:styleId="32">
    <w:name w:val="样式5"/>
    <w:basedOn w:val="28"/>
    <w:qFormat/>
    <w:uiPriority w:val="1"/>
  </w:style>
  <w:style w:type="character" w:customStyle="1" w:styleId="33">
    <w:name w:val="样式6"/>
    <w:basedOn w:val="31"/>
    <w:qFormat/>
    <w:uiPriority w:val="1"/>
  </w:style>
  <w:style w:type="character" w:customStyle="1" w:styleId="34">
    <w:name w:val="样式7"/>
    <w:basedOn w:val="31"/>
    <w:qFormat/>
    <w:uiPriority w:val="1"/>
  </w:style>
  <w:style w:type="character" w:customStyle="1" w:styleId="35">
    <w:name w:val="批注文字 字符"/>
    <w:basedOn w:val="16"/>
    <w:link w:val="6"/>
    <w:qFormat/>
    <w:uiPriority w:val="0"/>
  </w:style>
  <w:style w:type="paragraph" w:customStyle="1" w:styleId="36">
    <w:name w:val="p0"/>
    <w:basedOn w:val="1"/>
    <w:qFormat/>
    <w:uiPriority w:val="0"/>
    <w:pPr>
      <w:widowControl/>
    </w:pPr>
    <w:rPr>
      <w:rFonts w:ascii="Book Antiqua" w:hAnsi="Book Antiqua" w:eastAsia="宋体" w:cs="宋体"/>
      <w:kern w:val="0"/>
      <w:szCs w:val="24"/>
    </w:rPr>
  </w:style>
  <w:style w:type="character" w:customStyle="1" w:styleId="37">
    <w:name w:val="批注主题 字符"/>
    <w:basedOn w:val="35"/>
    <w:link w:val="13"/>
    <w:semiHidden/>
    <w:qFormat/>
    <w:uiPriority w:val="99"/>
    <w:rPr>
      <w:b/>
      <w:bCs/>
    </w:rPr>
  </w:style>
  <w:style w:type="table" w:customStyle="1" w:styleId="38">
    <w:name w:val="网格型1"/>
    <w:basedOn w:val="14"/>
    <w:qFormat/>
    <w:uiPriority w:val="0"/>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9">
    <w:name w:val="网格型2"/>
    <w:basedOn w:val="14"/>
    <w:qFormat/>
    <w:uiPriority w:val="0"/>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glossaryDocument" Target="glossary/document.xml"/><Relationship Id="rId17" Type="http://schemas.openxmlformats.org/officeDocument/2006/relationships/fontTable" Target="fontTable.xml"/><Relationship Id="rId16" Type="http://schemas.openxmlformats.org/officeDocument/2006/relationships/customXml" Target="../customXml/item4.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lsong\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22222222222222222222222222222"/>
        <w:style w:val=""/>
        <w:category>
          <w:name w:val="常规"/>
          <w:gallery w:val="placeholder"/>
        </w:category>
        <w:types>
          <w:type w:val="bbPlcHdr"/>
        </w:types>
        <w:behaviors>
          <w:behavior w:val="content"/>
        </w:behaviors>
        <w:description w:val=""/>
        <w:guid w:val="{9C1B8E7C-6535-4FB7-A9C1-1D945F7251BD}"/>
      </w:docPartPr>
      <w:docPartBody>
        <w:p w14:paraId="7435FADB">
          <w:pPr>
            <w:pStyle w:val="5"/>
            <w:rPr>
              <w:rFonts w:hint="eastAsia"/>
            </w:rPr>
          </w:pPr>
          <w:r>
            <w:rPr>
              <w:rFonts w:hint="eastAsia" w:asciiTheme="majorEastAsia" w:hAnsiTheme="majorEastAsia" w:eastAsiaTheme="majorEastAsia"/>
              <w:b/>
              <w:color w:val="333399"/>
              <w:szCs w:val="36"/>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
  <w:rsids>
    <w:rsidRoot w:val="00A10E8A"/>
    <w:rsid w:val="00017DF4"/>
    <w:rsid w:val="00032CF6"/>
    <w:rsid w:val="000343D6"/>
    <w:rsid w:val="0004422D"/>
    <w:rsid w:val="00044B12"/>
    <w:rsid w:val="00051238"/>
    <w:rsid w:val="00061EF5"/>
    <w:rsid w:val="00064914"/>
    <w:rsid w:val="000777D0"/>
    <w:rsid w:val="00083392"/>
    <w:rsid w:val="00091B04"/>
    <w:rsid w:val="000927E9"/>
    <w:rsid w:val="000B72CA"/>
    <w:rsid w:val="000D5200"/>
    <w:rsid w:val="000E3071"/>
    <w:rsid w:val="00111BD1"/>
    <w:rsid w:val="00121EB3"/>
    <w:rsid w:val="001454B0"/>
    <w:rsid w:val="00145670"/>
    <w:rsid w:val="0016580D"/>
    <w:rsid w:val="0019225F"/>
    <w:rsid w:val="001D5BCD"/>
    <w:rsid w:val="001D6115"/>
    <w:rsid w:val="001D6EF3"/>
    <w:rsid w:val="002143E6"/>
    <w:rsid w:val="00256D89"/>
    <w:rsid w:val="00267098"/>
    <w:rsid w:val="00282A8F"/>
    <w:rsid w:val="00282D66"/>
    <w:rsid w:val="002E6255"/>
    <w:rsid w:val="00306E3D"/>
    <w:rsid w:val="00316D69"/>
    <w:rsid w:val="00331366"/>
    <w:rsid w:val="0033790F"/>
    <w:rsid w:val="003435A0"/>
    <w:rsid w:val="00354018"/>
    <w:rsid w:val="0036106E"/>
    <w:rsid w:val="00376DD0"/>
    <w:rsid w:val="003810DE"/>
    <w:rsid w:val="00383379"/>
    <w:rsid w:val="003906EF"/>
    <w:rsid w:val="0039206D"/>
    <w:rsid w:val="003B04EC"/>
    <w:rsid w:val="003B50D8"/>
    <w:rsid w:val="003C29C4"/>
    <w:rsid w:val="003D385E"/>
    <w:rsid w:val="003F2D0A"/>
    <w:rsid w:val="0043069B"/>
    <w:rsid w:val="00435041"/>
    <w:rsid w:val="00446E52"/>
    <w:rsid w:val="00456AB7"/>
    <w:rsid w:val="004573BC"/>
    <w:rsid w:val="0049097E"/>
    <w:rsid w:val="00495DE2"/>
    <w:rsid w:val="004A1379"/>
    <w:rsid w:val="004A2790"/>
    <w:rsid w:val="004A4D38"/>
    <w:rsid w:val="004A6E2D"/>
    <w:rsid w:val="004A7768"/>
    <w:rsid w:val="004B104B"/>
    <w:rsid w:val="004B2A73"/>
    <w:rsid w:val="004B72D1"/>
    <w:rsid w:val="004E1D2B"/>
    <w:rsid w:val="004E2C00"/>
    <w:rsid w:val="004E760B"/>
    <w:rsid w:val="00505B16"/>
    <w:rsid w:val="00524560"/>
    <w:rsid w:val="005409B4"/>
    <w:rsid w:val="00541ABD"/>
    <w:rsid w:val="005806C9"/>
    <w:rsid w:val="0058301E"/>
    <w:rsid w:val="0058791E"/>
    <w:rsid w:val="005964EA"/>
    <w:rsid w:val="005A02F7"/>
    <w:rsid w:val="005B1E3A"/>
    <w:rsid w:val="005C5246"/>
    <w:rsid w:val="005D54A9"/>
    <w:rsid w:val="005F0412"/>
    <w:rsid w:val="00602E7D"/>
    <w:rsid w:val="00633C9B"/>
    <w:rsid w:val="00634524"/>
    <w:rsid w:val="00642713"/>
    <w:rsid w:val="00645CB1"/>
    <w:rsid w:val="00655627"/>
    <w:rsid w:val="006639A1"/>
    <w:rsid w:val="00687612"/>
    <w:rsid w:val="006B7BE4"/>
    <w:rsid w:val="006E69C1"/>
    <w:rsid w:val="00734AD3"/>
    <w:rsid w:val="00742BAB"/>
    <w:rsid w:val="00752860"/>
    <w:rsid w:val="00765580"/>
    <w:rsid w:val="00777D46"/>
    <w:rsid w:val="00780325"/>
    <w:rsid w:val="00781254"/>
    <w:rsid w:val="0078693E"/>
    <w:rsid w:val="007A02EA"/>
    <w:rsid w:val="007A1611"/>
    <w:rsid w:val="007A4890"/>
    <w:rsid w:val="007B03CC"/>
    <w:rsid w:val="007B1DA5"/>
    <w:rsid w:val="007C7D34"/>
    <w:rsid w:val="007E4DF1"/>
    <w:rsid w:val="00800822"/>
    <w:rsid w:val="00805E2F"/>
    <w:rsid w:val="00823B30"/>
    <w:rsid w:val="008444EF"/>
    <w:rsid w:val="00846FD4"/>
    <w:rsid w:val="00851D98"/>
    <w:rsid w:val="00882BAE"/>
    <w:rsid w:val="00890879"/>
    <w:rsid w:val="008E3B35"/>
    <w:rsid w:val="00932870"/>
    <w:rsid w:val="0095546D"/>
    <w:rsid w:val="00977AB9"/>
    <w:rsid w:val="009830BF"/>
    <w:rsid w:val="00985796"/>
    <w:rsid w:val="00996F77"/>
    <w:rsid w:val="009A3853"/>
    <w:rsid w:val="009C514E"/>
    <w:rsid w:val="00A10E8A"/>
    <w:rsid w:val="00A3150D"/>
    <w:rsid w:val="00A35B61"/>
    <w:rsid w:val="00A41B15"/>
    <w:rsid w:val="00A71077"/>
    <w:rsid w:val="00A738D7"/>
    <w:rsid w:val="00A76F92"/>
    <w:rsid w:val="00A808AB"/>
    <w:rsid w:val="00A86D8A"/>
    <w:rsid w:val="00A9159D"/>
    <w:rsid w:val="00A93AE1"/>
    <w:rsid w:val="00AA1850"/>
    <w:rsid w:val="00AA1CD6"/>
    <w:rsid w:val="00AB46B1"/>
    <w:rsid w:val="00AD0371"/>
    <w:rsid w:val="00AE60AC"/>
    <w:rsid w:val="00B03079"/>
    <w:rsid w:val="00BA1417"/>
    <w:rsid w:val="00BA50F1"/>
    <w:rsid w:val="00BC1B15"/>
    <w:rsid w:val="00BD611D"/>
    <w:rsid w:val="00C01254"/>
    <w:rsid w:val="00C1573E"/>
    <w:rsid w:val="00C175BA"/>
    <w:rsid w:val="00C3656A"/>
    <w:rsid w:val="00C67793"/>
    <w:rsid w:val="00C823B5"/>
    <w:rsid w:val="00C95A0F"/>
    <w:rsid w:val="00CA0358"/>
    <w:rsid w:val="00CB6A47"/>
    <w:rsid w:val="00D047C8"/>
    <w:rsid w:val="00D26A94"/>
    <w:rsid w:val="00D4207A"/>
    <w:rsid w:val="00D57B32"/>
    <w:rsid w:val="00D711C1"/>
    <w:rsid w:val="00D74505"/>
    <w:rsid w:val="00D75C15"/>
    <w:rsid w:val="00D839D6"/>
    <w:rsid w:val="00D87D4E"/>
    <w:rsid w:val="00DB1BD1"/>
    <w:rsid w:val="00DC38EF"/>
    <w:rsid w:val="00DD166E"/>
    <w:rsid w:val="00DF2409"/>
    <w:rsid w:val="00DF5923"/>
    <w:rsid w:val="00E1206B"/>
    <w:rsid w:val="00E717CD"/>
    <w:rsid w:val="00E93D68"/>
    <w:rsid w:val="00EA05B6"/>
    <w:rsid w:val="00EE0BEA"/>
    <w:rsid w:val="00F059B3"/>
    <w:rsid w:val="00F05F94"/>
    <w:rsid w:val="00F143C9"/>
    <w:rsid w:val="00F1554B"/>
    <w:rsid w:val="00F43A2A"/>
    <w:rsid w:val="00F44EFB"/>
    <w:rsid w:val="00F47327"/>
    <w:rsid w:val="00F476B3"/>
    <w:rsid w:val="00F62F7C"/>
    <w:rsid w:val="00F66586"/>
    <w:rsid w:val="00F774E5"/>
    <w:rsid w:val="00F8162A"/>
    <w:rsid w:val="00FB76F7"/>
    <w:rsid w:val="00FD227C"/>
    <w:rsid w:val="00FD3FDE"/>
    <w:rsid w:val="00FF0CAF"/>
    <w:rsid w:val="00FF10E9"/>
    <w:rsid w:val="00FF46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style>
  <w:style w:type="paragraph" w:customStyle="1" w:styleId="5">
    <w:name w:val="9F3DF1A127DD4BAF8FE0AECC20C48225"/>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binding xmlns:b="http://mapping.word.org/2012/binding" xmlns:xlink="xlink" xmlns:clcta-gie="clcta-gie" xmlns:clcta-fte="clcta-fte" xmlns:clcta-be="clcta-be" xmlns:clcta-taf="clcta-taf" xmlns:clcta-ci="clcta-ci">
  <clcta-gie:GongSiFaDingZhongWenMingCheng xmlns:clcta-gie="clcta-gie">股份有限公司</clcta-gie:GongSiFaDingZhongWenMingCheng>
  <clcta-be:GuDongDaHuiZhaoKaiNianDu xmlns:clcta-be="clcta-be"/>
  <clcta-be:GuDongDaHuiJieCi xmlns:clcta-be="clcta-be"/>
  <clcta-be:GuDongDaHuiZhaoKaiShiJian xmlns:clcta-be="clcta-be"/>
</b:binding>
</file>

<file path=customXml/item2.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]]></m:sse>
</m:mapping>
</file>

<file path=customXml/item3.xml><?xml version="1.0" encoding="utf-8"?>
<sc:sections xmlns:sc="http://mapping.word.org/2014/section/customize"/>
</file>

<file path=customXml/item4.xml><?xml version="1.0" encoding="utf-8"?>
<t:template xmlns:t="http://mapping.word.org/2012/template">
  <t:sse><![CDATA[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]]></t:sse>
</t:template>
</file>

<file path=customXml/itemProps1.xml><?xml version="1.0" encoding="utf-8"?>
<ds:datastoreItem xmlns:ds="http://schemas.openxmlformats.org/officeDocument/2006/customXml" ds:itemID="{BA98B501-917D-472D-AC19-F30F1EB82784}">
  <ds:schemaRefs/>
</ds:datastoreItem>
</file>

<file path=customXml/itemProps2.xml><?xml version="1.0" encoding="utf-8"?>
<ds:datastoreItem xmlns:ds="http://schemas.openxmlformats.org/officeDocument/2006/customXml" ds:itemID="{4FD3E282-F217-490A-AFDF-CBBCF6B9F6C2}">
  <ds:schemaRefs/>
</ds:datastoreItem>
</file>

<file path=customXml/itemProps3.xml><?xml version="1.0" encoding="utf-8"?>
<ds:datastoreItem xmlns:ds="http://schemas.openxmlformats.org/officeDocument/2006/customXml" ds:itemID="{4707F119-D0EA-4D81-996D-5CADFACF9FAE}">
  <ds:schemaRefs/>
</ds:datastoreItem>
</file>

<file path=customXml/itemProps4.xml><?xml version="1.0" encoding="utf-8"?>
<ds:datastoreItem xmlns:ds="http://schemas.openxmlformats.org/officeDocument/2006/customXml" ds:itemID="{3a21dd9b-7071-417b-a3bc-bc6603404bc2}">
  <ds:schemaRefs/>
</ds:datastoreItem>
</file>

<file path=docProps/app.xml><?xml version="1.0" encoding="utf-8"?>
<Properties xmlns="http://schemas.openxmlformats.org/officeDocument/2006/extended-properties" xmlns:vt="http://schemas.openxmlformats.org/officeDocument/2006/docPropsVTypes">
  <Template>SSEReport</Template>
  <Pages>3</Pages>
  <Words>1745</Words>
  <Characters>1930</Characters>
  <Lines>51</Lines>
  <Paragraphs>39</Paragraphs>
  <TotalTime>29</TotalTime>
  <ScaleCrop>false</ScaleCrop>
  <LinksUpToDate>false</LinksUpToDate>
  <CharactersWithSpaces>1945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2026-03-17T06:12:00Z</dcterms:created>
  <dc:creator>yangzhiquan</dc:creator>
  <cp:lastModifiedBy>卢柯言</cp:lastModifiedBy>
  <cp:lastPrinted>2026-03-27T01:56:00Z</cp:lastPrinted>
  <dcterms:modified xsi:type="dcterms:W3CDTF">2026-03-27T09:45:05Z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eyJoZGlkIjoiM2NmMmIwMWIxYzAyZmZiMWZlOTY3NTcxZmU2NzhhZTEiLCJ1c2VySWQiOiIxNjcyMzMwMzQ3In0=</vt:lpwstr>
  </property>
  <property fmtid="{D5CDD505-2E9C-101B-9397-08002B2CF9AE}" pid="3" name="KSOProductBuildVer">
    <vt:lpwstr>2052-12.1.0.25225</vt:lpwstr>
  </property>
  <property fmtid="{D5CDD505-2E9C-101B-9397-08002B2CF9AE}" pid="4" name="ICV">
    <vt:lpwstr>D49F8FE0CD4E4664BF8CDDCE7B7FA28E_13</vt:lpwstr>
  </property>
</Properties>
</file>