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ADB13">
      <w:pPr>
        <w:tabs>
          <w:tab w:val="left" w:pos="360"/>
        </w:tabs>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江苏宁沪高速公路股份有限公司</w:t>
      </w:r>
    </w:p>
    <w:p w14:paraId="3C19ED45">
      <w:pPr>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2025年度独立董事述职报告</w:t>
      </w:r>
    </w:p>
    <w:p w14:paraId="32D1A244">
      <w:pPr>
        <w:adjustRightInd w:val="0"/>
        <w:snapToGrid w:val="0"/>
        <w:spacing w:line="336" w:lineRule="auto"/>
        <w:jc w:val="center"/>
        <w:rPr>
          <w:rFonts w:hint="eastAsia" w:ascii="仿宋_GB2312" w:hAnsi="宋体" w:eastAsia="仿宋_GB2312"/>
          <w:b/>
          <w:sz w:val="28"/>
          <w:szCs w:val="28"/>
        </w:rPr>
      </w:pPr>
    </w:p>
    <w:p w14:paraId="0DE48AEC">
      <w:pPr>
        <w:keepNext w:val="0"/>
        <w:keepLines w:val="0"/>
        <w:pageBreakBefore w:val="0"/>
        <w:widowControl w:val="0"/>
        <w:tabs>
          <w:tab w:val="left" w:pos="2534"/>
        </w:tabs>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ascii="仿宋_GB2312" w:hAnsi="宋体" w:eastAsia="仿宋_GB2312"/>
          <w:sz w:val="32"/>
          <w:szCs w:val="32"/>
        </w:rPr>
        <w:t>作为江苏宁沪高速公路股份有限公司（以下简称“公司”）的独立董事，2025年度，本人严格遵循《公司法》《证券法》《上市公司独立董事管理办法》及两地上市规则等法律法规，并恪守公司《章程》及相关独立董事工作制度，秉持客观、公正、独立的原则，忠实、勤勉地履行法定职责。在履职过程中，本人始终保持独立判断，不受公司主要股东、实际控制人或其他利害关系方的干扰，通过积极参与股东会及董事会决策，针对公司生产经营与战略发展提出专业化建议，有效发挥了监督与平衡作用，切实维护了公司整体利益及全体股东、特别是中小股东的合法权益。现将本年度履职情况报告如下：</w:t>
      </w:r>
    </w:p>
    <w:p w14:paraId="3149FB90">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一、独立董事情况</w:t>
      </w:r>
    </w:p>
    <w:p w14:paraId="129AFBA0">
      <w:pPr>
        <w:pStyle w:val="20"/>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bookmarkStart w:id="0" w:name="OLE_LINK1"/>
      <w:r>
        <w:rPr>
          <w:rFonts w:hint="eastAsia" w:ascii="仿宋_GB2312" w:eastAsia="仿宋_GB2312" w:hAnsiTheme="minorEastAsia"/>
          <w:sz w:val="32"/>
          <w:szCs w:val="32"/>
        </w:rPr>
        <w:t>谭世俊</w:t>
      </w:r>
      <w:bookmarkEnd w:id="0"/>
      <w:r>
        <w:rPr>
          <w:rFonts w:hint="eastAsia" w:ascii="仿宋_GB2312" w:eastAsia="仿宋_GB2312" w:hAnsiTheme="minorEastAsia"/>
          <w:sz w:val="32"/>
          <w:szCs w:val="32"/>
        </w:rPr>
        <w:t>先生：</w:t>
      </w:r>
      <w:r>
        <w:rPr>
          <w:rFonts w:ascii="仿宋_GB2312" w:eastAsia="仿宋_GB2312" w:hAnsiTheme="minorEastAsia"/>
          <w:sz w:val="32"/>
          <w:szCs w:val="32"/>
        </w:rPr>
        <w:t>独立非执行董事，现任董事会战略委员会委员及薪酬与考核委员会委员。1963年3月出生，高级工程师。谭先生现任中国中铁股份有限公司所属企业外部董事及监事；2015年1月至2023年10月期间，曾先后担任中铁交通投资集团有限公司副总经理、总经理及董事长。谭先生长期深耕于大型基建企业管理领域，在企业战略规划、运营管理及资本运作等方面积累了卓越的实务经验。作为公司独立董事，本人及直系亲属均不持有本公司股份，与公司或公司控股股东不存在关联关系，未从公司及其主要股东或有利害关系的机构与人员处取得额外的、未予披露的其他利益。本人完全符合法律法规及监管制度对独立性的要求，在履职过程中始终保持客观、中立的专业判断，确保履职行为不受任何外部干预，不存在影响独立性的情形</w:t>
      </w:r>
      <w:r>
        <w:rPr>
          <w:rFonts w:hint="eastAsia" w:ascii="仿宋_GB2312" w:eastAsia="仿宋_GB2312" w:hAnsiTheme="minorEastAsia"/>
          <w:sz w:val="32"/>
          <w:szCs w:val="32"/>
        </w:rPr>
        <w:t>。</w:t>
      </w:r>
    </w:p>
    <w:p w14:paraId="39DD3F4E">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ascii="仿宋_GB2312" w:eastAsia="仿宋_GB2312"/>
          <w:b/>
          <w:bCs/>
          <w:sz w:val="32"/>
          <w:szCs w:val="32"/>
        </w:rPr>
      </w:pPr>
      <w:r>
        <w:rPr>
          <w:rFonts w:hint="eastAsia" w:ascii="黑体" w:hAnsi="黑体" w:eastAsia="黑体" w:cs="黑体"/>
          <w:b/>
          <w:bCs/>
          <w:sz w:val="32"/>
          <w:szCs w:val="32"/>
        </w:rPr>
        <w:t>二、独立董事</w:t>
      </w:r>
      <w:r>
        <w:rPr>
          <w:rFonts w:hint="eastAsia" w:ascii="黑体" w:hAnsi="黑体" w:eastAsia="黑体" w:cs="黑体"/>
          <w:b/>
          <w:sz w:val="32"/>
          <w:szCs w:val="32"/>
        </w:rPr>
        <w:t>年度</w:t>
      </w:r>
      <w:r>
        <w:rPr>
          <w:rFonts w:hint="eastAsia" w:ascii="黑体" w:hAnsi="黑体" w:eastAsia="黑体" w:cs="黑体"/>
          <w:b/>
          <w:bCs/>
          <w:sz w:val="32"/>
          <w:szCs w:val="32"/>
        </w:rPr>
        <w:t>履职概况</w:t>
      </w:r>
    </w:p>
    <w:p w14:paraId="1348D8E3">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hint="eastAsia" w:ascii="仿宋_GB2312" w:eastAsia="仿宋_GB2312" w:hAnsiTheme="minorEastAsia" w:cstheme="minorBidi"/>
          <w:sz w:val="32"/>
          <w:szCs w:val="32"/>
        </w:rPr>
      </w:pPr>
      <w:r>
        <w:rPr>
          <w:rFonts w:hint="eastAsia" w:ascii="仿宋_GB2312" w:eastAsia="仿宋_GB2312" w:hAnsiTheme="minorEastAsia" w:cstheme="minorBidi"/>
          <w:sz w:val="32"/>
          <w:szCs w:val="32"/>
        </w:rPr>
        <w:t>2</w:t>
      </w:r>
      <w:r>
        <w:rPr>
          <w:rFonts w:ascii="仿宋_GB2312" w:eastAsia="仿宋_GB2312" w:hAnsiTheme="minorEastAsia" w:cstheme="minorBidi"/>
          <w:sz w:val="32"/>
          <w:szCs w:val="32"/>
        </w:rPr>
        <w:t>025年度履职期间，本人共参加11次董事会会议及2次股东会，严格遵循《公司章程》及《独立董事工作细则》等规定，以严谨的态度审议各项议案并独立行使表决权。本人对年度内提交董事会的全部议案均进行了深度的专业研判，投出赞成票且无反对或弃权情况，充分发挥了独立董事在公司治理中的核心作用。作为战略委员会委员，本人紧扣行业发展趋势，对公司中长期规划及重大投资决策开展专题研究，提出了多项旨在推动公司稳健发展的合理化建议；作为薪酬与考核委员会委员，本人审慎审阅了董事及高管的年度薪酬考核方案，确保激励机制既符合市场水平又与经营实绩挂钩，并有效监督了方案的执行公平性。此外，本人积极参与独立董事专门会议，针对重大经营事项形成独立的专业意见，助力董事会科学高效决策。报告期内，本人与内部审计及会计师事务所保持高频深度交流，确保定期报告及财务数据的客观公允。</w:t>
      </w:r>
    </w:p>
    <w:p w14:paraId="34FAD7E1">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hint="eastAsia" w:ascii="仿宋_GB2312" w:eastAsia="仿宋_GB2312" w:hAnsiTheme="minorEastAsia" w:cstheme="minorBidi"/>
          <w:sz w:val="32"/>
          <w:szCs w:val="32"/>
        </w:rPr>
      </w:pPr>
      <w:r>
        <w:rPr>
          <w:rFonts w:ascii="仿宋_GB2312" w:eastAsia="仿宋_GB2312" w:hAnsiTheme="minorEastAsia" w:cstheme="minorBidi"/>
          <w:sz w:val="32"/>
          <w:szCs w:val="32"/>
        </w:rPr>
        <w:t>在投资者关系管理方面，本人积极出席业绩说明会，直接回应投资者关切，构建了良性的互动桥梁。为掌握一线经营实态，本人多次赴高速公路沿线及服务区开展实地调研，听取各职能部门及子公司关于生产经营与内控建设的专项汇报，并利用邮件、电话及视频等多种渠道与管理层保持实时沟通。同时，本人密切跟踪行业政策及舆情动态，结合自身专业背景提供针对性参考建议，全方位保障了公司的合规运营与高质量发展，切实维护了公司整体及中小股东的合法权益。</w:t>
      </w:r>
    </w:p>
    <w:p w14:paraId="02ADE3AE">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bCs/>
          <w:sz w:val="32"/>
          <w:szCs w:val="32"/>
        </w:rPr>
      </w:pPr>
      <w:r>
        <w:rPr>
          <w:rFonts w:ascii="仿宋_GB2312" w:eastAsia="仿宋_GB2312" w:hAnsiTheme="minorEastAsia" w:cstheme="minorBidi"/>
          <w:sz w:val="32"/>
          <w:szCs w:val="32"/>
        </w:rPr>
        <w:t>在2025年度的履职过程中，本人始终高度重视专业素养的提升与合规意识的强化。报告期内，本人积极参加了由证券交易所及公司组织的各项专业培训，累计学时超过1</w:t>
      </w:r>
      <w:r>
        <w:rPr>
          <w:rFonts w:hint="eastAsia" w:ascii="仿宋_GB2312" w:eastAsia="仿宋_GB2312" w:hAnsiTheme="minorEastAsia" w:cstheme="minorBidi"/>
          <w:sz w:val="32"/>
          <w:szCs w:val="32"/>
        </w:rPr>
        <w:t>7</w:t>
      </w:r>
      <w:r>
        <w:rPr>
          <w:rFonts w:ascii="仿宋_GB2312" w:eastAsia="仿宋_GB2312" w:hAnsiTheme="minorEastAsia" w:cstheme="minorBidi"/>
          <w:sz w:val="32"/>
          <w:szCs w:val="32"/>
        </w:rPr>
        <w:t>.5小时。培训内容精准聚焦于《上市公司独立董事管理办法》的深度实践、资本市场最新监管政策动态、企业ESG管治体系建设等专业领域。通过系统性的学习，本人进一步深化了对独立董事法定职责的理解，确保在履职过程中能够精准研判监管趋势，以更具前瞻性和专业性的视角参与董事会决策，全方位保障公司治理的合规性与稳健性。</w:t>
      </w:r>
    </w:p>
    <w:p w14:paraId="1C4D906B">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hint="eastAsia" w:ascii="仿宋_GB2312" w:hAnsi="宋体" w:eastAsia="仿宋_GB2312"/>
          <w:b/>
          <w:bCs/>
          <w:sz w:val="32"/>
          <w:szCs w:val="32"/>
        </w:rPr>
      </w:pPr>
      <w:r>
        <w:rPr>
          <w:rFonts w:hint="eastAsia" w:ascii="黑体" w:hAnsi="黑体" w:eastAsia="黑体" w:cs="黑体"/>
          <w:b/>
          <w:bCs/>
          <w:sz w:val="32"/>
          <w:szCs w:val="32"/>
        </w:rPr>
        <w:t>三、独立董事</w:t>
      </w:r>
      <w:r>
        <w:rPr>
          <w:rFonts w:hint="eastAsia" w:ascii="黑体" w:hAnsi="黑体" w:eastAsia="黑体" w:cs="黑体"/>
          <w:b/>
          <w:sz w:val="32"/>
          <w:szCs w:val="32"/>
        </w:rPr>
        <w:t>年度</w:t>
      </w:r>
      <w:r>
        <w:rPr>
          <w:rFonts w:hint="eastAsia" w:ascii="黑体" w:hAnsi="黑体" w:eastAsia="黑体" w:cs="黑体"/>
          <w:b/>
          <w:bCs/>
          <w:sz w:val="32"/>
          <w:szCs w:val="32"/>
        </w:rPr>
        <w:t>履职重点关注事项的情况</w:t>
      </w:r>
    </w:p>
    <w:p w14:paraId="7021F809">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（一）应当披露的关联交易</w:t>
      </w:r>
    </w:p>
    <w:p w14:paraId="48FF6C00">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hint="eastAsia" w:ascii="仿宋_GB2312" w:hAnsi="宋体" w:eastAsia="仿宋_GB2312" w:cs="宋体"/>
          <w:sz w:val="32"/>
          <w:szCs w:val="32"/>
        </w:rPr>
        <w:t>根</w:t>
      </w:r>
      <w:r>
        <w:rPr>
          <w:rFonts w:ascii="仿宋_GB2312" w:hAnsi="宋体" w:eastAsia="仿宋_GB2312" w:cs="宋体"/>
          <w:sz w:val="32"/>
          <w:szCs w:val="32"/>
        </w:rPr>
        <w:t>据《上市公司独立董事管理办法》《上海证券交易所股票上市规则》《香港联合交易所有限公司证券上市规则》及公司《章程》等相关法律法规及规范性文件的规定，本人对公司2025年度重大关联交易及日常关联交易事项进行了审慎审查。本人认为，公司2025年度关联交易预计事项均基于正常经营业务开展，采用了一般商业条款，交易定价遵循了公平、公正、公开的原则，公允合理。在董事会审议相关议案时，决策程序严格遵守了法律法规及监管要求，关联董事均已按规定回避表决。上述关联交易的实施不存在损害公司及全体股东、特别是中小股东利益的情形，符合公司持续发展的需要及整体利益。</w:t>
      </w:r>
    </w:p>
    <w:p w14:paraId="0DCA483F">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color w:val="000000"/>
          <w:sz w:val="24"/>
        </w:rPr>
      </w:pPr>
      <w:r>
        <w:rPr>
          <w:rFonts w:hint="eastAsia" w:ascii="楷体_GB2312" w:hAnsi="楷体_GB2312" w:eastAsia="楷体_GB2312" w:cs="楷体_GB2312"/>
          <w:b/>
          <w:sz w:val="32"/>
          <w:szCs w:val="32"/>
        </w:rPr>
        <w:t>（二）定期报告相关事项</w:t>
      </w:r>
    </w:p>
    <w:p w14:paraId="2C75D5AE">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hint="eastAsia" w:ascii="仿宋_GB2312" w:eastAsia="仿宋_GB2312"/>
          <w:sz w:val="32"/>
          <w:szCs w:val="32"/>
        </w:rPr>
        <w:t>报</w:t>
      </w:r>
      <w:r>
        <w:rPr>
          <w:rFonts w:ascii="仿宋_GB2312" w:eastAsia="仿宋_GB2312"/>
          <w:sz w:val="32"/>
          <w:szCs w:val="32"/>
        </w:rPr>
        <w:t>告期内，公司严格遵循《公司法》《证券法》《上市公司信息披露管理办法》及《上海证券交易所股票上市规则》等法律法规，依法合规编制并披露了《2024年年度报告》《2024年度内部控制自我评价报告》以及2025年第一季度、半年度、第三季度报告</w:t>
      </w:r>
      <w:bookmarkStart w:id="1" w:name="_GoBack"/>
      <w:bookmarkEnd w:id="1"/>
      <w:r>
        <w:rPr>
          <w:rFonts w:ascii="仿宋_GB2312" w:eastAsia="仿宋_GB2312"/>
          <w:sz w:val="32"/>
          <w:szCs w:val="32"/>
        </w:rPr>
        <w:t>，准确披露了各期财务数据与重大事项，全面客观地揭示了经营现状。上述定期报告均履行了完备的审议程序，经公司董事会及监事会审议通过，其中《2024年年度报告》已获2024年年度股东会批准；公司董事、监事及高级管理人员均对定期报告签署了书面确认意见。公司定期报告的编制、审议及披露程序严谨合规，财务数据准确详实，真实、公允地反映了公司的实际经营成果与财务状况。</w:t>
      </w:r>
    </w:p>
    <w:p w14:paraId="0E44E588">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（三）高级管理人员考核以及薪酬情况</w:t>
      </w:r>
    </w:p>
    <w:p w14:paraId="706E7512">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sz w:val="32"/>
          <w:szCs w:val="32"/>
        </w:rPr>
      </w:pPr>
      <w:r>
        <w:rPr>
          <w:rFonts w:hint="eastAsia" w:ascii="仿宋_GB2312" w:eastAsia="仿宋_GB2312"/>
          <w:sz w:val="32"/>
          <w:szCs w:val="32"/>
        </w:rPr>
        <w:t>报</w:t>
      </w:r>
      <w:r>
        <w:rPr>
          <w:rFonts w:ascii="仿宋_GB2312" w:eastAsia="仿宋_GB2312"/>
          <w:sz w:val="32"/>
          <w:szCs w:val="32"/>
        </w:rPr>
        <w:t>告期内，本人对公司董事及高级管理人员的薪酬方案与实际发放情况进行了审慎审核。本人认为，公司202</w:t>
      </w:r>
      <w:r>
        <w:rPr>
          <w:rFonts w:hint="eastAsia" w:ascii="仿宋_GB2312" w:eastAsia="仿宋_GB2312"/>
          <w:sz w:val="32"/>
          <w:szCs w:val="32"/>
        </w:rPr>
        <w:t>5</w:t>
      </w:r>
      <w:r>
        <w:rPr>
          <w:rFonts w:ascii="仿宋_GB2312" w:eastAsia="仿宋_GB2312"/>
          <w:sz w:val="32"/>
          <w:szCs w:val="32"/>
        </w:rPr>
        <w:t>年度向董事及高级管理人员支付的薪酬严格执行了公司既定的薪酬管理制度与年度绩效考核标准，薪酬水平公允、合理，与公司经营实绩及行业薪酬水平相匹配。相关薪酬发放的决策程序合法有效，不存在违反公司薪酬政策的情形，有效发挥了薪酬激励与约束机制的作用，不存在损害公司及全体股东利益的情况。</w:t>
      </w:r>
    </w:p>
    <w:p w14:paraId="2504CC0B">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w:t>
      </w:r>
      <w:r>
        <w:rPr>
          <w:rFonts w:hint="eastAsia" w:ascii="楷体_GB2312" w:hAnsi="楷体_GB2312" w:eastAsia="楷体_GB2312" w:cs="楷体_GB2312"/>
          <w:b/>
          <w:sz w:val="32"/>
          <w:szCs w:val="32"/>
          <w:lang w:val="en-US" w:eastAsia="zh-CN"/>
        </w:rPr>
        <w:t>四</w:t>
      </w:r>
      <w:r>
        <w:rPr>
          <w:rFonts w:hint="eastAsia" w:ascii="楷体_GB2312" w:hAnsi="楷体_GB2312" w:eastAsia="楷体_GB2312" w:cs="楷体_GB2312"/>
          <w:b/>
          <w:sz w:val="32"/>
          <w:szCs w:val="32"/>
        </w:rPr>
        <w:t>）聘任或者更换会计师事务所情况</w:t>
      </w:r>
    </w:p>
    <w:p w14:paraId="12E2DFC0">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cs="宋体"/>
          <w:sz w:val="32"/>
          <w:szCs w:val="32"/>
        </w:rPr>
      </w:pPr>
      <w:r>
        <w:rPr>
          <w:rFonts w:hint="eastAsia" w:ascii="仿宋_GB2312" w:eastAsia="仿宋_GB2312" w:cs="宋体"/>
          <w:sz w:val="32"/>
          <w:szCs w:val="32"/>
        </w:rPr>
        <w:t>报</w:t>
      </w:r>
      <w:r>
        <w:rPr>
          <w:rFonts w:ascii="仿宋_GB2312" w:eastAsia="仿宋_GB2312" w:cs="宋体"/>
          <w:sz w:val="32"/>
          <w:szCs w:val="32"/>
        </w:rPr>
        <w:t>告期内，公司保持了审计工作的稳定性与连续性，未发生更换会计师事务所的情形，继续聘任毕马威华振会计师事务所（特殊普通合伙）担任年度审计机构。该续聘事项的决策程序严格遵循了《公司章程》及相关法律法规的要求，毕马威华振会计师事务所在执业过程中展现了极高的专业素养与独立性，能够满足公司财务审计及内部控制审计的各项需求，其出具的审计意见客观、公允地反映了公司的实际财务状况及经营成果</w:t>
      </w:r>
      <w:r>
        <w:rPr>
          <w:rFonts w:hint="eastAsia" w:ascii="仿宋_GB2312" w:eastAsia="仿宋_GB2312" w:cs="宋体"/>
          <w:sz w:val="32"/>
          <w:szCs w:val="32"/>
        </w:rPr>
        <w:t>。</w:t>
      </w:r>
    </w:p>
    <w:p w14:paraId="7189778B">
      <w:pPr>
        <w:keepNext w:val="0"/>
        <w:keepLines w:val="0"/>
        <w:pageBreakBefore w:val="0"/>
        <w:widowControl w:val="0"/>
        <w:kinsoku/>
        <w:wordWrap/>
        <w:overflowPunct/>
        <w:topLinePunct w:val="0"/>
        <w:autoSpaceDE/>
        <w:autoSpaceDN/>
        <w:bidi w:val="0"/>
        <w:adjustRightInd w:val="0"/>
        <w:spacing w:line="360" w:lineRule="auto"/>
        <w:ind w:firstLine="643" w:firstLineChars="200"/>
        <w:textAlignment w:val="auto"/>
        <w:rPr>
          <w:rFonts w:ascii="仿宋_GB2312" w:eastAsia="仿宋_GB2312"/>
          <w:b/>
          <w:sz w:val="32"/>
          <w:szCs w:val="32"/>
        </w:rPr>
      </w:pPr>
      <w:r>
        <w:rPr>
          <w:rFonts w:hint="eastAsia" w:ascii="楷体_GB2312" w:hAnsi="楷体_GB2312" w:eastAsia="楷体_GB2312" w:cs="楷体_GB2312"/>
          <w:b/>
          <w:sz w:val="32"/>
          <w:szCs w:val="32"/>
        </w:rPr>
        <w:t>（</w:t>
      </w:r>
      <w:r>
        <w:rPr>
          <w:rFonts w:hint="eastAsia" w:ascii="楷体_GB2312" w:hAnsi="楷体_GB2312" w:eastAsia="楷体_GB2312" w:cs="楷体_GB2312"/>
          <w:b/>
          <w:sz w:val="32"/>
          <w:szCs w:val="32"/>
          <w:lang w:val="en-US" w:eastAsia="zh-CN"/>
        </w:rPr>
        <w:t>五</w:t>
      </w:r>
      <w:r>
        <w:rPr>
          <w:rFonts w:hint="eastAsia" w:ascii="楷体_GB2312" w:hAnsi="楷体_GB2312" w:eastAsia="楷体_GB2312" w:cs="楷体_GB2312"/>
          <w:b/>
          <w:sz w:val="32"/>
          <w:szCs w:val="32"/>
        </w:rPr>
        <w:t>）内部控制的执行情况</w:t>
      </w:r>
    </w:p>
    <w:p w14:paraId="4E7FE5BD">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cs="宋体"/>
          <w:sz w:val="32"/>
          <w:szCs w:val="32"/>
        </w:rPr>
      </w:pPr>
      <w:r>
        <w:rPr>
          <w:rFonts w:ascii="仿宋_GB2312" w:eastAsia="仿宋_GB2312" w:cs="宋体"/>
          <w:sz w:val="32"/>
          <w:szCs w:val="32"/>
        </w:rPr>
        <w:t>根据《企业内部控制基本规范》及其配套指引的要求，结合公司内部控制制度与评价体系，本人在强化日常监督与专项审计的基础上，对公司2025年度内部控制的有效性进行了全面审视。经审议评价，公司于报告期内已按照企业内部控制规范体系及监管要求，在所有重大维度上保持了有效的内部控制，不存在财务报告及非财务报告的重大缺陷。内部控制评价范围实现了对公司及子公司核心业务与关键事项的全覆盖，并针对资金管理、采购招标、销售运营、关联交易及信息披露等高风险领域实施了重点管控。公司内控评价工作严格遵循全面性、重要性及客观性原则，通过系统性自查、穿行测试及定期检查等手段，确保了内控设计的科学性与运行的持续有效性，为公司资产安全、财务报告真实可靠及经营合规提供了坚实保障。</w:t>
      </w:r>
    </w:p>
    <w:p w14:paraId="688A6C7B">
      <w:pPr>
        <w:keepNext w:val="0"/>
        <w:keepLines w:val="0"/>
        <w:pageBreakBefore w:val="0"/>
        <w:widowControl w:val="0"/>
        <w:numPr>
          <w:ilvl w:val="0"/>
          <w:numId w:val="1"/>
        </w:numPr>
        <w:kinsoku/>
        <w:wordWrap/>
        <w:overflowPunct/>
        <w:topLinePunct w:val="0"/>
        <w:autoSpaceDE/>
        <w:autoSpaceDN/>
        <w:bidi w:val="0"/>
        <w:adjustRightIn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总体评价和建议</w:t>
      </w:r>
    </w:p>
    <w:p w14:paraId="50FF32CA">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cs="宋体"/>
          <w:sz w:val="32"/>
          <w:szCs w:val="32"/>
        </w:rPr>
      </w:pPr>
      <w:r>
        <w:rPr>
          <w:rFonts w:ascii="仿宋_GB2312" w:eastAsia="仿宋_GB2312" w:cs="宋体"/>
          <w:sz w:val="32"/>
          <w:szCs w:val="32"/>
        </w:rPr>
        <w:t>展望2026年度，本人将继续严格遵循国家法律法规及两地上市监管要求，进一步深化与董事会、监事会及管理层间的沟通协作，始终秉持独立、公正的职业立场，忠实、勤勉、尽责地履行独立董事使命。本人将充分依托专业背景，为公司战略决策提供具前瞻性与建设性的参考依据，致力于推动公司治理体系的持续优化与规范运作，确保董事会决策的科学性、公平性与透明度。</w:t>
      </w:r>
    </w:p>
    <w:p w14:paraId="6D532E07">
      <w:pPr>
        <w:keepNext w:val="0"/>
        <w:keepLines w:val="0"/>
        <w:pageBreakBefore w:val="0"/>
        <w:widowControl w:val="0"/>
        <w:kinsoku/>
        <w:wordWrap/>
        <w:overflowPunct/>
        <w:topLinePunct w:val="0"/>
        <w:autoSpaceDE/>
        <w:autoSpaceDN/>
        <w:bidi w:val="0"/>
        <w:adjustRightInd w:val="0"/>
        <w:spacing w:line="360" w:lineRule="auto"/>
        <w:ind w:firstLine="640" w:firstLineChars="200"/>
        <w:textAlignment w:val="auto"/>
        <w:rPr>
          <w:rFonts w:ascii="仿宋_GB2312" w:eastAsia="仿宋_GB2312" w:cs="宋体"/>
          <w:sz w:val="32"/>
          <w:szCs w:val="32"/>
        </w:rPr>
      </w:pPr>
      <w:r>
        <w:rPr>
          <w:rFonts w:ascii="仿宋_GB2312" w:eastAsia="仿宋_GB2312" w:cs="宋体"/>
          <w:sz w:val="32"/>
          <w:szCs w:val="32"/>
        </w:rPr>
        <w:t>在助力公司实现高质量、可持续健康发展的同时，本人将时刻关注广大投资者的切身利益，构建坚实的利益保护机制，切实维护公司整体利益及全体股东、尤其是中小股东的合法权益</w:t>
      </w:r>
      <w:r>
        <w:rPr>
          <w:rFonts w:hint="eastAsia" w:ascii="仿宋_GB2312" w:eastAsia="仿宋_GB2312" w:cs="宋体"/>
          <w:sz w:val="32"/>
          <w:szCs w:val="32"/>
        </w:rPr>
        <w:t>。</w:t>
      </w:r>
    </w:p>
    <w:p w14:paraId="7386F37E">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ascii="仿宋_GB2312" w:eastAsia="仿宋_GB2312"/>
          <w:sz w:val="32"/>
          <w:szCs w:val="32"/>
        </w:rPr>
      </w:pPr>
    </w:p>
    <w:p w14:paraId="3CEE9714">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w:t>
      </w:r>
    </w:p>
    <w:p w14:paraId="44519C3B">
      <w:pPr>
        <w:adjustRightInd w:val="0"/>
        <w:snapToGrid w:val="0"/>
        <w:spacing w:line="336" w:lineRule="auto"/>
        <w:ind w:firstLine="5140" w:firstLineChars="1600"/>
        <w:rPr>
          <w:rFonts w:hint="eastAsia" w:ascii="仿宋_GB2312" w:hAnsi="宋体" w:eastAsia="仿宋_GB2312" w:cs="Arial"/>
          <w:b/>
          <w:sz w:val="32"/>
          <w:szCs w:val="32"/>
        </w:rPr>
      </w:pPr>
      <w:r>
        <w:rPr>
          <w:rFonts w:hint="eastAsia" w:ascii="仿宋_GB2312" w:hAnsi="宋体" w:eastAsia="仿宋_GB2312" w:cs="Arial"/>
          <w:b/>
          <w:sz w:val="32"/>
          <w:szCs w:val="32"/>
        </w:rPr>
        <w:t>独立董事：谭世俊</w:t>
      </w:r>
    </w:p>
    <w:p w14:paraId="487D3C26">
      <w:pPr>
        <w:adjustRightInd w:val="0"/>
        <w:snapToGrid w:val="0"/>
        <w:spacing w:line="336" w:lineRule="auto"/>
        <w:ind w:right="560" w:firstLine="5140" w:firstLineChars="1600"/>
        <w:rPr>
          <w:rFonts w:hint="eastAsia" w:ascii="仿宋_GB2312" w:hAnsi="宋体" w:eastAsia="仿宋_GB2312" w:cs="宋体"/>
          <w:b/>
          <w:sz w:val="32"/>
          <w:szCs w:val="32"/>
        </w:rPr>
      </w:pPr>
      <w:r>
        <w:rPr>
          <w:rFonts w:hint="eastAsia" w:ascii="仿宋_GB2312" w:hAnsi="宋体" w:eastAsia="仿宋_GB2312" w:cs="Arial"/>
          <w:b/>
          <w:sz w:val="32"/>
          <w:szCs w:val="32"/>
        </w:rPr>
        <w:t>2026年3月</w:t>
      </w:r>
      <w:r>
        <w:rPr>
          <w:rFonts w:hint="eastAsia" w:ascii="仿宋_GB2312" w:hAnsi="宋体" w:eastAsia="仿宋_GB2312" w:cs="Arial"/>
          <w:b/>
          <w:sz w:val="32"/>
          <w:szCs w:val="32"/>
          <w:lang w:val="en-US" w:eastAsia="zh-CN"/>
        </w:rPr>
        <w:t>27</w:t>
      </w:r>
      <w:r>
        <w:rPr>
          <w:rFonts w:hint="eastAsia" w:ascii="仿宋_GB2312" w:hAnsi="宋体" w:eastAsia="仿宋_GB2312" w:cs="Arial"/>
          <w:b/>
          <w:sz w:val="32"/>
          <w:szCs w:val="32"/>
        </w:rPr>
        <w:t>日</w:t>
      </w:r>
    </w:p>
    <w:p w14:paraId="707D42EE">
      <w:pPr>
        <w:adjustRightInd w:val="0"/>
        <w:snapToGrid w:val="0"/>
        <w:spacing w:line="336" w:lineRule="auto"/>
        <w:ind w:right="560" w:firstLine="4498" w:firstLineChars="1400"/>
        <w:rPr>
          <w:rFonts w:hint="eastAsia" w:ascii="仿宋_GB2312" w:hAnsi="宋体" w:eastAsia="仿宋_GB2312" w:cs="宋体"/>
          <w:b/>
          <w:sz w:val="32"/>
          <w:szCs w:val="32"/>
        </w:rPr>
      </w:pPr>
    </w:p>
    <w:sectPr>
      <w:footerReference r:id="rId3" w:type="default"/>
      <w:pgSz w:w="11906" w:h="16838"/>
      <w:pgMar w:top="1440" w:right="1753" w:bottom="1440" w:left="175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5031151-4A80-4DA0-972F-6827430FBAE7}"/>
  </w:font>
  <w:font w:name="黑体">
    <w:panose1 w:val="02010609060101010101"/>
    <w:charset w:val="86"/>
    <w:family w:val="auto"/>
    <w:pitch w:val="default"/>
    <w:sig w:usb0="800002BF" w:usb1="38CF7CFA" w:usb2="00000016" w:usb3="00000000" w:csb0="00040001" w:csb1="00000000"/>
    <w:embedRegular r:id="rId2" w:fontKey="{9327CF01-B6E3-410E-87AF-54C6806D67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F280262A-EB09-4DE6-8EB9-6F9235B6C267}"/>
  </w:font>
  <w:font w:name="仿宋_GB2312">
    <w:altName w:val="仿宋"/>
    <w:panose1 w:val="02010609030101010101"/>
    <w:charset w:val="86"/>
    <w:family w:val="modern"/>
    <w:pitch w:val="default"/>
    <w:sig w:usb0="00000000" w:usb1="00000000" w:usb2="00000000" w:usb3="00000000" w:csb0="00040000" w:csb1="00000000"/>
    <w:embedRegular r:id="rId4" w:fontKey="{2AF728A9-CE7C-43BD-A54D-6C566342AE10}"/>
  </w:font>
  <w:font w:name="楷体_GB2312">
    <w:altName w:val="楷体"/>
    <w:panose1 w:val="02010609030101010101"/>
    <w:charset w:val="86"/>
    <w:family w:val="auto"/>
    <w:pitch w:val="default"/>
    <w:sig w:usb0="00000000" w:usb1="00000000" w:usb2="00000000" w:usb3="00000000" w:csb0="00040000" w:csb1="00000000"/>
    <w:embedRegular r:id="rId5" w:fontKey="{3CA8CFB1-1CFB-4256-A611-5207D33C11D9}"/>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0886794"/>
    </w:sdtPr>
    <w:sdtContent>
      <w:p w14:paraId="1FE22A2C">
        <w:pPr>
          <w:pStyle w:val="6"/>
          <w:jc w:val="center"/>
        </w:pPr>
        <w:r>
          <w:fldChar w:fldCharType="begin"/>
        </w:r>
        <w:r>
          <w:instrText xml:space="preserve">PAGE   \* MERGEFORMAT</w:instrText>
        </w:r>
        <w:r>
          <w:fldChar w:fldCharType="separate"/>
        </w:r>
        <w:r>
          <w:rPr>
            <w:lang w:val="zh-CN"/>
          </w:rPr>
          <w:t>10</w:t>
        </w:r>
        <w:r>
          <w:fldChar w:fldCharType="end"/>
        </w:r>
      </w:p>
    </w:sdtContent>
  </w:sdt>
  <w:p w14:paraId="6AC0F8EA">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334D4A"/>
    <w:multiLevelType w:val="singleLevel"/>
    <w:tmpl w:val="E2334D4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9C686E"/>
    <w:rsid w:val="0000655D"/>
    <w:rsid w:val="00006C39"/>
    <w:rsid w:val="00007E2F"/>
    <w:rsid w:val="00011118"/>
    <w:rsid w:val="00012490"/>
    <w:rsid w:val="000138FA"/>
    <w:rsid w:val="000220A5"/>
    <w:rsid w:val="00025453"/>
    <w:rsid w:val="0003153A"/>
    <w:rsid w:val="0003201A"/>
    <w:rsid w:val="00034D3A"/>
    <w:rsid w:val="0003754C"/>
    <w:rsid w:val="00040E8C"/>
    <w:rsid w:val="000417A5"/>
    <w:rsid w:val="00041BA4"/>
    <w:rsid w:val="00042E20"/>
    <w:rsid w:val="00042EF9"/>
    <w:rsid w:val="0005013B"/>
    <w:rsid w:val="00050C98"/>
    <w:rsid w:val="000528E3"/>
    <w:rsid w:val="000553D1"/>
    <w:rsid w:val="00057464"/>
    <w:rsid w:val="00057B6C"/>
    <w:rsid w:val="00061957"/>
    <w:rsid w:val="00062D06"/>
    <w:rsid w:val="000670F7"/>
    <w:rsid w:val="00073808"/>
    <w:rsid w:val="00075921"/>
    <w:rsid w:val="000766A4"/>
    <w:rsid w:val="00077FD9"/>
    <w:rsid w:val="00081088"/>
    <w:rsid w:val="000814F8"/>
    <w:rsid w:val="000819CC"/>
    <w:rsid w:val="000841D0"/>
    <w:rsid w:val="0008452B"/>
    <w:rsid w:val="00084984"/>
    <w:rsid w:val="00086850"/>
    <w:rsid w:val="00086EB2"/>
    <w:rsid w:val="00090533"/>
    <w:rsid w:val="000A23F6"/>
    <w:rsid w:val="000A3283"/>
    <w:rsid w:val="000A4C22"/>
    <w:rsid w:val="000A6056"/>
    <w:rsid w:val="000A6561"/>
    <w:rsid w:val="000A718B"/>
    <w:rsid w:val="000B5A42"/>
    <w:rsid w:val="000C4856"/>
    <w:rsid w:val="000C4FD3"/>
    <w:rsid w:val="000C7453"/>
    <w:rsid w:val="000D0EA4"/>
    <w:rsid w:val="000D41E2"/>
    <w:rsid w:val="000D42FA"/>
    <w:rsid w:val="000D5A32"/>
    <w:rsid w:val="000D6AC0"/>
    <w:rsid w:val="000E05A3"/>
    <w:rsid w:val="000E18E7"/>
    <w:rsid w:val="000E529B"/>
    <w:rsid w:val="000E5599"/>
    <w:rsid w:val="000F0856"/>
    <w:rsid w:val="000F3F45"/>
    <w:rsid w:val="000F5775"/>
    <w:rsid w:val="000F7065"/>
    <w:rsid w:val="000F720A"/>
    <w:rsid w:val="00100CB9"/>
    <w:rsid w:val="001018B0"/>
    <w:rsid w:val="00103439"/>
    <w:rsid w:val="00103C76"/>
    <w:rsid w:val="00105260"/>
    <w:rsid w:val="0010549D"/>
    <w:rsid w:val="00107FD6"/>
    <w:rsid w:val="0011123D"/>
    <w:rsid w:val="00111C3B"/>
    <w:rsid w:val="001128B6"/>
    <w:rsid w:val="00114CDA"/>
    <w:rsid w:val="001150AB"/>
    <w:rsid w:val="00117693"/>
    <w:rsid w:val="001205E1"/>
    <w:rsid w:val="001237B9"/>
    <w:rsid w:val="00124BFA"/>
    <w:rsid w:val="00132AF3"/>
    <w:rsid w:val="0013367C"/>
    <w:rsid w:val="001348D4"/>
    <w:rsid w:val="0014310C"/>
    <w:rsid w:val="0014580C"/>
    <w:rsid w:val="00146A41"/>
    <w:rsid w:val="00146AE2"/>
    <w:rsid w:val="00147E3C"/>
    <w:rsid w:val="00150761"/>
    <w:rsid w:val="00153969"/>
    <w:rsid w:val="0015483D"/>
    <w:rsid w:val="001561D1"/>
    <w:rsid w:val="0016023C"/>
    <w:rsid w:val="0016082A"/>
    <w:rsid w:val="001616A6"/>
    <w:rsid w:val="00162170"/>
    <w:rsid w:val="001623DC"/>
    <w:rsid w:val="0016289F"/>
    <w:rsid w:val="001630F7"/>
    <w:rsid w:val="0016353D"/>
    <w:rsid w:val="00167CFC"/>
    <w:rsid w:val="0017272A"/>
    <w:rsid w:val="00174E6D"/>
    <w:rsid w:val="0018045F"/>
    <w:rsid w:val="00181404"/>
    <w:rsid w:val="001820A8"/>
    <w:rsid w:val="00185492"/>
    <w:rsid w:val="00190904"/>
    <w:rsid w:val="00194D24"/>
    <w:rsid w:val="001959B8"/>
    <w:rsid w:val="001A18D5"/>
    <w:rsid w:val="001A3982"/>
    <w:rsid w:val="001B2EC4"/>
    <w:rsid w:val="001B480C"/>
    <w:rsid w:val="001B69A0"/>
    <w:rsid w:val="001C2071"/>
    <w:rsid w:val="001C35C1"/>
    <w:rsid w:val="001C7AF5"/>
    <w:rsid w:val="001C7C3E"/>
    <w:rsid w:val="001D0D39"/>
    <w:rsid w:val="001D17B8"/>
    <w:rsid w:val="001D17C5"/>
    <w:rsid w:val="001D25C1"/>
    <w:rsid w:val="001D2E6E"/>
    <w:rsid w:val="001D56C6"/>
    <w:rsid w:val="001D59FE"/>
    <w:rsid w:val="001D5A96"/>
    <w:rsid w:val="001D6A75"/>
    <w:rsid w:val="001E10E3"/>
    <w:rsid w:val="001E4359"/>
    <w:rsid w:val="001E5AF4"/>
    <w:rsid w:val="001F069E"/>
    <w:rsid w:val="001F07B8"/>
    <w:rsid w:val="001F509B"/>
    <w:rsid w:val="001F58FF"/>
    <w:rsid w:val="0020051C"/>
    <w:rsid w:val="002005CF"/>
    <w:rsid w:val="00202067"/>
    <w:rsid w:val="002021E9"/>
    <w:rsid w:val="00202BD8"/>
    <w:rsid w:val="002046DE"/>
    <w:rsid w:val="00206729"/>
    <w:rsid w:val="00211374"/>
    <w:rsid w:val="002114D6"/>
    <w:rsid w:val="0021233E"/>
    <w:rsid w:val="00213F6E"/>
    <w:rsid w:val="00217EF0"/>
    <w:rsid w:val="00220D06"/>
    <w:rsid w:val="002213A5"/>
    <w:rsid w:val="00221F0F"/>
    <w:rsid w:val="00222CB8"/>
    <w:rsid w:val="00227391"/>
    <w:rsid w:val="0022794A"/>
    <w:rsid w:val="00231448"/>
    <w:rsid w:val="00231B74"/>
    <w:rsid w:val="00234B09"/>
    <w:rsid w:val="0023568F"/>
    <w:rsid w:val="002361FE"/>
    <w:rsid w:val="0023647B"/>
    <w:rsid w:val="0024090D"/>
    <w:rsid w:val="00244B70"/>
    <w:rsid w:val="002467BA"/>
    <w:rsid w:val="00247ABD"/>
    <w:rsid w:val="00252931"/>
    <w:rsid w:val="00254865"/>
    <w:rsid w:val="002569EE"/>
    <w:rsid w:val="00261C51"/>
    <w:rsid w:val="00262FD3"/>
    <w:rsid w:val="00267615"/>
    <w:rsid w:val="0027232D"/>
    <w:rsid w:val="002724D6"/>
    <w:rsid w:val="002767F4"/>
    <w:rsid w:val="00282A95"/>
    <w:rsid w:val="00284A35"/>
    <w:rsid w:val="00284C34"/>
    <w:rsid w:val="002866D2"/>
    <w:rsid w:val="00286824"/>
    <w:rsid w:val="00295122"/>
    <w:rsid w:val="002A44D0"/>
    <w:rsid w:val="002A48E8"/>
    <w:rsid w:val="002A54F8"/>
    <w:rsid w:val="002A599E"/>
    <w:rsid w:val="002A71C9"/>
    <w:rsid w:val="002A7353"/>
    <w:rsid w:val="002B1DD4"/>
    <w:rsid w:val="002B5BB4"/>
    <w:rsid w:val="002B6EE3"/>
    <w:rsid w:val="002C5904"/>
    <w:rsid w:val="002C5F24"/>
    <w:rsid w:val="002C7851"/>
    <w:rsid w:val="002D2F43"/>
    <w:rsid w:val="002D3A43"/>
    <w:rsid w:val="002D3E21"/>
    <w:rsid w:val="002D51D4"/>
    <w:rsid w:val="002E765E"/>
    <w:rsid w:val="002F0EF5"/>
    <w:rsid w:val="002F184A"/>
    <w:rsid w:val="002F4D84"/>
    <w:rsid w:val="0030646C"/>
    <w:rsid w:val="00306588"/>
    <w:rsid w:val="003076A1"/>
    <w:rsid w:val="003102C9"/>
    <w:rsid w:val="003117A5"/>
    <w:rsid w:val="00311B22"/>
    <w:rsid w:val="003138F2"/>
    <w:rsid w:val="00314E1B"/>
    <w:rsid w:val="00316981"/>
    <w:rsid w:val="00316C11"/>
    <w:rsid w:val="003170BF"/>
    <w:rsid w:val="0032298F"/>
    <w:rsid w:val="00330AAF"/>
    <w:rsid w:val="00332FEB"/>
    <w:rsid w:val="003344C3"/>
    <w:rsid w:val="00337C3E"/>
    <w:rsid w:val="00337F19"/>
    <w:rsid w:val="003408B3"/>
    <w:rsid w:val="00343920"/>
    <w:rsid w:val="0034418D"/>
    <w:rsid w:val="00351AD3"/>
    <w:rsid w:val="00352F8B"/>
    <w:rsid w:val="00353266"/>
    <w:rsid w:val="003544BD"/>
    <w:rsid w:val="003553C0"/>
    <w:rsid w:val="00355D56"/>
    <w:rsid w:val="00355ED6"/>
    <w:rsid w:val="00360985"/>
    <w:rsid w:val="00363225"/>
    <w:rsid w:val="00367BA1"/>
    <w:rsid w:val="00372AD8"/>
    <w:rsid w:val="00374D04"/>
    <w:rsid w:val="003810D4"/>
    <w:rsid w:val="00381419"/>
    <w:rsid w:val="00381803"/>
    <w:rsid w:val="0038412E"/>
    <w:rsid w:val="00385690"/>
    <w:rsid w:val="003873C9"/>
    <w:rsid w:val="00387723"/>
    <w:rsid w:val="0039103D"/>
    <w:rsid w:val="00391C3D"/>
    <w:rsid w:val="00392C08"/>
    <w:rsid w:val="00394652"/>
    <w:rsid w:val="00396015"/>
    <w:rsid w:val="00397559"/>
    <w:rsid w:val="003A3B12"/>
    <w:rsid w:val="003A4A05"/>
    <w:rsid w:val="003A5874"/>
    <w:rsid w:val="003A7AFF"/>
    <w:rsid w:val="003B0D87"/>
    <w:rsid w:val="003B1F23"/>
    <w:rsid w:val="003B4FDD"/>
    <w:rsid w:val="003C19BF"/>
    <w:rsid w:val="003C1E16"/>
    <w:rsid w:val="003C2768"/>
    <w:rsid w:val="003C2820"/>
    <w:rsid w:val="003C5468"/>
    <w:rsid w:val="003C7F88"/>
    <w:rsid w:val="003D10D3"/>
    <w:rsid w:val="003D478D"/>
    <w:rsid w:val="003D7176"/>
    <w:rsid w:val="003D7BC0"/>
    <w:rsid w:val="003E00B8"/>
    <w:rsid w:val="003E09F0"/>
    <w:rsid w:val="003E1BA7"/>
    <w:rsid w:val="003E1D58"/>
    <w:rsid w:val="003E351F"/>
    <w:rsid w:val="003E4394"/>
    <w:rsid w:val="003E6877"/>
    <w:rsid w:val="003F1470"/>
    <w:rsid w:val="003F1592"/>
    <w:rsid w:val="003F3F14"/>
    <w:rsid w:val="004017AC"/>
    <w:rsid w:val="00401F51"/>
    <w:rsid w:val="00403FDC"/>
    <w:rsid w:val="00406848"/>
    <w:rsid w:val="00406AA4"/>
    <w:rsid w:val="00415DFF"/>
    <w:rsid w:val="004201C6"/>
    <w:rsid w:val="00420B7F"/>
    <w:rsid w:val="004210C8"/>
    <w:rsid w:val="0042480B"/>
    <w:rsid w:val="0042555E"/>
    <w:rsid w:val="004269F8"/>
    <w:rsid w:val="00430330"/>
    <w:rsid w:val="004332D0"/>
    <w:rsid w:val="00434928"/>
    <w:rsid w:val="00435EE0"/>
    <w:rsid w:val="004400BA"/>
    <w:rsid w:val="00440E67"/>
    <w:rsid w:val="0044122A"/>
    <w:rsid w:val="00443D3A"/>
    <w:rsid w:val="00444419"/>
    <w:rsid w:val="00446772"/>
    <w:rsid w:val="0044692B"/>
    <w:rsid w:val="00447397"/>
    <w:rsid w:val="00453E71"/>
    <w:rsid w:val="00455CA8"/>
    <w:rsid w:val="00457C64"/>
    <w:rsid w:val="00462ECD"/>
    <w:rsid w:val="00466967"/>
    <w:rsid w:val="00467430"/>
    <w:rsid w:val="004677E3"/>
    <w:rsid w:val="004735B6"/>
    <w:rsid w:val="00476386"/>
    <w:rsid w:val="00482AD9"/>
    <w:rsid w:val="00484E9B"/>
    <w:rsid w:val="0048507B"/>
    <w:rsid w:val="0048717C"/>
    <w:rsid w:val="004872D9"/>
    <w:rsid w:val="00495B1C"/>
    <w:rsid w:val="004960B3"/>
    <w:rsid w:val="004968EE"/>
    <w:rsid w:val="004A074D"/>
    <w:rsid w:val="004A2B40"/>
    <w:rsid w:val="004A6B19"/>
    <w:rsid w:val="004B2F02"/>
    <w:rsid w:val="004B6C03"/>
    <w:rsid w:val="004C185E"/>
    <w:rsid w:val="004C1CCB"/>
    <w:rsid w:val="004C495C"/>
    <w:rsid w:val="004D0765"/>
    <w:rsid w:val="004D33A6"/>
    <w:rsid w:val="004D3466"/>
    <w:rsid w:val="004E1B42"/>
    <w:rsid w:val="004E1E1A"/>
    <w:rsid w:val="004E3D2E"/>
    <w:rsid w:val="004E591F"/>
    <w:rsid w:val="004F44D7"/>
    <w:rsid w:val="004F4D3D"/>
    <w:rsid w:val="004F7F83"/>
    <w:rsid w:val="00500198"/>
    <w:rsid w:val="00501BF4"/>
    <w:rsid w:val="00503EDE"/>
    <w:rsid w:val="00511B36"/>
    <w:rsid w:val="00511E0D"/>
    <w:rsid w:val="0051395D"/>
    <w:rsid w:val="00517582"/>
    <w:rsid w:val="0052040A"/>
    <w:rsid w:val="0052105C"/>
    <w:rsid w:val="00522F76"/>
    <w:rsid w:val="005312DE"/>
    <w:rsid w:val="005326AA"/>
    <w:rsid w:val="00533FFC"/>
    <w:rsid w:val="0053448B"/>
    <w:rsid w:val="0054444D"/>
    <w:rsid w:val="005444DE"/>
    <w:rsid w:val="005451B3"/>
    <w:rsid w:val="005469F0"/>
    <w:rsid w:val="00547273"/>
    <w:rsid w:val="005509C7"/>
    <w:rsid w:val="005534B9"/>
    <w:rsid w:val="005536B0"/>
    <w:rsid w:val="00555D26"/>
    <w:rsid w:val="005569F6"/>
    <w:rsid w:val="00561388"/>
    <w:rsid w:val="005635D9"/>
    <w:rsid w:val="00564C81"/>
    <w:rsid w:val="005665A1"/>
    <w:rsid w:val="00571B55"/>
    <w:rsid w:val="00574436"/>
    <w:rsid w:val="0057649D"/>
    <w:rsid w:val="00590D3C"/>
    <w:rsid w:val="0059191A"/>
    <w:rsid w:val="00591E76"/>
    <w:rsid w:val="0059452B"/>
    <w:rsid w:val="00595811"/>
    <w:rsid w:val="0059599F"/>
    <w:rsid w:val="00595CE2"/>
    <w:rsid w:val="00595F54"/>
    <w:rsid w:val="00597D9A"/>
    <w:rsid w:val="005A0429"/>
    <w:rsid w:val="005A05B9"/>
    <w:rsid w:val="005A182F"/>
    <w:rsid w:val="005A52F9"/>
    <w:rsid w:val="005A60D8"/>
    <w:rsid w:val="005B0119"/>
    <w:rsid w:val="005B6836"/>
    <w:rsid w:val="005C0B5D"/>
    <w:rsid w:val="005C2472"/>
    <w:rsid w:val="005C3020"/>
    <w:rsid w:val="005C4D07"/>
    <w:rsid w:val="005C7E28"/>
    <w:rsid w:val="005D217A"/>
    <w:rsid w:val="005D723E"/>
    <w:rsid w:val="005E047A"/>
    <w:rsid w:val="005E3759"/>
    <w:rsid w:val="005E3E99"/>
    <w:rsid w:val="005E5248"/>
    <w:rsid w:val="005E5C64"/>
    <w:rsid w:val="005E717D"/>
    <w:rsid w:val="005F0826"/>
    <w:rsid w:val="005F0E06"/>
    <w:rsid w:val="005F1C42"/>
    <w:rsid w:val="005F2940"/>
    <w:rsid w:val="005F57B2"/>
    <w:rsid w:val="005F5E48"/>
    <w:rsid w:val="00602908"/>
    <w:rsid w:val="00602D3D"/>
    <w:rsid w:val="00605DB8"/>
    <w:rsid w:val="0060702B"/>
    <w:rsid w:val="00614222"/>
    <w:rsid w:val="00615DBB"/>
    <w:rsid w:val="00616AEF"/>
    <w:rsid w:val="00620B8D"/>
    <w:rsid w:val="00620DC5"/>
    <w:rsid w:val="00625722"/>
    <w:rsid w:val="00632B22"/>
    <w:rsid w:val="00636480"/>
    <w:rsid w:val="00640E54"/>
    <w:rsid w:val="006437A6"/>
    <w:rsid w:val="0064389F"/>
    <w:rsid w:val="00650900"/>
    <w:rsid w:val="00652091"/>
    <w:rsid w:val="00654E10"/>
    <w:rsid w:val="006566AC"/>
    <w:rsid w:val="00657CBB"/>
    <w:rsid w:val="00660529"/>
    <w:rsid w:val="00661148"/>
    <w:rsid w:val="0066138A"/>
    <w:rsid w:val="00661BA9"/>
    <w:rsid w:val="00663D5D"/>
    <w:rsid w:val="006647C9"/>
    <w:rsid w:val="00664935"/>
    <w:rsid w:val="00665A7D"/>
    <w:rsid w:val="00665DFB"/>
    <w:rsid w:val="00673125"/>
    <w:rsid w:val="00673BC3"/>
    <w:rsid w:val="00676777"/>
    <w:rsid w:val="00676EC9"/>
    <w:rsid w:val="006777AF"/>
    <w:rsid w:val="0068083A"/>
    <w:rsid w:val="00681211"/>
    <w:rsid w:val="00684130"/>
    <w:rsid w:val="00684F34"/>
    <w:rsid w:val="00691003"/>
    <w:rsid w:val="006931FE"/>
    <w:rsid w:val="00694104"/>
    <w:rsid w:val="00694C5C"/>
    <w:rsid w:val="00694CA0"/>
    <w:rsid w:val="006A16F4"/>
    <w:rsid w:val="006A3EF9"/>
    <w:rsid w:val="006B36BF"/>
    <w:rsid w:val="006B3C1B"/>
    <w:rsid w:val="006B44CF"/>
    <w:rsid w:val="006B4568"/>
    <w:rsid w:val="006B4989"/>
    <w:rsid w:val="006B7C3C"/>
    <w:rsid w:val="006C00D2"/>
    <w:rsid w:val="006C6021"/>
    <w:rsid w:val="006C6FF1"/>
    <w:rsid w:val="006C70F6"/>
    <w:rsid w:val="006D0143"/>
    <w:rsid w:val="006D17C3"/>
    <w:rsid w:val="006D2081"/>
    <w:rsid w:val="006D2F53"/>
    <w:rsid w:val="006D3D83"/>
    <w:rsid w:val="006D4536"/>
    <w:rsid w:val="006E054A"/>
    <w:rsid w:val="006E0815"/>
    <w:rsid w:val="006E67B4"/>
    <w:rsid w:val="006E7D5B"/>
    <w:rsid w:val="006F31D1"/>
    <w:rsid w:val="006F50CF"/>
    <w:rsid w:val="006F6C59"/>
    <w:rsid w:val="006F6DFA"/>
    <w:rsid w:val="006F74C0"/>
    <w:rsid w:val="0070248F"/>
    <w:rsid w:val="00707B6A"/>
    <w:rsid w:val="00712009"/>
    <w:rsid w:val="007127BD"/>
    <w:rsid w:val="007129B5"/>
    <w:rsid w:val="00714C30"/>
    <w:rsid w:val="00715936"/>
    <w:rsid w:val="007168FD"/>
    <w:rsid w:val="00720CE7"/>
    <w:rsid w:val="007241DF"/>
    <w:rsid w:val="00724C2F"/>
    <w:rsid w:val="00726996"/>
    <w:rsid w:val="00727AFF"/>
    <w:rsid w:val="00727F08"/>
    <w:rsid w:val="00737BA8"/>
    <w:rsid w:val="00741E3B"/>
    <w:rsid w:val="00742D9A"/>
    <w:rsid w:val="00750204"/>
    <w:rsid w:val="00750624"/>
    <w:rsid w:val="007548BE"/>
    <w:rsid w:val="0075537F"/>
    <w:rsid w:val="00760692"/>
    <w:rsid w:val="00760D80"/>
    <w:rsid w:val="00762868"/>
    <w:rsid w:val="00770666"/>
    <w:rsid w:val="00771FAD"/>
    <w:rsid w:val="00774AAC"/>
    <w:rsid w:val="007757F5"/>
    <w:rsid w:val="00775B63"/>
    <w:rsid w:val="007767CB"/>
    <w:rsid w:val="00777EC5"/>
    <w:rsid w:val="00780D38"/>
    <w:rsid w:val="0078159C"/>
    <w:rsid w:val="0078409B"/>
    <w:rsid w:val="00785100"/>
    <w:rsid w:val="00785A56"/>
    <w:rsid w:val="00785DDF"/>
    <w:rsid w:val="00792C6C"/>
    <w:rsid w:val="00792F77"/>
    <w:rsid w:val="00793100"/>
    <w:rsid w:val="00793611"/>
    <w:rsid w:val="00797CD2"/>
    <w:rsid w:val="007A0949"/>
    <w:rsid w:val="007A2E53"/>
    <w:rsid w:val="007A4B83"/>
    <w:rsid w:val="007B0B88"/>
    <w:rsid w:val="007B1DA5"/>
    <w:rsid w:val="007B363E"/>
    <w:rsid w:val="007B3917"/>
    <w:rsid w:val="007B5BCE"/>
    <w:rsid w:val="007B6DF3"/>
    <w:rsid w:val="007C0226"/>
    <w:rsid w:val="007C7977"/>
    <w:rsid w:val="007D09B3"/>
    <w:rsid w:val="007D2D85"/>
    <w:rsid w:val="007D44F3"/>
    <w:rsid w:val="007D6B61"/>
    <w:rsid w:val="007D7AE1"/>
    <w:rsid w:val="007E09F3"/>
    <w:rsid w:val="007E5246"/>
    <w:rsid w:val="007E60A0"/>
    <w:rsid w:val="007E6782"/>
    <w:rsid w:val="007E72F3"/>
    <w:rsid w:val="007F043D"/>
    <w:rsid w:val="007F0A69"/>
    <w:rsid w:val="007F1CFE"/>
    <w:rsid w:val="007F5FC2"/>
    <w:rsid w:val="007F78EE"/>
    <w:rsid w:val="00800735"/>
    <w:rsid w:val="00807822"/>
    <w:rsid w:val="00815774"/>
    <w:rsid w:val="008159E5"/>
    <w:rsid w:val="008164F9"/>
    <w:rsid w:val="00816D04"/>
    <w:rsid w:val="008205C9"/>
    <w:rsid w:val="0082097A"/>
    <w:rsid w:val="008209EA"/>
    <w:rsid w:val="00820E60"/>
    <w:rsid w:val="008211D4"/>
    <w:rsid w:val="00821C18"/>
    <w:rsid w:val="00821E3A"/>
    <w:rsid w:val="00827D62"/>
    <w:rsid w:val="008319DB"/>
    <w:rsid w:val="008406C7"/>
    <w:rsid w:val="00840FDF"/>
    <w:rsid w:val="00843EA0"/>
    <w:rsid w:val="00844C0C"/>
    <w:rsid w:val="00844E38"/>
    <w:rsid w:val="00845BE8"/>
    <w:rsid w:val="008460EF"/>
    <w:rsid w:val="00847950"/>
    <w:rsid w:val="00853B84"/>
    <w:rsid w:val="00857D15"/>
    <w:rsid w:val="00861D70"/>
    <w:rsid w:val="00861EA1"/>
    <w:rsid w:val="00865EE5"/>
    <w:rsid w:val="00871C3C"/>
    <w:rsid w:val="0087232E"/>
    <w:rsid w:val="00872A2B"/>
    <w:rsid w:val="00872FA3"/>
    <w:rsid w:val="00873E7D"/>
    <w:rsid w:val="00874FA0"/>
    <w:rsid w:val="00883CD7"/>
    <w:rsid w:val="00885ECE"/>
    <w:rsid w:val="00886F47"/>
    <w:rsid w:val="008A3D5C"/>
    <w:rsid w:val="008A4FE7"/>
    <w:rsid w:val="008A7AD4"/>
    <w:rsid w:val="008B0FF3"/>
    <w:rsid w:val="008B15C3"/>
    <w:rsid w:val="008B2D8B"/>
    <w:rsid w:val="008B501A"/>
    <w:rsid w:val="008B59D6"/>
    <w:rsid w:val="008B6972"/>
    <w:rsid w:val="008C0F44"/>
    <w:rsid w:val="008C1A8B"/>
    <w:rsid w:val="008C492B"/>
    <w:rsid w:val="008C6AD5"/>
    <w:rsid w:val="008C7064"/>
    <w:rsid w:val="008C768B"/>
    <w:rsid w:val="008D5538"/>
    <w:rsid w:val="008D680D"/>
    <w:rsid w:val="008E03A6"/>
    <w:rsid w:val="008E1398"/>
    <w:rsid w:val="008E696A"/>
    <w:rsid w:val="008E76F0"/>
    <w:rsid w:val="008F1BB3"/>
    <w:rsid w:val="008F301E"/>
    <w:rsid w:val="008F40B8"/>
    <w:rsid w:val="008F6A2D"/>
    <w:rsid w:val="008F6CB7"/>
    <w:rsid w:val="00900409"/>
    <w:rsid w:val="00900820"/>
    <w:rsid w:val="009028FD"/>
    <w:rsid w:val="00905FEB"/>
    <w:rsid w:val="009075A5"/>
    <w:rsid w:val="00907C72"/>
    <w:rsid w:val="009129B0"/>
    <w:rsid w:val="00915812"/>
    <w:rsid w:val="009203E7"/>
    <w:rsid w:val="00921EFB"/>
    <w:rsid w:val="00922B5A"/>
    <w:rsid w:val="00925337"/>
    <w:rsid w:val="009309CF"/>
    <w:rsid w:val="00932472"/>
    <w:rsid w:val="00933997"/>
    <w:rsid w:val="009344DF"/>
    <w:rsid w:val="00950A17"/>
    <w:rsid w:val="00951622"/>
    <w:rsid w:val="0095597A"/>
    <w:rsid w:val="00956D17"/>
    <w:rsid w:val="00957282"/>
    <w:rsid w:val="00960E68"/>
    <w:rsid w:val="00963B62"/>
    <w:rsid w:val="009644EC"/>
    <w:rsid w:val="00972B82"/>
    <w:rsid w:val="0097389B"/>
    <w:rsid w:val="00975434"/>
    <w:rsid w:val="009758F0"/>
    <w:rsid w:val="00977EFE"/>
    <w:rsid w:val="00981F75"/>
    <w:rsid w:val="00982C23"/>
    <w:rsid w:val="00983009"/>
    <w:rsid w:val="009835DE"/>
    <w:rsid w:val="009837C4"/>
    <w:rsid w:val="009858F7"/>
    <w:rsid w:val="00986A95"/>
    <w:rsid w:val="00986F94"/>
    <w:rsid w:val="00987353"/>
    <w:rsid w:val="009906CA"/>
    <w:rsid w:val="009929C5"/>
    <w:rsid w:val="00993B1E"/>
    <w:rsid w:val="00995C9F"/>
    <w:rsid w:val="009979C8"/>
    <w:rsid w:val="009A036E"/>
    <w:rsid w:val="009A0954"/>
    <w:rsid w:val="009A3597"/>
    <w:rsid w:val="009A4C23"/>
    <w:rsid w:val="009A537E"/>
    <w:rsid w:val="009A5544"/>
    <w:rsid w:val="009A5C63"/>
    <w:rsid w:val="009B15F5"/>
    <w:rsid w:val="009B34D2"/>
    <w:rsid w:val="009B427E"/>
    <w:rsid w:val="009B542D"/>
    <w:rsid w:val="009B70D4"/>
    <w:rsid w:val="009C059B"/>
    <w:rsid w:val="009C05FB"/>
    <w:rsid w:val="009C3662"/>
    <w:rsid w:val="009C686E"/>
    <w:rsid w:val="009D145F"/>
    <w:rsid w:val="009D3D2C"/>
    <w:rsid w:val="009D417A"/>
    <w:rsid w:val="009D4C2F"/>
    <w:rsid w:val="009D6E97"/>
    <w:rsid w:val="009E20BA"/>
    <w:rsid w:val="009E330D"/>
    <w:rsid w:val="009E539F"/>
    <w:rsid w:val="009E5ED9"/>
    <w:rsid w:val="009E6034"/>
    <w:rsid w:val="009F61ED"/>
    <w:rsid w:val="009F7A68"/>
    <w:rsid w:val="009F7BD4"/>
    <w:rsid w:val="00A01DFF"/>
    <w:rsid w:val="00A0234C"/>
    <w:rsid w:val="00A02601"/>
    <w:rsid w:val="00A072E9"/>
    <w:rsid w:val="00A138B6"/>
    <w:rsid w:val="00A14B26"/>
    <w:rsid w:val="00A1511C"/>
    <w:rsid w:val="00A15757"/>
    <w:rsid w:val="00A15E93"/>
    <w:rsid w:val="00A235C3"/>
    <w:rsid w:val="00A23CC3"/>
    <w:rsid w:val="00A309B1"/>
    <w:rsid w:val="00A30A7D"/>
    <w:rsid w:val="00A321AD"/>
    <w:rsid w:val="00A33EC4"/>
    <w:rsid w:val="00A37A49"/>
    <w:rsid w:val="00A4610E"/>
    <w:rsid w:val="00A467A8"/>
    <w:rsid w:val="00A47DD2"/>
    <w:rsid w:val="00A507A5"/>
    <w:rsid w:val="00A5118D"/>
    <w:rsid w:val="00A5225E"/>
    <w:rsid w:val="00A52C1B"/>
    <w:rsid w:val="00A532AE"/>
    <w:rsid w:val="00A56136"/>
    <w:rsid w:val="00A61C2D"/>
    <w:rsid w:val="00A62CB4"/>
    <w:rsid w:val="00A65869"/>
    <w:rsid w:val="00A676F7"/>
    <w:rsid w:val="00A73651"/>
    <w:rsid w:val="00A806EE"/>
    <w:rsid w:val="00A80D8E"/>
    <w:rsid w:val="00A81290"/>
    <w:rsid w:val="00A837AA"/>
    <w:rsid w:val="00A84119"/>
    <w:rsid w:val="00A8602D"/>
    <w:rsid w:val="00A86B7D"/>
    <w:rsid w:val="00A87EB9"/>
    <w:rsid w:val="00A91CB3"/>
    <w:rsid w:val="00A936AE"/>
    <w:rsid w:val="00A93B41"/>
    <w:rsid w:val="00A952FD"/>
    <w:rsid w:val="00AA1AFF"/>
    <w:rsid w:val="00AA7F2B"/>
    <w:rsid w:val="00AB3027"/>
    <w:rsid w:val="00AB5B3D"/>
    <w:rsid w:val="00AB641A"/>
    <w:rsid w:val="00AC02DF"/>
    <w:rsid w:val="00AC2277"/>
    <w:rsid w:val="00AC2DB2"/>
    <w:rsid w:val="00AC4F36"/>
    <w:rsid w:val="00AC78A3"/>
    <w:rsid w:val="00AE1144"/>
    <w:rsid w:val="00B009D9"/>
    <w:rsid w:val="00B00D43"/>
    <w:rsid w:val="00B0282D"/>
    <w:rsid w:val="00B03FD6"/>
    <w:rsid w:val="00B06C83"/>
    <w:rsid w:val="00B12C3C"/>
    <w:rsid w:val="00B12E48"/>
    <w:rsid w:val="00B13665"/>
    <w:rsid w:val="00B144FA"/>
    <w:rsid w:val="00B15404"/>
    <w:rsid w:val="00B202A9"/>
    <w:rsid w:val="00B21927"/>
    <w:rsid w:val="00B22A0B"/>
    <w:rsid w:val="00B23642"/>
    <w:rsid w:val="00B24913"/>
    <w:rsid w:val="00B319F1"/>
    <w:rsid w:val="00B350B4"/>
    <w:rsid w:val="00B3519B"/>
    <w:rsid w:val="00B37836"/>
    <w:rsid w:val="00B4046F"/>
    <w:rsid w:val="00B415B5"/>
    <w:rsid w:val="00B4279D"/>
    <w:rsid w:val="00B433D3"/>
    <w:rsid w:val="00B5321F"/>
    <w:rsid w:val="00B56417"/>
    <w:rsid w:val="00B60524"/>
    <w:rsid w:val="00B62E09"/>
    <w:rsid w:val="00B63FF8"/>
    <w:rsid w:val="00B64FF2"/>
    <w:rsid w:val="00B67E55"/>
    <w:rsid w:val="00B70AC8"/>
    <w:rsid w:val="00B72851"/>
    <w:rsid w:val="00B73BE1"/>
    <w:rsid w:val="00B74A46"/>
    <w:rsid w:val="00B74DBC"/>
    <w:rsid w:val="00B761DC"/>
    <w:rsid w:val="00B763DA"/>
    <w:rsid w:val="00B82E7C"/>
    <w:rsid w:val="00B83205"/>
    <w:rsid w:val="00B86399"/>
    <w:rsid w:val="00B86C30"/>
    <w:rsid w:val="00B87FDB"/>
    <w:rsid w:val="00B90816"/>
    <w:rsid w:val="00B90D4D"/>
    <w:rsid w:val="00B9149B"/>
    <w:rsid w:val="00B917C1"/>
    <w:rsid w:val="00B91800"/>
    <w:rsid w:val="00B9372A"/>
    <w:rsid w:val="00B95A15"/>
    <w:rsid w:val="00B95F6C"/>
    <w:rsid w:val="00B962E6"/>
    <w:rsid w:val="00BA1AE0"/>
    <w:rsid w:val="00BB0434"/>
    <w:rsid w:val="00BB05A8"/>
    <w:rsid w:val="00BB1250"/>
    <w:rsid w:val="00BB5023"/>
    <w:rsid w:val="00BC1931"/>
    <w:rsid w:val="00BC1E6E"/>
    <w:rsid w:val="00BC2077"/>
    <w:rsid w:val="00BC28FE"/>
    <w:rsid w:val="00BC3035"/>
    <w:rsid w:val="00BC7C47"/>
    <w:rsid w:val="00BD15C4"/>
    <w:rsid w:val="00BD48BF"/>
    <w:rsid w:val="00BE4994"/>
    <w:rsid w:val="00BE4F8F"/>
    <w:rsid w:val="00BE523B"/>
    <w:rsid w:val="00BE5DCD"/>
    <w:rsid w:val="00BE7302"/>
    <w:rsid w:val="00BF6ECA"/>
    <w:rsid w:val="00C0213E"/>
    <w:rsid w:val="00C02FE9"/>
    <w:rsid w:val="00C03524"/>
    <w:rsid w:val="00C0513C"/>
    <w:rsid w:val="00C05BB7"/>
    <w:rsid w:val="00C072AB"/>
    <w:rsid w:val="00C10253"/>
    <w:rsid w:val="00C117E7"/>
    <w:rsid w:val="00C11FFB"/>
    <w:rsid w:val="00C13A04"/>
    <w:rsid w:val="00C148A8"/>
    <w:rsid w:val="00C14F46"/>
    <w:rsid w:val="00C158BC"/>
    <w:rsid w:val="00C16B85"/>
    <w:rsid w:val="00C25691"/>
    <w:rsid w:val="00C25C1D"/>
    <w:rsid w:val="00C32E60"/>
    <w:rsid w:val="00C343CD"/>
    <w:rsid w:val="00C349EB"/>
    <w:rsid w:val="00C36B62"/>
    <w:rsid w:val="00C36DCA"/>
    <w:rsid w:val="00C40A2B"/>
    <w:rsid w:val="00C43B4C"/>
    <w:rsid w:val="00C43D33"/>
    <w:rsid w:val="00C45536"/>
    <w:rsid w:val="00C50687"/>
    <w:rsid w:val="00C50FD9"/>
    <w:rsid w:val="00C518B9"/>
    <w:rsid w:val="00C518BD"/>
    <w:rsid w:val="00C57BAA"/>
    <w:rsid w:val="00C6354B"/>
    <w:rsid w:val="00C63CF1"/>
    <w:rsid w:val="00C64E0E"/>
    <w:rsid w:val="00C653B1"/>
    <w:rsid w:val="00C67622"/>
    <w:rsid w:val="00C73AB9"/>
    <w:rsid w:val="00C76FDE"/>
    <w:rsid w:val="00C81BAE"/>
    <w:rsid w:val="00C86749"/>
    <w:rsid w:val="00C902FF"/>
    <w:rsid w:val="00C95826"/>
    <w:rsid w:val="00C96701"/>
    <w:rsid w:val="00CA2186"/>
    <w:rsid w:val="00CB068C"/>
    <w:rsid w:val="00CB0C0F"/>
    <w:rsid w:val="00CB18F4"/>
    <w:rsid w:val="00CB1D57"/>
    <w:rsid w:val="00CB23ED"/>
    <w:rsid w:val="00CB2404"/>
    <w:rsid w:val="00CB2C2E"/>
    <w:rsid w:val="00CB4400"/>
    <w:rsid w:val="00CB4985"/>
    <w:rsid w:val="00CB5718"/>
    <w:rsid w:val="00CB7F42"/>
    <w:rsid w:val="00CC00F2"/>
    <w:rsid w:val="00CC068E"/>
    <w:rsid w:val="00CC206F"/>
    <w:rsid w:val="00CC6B85"/>
    <w:rsid w:val="00CD110B"/>
    <w:rsid w:val="00CD6BAA"/>
    <w:rsid w:val="00CE009E"/>
    <w:rsid w:val="00CE18FB"/>
    <w:rsid w:val="00CE27A2"/>
    <w:rsid w:val="00CF73C0"/>
    <w:rsid w:val="00D02D00"/>
    <w:rsid w:val="00D039D8"/>
    <w:rsid w:val="00D0505C"/>
    <w:rsid w:val="00D057C5"/>
    <w:rsid w:val="00D05CC6"/>
    <w:rsid w:val="00D063A9"/>
    <w:rsid w:val="00D072AB"/>
    <w:rsid w:val="00D07A5D"/>
    <w:rsid w:val="00D142FF"/>
    <w:rsid w:val="00D146CE"/>
    <w:rsid w:val="00D149BC"/>
    <w:rsid w:val="00D156EA"/>
    <w:rsid w:val="00D172B5"/>
    <w:rsid w:val="00D25BF7"/>
    <w:rsid w:val="00D329E2"/>
    <w:rsid w:val="00D332BA"/>
    <w:rsid w:val="00D34B2A"/>
    <w:rsid w:val="00D3530C"/>
    <w:rsid w:val="00D374D0"/>
    <w:rsid w:val="00D436A2"/>
    <w:rsid w:val="00D43E0C"/>
    <w:rsid w:val="00D50C09"/>
    <w:rsid w:val="00D512AD"/>
    <w:rsid w:val="00D527DF"/>
    <w:rsid w:val="00D534D5"/>
    <w:rsid w:val="00D535DD"/>
    <w:rsid w:val="00D600CB"/>
    <w:rsid w:val="00D61F3A"/>
    <w:rsid w:val="00D632F7"/>
    <w:rsid w:val="00D63B69"/>
    <w:rsid w:val="00D644FD"/>
    <w:rsid w:val="00D72024"/>
    <w:rsid w:val="00D7253B"/>
    <w:rsid w:val="00D7644C"/>
    <w:rsid w:val="00D80507"/>
    <w:rsid w:val="00D825F7"/>
    <w:rsid w:val="00D832FE"/>
    <w:rsid w:val="00D910B5"/>
    <w:rsid w:val="00D919D0"/>
    <w:rsid w:val="00D94CCD"/>
    <w:rsid w:val="00DA27DD"/>
    <w:rsid w:val="00DA2C3F"/>
    <w:rsid w:val="00DB3310"/>
    <w:rsid w:val="00DB754C"/>
    <w:rsid w:val="00DC2E15"/>
    <w:rsid w:val="00DD0A0F"/>
    <w:rsid w:val="00DD1E78"/>
    <w:rsid w:val="00DD7254"/>
    <w:rsid w:val="00DD76C2"/>
    <w:rsid w:val="00DE349A"/>
    <w:rsid w:val="00DE42A2"/>
    <w:rsid w:val="00DE6403"/>
    <w:rsid w:val="00DF3E8F"/>
    <w:rsid w:val="00DF4409"/>
    <w:rsid w:val="00DF669F"/>
    <w:rsid w:val="00DF6CD6"/>
    <w:rsid w:val="00DF73C7"/>
    <w:rsid w:val="00E01884"/>
    <w:rsid w:val="00E018C5"/>
    <w:rsid w:val="00E02974"/>
    <w:rsid w:val="00E1185A"/>
    <w:rsid w:val="00E12F07"/>
    <w:rsid w:val="00E210B6"/>
    <w:rsid w:val="00E26588"/>
    <w:rsid w:val="00E26678"/>
    <w:rsid w:val="00E26A5B"/>
    <w:rsid w:val="00E27EE8"/>
    <w:rsid w:val="00E310EC"/>
    <w:rsid w:val="00E31148"/>
    <w:rsid w:val="00E32568"/>
    <w:rsid w:val="00E34433"/>
    <w:rsid w:val="00E3538E"/>
    <w:rsid w:val="00E40C4E"/>
    <w:rsid w:val="00E42AE5"/>
    <w:rsid w:val="00E45FFB"/>
    <w:rsid w:val="00E5134A"/>
    <w:rsid w:val="00E605DE"/>
    <w:rsid w:val="00E60AEF"/>
    <w:rsid w:val="00E63AAF"/>
    <w:rsid w:val="00E67FBD"/>
    <w:rsid w:val="00E70649"/>
    <w:rsid w:val="00E745C5"/>
    <w:rsid w:val="00E7539D"/>
    <w:rsid w:val="00E75AAE"/>
    <w:rsid w:val="00E81212"/>
    <w:rsid w:val="00E824DD"/>
    <w:rsid w:val="00E91D04"/>
    <w:rsid w:val="00E9566F"/>
    <w:rsid w:val="00E969FD"/>
    <w:rsid w:val="00E96C82"/>
    <w:rsid w:val="00EA1C60"/>
    <w:rsid w:val="00EA50D3"/>
    <w:rsid w:val="00EA7096"/>
    <w:rsid w:val="00EB4512"/>
    <w:rsid w:val="00EB4D65"/>
    <w:rsid w:val="00EB57B3"/>
    <w:rsid w:val="00EB70A2"/>
    <w:rsid w:val="00EC4456"/>
    <w:rsid w:val="00EC607B"/>
    <w:rsid w:val="00EC75B8"/>
    <w:rsid w:val="00EC7758"/>
    <w:rsid w:val="00ED362A"/>
    <w:rsid w:val="00EE2342"/>
    <w:rsid w:val="00EE2F03"/>
    <w:rsid w:val="00EE3821"/>
    <w:rsid w:val="00EE490C"/>
    <w:rsid w:val="00EE675D"/>
    <w:rsid w:val="00EF2FDC"/>
    <w:rsid w:val="00EF67CF"/>
    <w:rsid w:val="00F017AF"/>
    <w:rsid w:val="00F06AEE"/>
    <w:rsid w:val="00F072DC"/>
    <w:rsid w:val="00F11A08"/>
    <w:rsid w:val="00F233F7"/>
    <w:rsid w:val="00F243E6"/>
    <w:rsid w:val="00F24EF6"/>
    <w:rsid w:val="00F265E0"/>
    <w:rsid w:val="00F26771"/>
    <w:rsid w:val="00F26B98"/>
    <w:rsid w:val="00F308A0"/>
    <w:rsid w:val="00F31E3A"/>
    <w:rsid w:val="00F35716"/>
    <w:rsid w:val="00F36F5E"/>
    <w:rsid w:val="00F4063E"/>
    <w:rsid w:val="00F4083A"/>
    <w:rsid w:val="00F42250"/>
    <w:rsid w:val="00F42F92"/>
    <w:rsid w:val="00F45AC5"/>
    <w:rsid w:val="00F47532"/>
    <w:rsid w:val="00F5294C"/>
    <w:rsid w:val="00F5320D"/>
    <w:rsid w:val="00F6084B"/>
    <w:rsid w:val="00F60AA1"/>
    <w:rsid w:val="00F67477"/>
    <w:rsid w:val="00F67BCC"/>
    <w:rsid w:val="00F725C8"/>
    <w:rsid w:val="00F733C9"/>
    <w:rsid w:val="00F75175"/>
    <w:rsid w:val="00F7590A"/>
    <w:rsid w:val="00F82F81"/>
    <w:rsid w:val="00F84CB6"/>
    <w:rsid w:val="00F900CA"/>
    <w:rsid w:val="00F94051"/>
    <w:rsid w:val="00F95D6D"/>
    <w:rsid w:val="00FA348B"/>
    <w:rsid w:val="00FA44D8"/>
    <w:rsid w:val="00FA6BBE"/>
    <w:rsid w:val="00FB097A"/>
    <w:rsid w:val="00FB4D12"/>
    <w:rsid w:val="00FB511B"/>
    <w:rsid w:val="00FC6388"/>
    <w:rsid w:val="00FC7656"/>
    <w:rsid w:val="00FD10A8"/>
    <w:rsid w:val="00FD1459"/>
    <w:rsid w:val="00FD42EA"/>
    <w:rsid w:val="00FD4D4A"/>
    <w:rsid w:val="00FD5EEF"/>
    <w:rsid w:val="00FD63D1"/>
    <w:rsid w:val="00FD72B1"/>
    <w:rsid w:val="00FE5DB0"/>
    <w:rsid w:val="00FF1131"/>
    <w:rsid w:val="00FF12A1"/>
    <w:rsid w:val="00FF410E"/>
    <w:rsid w:val="037807E9"/>
    <w:rsid w:val="06F026E8"/>
    <w:rsid w:val="0CBF5D64"/>
    <w:rsid w:val="1561469D"/>
    <w:rsid w:val="15761B57"/>
    <w:rsid w:val="159503C2"/>
    <w:rsid w:val="16E0236B"/>
    <w:rsid w:val="18BF3169"/>
    <w:rsid w:val="1AB65F5E"/>
    <w:rsid w:val="1DC72231"/>
    <w:rsid w:val="1EBA5B90"/>
    <w:rsid w:val="202E110F"/>
    <w:rsid w:val="2440698C"/>
    <w:rsid w:val="269E71FA"/>
    <w:rsid w:val="2BAF0C3B"/>
    <w:rsid w:val="2BDB6C5F"/>
    <w:rsid w:val="2F1C68C8"/>
    <w:rsid w:val="30F01A46"/>
    <w:rsid w:val="317642D1"/>
    <w:rsid w:val="363E77C9"/>
    <w:rsid w:val="3B50345F"/>
    <w:rsid w:val="3C806FED"/>
    <w:rsid w:val="3DDB7848"/>
    <w:rsid w:val="3F3D2909"/>
    <w:rsid w:val="41E5772C"/>
    <w:rsid w:val="4D223EE2"/>
    <w:rsid w:val="4EB02836"/>
    <w:rsid w:val="50B4328A"/>
    <w:rsid w:val="55AD6864"/>
    <w:rsid w:val="58A073C9"/>
    <w:rsid w:val="5BA6353F"/>
    <w:rsid w:val="613B18A6"/>
    <w:rsid w:val="6B717780"/>
    <w:rsid w:val="723C5E9F"/>
    <w:rsid w:val="749272AA"/>
    <w:rsid w:val="7E493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cs="Courier New"/>
      <w:szCs w:val="21"/>
    </w:rPr>
  </w:style>
  <w:style w:type="paragraph" w:styleId="4">
    <w:name w:val="Body Text Indent 2"/>
    <w:basedOn w:val="1"/>
    <w:link w:val="14"/>
    <w:qFormat/>
    <w:uiPriority w:val="0"/>
    <w:pPr>
      <w:adjustRightInd w:val="0"/>
      <w:snapToGrid w:val="0"/>
      <w:ind w:firstLine="480" w:firstLineChars="200"/>
    </w:pPr>
    <w:rPr>
      <w:sz w:val="24"/>
    </w:rPr>
  </w:style>
  <w:style w:type="paragraph" w:styleId="5">
    <w:name w:val="Balloon Text"/>
    <w:basedOn w:val="1"/>
    <w:semiHidden/>
    <w:qFormat/>
    <w:uiPriority w:val="0"/>
    <w:pPr>
      <w:widowControl/>
      <w:jc w:val="left"/>
    </w:pPr>
    <w:rPr>
      <w:rFonts w:ascii="宋体" w:hAnsi="宋体"/>
      <w:color w:val="000000"/>
      <w:kern w:val="0"/>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8">
    <w:name w:val="Normal (Web)"/>
    <w:basedOn w:val="1"/>
    <w:qFormat/>
    <w:uiPriority w:val="0"/>
    <w:pPr>
      <w:widowControl/>
      <w:spacing w:before="144" w:after="144" w:line="432" w:lineRule="atLeast"/>
      <w:ind w:left="192" w:right="192" w:firstLine="480"/>
    </w:pPr>
    <w:rPr>
      <w:rFonts w:ascii="宋体" w:hAnsi="宋体" w:cs="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paragraph" w:customStyle="1" w:styleId="1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4">
    <w:name w:val="正文文本缩进 2 字符"/>
    <w:basedOn w:val="11"/>
    <w:link w:val="4"/>
    <w:qFormat/>
    <w:uiPriority w:val="0"/>
    <w:rPr>
      <w:kern w:val="2"/>
      <w:sz w:val="24"/>
      <w:szCs w:val="24"/>
    </w:rPr>
  </w:style>
  <w:style w:type="character" w:customStyle="1" w:styleId="15">
    <w:name w:val="页眉 字符"/>
    <w:basedOn w:val="11"/>
    <w:link w:val="7"/>
    <w:qFormat/>
    <w:uiPriority w:val="0"/>
    <w:rPr>
      <w:rFonts w:ascii="Calibri" w:hAnsi="Calibri"/>
      <w:kern w:val="2"/>
      <w:sz w:val="18"/>
      <w:szCs w:val="18"/>
    </w:rPr>
  </w:style>
  <w:style w:type="paragraph" w:customStyle="1" w:styleId="16">
    <w:name w:val="Char"/>
    <w:basedOn w:val="1"/>
    <w:qFormat/>
    <w:uiPriority w:val="0"/>
    <w:pPr>
      <w:spacing w:line="360" w:lineRule="auto"/>
      <w:ind w:firstLine="200" w:firstLineChars="200"/>
    </w:pPr>
    <w:rPr>
      <w:rFonts w:ascii="宋体" w:hAnsi="宋体" w:cs="宋体"/>
      <w:sz w:val="24"/>
    </w:rPr>
  </w:style>
  <w:style w:type="paragraph" w:customStyle="1" w:styleId="17">
    <w:name w:val="Char1"/>
    <w:basedOn w:val="1"/>
    <w:qFormat/>
    <w:uiPriority w:val="0"/>
  </w:style>
  <w:style w:type="character" w:customStyle="1" w:styleId="18">
    <w:name w:val="页脚 字符"/>
    <w:basedOn w:val="11"/>
    <w:link w:val="6"/>
    <w:qFormat/>
    <w:uiPriority w:val="99"/>
    <w:rPr>
      <w:kern w:val="2"/>
      <w:sz w:val="18"/>
      <w:szCs w:val="18"/>
    </w:rPr>
  </w:style>
  <w:style w:type="paragraph" w:styleId="19">
    <w:name w:val="List Paragraph"/>
    <w:basedOn w:val="1"/>
    <w:qFormat/>
    <w:uiPriority w:val="34"/>
    <w:pPr>
      <w:ind w:firstLine="420" w:firstLineChars="200"/>
    </w:pPr>
  </w:style>
  <w:style w:type="paragraph" w:styleId="2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2">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7</Pages>
  <Words>3033</Words>
  <Characters>3095</Characters>
  <Lines>22</Lines>
  <Paragraphs>6</Paragraphs>
  <TotalTime>24</TotalTime>
  <ScaleCrop>false</ScaleCrop>
  <LinksUpToDate>false</LinksUpToDate>
  <CharactersWithSpaces>3106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2019-03-21T04:18:00Z</dcterms:created>
  <dc:creator>温波飞</dc:creator>
  <cp:lastModifiedBy>卢柯言</cp:lastModifiedBy>
  <cp:lastPrinted>2023-03-02T00:34:00Z</cp:lastPrinted>
  <dcterms:modified xsi:type="dcterms:W3CDTF">2026-03-26T07:07:56Z</dcterms:modified>
  <dc:title>江苏康缘药业股份有限公司</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FDA7EB42117F4A65B7DFACD56C0D9650_13</vt:lpwstr>
  </property>
  <property fmtid="{D5CDD505-2E9C-101B-9397-08002B2CF9AE}" pid="4" name="KSOTemplateDocerSaveRecord">
    <vt:lpwstr>eyJoZGlkIjoiM2NmMmIwMWIxYzAyZmZiMWZlOTY3NTcxZmU2NzhhZTEiLCJ1c2VySWQiOiIxNjcyMzMwMzQ3In0=</vt:lpwstr>
  </property>
</Properties>
</file>