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4F0E00">
      <w:pPr>
        <w:adjustRightInd w:val="0"/>
        <w:snapToGrid w:val="0"/>
        <w:spacing w:line="360" w:lineRule="auto"/>
        <w:rPr>
          <w:lang w:val="en-US" w:eastAsia="zh-CN"/>
        </w:rPr>
      </w:pPr>
      <w:r>
        <w:rPr>
          <w:rFonts w:hint="eastAsia" w:ascii="宋体" w:hAnsi="宋体" w:cs="宋体"/>
          <w:b/>
          <w:color w:val="000000"/>
          <w:sz w:val="24"/>
          <w:lang w:eastAsia="zh-CN"/>
        </w:rPr>
        <w:t>股票代码：600377       股票简称：宁沪高速       编号：临</w:t>
      </w:r>
      <w:r>
        <w:rPr>
          <w:rFonts w:ascii="宋体" w:hAnsi="宋体" w:cs="宋体"/>
          <w:b/>
          <w:color w:val="000000"/>
          <w:sz w:val="24"/>
          <w:lang w:eastAsia="zh-CN"/>
        </w:rPr>
        <w:t>202</w:t>
      </w:r>
      <w:r>
        <w:rPr>
          <w:rFonts w:hint="eastAsia" w:ascii="宋体" w:hAnsi="宋体" w:cs="宋体"/>
          <w:b/>
          <w:color w:val="000000"/>
          <w:sz w:val="24"/>
          <w:lang w:val="en-US" w:eastAsia="zh-CN"/>
        </w:rPr>
        <w:t>6</w:t>
      </w:r>
      <w:r>
        <w:rPr>
          <w:rFonts w:ascii="宋体" w:hAnsi="宋体" w:cs="宋体"/>
          <w:b/>
          <w:color w:val="000000"/>
          <w:sz w:val="24"/>
          <w:lang w:eastAsia="zh-CN"/>
        </w:rPr>
        <w:t>-</w:t>
      </w:r>
      <w:r>
        <w:rPr>
          <w:rFonts w:hint="eastAsia" w:ascii="宋体" w:hAnsi="宋体" w:cs="宋体"/>
          <w:b/>
          <w:color w:val="000000"/>
          <w:sz w:val="24"/>
          <w:lang w:val="en-US" w:eastAsia="zh-CN"/>
        </w:rPr>
        <w:t>001</w:t>
      </w:r>
    </w:p>
    <w:p w14:paraId="03D908A5">
      <w:pPr>
        <w:widowControl w:val="0"/>
        <w:adjustRightInd w:val="0"/>
        <w:snapToGrid w:val="0"/>
        <w:spacing w:before="0" w:after="0" w:line="360" w:lineRule="auto"/>
        <w:jc w:val="center"/>
        <w:rPr>
          <w:rFonts w:ascii="Times New Roman" w:hAnsi="Times New Roman"/>
          <w:b/>
          <w:kern w:val="2"/>
          <w:sz w:val="28"/>
          <w:szCs w:val="28"/>
          <w:lang w:val="en-US" w:eastAsia="zh-CN"/>
        </w:rPr>
      </w:pPr>
      <w:r>
        <w:rPr>
          <w:rFonts w:hint="eastAsia" w:ascii="Times New Roman" w:hAnsi="Times New Roman"/>
          <w:b/>
          <w:kern w:val="2"/>
          <w:sz w:val="28"/>
          <w:szCs w:val="28"/>
          <w:lang w:val="en-US" w:eastAsia="zh-CN"/>
        </w:rPr>
        <w:t>江苏宁沪高速公路股份有限公司</w:t>
      </w:r>
    </w:p>
    <w:p w14:paraId="162986AE">
      <w:pPr>
        <w:widowControl w:val="0"/>
        <w:adjustRightInd w:val="0"/>
        <w:snapToGrid w:val="0"/>
        <w:spacing w:before="0" w:after="0" w:line="360" w:lineRule="auto"/>
        <w:jc w:val="center"/>
        <w:rPr>
          <w:rFonts w:hint="eastAsia" w:ascii="Times New Roman" w:hAnsi="Times New Roman"/>
          <w:b/>
          <w:kern w:val="2"/>
          <w:sz w:val="28"/>
          <w:szCs w:val="28"/>
          <w:lang w:val="en-US" w:eastAsia="zh-CN"/>
        </w:rPr>
      </w:pPr>
      <w:r>
        <w:rPr>
          <w:rFonts w:ascii="Times New Roman" w:hAnsi="Times New Roman"/>
          <w:b/>
          <w:kern w:val="2"/>
          <w:sz w:val="28"/>
          <w:szCs w:val="28"/>
          <w:lang w:val="en-US" w:eastAsia="zh-CN"/>
        </w:rPr>
        <w:t>关于控</w:t>
      </w:r>
      <w:r>
        <w:rPr>
          <w:rFonts w:hint="eastAsia" w:ascii="Times New Roman" w:hAnsi="Times New Roman"/>
          <w:b/>
          <w:kern w:val="2"/>
          <w:sz w:val="28"/>
          <w:szCs w:val="28"/>
          <w:lang w:val="en-US" w:eastAsia="zh-CN"/>
        </w:rPr>
        <w:t>股股东及其一致行动人</w:t>
      </w:r>
      <w:bookmarkStart w:id="0" w:name="_Hlk217052177"/>
    </w:p>
    <w:p w14:paraId="382D51F9">
      <w:pPr>
        <w:widowControl w:val="0"/>
        <w:adjustRightInd w:val="0"/>
        <w:snapToGrid w:val="0"/>
        <w:spacing w:before="0" w:after="0" w:line="360" w:lineRule="auto"/>
        <w:jc w:val="center"/>
        <w:rPr>
          <w:rFonts w:ascii="Times New Roman" w:hAnsi="Times New Roman"/>
          <w:b/>
          <w:kern w:val="2"/>
          <w:sz w:val="28"/>
          <w:szCs w:val="28"/>
          <w:lang w:val="en-US" w:eastAsia="zh-CN"/>
        </w:rPr>
      </w:pPr>
      <w:r>
        <w:rPr>
          <w:rFonts w:hint="eastAsia" w:ascii="Times New Roman" w:hAnsi="Times New Roman"/>
          <w:b/>
          <w:kern w:val="2"/>
          <w:sz w:val="28"/>
          <w:szCs w:val="28"/>
          <w:lang w:val="en-US" w:eastAsia="zh-CN"/>
        </w:rPr>
        <w:t>累计增持公司股份达到2%</w:t>
      </w:r>
      <w:bookmarkEnd w:id="0"/>
      <w:r>
        <w:rPr>
          <w:rFonts w:hint="eastAsia" w:ascii="Times New Roman" w:hAnsi="Times New Roman"/>
          <w:b/>
          <w:kern w:val="2"/>
          <w:sz w:val="28"/>
          <w:szCs w:val="28"/>
          <w:lang w:val="en-US" w:eastAsia="zh-CN"/>
        </w:rPr>
        <w:t>的提示性公告</w:t>
      </w:r>
    </w:p>
    <w:p w14:paraId="3DAE817E">
      <w:pPr>
        <w:widowControl w:val="0"/>
        <w:adjustRightInd w:val="0"/>
        <w:snapToGrid w:val="0"/>
        <w:spacing w:before="0" w:after="0" w:line="360" w:lineRule="auto"/>
        <w:jc w:val="center"/>
        <w:rPr>
          <w:rFonts w:ascii="Times New Roman" w:hAnsi="Times New Roman"/>
          <w:b/>
          <w:kern w:val="2"/>
          <w:sz w:val="28"/>
          <w:szCs w:val="28"/>
          <w:lang w:val="en-US" w:eastAsia="zh-CN"/>
        </w:rPr>
      </w:pPr>
    </w:p>
    <w:tbl>
      <w:tblPr>
        <w:tblStyle w:val="15"/>
        <w:tblpPr w:leftFromText="180" w:rightFromText="180" w:vertAnchor="text" w:horzAnchor="margin" w:tblpY="97"/>
        <w:tblW w:w="862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623"/>
      </w:tblGrid>
      <w:tr w14:paraId="2D4615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3" w:hRule="atLeast"/>
        </w:trPr>
        <w:tc>
          <w:tcPr>
            <w:tcW w:w="8623" w:type="dxa"/>
          </w:tcPr>
          <w:p w14:paraId="6AAA95EA">
            <w:pPr>
              <w:autoSpaceDE w:val="0"/>
              <w:autoSpaceDN w:val="0"/>
              <w:adjustRightInd w:val="0"/>
              <w:snapToGrid w:val="0"/>
              <w:spacing w:before="100" w:beforeAutospacing="1" w:after="100" w:afterAutospacing="1" w:line="360" w:lineRule="auto"/>
              <w:rPr>
                <w:rFonts w:hint="eastAsia" w:ascii="宋体" w:hAnsi="宋体" w:cs="宋体"/>
                <w:sz w:val="24"/>
                <w:lang w:eastAsia="zh-CN"/>
              </w:rPr>
            </w:pPr>
            <w:r>
              <w:rPr>
                <w:rFonts w:hint="eastAsia" w:ascii="宋体" w:hAnsi="宋体" w:cs="宋体"/>
                <w:b/>
                <w:sz w:val="24"/>
                <w:lang w:eastAsia="zh-CN"/>
              </w:rPr>
              <w:t>本公司董事会及全体董事保证本公告内容不存在任何虚假记载、误导性陈述或者重大遗漏，并对其内容的真实性、准确性和完整性承担法律责任。</w:t>
            </w:r>
          </w:p>
        </w:tc>
      </w:tr>
    </w:tbl>
    <w:p w14:paraId="74AE6514">
      <w:pPr>
        <w:spacing w:after="120" w:line="360" w:lineRule="auto"/>
        <w:contextualSpacing/>
        <w:rPr>
          <w:rFonts w:hint="eastAsia" w:ascii="宋体" w:hAnsi="宋体" w:cs="宋体"/>
          <w:b/>
          <w:bCs/>
          <w:sz w:val="24"/>
          <w:szCs w:val="24"/>
          <w:lang w:val="en-US" w:eastAsia="zh-CN"/>
        </w:rPr>
      </w:pPr>
      <w:bookmarkStart w:id="1" w:name="BondName2"/>
      <w:bookmarkEnd w:id="1"/>
      <w:bookmarkStart w:id="2" w:name="BBIPBLSTA"/>
      <w:bookmarkEnd w:id="2"/>
    </w:p>
    <w:p w14:paraId="6168975E">
      <w:pPr>
        <w:tabs>
          <w:tab w:val="left" w:pos="0"/>
        </w:tabs>
        <w:autoSpaceDE w:val="0"/>
        <w:autoSpaceDN w:val="0"/>
        <w:adjustRightInd w:val="0"/>
        <w:snapToGrid w:val="0"/>
        <w:spacing w:line="560" w:lineRule="exact"/>
        <w:ind w:firstLine="602" w:firstLineChars="200"/>
        <w:rPr>
          <w:rFonts w:hint="eastAsia" w:ascii="仿宋_GB2312" w:hAnsi="仿宋_GB2312" w:eastAsia="仿宋_GB2312" w:cs="仿宋_GB2312"/>
          <w:b/>
          <w:color w:val="000000"/>
          <w:sz w:val="30"/>
          <w:szCs w:val="30"/>
        </w:rPr>
      </w:pPr>
      <w:bookmarkStart w:id="3" w:name="_Toc6944"/>
      <w:r>
        <w:rPr>
          <w:rFonts w:hint="eastAsia" w:ascii="仿宋_GB2312" w:hAnsi="仿宋_GB2312" w:eastAsia="仿宋_GB2312" w:cs="仿宋_GB2312"/>
          <w:b/>
          <w:color w:val="000000"/>
          <w:sz w:val="30"/>
          <w:szCs w:val="30"/>
        </w:rPr>
        <w:t>重要内容提示：</w:t>
      </w:r>
      <w:bookmarkEnd w:id="3"/>
    </w:p>
    <w:p w14:paraId="0483C898">
      <w:pPr>
        <w:numPr>
          <w:ilvl w:val="1"/>
          <w:numId w:val="1"/>
        </w:numPr>
        <w:adjustRightInd w:val="0"/>
        <w:snapToGrid w:val="0"/>
        <w:spacing w:before="0" w:after="0" w:line="360" w:lineRule="auto"/>
        <w:ind w:left="0" w:firstLine="480" w:firstLineChars="200"/>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本次增持属于</w:t>
      </w:r>
      <w:r>
        <w:rPr>
          <w:rFonts w:hint="eastAsia" w:asciiTheme="minorEastAsia" w:hAnsiTheme="minorEastAsia" w:eastAsiaTheme="minorEastAsia" w:cstheme="minorEastAsia"/>
          <w:color w:val="000000"/>
          <w:sz w:val="24"/>
          <w:szCs w:val="24"/>
          <w:lang w:val="en-US" w:eastAsia="zh-CN"/>
        </w:rPr>
        <w:t>控股股东</w:t>
      </w:r>
      <w:r>
        <w:rPr>
          <w:rFonts w:hint="eastAsia" w:asciiTheme="minorEastAsia" w:hAnsiTheme="minorEastAsia" w:eastAsiaTheme="minorEastAsia" w:cstheme="minorEastAsia"/>
          <w:color w:val="000000"/>
          <w:sz w:val="24"/>
          <w:szCs w:val="24"/>
          <w:lang w:eastAsia="zh-CN"/>
        </w:rPr>
        <w:t>增持，</w:t>
      </w:r>
      <w:r>
        <w:rPr>
          <w:rFonts w:hint="eastAsia" w:asciiTheme="minorEastAsia" w:hAnsiTheme="minorEastAsia" w:eastAsiaTheme="minorEastAsia" w:cstheme="minorEastAsia"/>
          <w:sz w:val="24"/>
          <w:szCs w:val="24"/>
          <w:shd w:val="clear" w:color="auto" w:fill="FFFFFF"/>
          <w:lang w:eastAsia="zh-CN"/>
        </w:rPr>
        <w:t>增持主体为</w:t>
      </w:r>
      <w:r>
        <w:rPr>
          <w:rFonts w:hint="eastAsia" w:asciiTheme="minorEastAsia" w:hAnsiTheme="minorEastAsia" w:eastAsiaTheme="minorEastAsia" w:cstheme="minorEastAsia"/>
          <w:bCs/>
          <w:color w:val="000000"/>
          <w:sz w:val="24"/>
          <w:szCs w:val="24"/>
          <w:lang w:val="en-US" w:eastAsia="zh-CN"/>
        </w:rPr>
        <w:t>江苏宁沪高速公路股份有限公司（以下简称“本公司”或“公司”）</w:t>
      </w:r>
      <w:r>
        <w:rPr>
          <w:rFonts w:hint="eastAsia" w:asciiTheme="minorEastAsia" w:hAnsiTheme="minorEastAsia" w:eastAsiaTheme="minorEastAsia" w:cstheme="minorEastAsia"/>
          <w:sz w:val="24"/>
          <w:szCs w:val="24"/>
          <w:shd w:val="clear" w:color="auto" w:fill="FFFFFF"/>
          <w:lang w:eastAsia="zh-CN"/>
        </w:rPr>
        <w:t>控股股东</w:t>
      </w:r>
      <w:r>
        <w:rPr>
          <w:rFonts w:hint="eastAsia" w:asciiTheme="minorEastAsia" w:hAnsiTheme="minorEastAsia" w:eastAsiaTheme="minorEastAsia" w:cstheme="minorEastAsia"/>
          <w:sz w:val="24"/>
          <w:szCs w:val="24"/>
          <w:lang w:val="en-US" w:eastAsia="zh-CN"/>
        </w:rPr>
        <w:t>江苏交通控股有限公司（以下简称“江苏交控”）</w:t>
      </w:r>
      <w:r>
        <w:rPr>
          <w:rFonts w:hint="eastAsia" w:asciiTheme="minorEastAsia" w:hAnsiTheme="minorEastAsia" w:eastAsiaTheme="minorEastAsia" w:cstheme="minorEastAsia"/>
          <w:sz w:val="24"/>
          <w:szCs w:val="24"/>
          <w:shd w:val="clear" w:color="auto" w:fill="FFFFFF"/>
          <w:lang w:eastAsia="zh-CN"/>
        </w:rPr>
        <w:t>之一致行动人</w:t>
      </w:r>
      <w:r>
        <w:rPr>
          <w:rFonts w:hint="eastAsia" w:asciiTheme="minorEastAsia" w:hAnsiTheme="minorEastAsia" w:eastAsiaTheme="minorEastAsia" w:cstheme="minorEastAsia"/>
          <w:bCs/>
          <w:sz w:val="24"/>
          <w:szCs w:val="24"/>
          <w:lang w:val="en-US" w:eastAsia="zh-CN"/>
        </w:rPr>
        <w:t>江苏云</w:t>
      </w:r>
      <w:r>
        <w:rPr>
          <w:rFonts w:hint="eastAsia" w:asciiTheme="minorEastAsia" w:hAnsiTheme="minorEastAsia" w:eastAsiaTheme="minorEastAsia" w:cstheme="minorEastAsia"/>
          <w:sz w:val="24"/>
          <w:szCs w:val="24"/>
          <w:lang w:val="en-US" w:eastAsia="zh-CN"/>
        </w:rPr>
        <w:t>杉资本管理有限公司</w:t>
      </w:r>
      <w:bookmarkStart w:id="4" w:name="_Hlk213233321"/>
      <w:r>
        <w:rPr>
          <w:rFonts w:hint="eastAsia" w:asciiTheme="minorEastAsia" w:hAnsiTheme="minorEastAsia" w:eastAsiaTheme="minorEastAsia" w:cstheme="minorEastAsia"/>
          <w:sz w:val="24"/>
          <w:szCs w:val="24"/>
          <w:lang w:val="en-US" w:eastAsia="zh-CN"/>
        </w:rPr>
        <w:t>（</w:t>
      </w:r>
      <w:bookmarkEnd w:id="4"/>
      <w:r>
        <w:rPr>
          <w:rFonts w:hint="eastAsia" w:asciiTheme="minorEastAsia" w:hAnsiTheme="minorEastAsia" w:eastAsiaTheme="minorEastAsia" w:cstheme="minorEastAsia"/>
          <w:sz w:val="24"/>
          <w:szCs w:val="24"/>
          <w:lang w:val="en-US" w:eastAsia="zh-CN"/>
        </w:rPr>
        <w:t>以下简称“云杉资本”），本次增持</w:t>
      </w:r>
      <w:r>
        <w:rPr>
          <w:rFonts w:hint="eastAsia" w:asciiTheme="minorEastAsia" w:hAnsiTheme="minorEastAsia" w:eastAsiaTheme="minorEastAsia" w:cstheme="minorEastAsia"/>
          <w:color w:val="000000"/>
          <w:sz w:val="24"/>
          <w:szCs w:val="24"/>
          <w:lang w:val="en-US" w:eastAsia="zh-CN"/>
        </w:rPr>
        <w:t>未</w:t>
      </w:r>
      <w:r>
        <w:rPr>
          <w:rFonts w:hint="eastAsia" w:asciiTheme="minorEastAsia" w:hAnsiTheme="minorEastAsia" w:eastAsiaTheme="minorEastAsia" w:cstheme="minorEastAsia"/>
          <w:color w:val="000000"/>
          <w:sz w:val="24"/>
          <w:szCs w:val="24"/>
          <w:lang w:eastAsia="zh-CN"/>
        </w:rPr>
        <w:t>触及要约收购；</w:t>
      </w:r>
    </w:p>
    <w:p w14:paraId="2AC54E88">
      <w:pPr>
        <w:numPr>
          <w:ilvl w:val="1"/>
          <w:numId w:val="1"/>
        </w:numPr>
        <w:adjustRightInd w:val="0"/>
        <w:snapToGrid w:val="0"/>
        <w:spacing w:before="0" w:after="0" w:line="360" w:lineRule="auto"/>
        <w:ind w:left="0" w:firstLine="480" w:firstLineChars="200"/>
        <w:rPr>
          <w:rFonts w:hint="eastAsia" w:asciiTheme="minorEastAsia" w:hAnsiTheme="minorEastAsia" w:eastAsiaTheme="minorEastAsia" w:cstheme="minorEastAsia"/>
          <w:color w:val="000000"/>
          <w:sz w:val="24"/>
          <w:szCs w:val="24"/>
          <w:highlight w:val="none"/>
          <w:lang w:eastAsia="zh-CN"/>
        </w:rPr>
      </w:pPr>
      <w:r>
        <w:rPr>
          <w:rFonts w:hint="eastAsia" w:asciiTheme="minorEastAsia" w:hAnsiTheme="minorEastAsia" w:eastAsiaTheme="minorEastAsia" w:cstheme="minorEastAsia"/>
          <w:color w:val="000000"/>
          <w:sz w:val="24"/>
          <w:szCs w:val="24"/>
          <w:lang w:eastAsia="zh-CN"/>
        </w:rPr>
        <w:t>本次增持情况：</w:t>
      </w:r>
      <w:bookmarkStart w:id="5" w:name="_Hlk217052227"/>
      <w:r>
        <w:rPr>
          <w:rFonts w:hint="eastAsia" w:asciiTheme="minorEastAsia" w:hAnsiTheme="minorEastAsia" w:eastAsiaTheme="minorEastAsia" w:cstheme="minorEastAsia"/>
          <w:color w:val="000000"/>
          <w:sz w:val="24"/>
          <w:szCs w:val="24"/>
          <w:lang w:eastAsia="zh-CN"/>
        </w:rPr>
        <w:t>本公司控股股东江苏交控的全资子公司云杉资本自2025年9月9日至202</w:t>
      </w:r>
      <w:r>
        <w:rPr>
          <w:rFonts w:hint="eastAsia" w:asciiTheme="minorEastAsia" w:hAnsiTheme="minorEastAsia" w:eastAsiaTheme="minorEastAsia" w:cstheme="minorEastAsia"/>
          <w:color w:val="000000"/>
          <w:sz w:val="24"/>
          <w:szCs w:val="24"/>
          <w:lang w:val="en-US" w:eastAsia="zh-CN"/>
        </w:rPr>
        <w:t>6</w:t>
      </w:r>
      <w:r>
        <w:rPr>
          <w:rFonts w:hint="eastAsia" w:asciiTheme="minorEastAsia" w:hAnsiTheme="minorEastAsia" w:eastAsiaTheme="minorEastAsia" w:cstheme="minorEastAsia"/>
          <w:color w:val="000000"/>
          <w:sz w:val="24"/>
          <w:szCs w:val="24"/>
          <w:lang w:eastAsia="zh-CN"/>
        </w:rPr>
        <w:t>年1月</w:t>
      </w:r>
      <w:r>
        <w:rPr>
          <w:rFonts w:hint="eastAsia" w:asciiTheme="minorEastAsia" w:hAnsiTheme="minorEastAsia" w:eastAsiaTheme="minorEastAsia" w:cstheme="minorEastAsia"/>
          <w:color w:val="000000"/>
          <w:sz w:val="24"/>
          <w:szCs w:val="24"/>
          <w:lang w:val="en-US" w:eastAsia="zh-CN"/>
        </w:rPr>
        <w:t>6</w:t>
      </w:r>
      <w:r>
        <w:rPr>
          <w:rFonts w:hint="eastAsia" w:asciiTheme="minorEastAsia" w:hAnsiTheme="minorEastAsia" w:eastAsiaTheme="minorEastAsia" w:cstheme="minorEastAsia"/>
          <w:color w:val="000000"/>
          <w:sz w:val="24"/>
          <w:szCs w:val="24"/>
          <w:lang w:eastAsia="zh-CN"/>
        </w:rPr>
        <w:t>日，使用自有资金，通过上海证券交易所港股通交易系统参与香港联合交易所有限公司集中竞价交易方式增持本公司H股股份100,754,000股，</w:t>
      </w:r>
      <w:bookmarkEnd w:id="5"/>
      <w:r>
        <w:rPr>
          <w:rFonts w:hint="eastAsia" w:asciiTheme="minorEastAsia" w:hAnsiTheme="minorEastAsia" w:eastAsiaTheme="minorEastAsia" w:cstheme="minorEastAsia"/>
          <w:color w:val="000000"/>
          <w:sz w:val="24"/>
          <w:szCs w:val="24"/>
          <w:lang w:eastAsia="zh-CN"/>
        </w:rPr>
        <w:t>本次增持后，</w:t>
      </w:r>
      <w:r>
        <w:rPr>
          <w:rFonts w:hint="eastAsia" w:asciiTheme="minorEastAsia" w:hAnsiTheme="minorEastAsia" w:eastAsiaTheme="minorEastAsia" w:cstheme="minorEastAsia"/>
          <w:color w:val="000000"/>
          <w:sz w:val="24"/>
          <w:szCs w:val="24"/>
          <w:lang w:val="en-US" w:eastAsia="zh-CN"/>
        </w:rPr>
        <w:t>江苏交控</w:t>
      </w:r>
      <w:r>
        <w:rPr>
          <w:rFonts w:hint="eastAsia" w:asciiTheme="minorEastAsia" w:hAnsiTheme="minorEastAsia" w:eastAsiaTheme="minorEastAsia" w:cstheme="minorEastAsia"/>
          <w:color w:val="000000"/>
          <w:sz w:val="24"/>
          <w:szCs w:val="24"/>
          <w:lang w:eastAsia="zh-CN"/>
        </w:rPr>
        <w:t>及其一致行动人云杉资本、</w:t>
      </w:r>
      <w:bookmarkStart w:id="6" w:name="_Hlk213233349"/>
      <w:r>
        <w:rPr>
          <w:rFonts w:hint="eastAsia" w:asciiTheme="minorEastAsia" w:hAnsiTheme="minorEastAsia" w:eastAsiaTheme="minorEastAsia" w:cstheme="minorEastAsia"/>
          <w:color w:val="000000"/>
          <w:sz w:val="24"/>
          <w:szCs w:val="24"/>
          <w:lang w:eastAsia="zh-CN"/>
        </w:rPr>
        <w:t>江苏扬子大桥股份有限公司</w:t>
      </w:r>
      <w:bookmarkEnd w:id="6"/>
      <w:r>
        <w:rPr>
          <w:rFonts w:hint="eastAsia" w:asciiTheme="minorEastAsia" w:hAnsiTheme="minorEastAsia" w:eastAsiaTheme="minorEastAsia" w:cstheme="minorEastAsia"/>
          <w:color w:val="000000"/>
          <w:sz w:val="24"/>
          <w:szCs w:val="24"/>
          <w:lang w:val="en-US" w:eastAsia="zh-CN"/>
        </w:rPr>
        <w:t>（以下简称“扬子大桥公司”）</w:t>
      </w:r>
      <w:r>
        <w:rPr>
          <w:rFonts w:hint="eastAsia" w:asciiTheme="minorEastAsia" w:hAnsiTheme="minorEastAsia" w:eastAsiaTheme="minorEastAsia" w:cstheme="minorEastAsia"/>
          <w:color w:val="000000"/>
          <w:sz w:val="24"/>
          <w:szCs w:val="24"/>
          <w:lang w:eastAsia="zh-CN"/>
        </w:rPr>
        <w:t>、</w:t>
      </w:r>
      <w:bookmarkStart w:id="7" w:name="_Hlk213233478"/>
      <w:r>
        <w:rPr>
          <w:rFonts w:hint="eastAsia" w:asciiTheme="minorEastAsia" w:hAnsiTheme="minorEastAsia" w:eastAsiaTheme="minorEastAsia" w:cstheme="minorEastAsia"/>
          <w:color w:val="000000"/>
          <w:sz w:val="24"/>
          <w:szCs w:val="24"/>
          <w:lang w:eastAsia="zh-CN"/>
        </w:rPr>
        <w:t>江苏交控资产管理有限公司</w:t>
      </w:r>
      <w:bookmarkEnd w:id="7"/>
      <w:r>
        <w:rPr>
          <w:rFonts w:hint="eastAsia" w:asciiTheme="minorEastAsia" w:hAnsiTheme="minorEastAsia" w:eastAsiaTheme="minorEastAsia" w:cstheme="minorEastAsia"/>
          <w:sz w:val="24"/>
          <w:szCs w:val="24"/>
          <w:lang w:val="en-US" w:eastAsia="zh-CN"/>
        </w:rPr>
        <w:t>（以下简称“资管公司”）</w:t>
      </w:r>
      <w:r>
        <w:rPr>
          <w:rFonts w:hint="eastAsia" w:asciiTheme="minorEastAsia" w:hAnsiTheme="minorEastAsia" w:eastAsiaTheme="minorEastAsia" w:cstheme="minorEastAsia"/>
          <w:color w:val="000000"/>
          <w:sz w:val="24"/>
          <w:szCs w:val="24"/>
          <w:lang w:eastAsia="zh-CN"/>
        </w:rPr>
        <w:t>、</w:t>
      </w:r>
      <w:bookmarkStart w:id="8" w:name="_Hlk213233614"/>
      <w:r>
        <w:rPr>
          <w:rFonts w:hint="eastAsia" w:asciiTheme="minorEastAsia" w:hAnsiTheme="minorEastAsia" w:eastAsiaTheme="minorEastAsia" w:cstheme="minorEastAsia"/>
          <w:color w:val="000000"/>
          <w:sz w:val="24"/>
          <w:szCs w:val="24"/>
          <w:lang w:eastAsia="zh-CN"/>
        </w:rPr>
        <w:t>苏州金陵南林饭店有限责任公司</w:t>
      </w:r>
      <w:bookmarkEnd w:id="8"/>
      <w:r>
        <w:rPr>
          <w:rFonts w:hint="eastAsia" w:asciiTheme="minorEastAsia" w:hAnsiTheme="minorEastAsia" w:eastAsiaTheme="minorEastAsia" w:cstheme="minorEastAsia"/>
          <w:sz w:val="24"/>
          <w:szCs w:val="24"/>
          <w:lang w:val="en-US" w:eastAsia="zh-CN"/>
        </w:rPr>
        <w:t>（以下简称“南林</w:t>
      </w:r>
      <w:r>
        <w:rPr>
          <w:rFonts w:hint="eastAsia" w:asciiTheme="minorEastAsia" w:hAnsiTheme="minorEastAsia" w:eastAsiaTheme="minorEastAsia" w:cstheme="minorEastAsia"/>
          <w:sz w:val="24"/>
          <w:szCs w:val="24"/>
          <w:highlight w:val="none"/>
          <w:lang w:val="en-US" w:eastAsia="zh-CN"/>
        </w:rPr>
        <w:t>饭店公司”）</w:t>
      </w:r>
      <w:r>
        <w:rPr>
          <w:rFonts w:hint="eastAsia" w:asciiTheme="minorEastAsia" w:hAnsiTheme="minorEastAsia" w:eastAsiaTheme="minorEastAsia" w:cstheme="minorEastAsia"/>
          <w:color w:val="000000"/>
          <w:sz w:val="24"/>
          <w:szCs w:val="24"/>
          <w:highlight w:val="none"/>
          <w:lang w:eastAsia="zh-CN"/>
        </w:rPr>
        <w:t>合计持有公司2,843,862,825股份，持股比例由占公司股份总数的</w:t>
      </w:r>
      <w:r>
        <w:rPr>
          <w:rFonts w:hint="eastAsia" w:asciiTheme="minorEastAsia" w:hAnsiTheme="minorEastAsia" w:eastAsiaTheme="minorEastAsia" w:cstheme="minorEastAsia"/>
          <w:color w:val="000000"/>
          <w:sz w:val="24"/>
          <w:szCs w:val="24"/>
          <w:highlight w:val="none"/>
          <w:lang w:val="en-US" w:eastAsia="zh-CN"/>
        </w:rPr>
        <w:t>约</w:t>
      </w:r>
      <w:r>
        <w:rPr>
          <w:rFonts w:hint="eastAsia" w:asciiTheme="minorEastAsia" w:hAnsiTheme="minorEastAsia" w:eastAsiaTheme="minorEastAsia" w:cstheme="minorEastAsia"/>
          <w:color w:val="000000"/>
          <w:sz w:val="24"/>
          <w:szCs w:val="24"/>
          <w:highlight w:val="none"/>
          <w:lang w:eastAsia="zh-CN"/>
        </w:rPr>
        <w:t>54.4511%增加至</w:t>
      </w:r>
      <w:r>
        <w:rPr>
          <w:rFonts w:hint="eastAsia" w:asciiTheme="minorEastAsia" w:hAnsiTheme="minorEastAsia" w:eastAsiaTheme="minorEastAsia" w:cstheme="minorEastAsia"/>
          <w:color w:val="000000"/>
          <w:sz w:val="24"/>
          <w:szCs w:val="24"/>
          <w:highlight w:val="none"/>
          <w:lang w:val="en-US" w:eastAsia="zh-CN"/>
        </w:rPr>
        <w:t>约56.4511</w:t>
      </w:r>
      <w:r>
        <w:rPr>
          <w:rFonts w:hint="eastAsia" w:asciiTheme="minorEastAsia" w:hAnsiTheme="minorEastAsia" w:eastAsiaTheme="minorEastAsia" w:cstheme="minorEastAsia"/>
          <w:color w:val="000000"/>
          <w:sz w:val="24"/>
          <w:szCs w:val="24"/>
          <w:highlight w:val="none"/>
          <w:lang w:eastAsia="zh-CN"/>
        </w:rPr>
        <w:t>%，累计增持股份比例达到公司总股本的2</w:t>
      </w:r>
      <w:r>
        <w:rPr>
          <w:rFonts w:hint="eastAsia" w:asciiTheme="minorEastAsia" w:hAnsiTheme="minorEastAsia" w:eastAsiaTheme="minorEastAsia" w:cstheme="minorEastAsia"/>
          <w:color w:val="000000"/>
          <w:sz w:val="24"/>
          <w:szCs w:val="24"/>
          <w:highlight w:val="none"/>
          <w:lang w:val="en-US" w:eastAsia="zh-CN"/>
        </w:rPr>
        <w:t>.0000</w:t>
      </w:r>
      <w:r>
        <w:rPr>
          <w:rFonts w:hint="eastAsia" w:asciiTheme="minorEastAsia" w:hAnsiTheme="minorEastAsia" w:eastAsiaTheme="minorEastAsia" w:cstheme="minorEastAsia"/>
          <w:color w:val="000000"/>
          <w:sz w:val="24"/>
          <w:szCs w:val="24"/>
          <w:highlight w:val="none"/>
          <w:lang w:eastAsia="zh-CN"/>
        </w:rPr>
        <w:t>%；</w:t>
      </w:r>
    </w:p>
    <w:p w14:paraId="4EB321B8">
      <w:pPr>
        <w:numPr>
          <w:ilvl w:val="1"/>
          <w:numId w:val="1"/>
        </w:numPr>
        <w:adjustRightInd w:val="0"/>
        <w:snapToGrid w:val="0"/>
        <w:spacing w:before="0" w:after="0" w:line="360" w:lineRule="auto"/>
        <w:ind w:left="0" w:firstLine="480" w:firstLineChars="200"/>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highlight w:val="none"/>
          <w:lang w:eastAsia="zh-CN"/>
        </w:rPr>
        <w:t>根据江苏</w:t>
      </w:r>
      <w:r>
        <w:rPr>
          <w:rFonts w:hint="eastAsia" w:asciiTheme="minorEastAsia" w:hAnsiTheme="minorEastAsia" w:eastAsiaTheme="minorEastAsia" w:cstheme="minorEastAsia"/>
          <w:color w:val="000000"/>
          <w:sz w:val="24"/>
          <w:szCs w:val="24"/>
          <w:highlight w:val="none"/>
          <w:lang w:val="en-US" w:eastAsia="zh-CN"/>
        </w:rPr>
        <w:t>交控</w:t>
      </w:r>
      <w:r>
        <w:rPr>
          <w:rFonts w:hint="eastAsia" w:asciiTheme="minorEastAsia" w:hAnsiTheme="minorEastAsia" w:eastAsiaTheme="minorEastAsia" w:cstheme="minorEastAsia"/>
          <w:color w:val="000000"/>
          <w:sz w:val="24"/>
          <w:szCs w:val="24"/>
          <w:highlight w:val="none"/>
          <w:lang w:eastAsia="zh-CN"/>
        </w:rPr>
        <w:t>之前</w:t>
      </w:r>
      <w:r>
        <w:rPr>
          <w:rFonts w:hint="eastAsia" w:asciiTheme="minorEastAsia" w:hAnsiTheme="minorEastAsia" w:eastAsiaTheme="minorEastAsia" w:cstheme="minorEastAsia"/>
          <w:color w:val="000000"/>
          <w:sz w:val="24"/>
          <w:szCs w:val="24"/>
          <w:highlight w:val="none"/>
          <w:lang w:val="en-US" w:eastAsia="zh-CN"/>
        </w:rPr>
        <w:t>出具</w:t>
      </w:r>
      <w:r>
        <w:rPr>
          <w:rFonts w:hint="eastAsia" w:asciiTheme="minorEastAsia" w:hAnsiTheme="minorEastAsia" w:eastAsiaTheme="minorEastAsia" w:cstheme="minorEastAsia"/>
          <w:color w:val="000000"/>
          <w:sz w:val="24"/>
          <w:szCs w:val="24"/>
          <w:highlight w:val="none"/>
          <w:lang w:eastAsia="zh-CN"/>
        </w:rPr>
        <w:t>的告知函，云杉资本于2025年9月9日至2025年12月17日</w:t>
      </w:r>
      <w:r>
        <w:rPr>
          <w:rFonts w:hint="eastAsia" w:asciiTheme="minorEastAsia" w:hAnsiTheme="minorEastAsia" w:eastAsiaTheme="minorEastAsia" w:cstheme="minorEastAsia"/>
          <w:color w:val="000000"/>
          <w:sz w:val="24"/>
          <w:szCs w:val="24"/>
          <w:highlight w:val="none"/>
          <w:lang w:val="en-US" w:eastAsia="zh-CN"/>
        </w:rPr>
        <w:t>期间增持</w:t>
      </w:r>
      <w:r>
        <w:rPr>
          <w:rFonts w:hint="eastAsia" w:asciiTheme="minorEastAsia" w:hAnsiTheme="minorEastAsia" w:eastAsiaTheme="minorEastAsia" w:cstheme="minorEastAsia"/>
          <w:color w:val="000000"/>
          <w:sz w:val="24"/>
          <w:szCs w:val="24"/>
          <w:highlight w:val="none"/>
          <w:lang w:eastAsia="zh-CN"/>
        </w:rPr>
        <w:t>了本公司80</w:t>
      </w:r>
      <w:r>
        <w:rPr>
          <w:rFonts w:hint="eastAsia" w:asciiTheme="minorEastAsia" w:hAnsiTheme="minorEastAsia" w:eastAsiaTheme="minorEastAsia" w:cstheme="minorEastAsia"/>
          <w:color w:val="000000"/>
          <w:sz w:val="24"/>
          <w:szCs w:val="24"/>
          <w:highlight w:val="none"/>
          <w:lang w:val="en-US" w:eastAsia="zh-CN"/>
        </w:rPr>
        <w:t>,</w:t>
      </w:r>
      <w:r>
        <w:rPr>
          <w:rFonts w:hint="eastAsia" w:asciiTheme="minorEastAsia" w:hAnsiTheme="minorEastAsia" w:eastAsiaTheme="minorEastAsia" w:cstheme="minorEastAsia"/>
          <w:color w:val="000000"/>
          <w:sz w:val="24"/>
          <w:szCs w:val="24"/>
          <w:highlight w:val="none"/>
          <w:lang w:eastAsia="zh-CN"/>
        </w:rPr>
        <w:t>514</w:t>
      </w:r>
      <w:r>
        <w:rPr>
          <w:rFonts w:hint="eastAsia" w:asciiTheme="minorEastAsia" w:hAnsiTheme="minorEastAsia" w:eastAsiaTheme="minorEastAsia" w:cstheme="minorEastAsia"/>
          <w:color w:val="000000"/>
          <w:sz w:val="24"/>
          <w:szCs w:val="24"/>
          <w:highlight w:val="none"/>
          <w:lang w:val="en-US" w:eastAsia="zh-CN"/>
        </w:rPr>
        <w:t>,</w:t>
      </w:r>
      <w:r>
        <w:rPr>
          <w:rFonts w:hint="eastAsia" w:asciiTheme="minorEastAsia" w:hAnsiTheme="minorEastAsia" w:eastAsiaTheme="minorEastAsia" w:cstheme="minorEastAsia"/>
          <w:color w:val="000000"/>
          <w:sz w:val="24"/>
          <w:szCs w:val="24"/>
          <w:highlight w:val="none"/>
          <w:lang w:eastAsia="zh-CN"/>
        </w:rPr>
        <w:t>000股H股（增持比例约为1.</w:t>
      </w:r>
      <w:r>
        <w:rPr>
          <w:rFonts w:hint="eastAsia" w:asciiTheme="minorEastAsia" w:hAnsiTheme="minorEastAsia" w:eastAsiaTheme="minorEastAsia" w:cstheme="minorEastAsia"/>
          <w:color w:val="000000"/>
          <w:sz w:val="24"/>
          <w:szCs w:val="24"/>
          <w:highlight w:val="none"/>
          <w:lang w:val="en-US" w:eastAsia="zh-CN"/>
        </w:rPr>
        <w:t>5982</w:t>
      </w:r>
      <w:r>
        <w:rPr>
          <w:rFonts w:hint="eastAsia" w:asciiTheme="minorEastAsia" w:hAnsiTheme="minorEastAsia" w:eastAsiaTheme="minorEastAsia" w:cstheme="minorEastAsia"/>
          <w:color w:val="000000"/>
          <w:sz w:val="24"/>
          <w:szCs w:val="24"/>
          <w:highlight w:val="none"/>
          <w:lang w:eastAsia="zh-CN"/>
        </w:rPr>
        <w:t>%）。截至2025年12月17日，江苏交控及其一致行动人合计持有本公司2</w:t>
      </w:r>
      <w:r>
        <w:rPr>
          <w:rFonts w:hint="eastAsia" w:asciiTheme="minorEastAsia" w:hAnsiTheme="minorEastAsia" w:eastAsiaTheme="minorEastAsia" w:cstheme="minorEastAsia"/>
          <w:color w:val="000000"/>
          <w:sz w:val="24"/>
          <w:szCs w:val="24"/>
          <w:highlight w:val="none"/>
          <w:lang w:val="en-US" w:eastAsia="zh-CN"/>
        </w:rPr>
        <w:t>,</w:t>
      </w:r>
      <w:r>
        <w:rPr>
          <w:rFonts w:hint="eastAsia" w:asciiTheme="minorEastAsia" w:hAnsiTheme="minorEastAsia" w:eastAsiaTheme="minorEastAsia" w:cstheme="minorEastAsia"/>
          <w:color w:val="000000"/>
          <w:sz w:val="24"/>
          <w:szCs w:val="24"/>
          <w:highlight w:val="none"/>
          <w:lang w:eastAsia="zh-CN"/>
        </w:rPr>
        <w:t>823</w:t>
      </w:r>
      <w:r>
        <w:rPr>
          <w:rFonts w:hint="eastAsia" w:asciiTheme="minorEastAsia" w:hAnsiTheme="minorEastAsia" w:eastAsiaTheme="minorEastAsia" w:cstheme="minorEastAsia"/>
          <w:color w:val="000000"/>
          <w:sz w:val="24"/>
          <w:szCs w:val="24"/>
          <w:highlight w:val="none"/>
          <w:lang w:val="en-US" w:eastAsia="zh-CN"/>
        </w:rPr>
        <w:t>,</w:t>
      </w:r>
      <w:r>
        <w:rPr>
          <w:rFonts w:hint="eastAsia" w:asciiTheme="minorEastAsia" w:hAnsiTheme="minorEastAsia" w:eastAsiaTheme="minorEastAsia" w:cstheme="minorEastAsia"/>
          <w:color w:val="000000"/>
          <w:sz w:val="24"/>
          <w:szCs w:val="24"/>
          <w:highlight w:val="none"/>
          <w:lang w:eastAsia="zh-CN"/>
        </w:rPr>
        <w:t>622</w:t>
      </w:r>
      <w:r>
        <w:rPr>
          <w:rFonts w:hint="eastAsia" w:asciiTheme="minorEastAsia" w:hAnsiTheme="minorEastAsia" w:eastAsiaTheme="minorEastAsia" w:cstheme="minorEastAsia"/>
          <w:color w:val="000000"/>
          <w:sz w:val="24"/>
          <w:szCs w:val="24"/>
          <w:highlight w:val="none"/>
          <w:lang w:val="en-US" w:eastAsia="zh-CN"/>
        </w:rPr>
        <w:t>,</w:t>
      </w:r>
      <w:r>
        <w:rPr>
          <w:rFonts w:hint="eastAsia" w:asciiTheme="minorEastAsia" w:hAnsiTheme="minorEastAsia" w:eastAsiaTheme="minorEastAsia" w:cstheme="minorEastAsia"/>
          <w:color w:val="000000"/>
          <w:sz w:val="24"/>
          <w:szCs w:val="24"/>
          <w:highlight w:val="none"/>
          <w:lang w:eastAsia="zh-CN"/>
        </w:rPr>
        <w:t>825股（2,743,108,825股A股及80</w:t>
      </w:r>
      <w:r>
        <w:rPr>
          <w:rFonts w:hint="eastAsia" w:asciiTheme="minorEastAsia" w:hAnsiTheme="minorEastAsia" w:eastAsiaTheme="minorEastAsia" w:cstheme="minorEastAsia"/>
          <w:color w:val="000000"/>
          <w:sz w:val="24"/>
          <w:szCs w:val="24"/>
          <w:highlight w:val="none"/>
          <w:lang w:val="en-US" w:eastAsia="zh-CN"/>
        </w:rPr>
        <w:t>,</w:t>
      </w:r>
      <w:r>
        <w:rPr>
          <w:rFonts w:hint="eastAsia" w:asciiTheme="minorEastAsia" w:hAnsiTheme="minorEastAsia" w:eastAsiaTheme="minorEastAsia" w:cstheme="minorEastAsia"/>
          <w:color w:val="000000"/>
          <w:sz w:val="24"/>
          <w:szCs w:val="24"/>
          <w:highlight w:val="none"/>
          <w:lang w:eastAsia="zh-CN"/>
        </w:rPr>
        <w:t>514</w:t>
      </w:r>
      <w:r>
        <w:rPr>
          <w:rFonts w:hint="eastAsia" w:asciiTheme="minorEastAsia" w:hAnsiTheme="minorEastAsia" w:eastAsiaTheme="minorEastAsia" w:cstheme="minorEastAsia"/>
          <w:color w:val="000000"/>
          <w:sz w:val="24"/>
          <w:szCs w:val="24"/>
          <w:highlight w:val="none"/>
          <w:lang w:val="en-US" w:eastAsia="zh-CN"/>
        </w:rPr>
        <w:t>,</w:t>
      </w:r>
      <w:r>
        <w:rPr>
          <w:rFonts w:hint="eastAsia" w:asciiTheme="minorEastAsia" w:hAnsiTheme="minorEastAsia" w:eastAsiaTheme="minorEastAsia" w:cstheme="minorEastAsia"/>
          <w:color w:val="000000"/>
          <w:sz w:val="24"/>
          <w:szCs w:val="24"/>
          <w:highlight w:val="none"/>
          <w:lang w:eastAsia="zh-CN"/>
        </w:rPr>
        <w:t>000股H股）,持股比例约为56.0</w:t>
      </w:r>
      <w:r>
        <w:rPr>
          <w:rFonts w:hint="eastAsia" w:asciiTheme="minorEastAsia" w:hAnsiTheme="minorEastAsia" w:eastAsiaTheme="minorEastAsia" w:cstheme="minorEastAsia"/>
          <w:color w:val="000000"/>
          <w:sz w:val="24"/>
          <w:szCs w:val="24"/>
          <w:highlight w:val="none"/>
          <w:lang w:val="en-US" w:eastAsia="zh-CN"/>
        </w:rPr>
        <w:t>493</w:t>
      </w:r>
      <w:r>
        <w:rPr>
          <w:rFonts w:hint="eastAsia" w:asciiTheme="minorEastAsia" w:hAnsiTheme="minorEastAsia" w:eastAsiaTheme="minorEastAsia" w:cstheme="minorEastAsia"/>
          <w:color w:val="000000"/>
          <w:sz w:val="24"/>
          <w:szCs w:val="24"/>
          <w:highlight w:val="none"/>
          <w:lang w:eastAsia="zh-CN"/>
        </w:rPr>
        <w:t>%。详情请参阅公司2025年12月19日公告</w:t>
      </w:r>
      <w:r>
        <w:rPr>
          <w:rFonts w:hint="eastAsia" w:asciiTheme="minorEastAsia" w:hAnsiTheme="minorEastAsia" w:eastAsiaTheme="minorEastAsia" w:cstheme="minorEastAsia"/>
          <w:color w:val="000000"/>
          <w:sz w:val="24"/>
          <w:szCs w:val="24"/>
          <w:lang w:eastAsia="zh-CN"/>
        </w:rPr>
        <w:t>；</w:t>
      </w:r>
    </w:p>
    <w:p w14:paraId="49217A04">
      <w:pPr>
        <w:numPr>
          <w:ilvl w:val="1"/>
          <w:numId w:val="2"/>
        </w:numPr>
        <w:tabs>
          <w:tab w:val="clear" w:pos="1320"/>
        </w:tabs>
        <w:adjustRightInd w:val="0"/>
        <w:snapToGrid w:val="0"/>
        <w:spacing w:before="0" w:after="0" w:line="360" w:lineRule="auto"/>
        <w:ind w:left="0" w:firstLine="480" w:firstLineChars="200"/>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控股股东</w:t>
      </w:r>
      <w:r>
        <w:rPr>
          <w:rFonts w:hint="eastAsia" w:asciiTheme="minorEastAsia" w:hAnsiTheme="minorEastAsia" w:eastAsiaTheme="minorEastAsia" w:cstheme="minorEastAsia"/>
          <w:color w:val="000000"/>
          <w:sz w:val="24"/>
          <w:szCs w:val="24"/>
          <w:lang w:val="en-US" w:eastAsia="zh-CN"/>
        </w:rPr>
        <w:t>之</w:t>
      </w:r>
      <w:r>
        <w:rPr>
          <w:rFonts w:hint="eastAsia" w:asciiTheme="minorEastAsia" w:hAnsiTheme="minorEastAsia" w:eastAsiaTheme="minorEastAsia" w:cstheme="minorEastAsia"/>
          <w:color w:val="000000"/>
          <w:sz w:val="24"/>
          <w:szCs w:val="24"/>
          <w:lang w:eastAsia="zh-CN"/>
        </w:rPr>
        <w:t>一致行动人本次增持不会导致</w:t>
      </w:r>
      <w:r>
        <w:rPr>
          <w:rFonts w:hint="eastAsia" w:asciiTheme="minorEastAsia" w:hAnsiTheme="minorEastAsia" w:eastAsiaTheme="minorEastAsia" w:cstheme="minorEastAsia"/>
          <w:color w:val="000000"/>
          <w:sz w:val="24"/>
          <w:szCs w:val="24"/>
          <w:lang w:val="en-US" w:eastAsia="zh-CN"/>
        </w:rPr>
        <w:t>本</w:t>
      </w:r>
      <w:r>
        <w:rPr>
          <w:rFonts w:hint="eastAsia" w:asciiTheme="minorEastAsia" w:hAnsiTheme="minorEastAsia" w:eastAsiaTheme="minorEastAsia" w:cstheme="minorEastAsia"/>
          <w:color w:val="000000"/>
          <w:sz w:val="24"/>
          <w:szCs w:val="24"/>
          <w:lang w:eastAsia="zh-CN"/>
        </w:rPr>
        <w:t>公司控股股东、实际控制人发生变更，不会对</w:t>
      </w:r>
      <w:r>
        <w:rPr>
          <w:rFonts w:hint="eastAsia" w:asciiTheme="minorEastAsia" w:hAnsiTheme="minorEastAsia" w:eastAsiaTheme="minorEastAsia" w:cstheme="minorEastAsia"/>
          <w:color w:val="000000"/>
          <w:sz w:val="24"/>
          <w:szCs w:val="24"/>
          <w:lang w:val="en-US" w:eastAsia="zh-CN"/>
        </w:rPr>
        <w:t>本</w:t>
      </w:r>
      <w:r>
        <w:rPr>
          <w:rFonts w:hint="eastAsia" w:asciiTheme="minorEastAsia" w:hAnsiTheme="minorEastAsia" w:eastAsiaTheme="minorEastAsia" w:cstheme="minorEastAsia"/>
          <w:color w:val="000000"/>
          <w:sz w:val="24"/>
          <w:szCs w:val="24"/>
          <w:lang w:eastAsia="zh-CN"/>
        </w:rPr>
        <w:t>公司日常生产经营产生重大影响。</w:t>
      </w:r>
    </w:p>
    <w:p w14:paraId="2452D40E">
      <w:pPr>
        <w:numPr>
          <w:ilvl w:val="255"/>
          <w:numId w:val="0"/>
        </w:numPr>
        <w:adjustRightInd w:val="0"/>
        <w:snapToGrid w:val="0"/>
        <w:spacing w:before="0" w:after="0" w:line="360" w:lineRule="auto"/>
        <w:ind w:firstLine="480" w:firstLineChars="200"/>
        <w:rPr>
          <w:rFonts w:hint="eastAsia" w:asciiTheme="minorEastAsia" w:hAnsiTheme="minorEastAsia" w:eastAsiaTheme="minorEastAsia" w:cstheme="minorEastAsia"/>
          <w:color w:val="000000"/>
          <w:sz w:val="24"/>
          <w:szCs w:val="24"/>
          <w:lang w:eastAsia="zh-CN"/>
        </w:rPr>
      </w:pPr>
    </w:p>
    <w:p w14:paraId="189DE672">
      <w:pPr>
        <w:spacing w:before="0" w:after="0" w:line="360" w:lineRule="auto"/>
        <w:ind w:firstLine="480" w:firstLineChars="20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Cs/>
          <w:color w:val="000000"/>
          <w:sz w:val="24"/>
          <w:szCs w:val="24"/>
          <w:lang w:eastAsia="zh-CN"/>
        </w:rPr>
        <w:t>202</w:t>
      </w:r>
      <w:r>
        <w:rPr>
          <w:rFonts w:hint="eastAsia" w:asciiTheme="minorEastAsia" w:hAnsiTheme="minorEastAsia" w:eastAsiaTheme="minorEastAsia" w:cstheme="minorEastAsia"/>
          <w:bCs/>
          <w:color w:val="000000"/>
          <w:sz w:val="24"/>
          <w:szCs w:val="24"/>
          <w:highlight w:val="none"/>
          <w:lang w:val="en-US" w:eastAsia="zh-CN"/>
        </w:rPr>
        <w:t>6年</w:t>
      </w:r>
      <w:r>
        <w:rPr>
          <w:rFonts w:hint="eastAsia" w:asciiTheme="minorEastAsia" w:hAnsiTheme="minorEastAsia" w:eastAsiaTheme="minorEastAsia" w:cstheme="minorEastAsia"/>
          <w:bCs/>
          <w:color w:val="000000"/>
          <w:sz w:val="24"/>
          <w:szCs w:val="24"/>
          <w:highlight w:val="none"/>
          <w:lang w:eastAsia="zh-CN"/>
        </w:rPr>
        <w:t>1</w:t>
      </w:r>
      <w:r>
        <w:rPr>
          <w:rFonts w:hint="eastAsia" w:asciiTheme="minorEastAsia" w:hAnsiTheme="minorEastAsia" w:eastAsiaTheme="minorEastAsia" w:cstheme="minorEastAsia"/>
          <w:bCs/>
          <w:color w:val="000000"/>
          <w:sz w:val="24"/>
          <w:szCs w:val="24"/>
          <w:highlight w:val="none"/>
          <w:lang w:val="en-US" w:eastAsia="zh-CN"/>
        </w:rPr>
        <w:t>月</w:t>
      </w:r>
      <w:r>
        <w:rPr>
          <w:rFonts w:hint="eastAsia" w:asciiTheme="minorEastAsia" w:hAnsiTheme="minorEastAsia" w:eastAsiaTheme="minorEastAsia" w:cstheme="minorEastAsia"/>
          <w:color w:val="000000"/>
          <w:sz w:val="24"/>
          <w:szCs w:val="24"/>
          <w:highlight w:val="none"/>
          <w:lang w:val="en-US" w:eastAsia="zh-CN"/>
        </w:rPr>
        <w:t>7</w:t>
      </w:r>
      <w:r>
        <w:rPr>
          <w:rFonts w:hint="eastAsia" w:asciiTheme="minorEastAsia" w:hAnsiTheme="minorEastAsia" w:eastAsiaTheme="minorEastAsia" w:cstheme="minorEastAsia"/>
          <w:bCs/>
          <w:color w:val="000000"/>
          <w:sz w:val="24"/>
          <w:szCs w:val="24"/>
          <w:highlight w:val="none"/>
          <w:lang w:val="en-US" w:eastAsia="zh-CN"/>
        </w:rPr>
        <w:t>日本公</w:t>
      </w:r>
      <w:r>
        <w:rPr>
          <w:rFonts w:hint="eastAsia" w:asciiTheme="minorEastAsia" w:hAnsiTheme="minorEastAsia" w:eastAsiaTheme="minorEastAsia" w:cstheme="minorEastAsia"/>
          <w:bCs/>
          <w:color w:val="000000"/>
          <w:sz w:val="24"/>
          <w:szCs w:val="24"/>
          <w:lang w:val="en-US" w:eastAsia="zh-CN"/>
        </w:rPr>
        <w:t>司收到江苏交控</w:t>
      </w:r>
      <w:r>
        <w:rPr>
          <w:rFonts w:hint="eastAsia" w:asciiTheme="minorEastAsia" w:hAnsiTheme="minorEastAsia" w:eastAsiaTheme="minorEastAsia" w:cstheme="minorEastAsia"/>
          <w:sz w:val="24"/>
          <w:szCs w:val="24"/>
          <w:lang w:val="en-US" w:eastAsia="zh-CN"/>
        </w:rPr>
        <w:t>出具的《关于累计增持公司股份达到2%的告知函》</w:t>
      </w:r>
      <w:r>
        <w:rPr>
          <w:rFonts w:hint="eastAsia" w:asciiTheme="minorEastAsia" w:hAnsiTheme="minorEastAsia" w:eastAsiaTheme="minorEastAsia" w:cstheme="minorEastAsia"/>
          <w:sz w:val="24"/>
          <w:szCs w:val="24"/>
          <w:shd w:val="clear" w:color="auto" w:fill="FFFFFF"/>
          <w:lang w:eastAsia="zh-CN"/>
        </w:rPr>
        <w:t>，现将有关增持情况公告如下：</w:t>
      </w:r>
    </w:p>
    <w:p w14:paraId="7C9E5038">
      <w:pPr>
        <w:spacing w:before="0" w:after="0" w:line="360" w:lineRule="auto"/>
        <w:ind w:firstLine="480" w:firstLineChars="200"/>
        <w:rPr>
          <w:rFonts w:hint="eastAsia" w:asciiTheme="minorEastAsia" w:hAnsiTheme="minorEastAsia" w:eastAsiaTheme="minorEastAsia" w:cstheme="minorEastAsia"/>
          <w:sz w:val="24"/>
          <w:szCs w:val="24"/>
          <w:shd w:val="clear" w:color="auto" w:fill="FFFFFF"/>
          <w:lang w:eastAsia="zh-CN"/>
        </w:rPr>
      </w:pPr>
    </w:p>
    <w:p w14:paraId="60786602">
      <w:pPr>
        <w:spacing w:before="0" w:after="0" w:line="360" w:lineRule="auto"/>
        <w:ind w:firstLine="482" w:firstLineChars="200"/>
        <w:rPr>
          <w:rFonts w:hint="eastAsia" w:asciiTheme="minorEastAsia" w:hAnsiTheme="minorEastAsia" w:eastAsiaTheme="minorEastAsia" w:cstheme="minorEastAsia"/>
          <w:b/>
          <w:color w:val="000000"/>
          <w:sz w:val="24"/>
          <w:szCs w:val="24"/>
          <w:lang w:eastAsia="zh-CN"/>
        </w:rPr>
      </w:pPr>
      <w:bookmarkStart w:id="9" w:name="_Toc13378"/>
      <w:r>
        <w:rPr>
          <w:rFonts w:hint="eastAsia" w:asciiTheme="minorEastAsia" w:hAnsiTheme="minorEastAsia" w:eastAsiaTheme="minorEastAsia" w:cstheme="minorEastAsia"/>
          <w:b/>
          <w:color w:val="000000"/>
          <w:sz w:val="24"/>
          <w:szCs w:val="24"/>
          <w:lang w:eastAsia="zh-CN"/>
        </w:rPr>
        <w:t>一、本次增持基本情况</w:t>
      </w:r>
      <w:bookmarkEnd w:id="9"/>
    </w:p>
    <w:p w14:paraId="05EE49B3">
      <w:pPr>
        <w:spacing w:before="0" w:after="0" w:line="360" w:lineRule="auto"/>
        <w:ind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本公司控股股东江苏交控的全资子公司云杉资本自2025年9月9日至202</w:t>
      </w: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lang w:eastAsia="zh-CN"/>
        </w:rPr>
        <w:t>年1月</w:t>
      </w: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lang w:eastAsia="zh-CN"/>
        </w:rPr>
        <w:t>日，使用自有资金，通过上海证券交易所港股通交易系统参与香港联合交易所有限公司集中竞价交易方式增持本公司H股股份</w:t>
      </w:r>
      <w:r>
        <w:rPr>
          <w:rFonts w:hint="eastAsia" w:asciiTheme="minorEastAsia" w:hAnsiTheme="minorEastAsia" w:eastAsiaTheme="minorEastAsia" w:cstheme="minorEastAsia"/>
          <w:color w:val="000000"/>
          <w:sz w:val="24"/>
          <w:szCs w:val="24"/>
          <w:lang w:eastAsia="zh-CN"/>
        </w:rPr>
        <w:t>100,754,000</w:t>
      </w:r>
      <w:r>
        <w:rPr>
          <w:rFonts w:hint="eastAsia" w:asciiTheme="minorEastAsia" w:hAnsiTheme="minorEastAsia" w:eastAsiaTheme="minorEastAsia" w:cstheme="minorEastAsia"/>
          <w:sz w:val="24"/>
          <w:szCs w:val="24"/>
          <w:lang w:eastAsia="zh-CN"/>
        </w:rPr>
        <w:t>股，累计增持股份比例达到公司总股本的2%。</w:t>
      </w:r>
      <w:bookmarkStart w:id="10" w:name="_Hlk217051972"/>
      <w:r>
        <w:rPr>
          <w:rFonts w:hint="eastAsia" w:asciiTheme="minorEastAsia" w:hAnsiTheme="minorEastAsia" w:eastAsiaTheme="minorEastAsia" w:cstheme="minorEastAsia"/>
          <w:sz w:val="24"/>
          <w:szCs w:val="24"/>
          <w:lang w:eastAsia="zh-CN"/>
        </w:rPr>
        <w:t>本次增持后</w:t>
      </w:r>
      <w:r>
        <w:rPr>
          <w:rFonts w:hint="eastAsia" w:asciiTheme="minorEastAsia" w:hAnsiTheme="minorEastAsia" w:eastAsiaTheme="minorEastAsia" w:cstheme="minorEastAsia"/>
          <w:sz w:val="24"/>
          <w:szCs w:val="24"/>
          <w:lang w:val="en-US" w:eastAsia="zh-CN"/>
        </w:rPr>
        <w:t>,江苏交控</w:t>
      </w:r>
      <w:r>
        <w:rPr>
          <w:rFonts w:hint="eastAsia" w:asciiTheme="minorEastAsia" w:hAnsiTheme="minorEastAsia" w:eastAsiaTheme="minorEastAsia" w:cstheme="minorEastAsia"/>
          <w:sz w:val="24"/>
          <w:szCs w:val="24"/>
          <w:lang w:eastAsia="zh-CN"/>
        </w:rPr>
        <w:t>及其一致行动人</w:t>
      </w:r>
      <w:r>
        <w:rPr>
          <w:rFonts w:hint="eastAsia" w:asciiTheme="minorEastAsia" w:hAnsiTheme="minorEastAsia" w:eastAsiaTheme="minorEastAsia" w:cstheme="minorEastAsia"/>
          <w:sz w:val="24"/>
          <w:szCs w:val="24"/>
          <w:lang w:val="en-US" w:eastAsia="zh-CN"/>
        </w:rPr>
        <w:t>合计</w:t>
      </w:r>
      <w:r>
        <w:rPr>
          <w:rFonts w:hint="eastAsia" w:asciiTheme="minorEastAsia" w:hAnsiTheme="minorEastAsia" w:eastAsiaTheme="minorEastAsia" w:cstheme="minorEastAsia"/>
          <w:sz w:val="24"/>
          <w:szCs w:val="24"/>
          <w:lang w:eastAsia="zh-CN"/>
        </w:rPr>
        <w:t>持有</w:t>
      </w:r>
      <w:r>
        <w:rPr>
          <w:rFonts w:hint="eastAsia" w:asciiTheme="minorEastAsia" w:hAnsiTheme="minorEastAsia" w:eastAsiaTheme="minorEastAsia" w:cstheme="minorEastAsia"/>
          <w:sz w:val="24"/>
          <w:szCs w:val="24"/>
          <w:lang w:val="en-US" w:eastAsia="zh-CN"/>
        </w:rPr>
        <w:t>本</w:t>
      </w:r>
      <w:r>
        <w:rPr>
          <w:rFonts w:hint="eastAsia" w:asciiTheme="minorEastAsia" w:hAnsiTheme="minorEastAsia" w:eastAsiaTheme="minorEastAsia" w:cstheme="minorEastAsia"/>
          <w:sz w:val="24"/>
          <w:szCs w:val="24"/>
          <w:lang w:eastAsia="zh-CN"/>
        </w:rPr>
        <w:t>公司</w:t>
      </w:r>
      <w:r>
        <w:rPr>
          <w:rFonts w:hint="eastAsia" w:asciiTheme="minorEastAsia" w:hAnsiTheme="minorEastAsia" w:eastAsiaTheme="minorEastAsia" w:cstheme="minorEastAsia"/>
          <w:color w:val="000000"/>
          <w:sz w:val="24"/>
          <w:szCs w:val="24"/>
          <w:lang w:eastAsia="zh-CN"/>
        </w:rPr>
        <w:t>2,843,862,825</w:t>
      </w:r>
      <w:r>
        <w:rPr>
          <w:rFonts w:hint="eastAsia" w:asciiTheme="minorEastAsia" w:hAnsiTheme="minorEastAsia" w:eastAsiaTheme="minorEastAsia" w:cstheme="minorEastAsia"/>
          <w:sz w:val="24"/>
          <w:szCs w:val="24"/>
          <w:lang w:eastAsia="zh-CN"/>
        </w:rPr>
        <w:t>股，持股比例由</w:t>
      </w:r>
      <w:r>
        <w:rPr>
          <w:rFonts w:hint="eastAsia" w:asciiTheme="minorEastAsia" w:hAnsiTheme="minorEastAsia" w:eastAsiaTheme="minorEastAsia" w:cstheme="minorEastAsia"/>
          <w:color w:val="000000"/>
          <w:sz w:val="24"/>
          <w:szCs w:val="24"/>
          <w:lang w:val="en-US" w:eastAsia="zh-CN"/>
        </w:rPr>
        <w:t>约</w:t>
      </w:r>
      <w:r>
        <w:rPr>
          <w:rFonts w:hint="eastAsia" w:asciiTheme="minorEastAsia" w:hAnsiTheme="minorEastAsia" w:eastAsiaTheme="minorEastAsia" w:cstheme="minorEastAsia"/>
          <w:sz w:val="24"/>
          <w:szCs w:val="24"/>
          <w:lang w:val="en-US" w:eastAsia="zh-CN"/>
        </w:rPr>
        <w:t>54.4511</w:t>
      </w:r>
      <w:r>
        <w:rPr>
          <w:rFonts w:hint="eastAsia" w:asciiTheme="minorEastAsia" w:hAnsiTheme="minorEastAsia" w:eastAsiaTheme="minorEastAsia" w:cstheme="minorEastAsia"/>
          <w:sz w:val="24"/>
          <w:szCs w:val="24"/>
          <w:lang w:eastAsia="zh-CN"/>
        </w:rPr>
        <w:t>%增加至</w:t>
      </w:r>
      <w:r>
        <w:rPr>
          <w:rFonts w:hint="eastAsia" w:asciiTheme="minorEastAsia" w:hAnsiTheme="minorEastAsia" w:eastAsiaTheme="minorEastAsia" w:cstheme="minorEastAsia"/>
          <w:color w:val="000000"/>
          <w:sz w:val="24"/>
          <w:szCs w:val="24"/>
          <w:lang w:val="en-US" w:eastAsia="zh-CN"/>
        </w:rPr>
        <w:t>约</w:t>
      </w:r>
      <w:r>
        <w:rPr>
          <w:rFonts w:hint="eastAsia" w:asciiTheme="minorEastAsia" w:hAnsiTheme="minorEastAsia" w:eastAsiaTheme="minorEastAsia" w:cstheme="minorEastAsia"/>
          <w:sz w:val="24"/>
          <w:szCs w:val="24"/>
          <w:lang w:val="en-US" w:eastAsia="zh-CN"/>
        </w:rPr>
        <w:t>56</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4511</w:t>
      </w:r>
      <w:r>
        <w:rPr>
          <w:rFonts w:hint="eastAsia" w:asciiTheme="minorEastAsia" w:hAnsiTheme="minorEastAsia" w:eastAsiaTheme="minorEastAsia" w:cstheme="minorEastAsia"/>
          <w:sz w:val="24"/>
          <w:szCs w:val="24"/>
          <w:lang w:eastAsia="zh-CN"/>
        </w:rPr>
        <w:t>%。</w:t>
      </w:r>
      <w:bookmarkEnd w:id="10"/>
    </w:p>
    <w:p w14:paraId="616A84E3">
      <w:pPr>
        <w:spacing w:before="0" w:after="0" w:line="360" w:lineRule="auto"/>
        <w:ind w:firstLine="480" w:firstLineChars="200"/>
        <w:rPr>
          <w:rFonts w:hint="eastAsia" w:asciiTheme="minorEastAsia" w:hAnsiTheme="minorEastAsia" w:eastAsiaTheme="minorEastAsia" w:cstheme="minorEastAsia"/>
          <w:sz w:val="24"/>
          <w:szCs w:val="24"/>
          <w:shd w:val="clear" w:color="auto" w:fill="FFFFFF"/>
          <w:lang w:eastAsia="zh-CN"/>
        </w:rPr>
      </w:pPr>
      <w:r>
        <w:rPr>
          <w:rFonts w:hint="eastAsia" w:asciiTheme="minorEastAsia" w:hAnsiTheme="minorEastAsia" w:eastAsiaTheme="minorEastAsia" w:cstheme="minorEastAsia"/>
          <w:sz w:val="24"/>
          <w:szCs w:val="24"/>
          <w:shd w:val="clear" w:color="auto" w:fill="FFFFFF"/>
          <w:lang w:eastAsia="zh-CN"/>
        </w:rPr>
        <w:t>本次增持前后，</w:t>
      </w:r>
      <w:r>
        <w:rPr>
          <w:rFonts w:hint="eastAsia" w:asciiTheme="minorEastAsia" w:hAnsiTheme="minorEastAsia" w:eastAsiaTheme="minorEastAsia" w:cstheme="minorEastAsia"/>
          <w:sz w:val="24"/>
          <w:szCs w:val="24"/>
          <w:shd w:val="clear" w:color="auto" w:fill="FFFFFF"/>
          <w:lang w:val="en-US" w:eastAsia="zh-CN"/>
        </w:rPr>
        <w:t>本</w:t>
      </w:r>
      <w:r>
        <w:rPr>
          <w:rFonts w:hint="eastAsia" w:asciiTheme="minorEastAsia" w:hAnsiTheme="minorEastAsia" w:eastAsiaTheme="minorEastAsia" w:cstheme="minorEastAsia"/>
          <w:sz w:val="24"/>
          <w:szCs w:val="24"/>
          <w:shd w:val="clear" w:color="auto" w:fill="FFFFFF"/>
          <w:lang w:eastAsia="zh-CN"/>
        </w:rPr>
        <w:t>公司</w:t>
      </w:r>
      <w:r>
        <w:rPr>
          <w:rFonts w:hint="eastAsia" w:asciiTheme="minorEastAsia" w:hAnsiTheme="minorEastAsia" w:eastAsiaTheme="minorEastAsia" w:cstheme="minorEastAsia"/>
          <w:sz w:val="24"/>
          <w:szCs w:val="24"/>
          <w:shd w:val="clear" w:color="auto" w:fill="FFFFFF"/>
          <w:lang w:val="en-US" w:eastAsia="zh-CN"/>
        </w:rPr>
        <w:t>控股</w:t>
      </w:r>
      <w:r>
        <w:rPr>
          <w:rFonts w:hint="eastAsia" w:asciiTheme="minorEastAsia" w:hAnsiTheme="minorEastAsia" w:eastAsiaTheme="minorEastAsia" w:cstheme="minorEastAsia"/>
          <w:sz w:val="24"/>
          <w:szCs w:val="24"/>
          <w:shd w:val="clear" w:color="auto" w:fill="FFFFFF"/>
          <w:lang w:eastAsia="zh-CN"/>
        </w:rPr>
        <w:t>股东</w:t>
      </w:r>
      <w:r>
        <w:rPr>
          <w:rFonts w:hint="eastAsia" w:asciiTheme="minorEastAsia" w:hAnsiTheme="minorEastAsia" w:eastAsiaTheme="minorEastAsia" w:cstheme="minorEastAsia"/>
          <w:sz w:val="24"/>
          <w:szCs w:val="24"/>
          <w:shd w:val="clear" w:color="auto" w:fill="FFFFFF"/>
          <w:lang w:val="en-US" w:eastAsia="zh-CN"/>
        </w:rPr>
        <w:t>及其一致行动人</w:t>
      </w:r>
      <w:r>
        <w:rPr>
          <w:rFonts w:hint="eastAsia" w:asciiTheme="minorEastAsia" w:hAnsiTheme="minorEastAsia" w:eastAsiaTheme="minorEastAsia" w:cstheme="minorEastAsia"/>
          <w:sz w:val="24"/>
          <w:szCs w:val="24"/>
          <w:shd w:val="clear" w:color="auto" w:fill="FFFFFF"/>
          <w:lang w:eastAsia="zh-CN"/>
        </w:rPr>
        <w:t>持股比例变动情况具体如下：</w:t>
      </w:r>
    </w:p>
    <w:tbl>
      <w:tblPr>
        <w:tblStyle w:val="15"/>
        <w:tblW w:w="0" w:type="auto"/>
        <w:tblInd w:w="-459"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78"/>
        <w:gridCol w:w="1532"/>
        <w:gridCol w:w="1248"/>
        <w:gridCol w:w="1138"/>
        <w:gridCol w:w="1518"/>
        <w:gridCol w:w="1317"/>
        <w:gridCol w:w="1150"/>
      </w:tblGrid>
      <w:tr w14:paraId="3AFCA5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123" w:type="dxa"/>
            <w:vMerge w:val="restart"/>
            <w:vAlign w:val="center"/>
          </w:tcPr>
          <w:p w14:paraId="4E78E39D">
            <w:pPr>
              <w:spacing w:line="360" w:lineRule="auto"/>
              <w:jc w:val="center"/>
              <w:rPr>
                <w:b/>
                <w:bCs/>
              </w:rPr>
            </w:pPr>
            <w:bookmarkStart w:id="11" w:name="_Hlk213234303"/>
            <w:r>
              <w:rPr>
                <w:rFonts w:hint="eastAsia"/>
                <w:b/>
                <w:bCs/>
              </w:rPr>
              <w:t>股东名称</w:t>
            </w:r>
          </w:p>
        </w:tc>
        <w:tc>
          <w:tcPr>
            <w:tcW w:w="3980" w:type="dxa"/>
            <w:gridSpan w:val="3"/>
            <w:vAlign w:val="center"/>
          </w:tcPr>
          <w:p w14:paraId="0EC0CE23">
            <w:pPr>
              <w:spacing w:line="360" w:lineRule="auto"/>
              <w:jc w:val="center"/>
              <w:rPr>
                <w:b/>
                <w:bCs/>
              </w:rPr>
            </w:pPr>
            <w:r>
              <w:rPr>
                <w:rFonts w:hint="eastAsia"/>
                <w:b/>
                <w:bCs/>
              </w:rPr>
              <w:t>本次</w:t>
            </w:r>
            <w:r>
              <w:rPr>
                <w:rFonts w:hint="eastAsia"/>
                <w:b/>
                <w:bCs/>
                <w:lang w:eastAsia="zh-CN"/>
              </w:rPr>
              <w:t>增持</w:t>
            </w:r>
            <w:r>
              <w:rPr>
                <w:rFonts w:hint="eastAsia"/>
                <w:b/>
                <w:bCs/>
              </w:rPr>
              <w:t>前</w:t>
            </w:r>
          </w:p>
        </w:tc>
        <w:tc>
          <w:tcPr>
            <w:tcW w:w="3878" w:type="dxa"/>
            <w:gridSpan w:val="3"/>
            <w:vAlign w:val="center"/>
          </w:tcPr>
          <w:p w14:paraId="15B0CEDD">
            <w:pPr>
              <w:spacing w:line="360" w:lineRule="auto"/>
              <w:jc w:val="center"/>
              <w:rPr>
                <w:b/>
                <w:bCs/>
              </w:rPr>
            </w:pPr>
            <w:r>
              <w:rPr>
                <w:rFonts w:hint="eastAsia"/>
                <w:b/>
                <w:bCs/>
              </w:rPr>
              <w:t>本次</w:t>
            </w:r>
            <w:r>
              <w:rPr>
                <w:rFonts w:hint="eastAsia"/>
                <w:b/>
                <w:bCs/>
                <w:lang w:eastAsia="zh-CN"/>
              </w:rPr>
              <w:t>增持</w:t>
            </w:r>
            <w:r>
              <w:rPr>
                <w:rFonts w:hint="eastAsia"/>
                <w:b/>
                <w:bCs/>
              </w:rPr>
              <w:t>后</w:t>
            </w:r>
          </w:p>
        </w:tc>
      </w:tr>
      <w:tr w14:paraId="392DB6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123" w:type="dxa"/>
            <w:vMerge w:val="continue"/>
            <w:vAlign w:val="center"/>
          </w:tcPr>
          <w:p w14:paraId="0977B89F">
            <w:pPr>
              <w:spacing w:line="360" w:lineRule="auto"/>
              <w:jc w:val="center"/>
              <w:rPr>
                <w:b/>
                <w:bCs/>
              </w:rPr>
            </w:pPr>
          </w:p>
        </w:tc>
        <w:tc>
          <w:tcPr>
            <w:tcW w:w="2841" w:type="dxa"/>
            <w:gridSpan w:val="2"/>
            <w:vAlign w:val="center"/>
          </w:tcPr>
          <w:p w14:paraId="50F24E9A">
            <w:pPr>
              <w:spacing w:line="360" w:lineRule="auto"/>
              <w:jc w:val="center"/>
              <w:rPr>
                <w:b/>
                <w:bCs/>
              </w:rPr>
            </w:pPr>
            <w:r>
              <w:rPr>
                <w:rFonts w:hint="eastAsia"/>
                <w:b/>
                <w:bCs/>
              </w:rPr>
              <w:t>数量（股）</w:t>
            </w:r>
          </w:p>
        </w:tc>
        <w:tc>
          <w:tcPr>
            <w:tcW w:w="1139" w:type="dxa"/>
            <w:vMerge w:val="restart"/>
            <w:vAlign w:val="center"/>
          </w:tcPr>
          <w:p w14:paraId="7ABE558A">
            <w:pPr>
              <w:spacing w:line="360" w:lineRule="auto"/>
              <w:jc w:val="center"/>
              <w:rPr>
                <w:b/>
                <w:bCs/>
              </w:rPr>
            </w:pPr>
            <w:r>
              <w:rPr>
                <w:rFonts w:hint="eastAsia"/>
                <w:b/>
                <w:bCs/>
              </w:rPr>
              <w:t>占总股本比例</w:t>
            </w:r>
          </w:p>
        </w:tc>
        <w:tc>
          <w:tcPr>
            <w:tcW w:w="2727" w:type="dxa"/>
            <w:gridSpan w:val="2"/>
            <w:vAlign w:val="center"/>
          </w:tcPr>
          <w:p w14:paraId="72E4890A">
            <w:pPr>
              <w:spacing w:line="360" w:lineRule="auto"/>
              <w:jc w:val="center"/>
              <w:rPr>
                <w:b/>
                <w:bCs/>
              </w:rPr>
            </w:pPr>
            <w:r>
              <w:rPr>
                <w:rFonts w:hint="eastAsia"/>
                <w:b/>
                <w:bCs/>
              </w:rPr>
              <w:t>数量（股）</w:t>
            </w:r>
          </w:p>
        </w:tc>
        <w:tc>
          <w:tcPr>
            <w:tcW w:w="1151" w:type="dxa"/>
            <w:vMerge w:val="restart"/>
            <w:vAlign w:val="center"/>
          </w:tcPr>
          <w:p w14:paraId="446A32DA">
            <w:pPr>
              <w:spacing w:line="360" w:lineRule="auto"/>
              <w:jc w:val="center"/>
              <w:rPr>
                <w:b/>
                <w:bCs/>
              </w:rPr>
            </w:pPr>
            <w:r>
              <w:rPr>
                <w:rFonts w:hint="eastAsia"/>
                <w:b/>
                <w:bCs/>
              </w:rPr>
              <w:t>占总股本比例</w:t>
            </w:r>
          </w:p>
        </w:tc>
      </w:tr>
      <w:tr w14:paraId="64E034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23" w:type="dxa"/>
            <w:vMerge w:val="continue"/>
            <w:vAlign w:val="center"/>
          </w:tcPr>
          <w:p w14:paraId="29C03103">
            <w:pPr>
              <w:spacing w:line="360" w:lineRule="auto"/>
              <w:jc w:val="center"/>
            </w:pPr>
          </w:p>
        </w:tc>
        <w:tc>
          <w:tcPr>
            <w:tcW w:w="1536" w:type="dxa"/>
            <w:vAlign w:val="center"/>
          </w:tcPr>
          <w:p w14:paraId="4D24FD02">
            <w:pPr>
              <w:spacing w:line="360" w:lineRule="auto"/>
              <w:jc w:val="center"/>
              <w:rPr>
                <w:rFonts w:eastAsia="等线"/>
                <w:color w:val="000000"/>
              </w:rPr>
            </w:pPr>
            <w:r>
              <w:rPr>
                <w:rFonts w:hint="eastAsia" w:eastAsia="等线"/>
                <w:color w:val="000000"/>
              </w:rPr>
              <w:t>A股</w:t>
            </w:r>
          </w:p>
        </w:tc>
        <w:tc>
          <w:tcPr>
            <w:tcW w:w="1305" w:type="dxa"/>
            <w:vAlign w:val="center"/>
          </w:tcPr>
          <w:p w14:paraId="1F0B030E">
            <w:pPr>
              <w:spacing w:line="360" w:lineRule="auto"/>
              <w:jc w:val="center"/>
              <w:rPr>
                <w:rFonts w:eastAsia="等线"/>
                <w:color w:val="000000"/>
              </w:rPr>
            </w:pPr>
            <w:r>
              <w:rPr>
                <w:rFonts w:hint="eastAsia" w:eastAsia="等线"/>
                <w:color w:val="000000"/>
              </w:rPr>
              <w:t>H股</w:t>
            </w:r>
          </w:p>
        </w:tc>
        <w:tc>
          <w:tcPr>
            <w:tcW w:w="1139" w:type="dxa"/>
            <w:vMerge w:val="continue"/>
            <w:vAlign w:val="center"/>
          </w:tcPr>
          <w:p w14:paraId="0480F4F3">
            <w:pPr>
              <w:spacing w:line="360" w:lineRule="auto"/>
              <w:jc w:val="center"/>
              <w:rPr>
                <w:rFonts w:eastAsia="等线"/>
                <w:color w:val="000000"/>
              </w:rPr>
            </w:pPr>
          </w:p>
        </w:tc>
        <w:tc>
          <w:tcPr>
            <w:tcW w:w="1521" w:type="dxa"/>
            <w:vAlign w:val="center"/>
          </w:tcPr>
          <w:p w14:paraId="6241BEFB">
            <w:pPr>
              <w:spacing w:line="360" w:lineRule="auto"/>
              <w:jc w:val="center"/>
              <w:rPr>
                <w:rFonts w:eastAsia="等线"/>
                <w:color w:val="000000"/>
              </w:rPr>
            </w:pPr>
            <w:r>
              <w:rPr>
                <w:rFonts w:hint="eastAsia" w:eastAsia="等线"/>
                <w:color w:val="000000"/>
              </w:rPr>
              <w:t>A股</w:t>
            </w:r>
          </w:p>
        </w:tc>
        <w:tc>
          <w:tcPr>
            <w:tcW w:w="1206" w:type="dxa"/>
            <w:vAlign w:val="center"/>
          </w:tcPr>
          <w:p w14:paraId="0F487F93">
            <w:pPr>
              <w:spacing w:line="360" w:lineRule="auto"/>
              <w:jc w:val="center"/>
              <w:rPr>
                <w:rFonts w:eastAsia="等线"/>
                <w:color w:val="000000"/>
              </w:rPr>
            </w:pPr>
            <w:r>
              <w:rPr>
                <w:rFonts w:hint="eastAsia" w:eastAsia="等线"/>
                <w:color w:val="000000"/>
              </w:rPr>
              <w:t>H股</w:t>
            </w:r>
          </w:p>
        </w:tc>
        <w:tc>
          <w:tcPr>
            <w:tcW w:w="1151" w:type="dxa"/>
            <w:vMerge w:val="continue"/>
            <w:vAlign w:val="center"/>
          </w:tcPr>
          <w:p w14:paraId="6B52DC74">
            <w:pPr>
              <w:spacing w:line="360" w:lineRule="auto"/>
              <w:jc w:val="center"/>
              <w:rPr>
                <w:rFonts w:eastAsia="等线"/>
                <w:color w:val="000000"/>
              </w:rPr>
            </w:pPr>
          </w:p>
        </w:tc>
      </w:tr>
      <w:tr w14:paraId="59EF45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8981" w:type="dxa"/>
            <w:gridSpan w:val="7"/>
            <w:vAlign w:val="center"/>
          </w:tcPr>
          <w:p w14:paraId="085903B1">
            <w:pPr>
              <w:spacing w:line="360" w:lineRule="auto"/>
              <w:jc w:val="left"/>
              <w:rPr>
                <w:lang w:eastAsia="zh-CN"/>
              </w:rPr>
            </w:pPr>
            <w:r>
              <w:rPr>
                <w:rFonts w:hint="eastAsia"/>
                <w:lang w:eastAsia="zh-CN"/>
              </w:rPr>
              <w:t>发生直接持股变动的主体：</w:t>
            </w:r>
          </w:p>
        </w:tc>
      </w:tr>
      <w:tr w14:paraId="2D832B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1123" w:type="dxa"/>
            <w:vAlign w:val="center"/>
          </w:tcPr>
          <w:p w14:paraId="4B376845">
            <w:pPr>
              <w:spacing w:line="360" w:lineRule="auto"/>
              <w:jc w:val="center"/>
            </w:pPr>
            <w:r>
              <w:rPr>
                <w:rFonts w:hint="eastAsia"/>
              </w:rPr>
              <w:t>云杉资本</w:t>
            </w:r>
          </w:p>
        </w:tc>
        <w:tc>
          <w:tcPr>
            <w:tcW w:w="1536" w:type="dxa"/>
            <w:vAlign w:val="center"/>
          </w:tcPr>
          <w:p w14:paraId="27A7F34A">
            <w:pPr>
              <w:spacing w:line="360" w:lineRule="auto"/>
              <w:jc w:val="center"/>
              <w:rPr>
                <w:rFonts w:eastAsia="等线"/>
                <w:color w:val="000000"/>
                <w:lang w:val="en-US" w:eastAsia="zh-CN"/>
              </w:rPr>
            </w:pPr>
            <w:r>
              <w:rPr>
                <w:rFonts w:hint="eastAsia" w:eastAsia="等线"/>
                <w:color w:val="000000"/>
                <w:lang w:val="en-US" w:eastAsia="zh-CN"/>
              </w:rPr>
              <w:t>-</w:t>
            </w:r>
          </w:p>
        </w:tc>
        <w:tc>
          <w:tcPr>
            <w:tcW w:w="1305" w:type="dxa"/>
            <w:vAlign w:val="center"/>
          </w:tcPr>
          <w:p w14:paraId="712D17A6">
            <w:pPr>
              <w:spacing w:line="360" w:lineRule="auto"/>
              <w:jc w:val="center"/>
              <w:rPr>
                <w:lang w:eastAsia="zh-CN"/>
              </w:rPr>
            </w:pPr>
            <w:r>
              <w:rPr>
                <w:rFonts w:hint="eastAsia"/>
                <w:lang w:eastAsia="zh-CN"/>
              </w:rPr>
              <w:t>-</w:t>
            </w:r>
          </w:p>
        </w:tc>
        <w:tc>
          <w:tcPr>
            <w:tcW w:w="1139" w:type="dxa"/>
            <w:vAlign w:val="center"/>
          </w:tcPr>
          <w:p w14:paraId="69F13D3A">
            <w:pPr>
              <w:spacing w:line="360" w:lineRule="auto"/>
              <w:jc w:val="center"/>
              <w:rPr>
                <w:lang w:val="en-US" w:eastAsia="zh-CN"/>
              </w:rPr>
            </w:pPr>
            <w:r>
              <w:rPr>
                <w:rFonts w:hint="eastAsia"/>
                <w:lang w:val="en-US" w:eastAsia="zh-CN"/>
              </w:rPr>
              <w:t>-</w:t>
            </w:r>
          </w:p>
        </w:tc>
        <w:tc>
          <w:tcPr>
            <w:tcW w:w="1521" w:type="dxa"/>
            <w:vAlign w:val="center"/>
          </w:tcPr>
          <w:p w14:paraId="66C6D912">
            <w:pPr>
              <w:spacing w:line="360" w:lineRule="auto"/>
              <w:jc w:val="center"/>
              <w:rPr>
                <w:rFonts w:hint="eastAsia" w:eastAsia="等线"/>
                <w:color w:val="000000"/>
                <w:lang w:val="en-US" w:eastAsia="zh-CN"/>
              </w:rPr>
            </w:pPr>
            <w:r>
              <w:rPr>
                <w:rFonts w:hint="eastAsia" w:eastAsia="等线"/>
                <w:color w:val="000000"/>
                <w:lang w:val="en-US" w:eastAsia="zh-CN"/>
              </w:rPr>
              <w:t>-</w:t>
            </w:r>
          </w:p>
        </w:tc>
        <w:tc>
          <w:tcPr>
            <w:tcW w:w="1206" w:type="dxa"/>
            <w:vAlign w:val="center"/>
          </w:tcPr>
          <w:p w14:paraId="7582832B">
            <w:pPr>
              <w:spacing w:line="360" w:lineRule="auto"/>
              <w:jc w:val="center"/>
              <w:rPr>
                <w:rFonts w:eastAsia="等线"/>
                <w:color w:val="000000"/>
              </w:rPr>
            </w:pPr>
            <w:r>
              <w:rPr>
                <w:rFonts w:hint="eastAsia" w:eastAsia="等线"/>
                <w:color w:val="000000"/>
              </w:rPr>
              <w:t>100,754,000</w:t>
            </w:r>
          </w:p>
        </w:tc>
        <w:tc>
          <w:tcPr>
            <w:tcW w:w="1151" w:type="dxa"/>
            <w:vAlign w:val="center"/>
          </w:tcPr>
          <w:p w14:paraId="2AEEFD96">
            <w:pPr>
              <w:spacing w:line="360" w:lineRule="auto"/>
              <w:jc w:val="center"/>
              <w:rPr>
                <w:rFonts w:hint="default" w:eastAsia="宋体"/>
                <w:lang w:val="en-US" w:eastAsia="zh-CN"/>
              </w:rPr>
            </w:pPr>
            <w:r>
              <w:rPr>
                <w:rFonts w:hint="eastAsia"/>
                <w:lang w:val="en-US" w:eastAsia="zh-CN"/>
              </w:rPr>
              <w:t>2.0000%</w:t>
            </w:r>
          </w:p>
        </w:tc>
      </w:tr>
      <w:tr w14:paraId="1535AB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 w:hRule="atLeast"/>
        </w:trPr>
        <w:tc>
          <w:tcPr>
            <w:tcW w:w="8981" w:type="dxa"/>
            <w:gridSpan w:val="7"/>
            <w:vAlign w:val="center"/>
          </w:tcPr>
          <w:p w14:paraId="1C3415D1">
            <w:pPr>
              <w:spacing w:line="360" w:lineRule="auto"/>
              <w:jc w:val="left"/>
              <w:rPr>
                <w:lang w:eastAsia="zh-CN"/>
              </w:rPr>
            </w:pPr>
            <w:r>
              <w:rPr>
                <w:rFonts w:hint="eastAsia"/>
                <w:lang w:eastAsia="zh-CN"/>
              </w:rPr>
              <w:t>未发生直接持股变动的主体：</w:t>
            </w:r>
          </w:p>
        </w:tc>
      </w:tr>
      <w:tr w14:paraId="768416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 w:hRule="atLeast"/>
        </w:trPr>
        <w:tc>
          <w:tcPr>
            <w:tcW w:w="1123" w:type="dxa"/>
            <w:vAlign w:val="center"/>
          </w:tcPr>
          <w:p w14:paraId="46F586D0">
            <w:pPr>
              <w:spacing w:line="360" w:lineRule="auto"/>
              <w:jc w:val="center"/>
            </w:pPr>
            <w:r>
              <w:rPr>
                <w:rFonts w:hint="eastAsia"/>
              </w:rPr>
              <w:t>江苏交控</w:t>
            </w:r>
          </w:p>
        </w:tc>
        <w:tc>
          <w:tcPr>
            <w:tcW w:w="1536" w:type="dxa"/>
            <w:vAlign w:val="center"/>
          </w:tcPr>
          <w:p w14:paraId="5441B7BF">
            <w:pPr>
              <w:spacing w:line="360" w:lineRule="auto"/>
              <w:jc w:val="center"/>
              <w:rPr>
                <w:rFonts w:eastAsia="等线"/>
                <w:color w:val="000000"/>
              </w:rPr>
            </w:pPr>
            <w:r>
              <w:rPr>
                <w:rFonts w:eastAsia="等线"/>
                <w:color w:val="000000"/>
              </w:rPr>
              <w:t>2</w:t>
            </w:r>
            <w:r>
              <w:rPr>
                <w:rFonts w:hint="eastAsia" w:eastAsia="等线"/>
                <w:color w:val="000000"/>
              </w:rPr>
              <w:t>,</w:t>
            </w:r>
            <w:r>
              <w:rPr>
                <w:rFonts w:eastAsia="等线"/>
                <w:color w:val="000000"/>
              </w:rPr>
              <w:t>742</w:t>
            </w:r>
            <w:r>
              <w:rPr>
                <w:rFonts w:hint="eastAsia" w:eastAsia="等线"/>
                <w:color w:val="000000"/>
              </w:rPr>
              <w:t>,</w:t>
            </w:r>
            <w:r>
              <w:rPr>
                <w:rFonts w:eastAsia="等线"/>
                <w:color w:val="000000"/>
              </w:rPr>
              <w:t>578</w:t>
            </w:r>
            <w:r>
              <w:rPr>
                <w:rFonts w:hint="eastAsia" w:eastAsia="等线"/>
                <w:color w:val="000000"/>
              </w:rPr>
              <w:t>,</w:t>
            </w:r>
            <w:r>
              <w:rPr>
                <w:rFonts w:eastAsia="等线"/>
                <w:color w:val="000000"/>
              </w:rPr>
              <w:t>825</w:t>
            </w:r>
          </w:p>
        </w:tc>
        <w:tc>
          <w:tcPr>
            <w:tcW w:w="1305" w:type="dxa"/>
            <w:vAlign w:val="center"/>
          </w:tcPr>
          <w:p w14:paraId="78330096">
            <w:pPr>
              <w:spacing w:line="360" w:lineRule="auto"/>
              <w:jc w:val="center"/>
              <w:rPr>
                <w:rFonts w:eastAsia="等线"/>
                <w:color w:val="000000"/>
              </w:rPr>
            </w:pPr>
            <w:r>
              <w:rPr>
                <w:rFonts w:hint="eastAsia" w:eastAsia="等线"/>
                <w:color w:val="000000"/>
              </w:rPr>
              <w:t>0</w:t>
            </w:r>
          </w:p>
        </w:tc>
        <w:tc>
          <w:tcPr>
            <w:tcW w:w="1139" w:type="dxa"/>
            <w:vAlign w:val="center"/>
          </w:tcPr>
          <w:p w14:paraId="57AA7167">
            <w:pPr>
              <w:spacing w:line="360" w:lineRule="auto"/>
              <w:jc w:val="center"/>
              <w:rPr>
                <w:rFonts w:eastAsia="等线"/>
                <w:color w:val="000000"/>
              </w:rPr>
            </w:pPr>
            <w:r>
              <w:rPr>
                <w:rFonts w:eastAsia="等线"/>
                <w:color w:val="000000"/>
              </w:rPr>
              <w:t>54.4406%</w:t>
            </w:r>
          </w:p>
        </w:tc>
        <w:tc>
          <w:tcPr>
            <w:tcW w:w="1521" w:type="dxa"/>
            <w:vAlign w:val="center"/>
          </w:tcPr>
          <w:p w14:paraId="40CD6073">
            <w:pPr>
              <w:spacing w:line="360" w:lineRule="auto"/>
              <w:jc w:val="center"/>
              <w:rPr>
                <w:rFonts w:eastAsia="等线"/>
                <w:color w:val="000000"/>
              </w:rPr>
            </w:pPr>
            <w:r>
              <w:rPr>
                <w:rFonts w:eastAsia="等线"/>
                <w:color w:val="000000"/>
              </w:rPr>
              <w:t>2</w:t>
            </w:r>
            <w:r>
              <w:rPr>
                <w:rFonts w:hint="eastAsia" w:eastAsia="等线"/>
                <w:color w:val="000000"/>
              </w:rPr>
              <w:t>,</w:t>
            </w:r>
            <w:r>
              <w:rPr>
                <w:rFonts w:eastAsia="等线"/>
                <w:color w:val="000000"/>
              </w:rPr>
              <w:t>742</w:t>
            </w:r>
            <w:r>
              <w:rPr>
                <w:rFonts w:hint="eastAsia" w:eastAsia="等线"/>
                <w:color w:val="000000"/>
              </w:rPr>
              <w:t>,</w:t>
            </w:r>
            <w:r>
              <w:rPr>
                <w:rFonts w:eastAsia="等线"/>
                <w:color w:val="000000"/>
              </w:rPr>
              <w:t>578</w:t>
            </w:r>
            <w:r>
              <w:rPr>
                <w:rFonts w:hint="eastAsia" w:eastAsia="等线"/>
                <w:color w:val="000000"/>
              </w:rPr>
              <w:t>,</w:t>
            </w:r>
            <w:r>
              <w:rPr>
                <w:rFonts w:eastAsia="等线"/>
                <w:color w:val="000000"/>
              </w:rPr>
              <w:t>825</w:t>
            </w:r>
          </w:p>
        </w:tc>
        <w:tc>
          <w:tcPr>
            <w:tcW w:w="1206" w:type="dxa"/>
            <w:vAlign w:val="center"/>
          </w:tcPr>
          <w:p w14:paraId="21F9E210">
            <w:pPr>
              <w:spacing w:line="360" w:lineRule="auto"/>
              <w:jc w:val="center"/>
              <w:rPr>
                <w:rFonts w:eastAsia="等线"/>
                <w:color w:val="000000"/>
              </w:rPr>
            </w:pPr>
            <w:r>
              <w:rPr>
                <w:rFonts w:hint="eastAsia" w:eastAsia="等线"/>
                <w:color w:val="000000"/>
              </w:rPr>
              <w:t>0</w:t>
            </w:r>
          </w:p>
        </w:tc>
        <w:tc>
          <w:tcPr>
            <w:tcW w:w="1151" w:type="dxa"/>
            <w:vAlign w:val="center"/>
          </w:tcPr>
          <w:p w14:paraId="0A6241D4">
            <w:pPr>
              <w:spacing w:line="360" w:lineRule="auto"/>
              <w:jc w:val="center"/>
              <w:rPr>
                <w:rFonts w:eastAsia="等线"/>
                <w:color w:val="000000"/>
              </w:rPr>
            </w:pPr>
            <w:r>
              <w:rPr>
                <w:rFonts w:eastAsia="等线"/>
                <w:color w:val="000000"/>
              </w:rPr>
              <w:t>54.4406%</w:t>
            </w:r>
          </w:p>
        </w:tc>
      </w:tr>
      <w:tr w14:paraId="691AB2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123" w:type="dxa"/>
            <w:vAlign w:val="center"/>
          </w:tcPr>
          <w:p w14:paraId="445EB2C4">
            <w:pPr>
              <w:spacing w:line="360" w:lineRule="auto"/>
              <w:jc w:val="center"/>
              <w:rPr>
                <w:lang w:val="en-US" w:eastAsia="zh-CN"/>
              </w:rPr>
            </w:pPr>
            <w:r>
              <w:rPr>
                <w:rFonts w:hint="eastAsia"/>
              </w:rPr>
              <w:t>扬子大桥</w:t>
            </w:r>
            <w:r>
              <w:rPr>
                <w:rFonts w:hint="eastAsia"/>
                <w:lang w:val="en-US" w:eastAsia="zh-CN"/>
              </w:rPr>
              <w:t>公司</w:t>
            </w:r>
          </w:p>
        </w:tc>
        <w:tc>
          <w:tcPr>
            <w:tcW w:w="1536" w:type="dxa"/>
            <w:vAlign w:val="center"/>
          </w:tcPr>
          <w:p w14:paraId="7FFCD374">
            <w:pPr>
              <w:spacing w:line="360" w:lineRule="auto"/>
              <w:jc w:val="center"/>
              <w:rPr>
                <w:rFonts w:eastAsia="等线"/>
                <w:color w:val="000000"/>
              </w:rPr>
            </w:pPr>
            <w:r>
              <w:rPr>
                <w:rFonts w:eastAsia="等线"/>
                <w:color w:val="000000"/>
              </w:rPr>
              <w:t>500</w:t>
            </w:r>
            <w:r>
              <w:rPr>
                <w:rFonts w:hint="eastAsia" w:eastAsia="等线"/>
                <w:color w:val="000000"/>
              </w:rPr>
              <w:t>,</w:t>
            </w:r>
            <w:r>
              <w:rPr>
                <w:rFonts w:eastAsia="等线"/>
                <w:color w:val="000000"/>
              </w:rPr>
              <w:t>000</w:t>
            </w:r>
          </w:p>
        </w:tc>
        <w:tc>
          <w:tcPr>
            <w:tcW w:w="1305" w:type="dxa"/>
            <w:vAlign w:val="center"/>
          </w:tcPr>
          <w:p w14:paraId="21490992">
            <w:pPr>
              <w:spacing w:line="360" w:lineRule="auto"/>
              <w:jc w:val="center"/>
              <w:rPr>
                <w:rFonts w:eastAsia="等线"/>
                <w:color w:val="000000"/>
              </w:rPr>
            </w:pPr>
            <w:r>
              <w:rPr>
                <w:rFonts w:hint="eastAsia" w:eastAsia="等线"/>
                <w:color w:val="000000"/>
              </w:rPr>
              <w:t>0</w:t>
            </w:r>
          </w:p>
        </w:tc>
        <w:tc>
          <w:tcPr>
            <w:tcW w:w="1139" w:type="dxa"/>
            <w:vAlign w:val="center"/>
          </w:tcPr>
          <w:p w14:paraId="0A00E668">
            <w:pPr>
              <w:spacing w:line="360" w:lineRule="auto"/>
              <w:jc w:val="center"/>
              <w:rPr>
                <w:rFonts w:eastAsia="等线"/>
                <w:color w:val="000000"/>
              </w:rPr>
            </w:pPr>
            <w:r>
              <w:rPr>
                <w:rFonts w:eastAsia="等线"/>
                <w:color w:val="000000"/>
              </w:rPr>
              <w:t>0.0099%</w:t>
            </w:r>
          </w:p>
        </w:tc>
        <w:tc>
          <w:tcPr>
            <w:tcW w:w="1521" w:type="dxa"/>
            <w:vAlign w:val="center"/>
          </w:tcPr>
          <w:p w14:paraId="5F93D861">
            <w:pPr>
              <w:spacing w:line="360" w:lineRule="auto"/>
              <w:jc w:val="center"/>
            </w:pPr>
            <w:r>
              <w:rPr>
                <w:rFonts w:eastAsia="等线"/>
                <w:color w:val="000000"/>
              </w:rPr>
              <w:t>500</w:t>
            </w:r>
            <w:r>
              <w:rPr>
                <w:rFonts w:hint="eastAsia" w:eastAsia="等线"/>
                <w:color w:val="000000"/>
              </w:rPr>
              <w:t>,</w:t>
            </w:r>
            <w:r>
              <w:rPr>
                <w:rFonts w:eastAsia="等线"/>
                <w:color w:val="000000"/>
              </w:rPr>
              <w:t>000</w:t>
            </w:r>
          </w:p>
        </w:tc>
        <w:tc>
          <w:tcPr>
            <w:tcW w:w="1206" w:type="dxa"/>
            <w:vAlign w:val="center"/>
          </w:tcPr>
          <w:p w14:paraId="45E0EEB5">
            <w:pPr>
              <w:spacing w:line="360" w:lineRule="auto"/>
              <w:jc w:val="center"/>
            </w:pPr>
            <w:r>
              <w:rPr>
                <w:rFonts w:hint="eastAsia" w:eastAsia="等线"/>
                <w:color w:val="000000"/>
              </w:rPr>
              <w:t>0</w:t>
            </w:r>
          </w:p>
        </w:tc>
        <w:tc>
          <w:tcPr>
            <w:tcW w:w="1151" w:type="dxa"/>
            <w:vAlign w:val="center"/>
          </w:tcPr>
          <w:p w14:paraId="61327E0D">
            <w:pPr>
              <w:spacing w:line="360" w:lineRule="auto"/>
              <w:jc w:val="center"/>
            </w:pPr>
            <w:r>
              <w:rPr>
                <w:rFonts w:eastAsia="等线"/>
                <w:color w:val="000000"/>
              </w:rPr>
              <w:t>0.0099%</w:t>
            </w:r>
          </w:p>
        </w:tc>
      </w:tr>
      <w:tr w14:paraId="743E39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123" w:type="dxa"/>
            <w:vAlign w:val="center"/>
          </w:tcPr>
          <w:p w14:paraId="404F381E">
            <w:pPr>
              <w:spacing w:line="360" w:lineRule="auto"/>
              <w:jc w:val="center"/>
              <w:rPr>
                <w:lang w:val="en-US" w:eastAsia="zh-CN"/>
              </w:rPr>
            </w:pPr>
            <w:r>
              <w:rPr>
                <w:rFonts w:hint="eastAsia"/>
              </w:rPr>
              <w:t>资管</w:t>
            </w:r>
            <w:r>
              <w:rPr>
                <w:rFonts w:hint="eastAsia"/>
                <w:lang w:val="en-US" w:eastAsia="zh-CN"/>
              </w:rPr>
              <w:t>公司</w:t>
            </w:r>
          </w:p>
        </w:tc>
        <w:tc>
          <w:tcPr>
            <w:tcW w:w="1536" w:type="dxa"/>
            <w:vAlign w:val="center"/>
          </w:tcPr>
          <w:p w14:paraId="3A28A0B4">
            <w:pPr>
              <w:spacing w:line="360" w:lineRule="auto"/>
              <w:jc w:val="center"/>
              <w:rPr>
                <w:rFonts w:eastAsia="等线"/>
                <w:color w:val="000000"/>
              </w:rPr>
            </w:pPr>
            <w:r>
              <w:rPr>
                <w:rFonts w:eastAsia="等线"/>
                <w:color w:val="000000"/>
              </w:rPr>
              <w:t>20,000</w:t>
            </w:r>
          </w:p>
        </w:tc>
        <w:tc>
          <w:tcPr>
            <w:tcW w:w="1305" w:type="dxa"/>
            <w:vAlign w:val="center"/>
          </w:tcPr>
          <w:p w14:paraId="43A9F002">
            <w:pPr>
              <w:spacing w:line="360" w:lineRule="auto"/>
              <w:jc w:val="center"/>
              <w:rPr>
                <w:rFonts w:eastAsia="等线"/>
                <w:color w:val="000000"/>
              </w:rPr>
            </w:pPr>
            <w:r>
              <w:rPr>
                <w:rFonts w:hint="eastAsia" w:eastAsia="等线"/>
                <w:color w:val="000000"/>
              </w:rPr>
              <w:t>0</w:t>
            </w:r>
          </w:p>
        </w:tc>
        <w:tc>
          <w:tcPr>
            <w:tcW w:w="1139" w:type="dxa"/>
            <w:vAlign w:val="center"/>
          </w:tcPr>
          <w:p w14:paraId="696955AA">
            <w:pPr>
              <w:spacing w:line="360" w:lineRule="auto"/>
              <w:jc w:val="center"/>
              <w:rPr>
                <w:rFonts w:eastAsia="等线"/>
                <w:color w:val="000000"/>
              </w:rPr>
            </w:pPr>
            <w:r>
              <w:rPr>
                <w:rFonts w:eastAsia="等线"/>
                <w:color w:val="000000"/>
              </w:rPr>
              <w:t>0.0004%</w:t>
            </w:r>
          </w:p>
        </w:tc>
        <w:tc>
          <w:tcPr>
            <w:tcW w:w="1521" w:type="dxa"/>
            <w:vAlign w:val="center"/>
          </w:tcPr>
          <w:p w14:paraId="09084BE7">
            <w:pPr>
              <w:spacing w:line="360" w:lineRule="auto"/>
              <w:jc w:val="center"/>
            </w:pPr>
            <w:r>
              <w:rPr>
                <w:rFonts w:eastAsia="等线"/>
                <w:color w:val="000000"/>
              </w:rPr>
              <w:t>20,000</w:t>
            </w:r>
          </w:p>
        </w:tc>
        <w:tc>
          <w:tcPr>
            <w:tcW w:w="1206" w:type="dxa"/>
            <w:vAlign w:val="center"/>
          </w:tcPr>
          <w:p w14:paraId="1E549B09">
            <w:pPr>
              <w:spacing w:line="360" w:lineRule="auto"/>
              <w:jc w:val="center"/>
            </w:pPr>
            <w:r>
              <w:rPr>
                <w:rFonts w:hint="eastAsia" w:eastAsia="等线"/>
                <w:color w:val="000000"/>
              </w:rPr>
              <w:t>0</w:t>
            </w:r>
          </w:p>
        </w:tc>
        <w:tc>
          <w:tcPr>
            <w:tcW w:w="1151" w:type="dxa"/>
            <w:vAlign w:val="center"/>
          </w:tcPr>
          <w:p w14:paraId="2ECC7200">
            <w:pPr>
              <w:spacing w:line="360" w:lineRule="auto"/>
              <w:jc w:val="center"/>
            </w:pPr>
            <w:r>
              <w:rPr>
                <w:rFonts w:eastAsia="等线"/>
                <w:color w:val="000000"/>
              </w:rPr>
              <w:t>0.0004%</w:t>
            </w:r>
          </w:p>
        </w:tc>
      </w:tr>
      <w:tr w14:paraId="2794DC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23" w:type="dxa"/>
            <w:vAlign w:val="center"/>
          </w:tcPr>
          <w:p w14:paraId="1236725E">
            <w:pPr>
              <w:spacing w:line="360" w:lineRule="auto"/>
              <w:jc w:val="center"/>
              <w:rPr>
                <w:lang w:val="en-US" w:eastAsia="zh-CN"/>
              </w:rPr>
            </w:pPr>
            <w:r>
              <w:rPr>
                <w:rFonts w:hint="eastAsia"/>
              </w:rPr>
              <w:t>南林饭店</w:t>
            </w:r>
            <w:r>
              <w:rPr>
                <w:rFonts w:hint="eastAsia"/>
                <w:lang w:val="en-US" w:eastAsia="zh-CN"/>
              </w:rPr>
              <w:t>公司</w:t>
            </w:r>
          </w:p>
        </w:tc>
        <w:tc>
          <w:tcPr>
            <w:tcW w:w="1536" w:type="dxa"/>
            <w:vAlign w:val="center"/>
          </w:tcPr>
          <w:p w14:paraId="4DCE4AB4">
            <w:pPr>
              <w:spacing w:line="360" w:lineRule="auto"/>
              <w:jc w:val="center"/>
            </w:pPr>
            <w:r>
              <w:rPr>
                <w:rFonts w:hint="eastAsia"/>
              </w:rPr>
              <w:t>10,000</w:t>
            </w:r>
          </w:p>
        </w:tc>
        <w:tc>
          <w:tcPr>
            <w:tcW w:w="1305" w:type="dxa"/>
            <w:vAlign w:val="center"/>
          </w:tcPr>
          <w:p w14:paraId="7E14AAF6">
            <w:pPr>
              <w:spacing w:line="360" w:lineRule="auto"/>
              <w:jc w:val="center"/>
            </w:pPr>
            <w:r>
              <w:rPr>
                <w:rFonts w:hint="eastAsia"/>
              </w:rPr>
              <w:t>0</w:t>
            </w:r>
          </w:p>
        </w:tc>
        <w:tc>
          <w:tcPr>
            <w:tcW w:w="1139" w:type="dxa"/>
            <w:vAlign w:val="center"/>
          </w:tcPr>
          <w:p w14:paraId="79EF9BD2">
            <w:pPr>
              <w:spacing w:line="360" w:lineRule="auto"/>
              <w:jc w:val="center"/>
              <w:rPr>
                <w:rFonts w:eastAsia="等线"/>
                <w:color w:val="000000"/>
              </w:rPr>
            </w:pPr>
            <w:r>
              <w:rPr>
                <w:rFonts w:eastAsia="等线"/>
                <w:color w:val="000000"/>
              </w:rPr>
              <w:t>0.0002%</w:t>
            </w:r>
          </w:p>
        </w:tc>
        <w:tc>
          <w:tcPr>
            <w:tcW w:w="1521" w:type="dxa"/>
            <w:vAlign w:val="center"/>
          </w:tcPr>
          <w:p w14:paraId="7839BC40">
            <w:pPr>
              <w:spacing w:line="360" w:lineRule="auto"/>
              <w:jc w:val="center"/>
            </w:pPr>
            <w:r>
              <w:rPr>
                <w:rFonts w:hint="eastAsia"/>
              </w:rPr>
              <w:t>10,000</w:t>
            </w:r>
          </w:p>
        </w:tc>
        <w:tc>
          <w:tcPr>
            <w:tcW w:w="1206" w:type="dxa"/>
            <w:vAlign w:val="center"/>
          </w:tcPr>
          <w:p w14:paraId="59F7D1EB">
            <w:pPr>
              <w:spacing w:line="360" w:lineRule="auto"/>
              <w:jc w:val="center"/>
            </w:pPr>
            <w:r>
              <w:rPr>
                <w:rFonts w:hint="eastAsia"/>
              </w:rPr>
              <w:t>0</w:t>
            </w:r>
          </w:p>
        </w:tc>
        <w:tc>
          <w:tcPr>
            <w:tcW w:w="1151" w:type="dxa"/>
            <w:vAlign w:val="center"/>
          </w:tcPr>
          <w:p w14:paraId="133D0927">
            <w:pPr>
              <w:spacing w:line="360" w:lineRule="auto"/>
              <w:jc w:val="center"/>
            </w:pPr>
            <w:r>
              <w:rPr>
                <w:rFonts w:eastAsia="等线"/>
                <w:color w:val="000000"/>
              </w:rPr>
              <w:t>0.0002%</w:t>
            </w:r>
          </w:p>
        </w:tc>
      </w:tr>
      <w:tr w14:paraId="580322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123" w:type="dxa"/>
            <w:vAlign w:val="center"/>
          </w:tcPr>
          <w:p w14:paraId="14D86750">
            <w:pPr>
              <w:spacing w:line="360" w:lineRule="auto"/>
              <w:jc w:val="center"/>
              <w:rPr>
                <w:b/>
                <w:bCs/>
              </w:rPr>
            </w:pPr>
            <w:r>
              <w:rPr>
                <w:rFonts w:hint="eastAsia"/>
                <w:b/>
                <w:bCs/>
              </w:rPr>
              <w:t>合计</w:t>
            </w:r>
          </w:p>
        </w:tc>
        <w:tc>
          <w:tcPr>
            <w:tcW w:w="1536" w:type="dxa"/>
            <w:vAlign w:val="center"/>
          </w:tcPr>
          <w:p w14:paraId="4D002042">
            <w:pPr>
              <w:spacing w:line="360" w:lineRule="auto"/>
              <w:jc w:val="center"/>
              <w:rPr>
                <w:rFonts w:eastAsia="等线"/>
                <w:b/>
                <w:bCs/>
                <w:color w:val="000000"/>
                <w:lang w:val="en-US" w:eastAsia="zh-CN"/>
              </w:rPr>
            </w:pPr>
            <w:r>
              <w:rPr>
                <w:rFonts w:hint="eastAsia" w:eastAsia="等线"/>
                <w:b/>
                <w:bCs/>
                <w:color w:val="000000"/>
                <w:lang w:val="en-US" w:eastAsia="zh-CN"/>
              </w:rPr>
              <w:t xml:space="preserve">2,743,108,825 </w:t>
            </w:r>
          </w:p>
        </w:tc>
        <w:tc>
          <w:tcPr>
            <w:tcW w:w="1305" w:type="dxa"/>
            <w:vAlign w:val="center"/>
          </w:tcPr>
          <w:p w14:paraId="18E266A9">
            <w:pPr>
              <w:spacing w:line="360" w:lineRule="auto"/>
              <w:jc w:val="center"/>
              <w:rPr>
                <w:rFonts w:eastAsia="等线"/>
                <w:b/>
                <w:bCs/>
                <w:color w:val="000000"/>
              </w:rPr>
            </w:pPr>
            <w:r>
              <w:rPr>
                <w:rFonts w:hint="eastAsia" w:eastAsia="等线"/>
                <w:b/>
                <w:bCs/>
                <w:color w:val="000000"/>
              </w:rPr>
              <w:t>0</w:t>
            </w:r>
          </w:p>
        </w:tc>
        <w:tc>
          <w:tcPr>
            <w:tcW w:w="1139" w:type="dxa"/>
            <w:vAlign w:val="center"/>
          </w:tcPr>
          <w:p w14:paraId="40891D56">
            <w:pPr>
              <w:spacing w:line="360" w:lineRule="auto"/>
              <w:jc w:val="center"/>
              <w:rPr>
                <w:rFonts w:eastAsia="等线"/>
                <w:b/>
                <w:bCs/>
                <w:color w:val="000000"/>
              </w:rPr>
            </w:pPr>
            <w:r>
              <w:rPr>
                <w:rFonts w:hint="eastAsia" w:eastAsia="等线"/>
                <w:b/>
                <w:bCs/>
                <w:color w:val="000000"/>
                <w:lang w:eastAsia="zh-CN"/>
              </w:rPr>
              <w:t>54.4511</w:t>
            </w:r>
            <w:r>
              <w:rPr>
                <w:rFonts w:eastAsia="等线"/>
                <w:b/>
                <w:bCs/>
                <w:color w:val="000000"/>
              </w:rPr>
              <w:t>%</w:t>
            </w:r>
          </w:p>
        </w:tc>
        <w:tc>
          <w:tcPr>
            <w:tcW w:w="1521" w:type="dxa"/>
            <w:vAlign w:val="center"/>
          </w:tcPr>
          <w:p w14:paraId="67375211">
            <w:pPr>
              <w:spacing w:line="360" w:lineRule="auto"/>
              <w:jc w:val="center"/>
              <w:rPr>
                <w:rFonts w:eastAsia="等线"/>
                <w:b/>
                <w:bCs/>
                <w:color w:val="000000"/>
              </w:rPr>
            </w:pPr>
            <w:r>
              <w:rPr>
                <w:rFonts w:hint="eastAsia" w:eastAsia="等线"/>
                <w:b/>
                <w:bCs/>
                <w:color w:val="000000"/>
              </w:rPr>
              <w:t>2,743,108,825</w:t>
            </w:r>
          </w:p>
        </w:tc>
        <w:tc>
          <w:tcPr>
            <w:tcW w:w="1206" w:type="dxa"/>
            <w:vAlign w:val="center"/>
          </w:tcPr>
          <w:p w14:paraId="5054509C">
            <w:pPr>
              <w:spacing w:line="360" w:lineRule="auto"/>
              <w:jc w:val="center"/>
              <w:rPr>
                <w:rFonts w:eastAsia="等线"/>
                <w:b/>
                <w:bCs/>
                <w:color w:val="000000"/>
              </w:rPr>
            </w:pPr>
            <w:r>
              <w:rPr>
                <w:rFonts w:hint="eastAsia" w:eastAsia="等线"/>
                <w:b/>
                <w:bCs/>
                <w:color w:val="000000"/>
              </w:rPr>
              <w:t>100,754,000</w:t>
            </w:r>
          </w:p>
        </w:tc>
        <w:tc>
          <w:tcPr>
            <w:tcW w:w="1151" w:type="dxa"/>
            <w:vAlign w:val="center"/>
          </w:tcPr>
          <w:p w14:paraId="4DA542DE">
            <w:pPr>
              <w:spacing w:line="360" w:lineRule="auto"/>
              <w:jc w:val="center"/>
              <w:rPr>
                <w:rFonts w:hint="default" w:eastAsia="宋体"/>
                <w:b/>
                <w:bCs/>
                <w:lang w:val="en-US" w:eastAsia="zh-CN"/>
              </w:rPr>
            </w:pPr>
            <w:r>
              <w:rPr>
                <w:rFonts w:hint="eastAsia"/>
                <w:b/>
                <w:bCs/>
                <w:lang w:val="en-US" w:eastAsia="zh-CN"/>
              </w:rPr>
              <w:t>56.4511%</w:t>
            </w:r>
          </w:p>
        </w:tc>
      </w:tr>
      <w:bookmarkEnd w:id="11"/>
    </w:tbl>
    <w:p w14:paraId="0B4D93E3">
      <w:pPr>
        <w:spacing w:before="0" w:after="0" w:line="360" w:lineRule="auto"/>
        <w:ind w:firstLine="480" w:firstLineChars="200"/>
        <w:rPr>
          <w:rFonts w:hint="eastAsia" w:asciiTheme="minorEastAsia" w:hAnsiTheme="minorEastAsia" w:eastAsiaTheme="minorEastAsia" w:cstheme="minorEastAsia"/>
          <w:sz w:val="24"/>
          <w:szCs w:val="24"/>
          <w:shd w:val="clear" w:color="auto" w:fill="FFFFFF"/>
          <w:lang w:eastAsia="zh-CN"/>
        </w:rPr>
      </w:pPr>
    </w:p>
    <w:p w14:paraId="3A2F137A">
      <w:pPr>
        <w:spacing w:before="0" w:after="0" w:line="360" w:lineRule="auto"/>
        <w:ind w:firstLine="480" w:firstLineChars="200"/>
        <w:rPr>
          <w:rFonts w:hint="eastAsia" w:asciiTheme="minorEastAsia" w:hAnsiTheme="minorEastAsia" w:eastAsiaTheme="minorEastAsia" w:cstheme="minorEastAsia"/>
          <w:sz w:val="24"/>
          <w:szCs w:val="24"/>
          <w:shd w:val="clear" w:color="auto" w:fill="FFFFFF"/>
          <w:lang w:val="en-US" w:eastAsia="zh-CN"/>
        </w:rPr>
      </w:pPr>
      <w:r>
        <w:rPr>
          <w:rFonts w:hint="eastAsia" w:asciiTheme="minorEastAsia" w:hAnsiTheme="minorEastAsia" w:eastAsiaTheme="minorEastAsia" w:cstheme="minorEastAsia"/>
          <w:sz w:val="24"/>
          <w:szCs w:val="24"/>
          <w:shd w:val="clear" w:color="auto" w:fill="FFFFFF"/>
          <w:lang w:val="en-US" w:eastAsia="zh-CN"/>
        </w:rPr>
        <w:t>截至</w:t>
      </w:r>
      <w:r>
        <w:rPr>
          <w:rFonts w:hint="eastAsia" w:asciiTheme="minorEastAsia" w:hAnsiTheme="minorEastAsia" w:eastAsiaTheme="minorEastAsia" w:cstheme="minorEastAsia"/>
          <w:sz w:val="24"/>
          <w:szCs w:val="24"/>
          <w:shd w:val="clear" w:color="auto" w:fill="FFFFFF"/>
          <w:lang w:eastAsia="zh-CN"/>
        </w:rPr>
        <w:t>本公告日，本公司已发行股本总计</w:t>
      </w:r>
      <w:r>
        <w:rPr>
          <w:rFonts w:asciiTheme="minorEastAsia" w:hAnsiTheme="minorEastAsia" w:eastAsiaTheme="minorEastAsia" w:cstheme="minorEastAsia"/>
          <w:sz w:val="24"/>
          <w:szCs w:val="24"/>
          <w:shd w:val="clear" w:color="auto" w:fill="FFFFFF"/>
          <w:lang w:eastAsia="zh-CN"/>
        </w:rPr>
        <w:t>5,037,747,500</w:t>
      </w:r>
      <w:r>
        <w:rPr>
          <w:rFonts w:hint="eastAsia" w:asciiTheme="minorEastAsia" w:hAnsiTheme="minorEastAsia" w:eastAsiaTheme="minorEastAsia" w:cstheme="minorEastAsia"/>
          <w:sz w:val="24"/>
          <w:szCs w:val="24"/>
          <w:shd w:val="clear" w:color="auto" w:fill="FFFFFF"/>
          <w:lang w:eastAsia="zh-CN"/>
        </w:rPr>
        <w:t>股，包括</w:t>
      </w:r>
      <w:r>
        <w:rPr>
          <w:rFonts w:asciiTheme="minorEastAsia" w:hAnsiTheme="minorEastAsia" w:eastAsiaTheme="minorEastAsia" w:cstheme="minorEastAsia"/>
          <w:sz w:val="24"/>
          <w:szCs w:val="24"/>
          <w:shd w:val="clear" w:color="auto" w:fill="FFFFFF"/>
          <w:lang w:eastAsia="zh-CN"/>
        </w:rPr>
        <w:t>3,815,747,500</w:t>
      </w:r>
      <w:r>
        <w:rPr>
          <w:rFonts w:hint="eastAsia" w:asciiTheme="minorEastAsia" w:hAnsiTheme="minorEastAsia" w:eastAsiaTheme="minorEastAsia" w:cstheme="minorEastAsia"/>
          <w:sz w:val="24"/>
          <w:szCs w:val="24"/>
          <w:shd w:val="clear" w:color="auto" w:fill="FFFFFF"/>
          <w:lang w:eastAsia="zh-CN"/>
        </w:rPr>
        <w:t>股A股和</w:t>
      </w:r>
      <w:r>
        <w:rPr>
          <w:rFonts w:asciiTheme="minorEastAsia" w:hAnsiTheme="minorEastAsia" w:eastAsiaTheme="minorEastAsia" w:cstheme="minorEastAsia"/>
          <w:sz w:val="24"/>
          <w:szCs w:val="24"/>
          <w:shd w:val="clear" w:color="auto" w:fill="FFFFFF"/>
          <w:lang w:val="en-US" w:eastAsia="zh-CN"/>
        </w:rPr>
        <w:t>1,222,000,000</w:t>
      </w:r>
      <w:r>
        <w:rPr>
          <w:rFonts w:hint="eastAsia" w:asciiTheme="minorEastAsia" w:hAnsiTheme="minorEastAsia" w:eastAsiaTheme="minorEastAsia" w:cstheme="minorEastAsia"/>
          <w:sz w:val="24"/>
          <w:szCs w:val="24"/>
          <w:shd w:val="clear" w:color="auto" w:fill="FFFFFF"/>
          <w:lang w:val="en-US" w:eastAsia="zh-CN"/>
        </w:rPr>
        <w:t>股</w:t>
      </w:r>
      <w:r>
        <w:rPr>
          <w:rFonts w:asciiTheme="minorEastAsia" w:hAnsiTheme="minorEastAsia" w:eastAsiaTheme="minorEastAsia" w:cstheme="minorEastAsia"/>
          <w:sz w:val="24"/>
          <w:szCs w:val="24"/>
          <w:shd w:val="clear" w:color="auto" w:fill="FFFFFF"/>
          <w:lang w:val="en-US" w:eastAsia="zh-CN"/>
        </w:rPr>
        <w:t>H</w:t>
      </w:r>
      <w:r>
        <w:rPr>
          <w:rFonts w:hint="eastAsia" w:asciiTheme="minorEastAsia" w:hAnsiTheme="minorEastAsia" w:eastAsiaTheme="minorEastAsia" w:cstheme="minorEastAsia"/>
          <w:sz w:val="24"/>
          <w:szCs w:val="24"/>
          <w:shd w:val="clear" w:color="auto" w:fill="FFFFFF"/>
          <w:lang w:eastAsia="zh-CN"/>
        </w:rPr>
        <w:t>股。</w:t>
      </w:r>
    </w:p>
    <w:p w14:paraId="3B0B0903">
      <w:pPr>
        <w:spacing w:before="0" w:after="0" w:line="360" w:lineRule="auto"/>
        <w:ind w:firstLine="480" w:firstLineChars="200"/>
        <w:rPr>
          <w:rFonts w:hint="eastAsia" w:asciiTheme="minorEastAsia" w:hAnsiTheme="minorEastAsia" w:eastAsiaTheme="minorEastAsia" w:cstheme="minorEastAsia"/>
          <w:sz w:val="24"/>
          <w:szCs w:val="24"/>
          <w:shd w:val="clear" w:color="auto" w:fill="FFFFFF"/>
          <w:lang w:eastAsia="zh-CN"/>
        </w:rPr>
      </w:pPr>
      <w:r>
        <w:rPr>
          <w:rFonts w:hint="eastAsia" w:asciiTheme="minorEastAsia" w:hAnsiTheme="minorEastAsia" w:eastAsiaTheme="minorEastAsia" w:cstheme="minorEastAsia"/>
          <w:sz w:val="24"/>
          <w:szCs w:val="24"/>
          <w:shd w:val="clear" w:color="auto" w:fill="FFFFFF"/>
          <w:lang w:eastAsia="zh-CN"/>
        </w:rPr>
        <w:t>本次增持前后，本公司控股股东皆为</w:t>
      </w:r>
      <w:r>
        <w:rPr>
          <w:rFonts w:hint="eastAsia" w:asciiTheme="minorEastAsia" w:hAnsiTheme="minorEastAsia" w:eastAsiaTheme="minorEastAsia" w:cstheme="minorEastAsia"/>
          <w:sz w:val="24"/>
          <w:szCs w:val="24"/>
          <w:shd w:val="clear" w:color="auto" w:fill="FFFFFF"/>
          <w:lang w:val="en-US" w:eastAsia="zh-CN"/>
        </w:rPr>
        <w:t>江苏交控</w:t>
      </w:r>
      <w:r>
        <w:rPr>
          <w:rFonts w:hint="eastAsia" w:asciiTheme="minorEastAsia" w:hAnsiTheme="minorEastAsia" w:eastAsiaTheme="minorEastAsia" w:cstheme="minorEastAsia"/>
          <w:sz w:val="24"/>
          <w:szCs w:val="24"/>
          <w:shd w:val="clear" w:color="auto" w:fill="FFFFFF"/>
          <w:lang w:eastAsia="zh-CN"/>
        </w:rPr>
        <w:t>，</w:t>
      </w:r>
      <w:r>
        <w:rPr>
          <w:rFonts w:hint="eastAsia" w:asciiTheme="minorEastAsia" w:hAnsiTheme="minorEastAsia" w:eastAsiaTheme="minorEastAsia" w:cstheme="minorEastAsia"/>
          <w:sz w:val="24"/>
          <w:szCs w:val="24"/>
          <w:shd w:val="clear" w:color="auto" w:fill="FFFFFF"/>
          <w:lang w:val="en-US" w:eastAsia="zh-CN"/>
        </w:rPr>
        <w:t>实际控制人皆为</w:t>
      </w:r>
      <w:bookmarkStart w:id="13" w:name="_GoBack"/>
      <w:bookmarkEnd w:id="13"/>
      <w:r>
        <w:rPr>
          <w:rFonts w:hint="eastAsia" w:asciiTheme="minorEastAsia" w:hAnsiTheme="minorEastAsia" w:eastAsiaTheme="minorEastAsia" w:cstheme="minorEastAsia"/>
          <w:sz w:val="24"/>
          <w:szCs w:val="24"/>
          <w:shd w:val="clear" w:color="auto" w:fill="FFFFFF"/>
          <w:lang w:val="en-US" w:eastAsia="zh-CN"/>
        </w:rPr>
        <w:t>江苏省国有资产监督管理委员会</w:t>
      </w:r>
      <w:r>
        <w:rPr>
          <w:rFonts w:hint="eastAsia" w:asciiTheme="minorEastAsia" w:hAnsiTheme="minorEastAsia" w:eastAsiaTheme="minorEastAsia" w:cstheme="minorEastAsia"/>
          <w:sz w:val="24"/>
          <w:szCs w:val="24"/>
          <w:shd w:val="clear" w:color="auto" w:fill="FFFFFF"/>
          <w:lang w:eastAsia="zh-CN"/>
        </w:rPr>
        <w:t>，本次增持不会导致公司控股股东、实际控制人变更。</w:t>
      </w:r>
    </w:p>
    <w:p w14:paraId="6C122128">
      <w:pPr>
        <w:numPr>
          <w:ilvl w:val="255"/>
          <w:numId w:val="0"/>
        </w:numPr>
        <w:spacing w:before="0" w:after="0" w:line="360" w:lineRule="auto"/>
        <w:outlineLvl w:val="0"/>
        <w:rPr>
          <w:rFonts w:hint="eastAsia" w:asciiTheme="minorEastAsia" w:hAnsiTheme="minorEastAsia" w:eastAsiaTheme="minorEastAsia" w:cstheme="minorEastAsia"/>
          <w:sz w:val="24"/>
          <w:szCs w:val="24"/>
          <w:shd w:val="clear" w:color="auto" w:fill="FFFFFF"/>
          <w:lang w:eastAsia="zh-CN"/>
        </w:rPr>
      </w:pPr>
    </w:p>
    <w:p w14:paraId="0E8EFCB6">
      <w:pPr>
        <w:spacing w:before="0" w:after="0" w:line="360" w:lineRule="auto"/>
        <w:ind w:firstLine="482" w:firstLineChars="200"/>
        <w:rPr>
          <w:rFonts w:hint="eastAsia" w:asciiTheme="minorEastAsia" w:hAnsiTheme="minorEastAsia" w:eastAsiaTheme="minorEastAsia" w:cstheme="minorEastAsia"/>
          <w:b/>
          <w:color w:val="000000"/>
          <w:sz w:val="24"/>
          <w:szCs w:val="24"/>
          <w:lang w:eastAsia="zh-CN"/>
        </w:rPr>
      </w:pPr>
      <w:bookmarkStart w:id="12" w:name="_Toc14251"/>
      <w:r>
        <w:rPr>
          <w:rFonts w:hint="eastAsia" w:asciiTheme="minorEastAsia" w:hAnsiTheme="minorEastAsia" w:eastAsiaTheme="minorEastAsia" w:cstheme="minorEastAsia"/>
          <w:b/>
          <w:color w:val="000000"/>
          <w:sz w:val="24"/>
          <w:szCs w:val="24"/>
          <w:lang w:val="en-US" w:eastAsia="zh-CN"/>
        </w:rPr>
        <w:t>二</w:t>
      </w:r>
      <w:r>
        <w:rPr>
          <w:rFonts w:hint="eastAsia" w:asciiTheme="minorEastAsia" w:hAnsiTheme="minorEastAsia" w:eastAsiaTheme="minorEastAsia" w:cstheme="minorEastAsia"/>
          <w:b/>
          <w:color w:val="000000"/>
          <w:sz w:val="24"/>
          <w:szCs w:val="24"/>
          <w:lang w:eastAsia="zh-CN"/>
        </w:rPr>
        <w:t>、</w:t>
      </w:r>
      <w:bookmarkEnd w:id="12"/>
      <w:r>
        <w:rPr>
          <w:rFonts w:hint="eastAsia" w:asciiTheme="minorEastAsia" w:hAnsiTheme="minorEastAsia" w:eastAsiaTheme="minorEastAsia" w:cstheme="minorEastAsia"/>
          <w:b/>
          <w:color w:val="000000"/>
          <w:sz w:val="24"/>
          <w:szCs w:val="24"/>
          <w:lang w:val="en-US" w:eastAsia="zh-CN"/>
        </w:rPr>
        <w:t>其他说明</w:t>
      </w:r>
    </w:p>
    <w:p w14:paraId="1E818B4A">
      <w:pPr>
        <w:snapToGrid w:val="0"/>
        <w:spacing w:before="0" w:after="0" w:line="360" w:lineRule="auto"/>
        <w:ind w:firstLine="480" w:firstLineChars="200"/>
        <w:rPr>
          <w:rFonts w:hint="eastAsia" w:asciiTheme="minorEastAsia" w:hAnsiTheme="minorEastAsia" w:eastAsiaTheme="minorEastAsia" w:cstheme="minorEastAsia"/>
          <w:sz w:val="24"/>
          <w:szCs w:val="24"/>
          <w:shd w:val="clear" w:color="auto" w:fill="FFFFFF"/>
          <w:lang w:eastAsia="zh-CN"/>
        </w:rPr>
      </w:pPr>
      <w:r>
        <w:rPr>
          <w:rFonts w:hint="eastAsia" w:asciiTheme="minorEastAsia" w:hAnsiTheme="minorEastAsia" w:eastAsiaTheme="minorEastAsia" w:cstheme="minorEastAsia"/>
          <w:sz w:val="24"/>
          <w:szCs w:val="24"/>
          <w:shd w:val="clear" w:color="auto" w:fill="FFFFFF"/>
          <w:lang w:eastAsia="zh-CN"/>
        </w:rPr>
        <w:t>1、</w:t>
      </w:r>
      <w:r>
        <w:rPr>
          <w:rFonts w:hint="eastAsia" w:asciiTheme="minorEastAsia" w:hAnsiTheme="minorEastAsia" w:eastAsiaTheme="minorEastAsia" w:cstheme="minorEastAsia"/>
          <w:sz w:val="24"/>
          <w:szCs w:val="24"/>
          <w:lang w:val="en-US" w:eastAsia="zh-CN"/>
        </w:rPr>
        <w:t>本次增持</w:t>
      </w:r>
      <w:r>
        <w:rPr>
          <w:rFonts w:hint="eastAsia" w:asciiTheme="minorEastAsia" w:hAnsiTheme="minorEastAsia" w:eastAsiaTheme="minorEastAsia" w:cstheme="minorEastAsia"/>
          <w:color w:val="000000"/>
          <w:sz w:val="24"/>
          <w:szCs w:val="24"/>
          <w:lang w:val="en-US" w:eastAsia="zh-CN"/>
        </w:rPr>
        <w:t>未</w:t>
      </w:r>
      <w:r>
        <w:rPr>
          <w:rFonts w:hint="eastAsia" w:asciiTheme="minorEastAsia" w:hAnsiTheme="minorEastAsia" w:eastAsiaTheme="minorEastAsia" w:cstheme="minorEastAsia"/>
          <w:color w:val="000000"/>
          <w:sz w:val="24"/>
          <w:szCs w:val="24"/>
          <w:lang w:eastAsia="zh-CN"/>
        </w:rPr>
        <w:t>触及要约收购，</w:t>
      </w:r>
      <w:r>
        <w:rPr>
          <w:rFonts w:hint="eastAsia" w:asciiTheme="minorEastAsia" w:hAnsiTheme="minorEastAsia" w:eastAsiaTheme="minorEastAsia" w:cstheme="minorEastAsia"/>
          <w:sz w:val="24"/>
          <w:szCs w:val="24"/>
          <w:shd w:val="clear" w:color="auto" w:fill="FFFFFF"/>
          <w:lang w:eastAsia="zh-CN"/>
        </w:rPr>
        <w:t>本次增持不会导致控股股东、实际控制人的变化。</w:t>
      </w:r>
    </w:p>
    <w:p w14:paraId="6AC9600F">
      <w:pPr>
        <w:snapToGrid w:val="0"/>
        <w:spacing w:before="0" w:after="0" w:line="360" w:lineRule="auto"/>
        <w:ind w:firstLine="480" w:firstLineChars="200"/>
        <w:rPr>
          <w:rFonts w:hint="eastAsia" w:asciiTheme="minorEastAsia" w:hAnsiTheme="minorEastAsia" w:eastAsiaTheme="minorEastAsia" w:cstheme="minorEastAsia"/>
          <w:kern w:val="2"/>
          <w:sz w:val="24"/>
          <w:szCs w:val="24"/>
          <w:lang w:val="en-US" w:eastAsia="zh-CN" w:bidi="ar"/>
        </w:rPr>
      </w:pPr>
      <w:r>
        <w:rPr>
          <w:rFonts w:hint="eastAsia" w:asciiTheme="minorEastAsia" w:hAnsiTheme="minorEastAsia" w:eastAsiaTheme="minorEastAsia" w:cstheme="minorEastAsia"/>
          <w:sz w:val="24"/>
          <w:szCs w:val="24"/>
          <w:shd w:val="clear" w:color="auto" w:fill="FFFFFF"/>
          <w:lang w:val="en-US" w:eastAsia="zh-CN"/>
        </w:rPr>
        <w:t>2、本次增持不涉及信息披露义务人披露权益变动报告书。</w:t>
      </w:r>
    </w:p>
    <w:p w14:paraId="4A7718E8">
      <w:pPr>
        <w:snapToGrid w:val="0"/>
        <w:spacing w:before="0" w:after="0" w:line="360" w:lineRule="auto"/>
        <w:ind w:firstLine="480" w:firstLineChars="200"/>
        <w:rPr>
          <w:rFonts w:hint="eastAsia" w:asciiTheme="minorEastAsia" w:hAnsiTheme="minorEastAsia" w:eastAsiaTheme="minorEastAsia" w:cstheme="minorEastAsia"/>
          <w:kern w:val="2"/>
          <w:sz w:val="24"/>
          <w:szCs w:val="24"/>
          <w:lang w:val="en-US" w:eastAsia="zh-CN" w:bidi="ar"/>
        </w:rPr>
      </w:pPr>
      <w:r>
        <w:rPr>
          <w:rFonts w:hint="eastAsia" w:asciiTheme="minorEastAsia" w:hAnsiTheme="minorEastAsia" w:eastAsiaTheme="minorEastAsia" w:cstheme="minorEastAsia"/>
          <w:sz w:val="24"/>
          <w:szCs w:val="24"/>
          <w:shd w:val="clear" w:color="auto" w:fill="FFFFFF"/>
          <w:lang w:val="en-US" w:eastAsia="zh-CN"/>
        </w:rPr>
        <w:t>3</w:t>
      </w:r>
      <w:r>
        <w:rPr>
          <w:rFonts w:hint="eastAsia" w:asciiTheme="minorEastAsia" w:hAnsiTheme="minorEastAsia" w:eastAsiaTheme="minorEastAsia" w:cstheme="minorEastAsia"/>
          <w:kern w:val="2"/>
          <w:sz w:val="24"/>
          <w:szCs w:val="24"/>
          <w:lang w:val="en-US" w:eastAsia="zh-CN" w:bidi="ar"/>
        </w:rPr>
        <w:t>、本公司将持续关注信息披露义务人持股情况，督促其严格遵守相关法律法规的要求及时履行信息披露义务。</w:t>
      </w:r>
    </w:p>
    <w:p w14:paraId="5603670E">
      <w:pPr>
        <w:spacing w:before="0" w:after="0" w:line="360" w:lineRule="auto"/>
        <w:ind w:firstLine="482" w:firstLineChars="20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
          <w:bCs/>
          <w:color w:val="000000"/>
          <w:sz w:val="24"/>
          <w:szCs w:val="24"/>
          <w:lang w:eastAsia="zh-CN"/>
        </w:rPr>
        <w:t>特此公告。</w:t>
      </w:r>
    </w:p>
    <w:p w14:paraId="5B9557B4">
      <w:pPr>
        <w:pStyle w:val="7"/>
        <w:spacing w:line="360" w:lineRule="auto"/>
        <w:ind w:firstLineChars="175"/>
        <w:jc w:val="left"/>
        <w:rPr>
          <w:rFonts w:hint="eastAsia" w:cs="宋体" w:asciiTheme="minorEastAsia" w:hAnsiTheme="minorEastAsia" w:eastAsiaTheme="minorEastAsia"/>
          <w:sz w:val="24"/>
          <w:szCs w:val="24"/>
          <w:lang w:eastAsia="zh-CN"/>
        </w:rPr>
      </w:pPr>
    </w:p>
    <w:p w14:paraId="0B528982">
      <w:pPr>
        <w:adjustRightInd w:val="0"/>
        <w:spacing w:line="360" w:lineRule="auto"/>
        <w:ind w:firstLine="4096" w:firstLineChars="1700"/>
        <w:jc w:val="left"/>
        <w:rPr>
          <w:rFonts w:hint="eastAsia" w:cs="宋体" w:asciiTheme="minorEastAsia" w:hAnsiTheme="minorEastAsia" w:eastAsiaTheme="minorEastAsia"/>
          <w:b/>
          <w:sz w:val="24"/>
          <w:lang w:eastAsia="zh-CN"/>
        </w:rPr>
      </w:pPr>
      <w:r>
        <w:rPr>
          <w:rFonts w:hint="eastAsia" w:cs="宋体" w:asciiTheme="minorEastAsia" w:hAnsiTheme="minorEastAsia" w:eastAsiaTheme="minorEastAsia"/>
          <w:b/>
          <w:sz w:val="24"/>
          <w:lang w:eastAsia="zh-CN"/>
        </w:rPr>
        <w:t>江苏宁沪高速公路股份有限公司董事会</w:t>
      </w:r>
    </w:p>
    <w:p w14:paraId="7871F007">
      <w:pPr>
        <w:spacing w:line="360" w:lineRule="auto"/>
        <w:ind w:firstLine="4578" w:firstLineChars="1900"/>
        <w:jc w:val="right"/>
        <w:rPr>
          <w:rFonts w:hint="eastAsia" w:asciiTheme="minorEastAsia" w:hAnsiTheme="minorEastAsia" w:eastAsiaTheme="minorEastAsia"/>
          <w:sz w:val="24"/>
          <w:szCs w:val="24"/>
          <w:highlight w:val="none"/>
          <w:lang w:eastAsia="zh-CN"/>
        </w:rPr>
      </w:pPr>
      <w:r>
        <w:rPr>
          <w:rFonts w:hint="eastAsia" w:cs="宋体" w:asciiTheme="minorEastAsia" w:hAnsiTheme="minorEastAsia" w:eastAsiaTheme="minorEastAsia"/>
          <w:b/>
          <w:sz w:val="24"/>
          <w:lang w:eastAsia="zh-CN"/>
        </w:rPr>
        <w:t>二〇二</w:t>
      </w:r>
      <w:r>
        <w:rPr>
          <w:rFonts w:hint="eastAsia" w:cs="宋体" w:asciiTheme="minorEastAsia" w:hAnsiTheme="minorEastAsia" w:eastAsiaTheme="minorEastAsia"/>
          <w:b/>
          <w:sz w:val="24"/>
          <w:lang w:val="en-US" w:eastAsia="zh-CN"/>
        </w:rPr>
        <w:t>六</w:t>
      </w:r>
      <w:r>
        <w:rPr>
          <w:rFonts w:hint="eastAsia" w:cs="宋体" w:asciiTheme="minorEastAsia" w:hAnsiTheme="minorEastAsia" w:eastAsiaTheme="minorEastAsia"/>
          <w:b/>
          <w:sz w:val="24"/>
          <w:highlight w:val="none"/>
          <w:lang w:eastAsia="zh-CN"/>
        </w:rPr>
        <w:t>年</w:t>
      </w:r>
      <w:r>
        <w:rPr>
          <w:rFonts w:hint="eastAsia" w:cs="宋体" w:asciiTheme="minorEastAsia" w:hAnsiTheme="minorEastAsia" w:eastAsiaTheme="minorEastAsia"/>
          <w:b/>
          <w:sz w:val="24"/>
          <w:highlight w:val="none"/>
          <w:lang w:val="en-US" w:eastAsia="zh-CN"/>
        </w:rPr>
        <w:t>一</w:t>
      </w:r>
      <w:r>
        <w:rPr>
          <w:rFonts w:hint="eastAsia" w:cs="宋体" w:asciiTheme="minorEastAsia" w:hAnsiTheme="minorEastAsia" w:eastAsiaTheme="minorEastAsia"/>
          <w:b/>
          <w:sz w:val="24"/>
          <w:highlight w:val="none"/>
          <w:lang w:eastAsia="zh-CN"/>
        </w:rPr>
        <w:t>月</w:t>
      </w:r>
      <w:r>
        <w:rPr>
          <w:rFonts w:hint="eastAsia" w:cs="宋体" w:asciiTheme="minorEastAsia" w:hAnsiTheme="minorEastAsia" w:eastAsiaTheme="minorEastAsia"/>
          <w:b/>
          <w:sz w:val="24"/>
          <w:highlight w:val="none"/>
          <w:lang w:val="en-US" w:eastAsia="zh-CN"/>
        </w:rPr>
        <w:t>八</w:t>
      </w:r>
      <w:r>
        <w:rPr>
          <w:rFonts w:hint="eastAsia" w:cs="宋体" w:asciiTheme="minorEastAsia" w:hAnsiTheme="minorEastAsia" w:eastAsiaTheme="minorEastAsia"/>
          <w:b/>
          <w:sz w:val="24"/>
          <w:highlight w:val="none"/>
          <w:lang w:eastAsia="zh-CN"/>
        </w:rPr>
        <w:t>日</w:t>
      </w:r>
    </w:p>
    <w:p w14:paraId="46123866">
      <w:pPr>
        <w:pStyle w:val="9"/>
        <w:rPr>
          <w:rFonts w:hint="eastAsia"/>
          <w:lang w:val="ru-RU"/>
        </w:rPr>
      </w:pPr>
    </w:p>
    <w:sectPr>
      <w:footerReference r:id="rId4" w:type="default"/>
      <w:footerReference r:id="rId5" w:type="even"/>
      <w:pgSz w:w="11906" w:h="16838"/>
      <w:pgMar w:top="1440" w:right="1800" w:bottom="1440" w:left="1800" w:header="851" w:footer="22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alatino Linotype">
    <w:panose1 w:val="02040502050505030304"/>
    <w:charset w:val="00"/>
    <w:family w:val="roman"/>
    <w:pitch w:val="default"/>
    <w:sig w:usb0="E0000287" w:usb1="40000013" w:usb2="00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92881F">
    <w:pPr>
      <w:pStyle w:val="11"/>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EE94C3">
    <w:pPr>
      <w:pStyle w:val="11"/>
    </w:pPr>
  </w:p>
  <w:p w14:paraId="54CDE810">
    <w:pPr>
      <w:pStyle w:val="1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030EAA"/>
    <w:multiLevelType w:val="multilevel"/>
    <w:tmpl w:val="38030EAA"/>
    <w:lvl w:ilvl="0" w:tentative="0">
      <w:start w:val="1"/>
      <w:numFmt w:val="bullet"/>
      <w:lvlText w:val=""/>
      <w:lvlJc w:val="left"/>
      <w:pPr>
        <w:tabs>
          <w:tab w:val="left" w:pos="900"/>
        </w:tabs>
        <w:ind w:left="900" w:hanging="420"/>
      </w:pPr>
      <w:rPr>
        <w:rFonts w:hint="default" w:ascii="Wingdings" w:hAnsi="Wingdings"/>
      </w:rPr>
    </w:lvl>
    <w:lvl w:ilvl="1" w:tentative="0">
      <w:start w:val="1"/>
      <w:numFmt w:val="bullet"/>
      <w:lvlText w:val=""/>
      <w:lvlJc w:val="left"/>
      <w:pPr>
        <w:tabs>
          <w:tab w:val="left" w:pos="1320"/>
        </w:tabs>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39385A0C"/>
    <w:multiLevelType w:val="multilevel"/>
    <w:tmpl w:val="39385A0C"/>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hideSpellingErrors/>
  <w:documentProtection w:enforcement="0"/>
  <w:defaultTabStop w:val="420"/>
  <w:drawingGridHorizontalSpacing w:val="110"/>
  <w:drawingGridVerticalSpacing w:val="156"/>
  <w:noPunctuationKerning w:val="1"/>
  <w:characterSpacingControl w:val="doNotCompress"/>
  <w:footnotePr>
    <w:footnote w:id="0"/>
    <w:footnote w:id="1"/>
  </w:foot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ViZjJiZjZlOGJkMTlkOWQ4NzU5NTVjMGI5YTZlMDkifQ=="/>
    <w:docVar w:name="KSO_WPS_MARK_KEY" w:val="b062f1d3-7ae3-420c-baa0-422f8db1127f"/>
  </w:docVars>
  <w:rsids>
    <w:rsidRoot w:val="00172A27"/>
    <w:rsid w:val="0000142F"/>
    <w:rsid w:val="00005228"/>
    <w:rsid w:val="00006A8F"/>
    <w:rsid w:val="0001205F"/>
    <w:rsid w:val="00014452"/>
    <w:rsid w:val="000256FB"/>
    <w:rsid w:val="00031231"/>
    <w:rsid w:val="000321A6"/>
    <w:rsid w:val="00040F6B"/>
    <w:rsid w:val="00041CC7"/>
    <w:rsid w:val="000456EA"/>
    <w:rsid w:val="0004586F"/>
    <w:rsid w:val="00047B58"/>
    <w:rsid w:val="0005162C"/>
    <w:rsid w:val="00051976"/>
    <w:rsid w:val="00060795"/>
    <w:rsid w:val="00061BC9"/>
    <w:rsid w:val="00061C55"/>
    <w:rsid w:val="0006753A"/>
    <w:rsid w:val="00071697"/>
    <w:rsid w:val="00071AE0"/>
    <w:rsid w:val="00075E3F"/>
    <w:rsid w:val="000764D6"/>
    <w:rsid w:val="00076E7F"/>
    <w:rsid w:val="0008232A"/>
    <w:rsid w:val="0008534D"/>
    <w:rsid w:val="0008538D"/>
    <w:rsid w:val="00086E34"/>
    <w:rsid w:val="0008765B"/>
    <w:rsid w:val="00087B34"/>
    <w:rsid w:val="000922D3"/>
    <w:rsid w:val="000A2DF7"/>
    <w:rsid w:val="000B258A"/>
    <w:rsid w:val="000B4240"/>
    <w:rsid w:val="000B4410"/>
    <w:rsid w:val="000B5920"/>
    <w:rsid w:val="000B75D0"/>
    <w:rsid w:val="000C08F4"/>
    <w:rsid w:val="000C18D0"/>
    <w:rsid w:val="000C43B9"/>
    <w:rsid w:val="000D64FC"/>
    <w:rsid w:val="000E69E8"/>
    <w:rsid w:val="000F039B"/>
    <w:rsid w:val="000F507F"/>
    <w:rsid w:val="000F57E7"/>
    <w:rsid w:val="000F6905"/>
    <w:rsid w:val="00101BF2"/>
    <w:rsid w:val="0010708C"/>
    <w:rsid w:val="001131C5"/>
    <w:rsid w:val="001143DD"/>
    <w:rsid w:val="00114A4A"/>
    <w:rsid w:val="00123F81"/>
    <w:rsid w:val="001240DF"/>
    <w:rsid w:val="00125B0A"/>
    <w:rsid w:val="00125E2D"/>
    <w:rsid w:val="00130CAB"/>
    <w:rsid w:val="00140A0C"/>
    <w:rsid w:val="00141D5A"/>
    <w:rsid w:val="0014226F"/>
    <w:rsid w:val="00142E74"/>
    <w:rsid w:val="00144123"/>
    <w:rsid w:val="00147D97"/>
    <w:rsid w:val="00150841"/>
    <w:rsid w:val="00160926"/>
    <w:rsid w:val="00165622"/>
    <w:rsid w:val="001711E6"/>
    <w:rsid w:val="00172A27"/>
    <w:rsid w:val="00172FA7"/>
    <w:rsid w:val="00177CB2"/>
    <w:rsid w:val="00180713"/>
    <w:rsid w:val="00180B84"/>
    <w:rsid w:val="00181D5C"/>
    <w:rsid w:val="0018519E"/>
    <w:rsid w:val="0018584B"/>
    <w:rsid w:val="001858F9"/>
    <w:rsid w:val="00187220"/>
    <w:rsid w:val="0019127B"/>
    <w:rsid w:val="001958ED"/>
    <w:rsid w:val="00196609"/>
    <w:rsid w:val="001A0232"/>
    <w:rsid w:val="001A2260"/>
    <w:rsid w:val="001A2869"/>
    <w:rsid w:val="001A600F"/>
    <w:rsid w:val="001B2BA4"/>
    <w:rsid w:val="001C1EC1"/>
    <w:rsid w:val="001C4445"/>
    <w:rsid w:val="001C5386"/>
    <w:rsid w:val="001C5C81"/>
    <w:rsid w:val="001C6950"/>
    <w:rsid w:val="001D3F70"/>
    <w:rsid w:val="001D450C"/>
    <w:rsid w:val="001D55EB"/>
    <w:rsid w:val="001D785A"/>
    <w:rsid w:val="001E1663"/>
    <w:rsid w:val="001E5AEE"/>
    <w:rsid w:val="001F25FE"/>
    <w:rsid w:val="001F4633"/>
    <w:rsid w:val="001F6D40"/>
    <w:rsid w:val="002101FF"/>
    <w:rsid w:val="00212246"/>
    <w:rsid w:val="00212B97"/>
    <w:rsid w:val="00212FA8"/>
    <w:rsid w:val="00216FF1"/>
    <w:rsid w:val="002239ED"/>
    <w:rsid w:val="00224915"/>
    <w:rsid w:val="00224C25"/>
    <w:rsid w:val="0022589C"/>
    <w:rsid w:val="002308D0"/>
    <w:rsid w:val="00241F62"/>
    <w:rsid w:val="00247251"/>
    <w:rsid w:val="00247BAC"/>
    <w:rsid w:val="00251F68"/>
    <w:rsid w:val="002564A8"/>
    <w:rsid w:val="00256ADE"/>
    <w:rsid w:val="00257A56"/>
    <w:rsid w:val="002607DB"/>
    <w:rsid w:val="00260E7D"/>
    <w:rsid w:val="0026141E"/>
    <w:rsid w:val="002627A4"/>
    <w:rsid w:val="00263393"/>
    <w:rsid w:val="00264DA9"/>
    <w:rsid w:val="00266E3B"/>
    <w:rsid w:val="002748C8"/>
    <w:rsid w:val="00275E93"/>
    <w:rsid w:val="002763B6"/>
    <w:rsid w:val="002774DB"/>
    <w:rsid w:val="0028017F"/>
    <w:rsid w:val="00280264"/>
    <w:rsid w:val="00283FC3"/>
    <w:rsid w:val="00284065"/>
    <w:rsid w:val="002864BA"/>
    <w:rsid w:val="002905FA"/>
    <w:rsid w:val="00290D19"/>
    <w:rsid w:val="002A2533"/>
    <w:rsid w:val="002A25A1"/>
    <w:rsid w:val="002A5425"/>
    <w:rsid w:val="002A6CC9"/>
    <w:rsid w:val="002B278D"/>
    <w:rsid w:val="002C04E1"/>
    <w:rsid w:val="002C0DBA"/>
    <w:rsid w:val="002C6D0C"/>
    <w:rsid w:val="002D12D3"/>
    <w:rsid w:val="002D282B"/>
    <w:rsid w:val="002D594E"/>
    <w:rsid w:val="002F2AF7"/>
    <w:rsid w:val="002F7825"/>
    <w:rsid w:val="00305E76"/>
    <w:rsid w:val="003069B6"/>
    <w:rsid w:val="00313A7D"/>
    <w:rsid w:val="00315BB3"/>
    <w:rsid w:val="00322A8F"/>
    <w:rsid w:val="0032350A"/>
    <w:rsid w:val="0033226A"/>
    <w:rsid w:val="00332F84"/>
    <w:rsid w:val="003362BA"/>
    <w:rsid w:val="00336663"/>
    <w:rsid w:val="003367B1"/>
    <w:rsid w:val="003371F0"/>
    <w:rsid w:val="0034005F"/>
    <w:rsid w:val="0034172D"/>
    <w:rsid w:val="003441D7"/>
    <w:rsid w:val="00345975"/>
    <w:rsid w:val="00346908"/>
    <w:rsid w:val="00346DE7"/>
    <w:rsid w:val="00347C76"/>
    <w:rsid w:val="00347D42"/>
    <w:rsid w:val="003502B8"/>
    <w:rsid w:val="0035052E"/>
    <w:rsid w:val="0035127E"/>
    <w:rsid w:val="00352161"/>
    <w:rsid w:val="00355749"/>
    <w:rsid w:val="00355F48"/>
    <w:rsid w:val="003624B3"/>
    <w:rsid w:val="003629F2"/>
    <w:rsid w:val="00367AFA"/>
    <w:rsid w:val="0037024B"/>
    <w:rsid w:val="00371107"/>
    <w:rsid w:val="00372250"/>
    <w:rsid w:val="00372DF8"/>
    <w:rsid w:val="00373554"/>
    <w:rsid w:val="00373827"/>
    <w:rsid w:val="003777A7"/>
    <w:rsid w:val="003828CC"/>
    <w:rsid w:val="00384ACD"/>
    <w:rsid w:val="003861EA"/>
    <w:rsid w:val="00393891"/>
    <w:rsid w:val="003A1151"/>
    <w:rsid w:val="003A37BA"/>
    <w:rsid w:val="003A4713"/>
    <w:rsid w:val="003A597D"/>
    <w:rsid w:val="003B11B9"/>
    <w:rsid w:val="003B1890"/>
    <w:rsid w:val="003B1C9D"/>
    <w:rsid w:val="003C1396"/>
    <w:rsid w:val="003C3B0E"/>
    <w:rsid w:val="003C543D"/>
    <w:rsid w:val="003D11D1"/>
    <w:rsid w:val="003D55AB"/>
    <w:rsid w:val="003D7C6B"/>
    <w:rsid w:val="003D7EBF"/>
    <w:rsid w:val="003E015F"/>
    <w:rsid w:val="003E2195"/>
    <w:rsid w:val="003E2449"/>
    <w:rsid w:val="003E3A98"/>
    <w:rsid w:val="003E4DC6"/>
    <w:rsid w:val="003F2145"/>
    <w:rsid w:val="003F622D"/>
    <w:rsid w:val="00400111"/>
    <w:rsid w:val="00401922"/>
    <w:rsid w:val="00407182"/>
    <w:rsid w:val="00414C60"/>
    <w:rsid w:val="00420B49"/>
    <w:rsid w:val="004219E3"/>
    <w:rsid w:val="00425CA4"/>
    <w:rsid w:val="00440C27"/>
    <w:rsid w:val="00442314"/>
    <w:rsid w:val="00442F0F"/>
    <w:rsid w:val="004516BC"/>
    <w:rsid w:val="0045364B"/>
    <w:rsid w:val="00453C0E"/>
    <w:rsid w:val="004552FB"/>
    <w:rsid w:val="0045575C"/>
    <w:rsid w:val="004565B8"/>
    <w:rsid w:val="004611F3"/>
    <w:rsid w:val="004613A6"/>
    <w:rsid w:val="0047429C"/>
    <w:rsid w:val="00483AA7"/>
    <w:rsid w:val="00484488"/>
    <w:rsid w:val="00486DE4"/>
    <w:rsid w:val="004875FE"/>
    <w:rsid w:val="00496733"/>
    <w:rsid w:val="00496F68"/>
    <w:rsid w:val="004A4FDE"/>
    <w:rsid w:val="004A5402"/>
    <w:rsid w:val="004A54DB"/>
    <w:rsid w:val="004A566E"/>
    <w:rsid w:val="004A6522"/>
    <w:rsid w:val="004B27A6"/>
    <w:rsid w:val="004B39EA"/>
    <w:rsid w:val="004B6F96"/>
    <w:rsid w:val="004B6FA4"/>
    <w:rsid w:val="004C2502"/>
    <w:rsid w:val="004C4803"/>
    <w:rsid w:val="004C4890"/>
    <w:rsid w:val="004C6AA0"/>
    <w:rsid w:val="004D1A87"/>
    <w:rsid w:val="004E00CB"/>
    <w:rsid w:val="004E1DAF"/>
    <w:rsid w:val="004E25A1"/>
    <w:rsid w:val="004E25DA"/>
    <w:rsid w:val="004E58E2"/>
    <w:rsid w:val="004E76A5"/>
    <w:rsid w:val="004F012E"/>
    <w:rsid w:val="004F32F8"/>
    <w:rsid w:val="004F69E0"/>
    <w:rsid w:val="004F7135"/>
    <w:rsid w:val="0050161E"/>
    <w:rsid w:val="005016AD"/>
    <w:rsid w:val="005033CF"/>
    <w:rsid w:val="0050464D"/>
    <w:rsid w:val="00505E53"/>
    <w:rsid w:val="005071B8"/>
    <w:rsid w:val="00517130"/>
    <w:rsid w:val="00520D56"/>
    <w:rsid w:val="00523375"/>
    <w:rsid w:val="005251F8"/>
    <w:rsid w:val="00530343"/>
    <w:rsid w:val="00530AF8"/>
    <w:rsid w:val="005357E4"/>
    <w:rsid w:val="005363DF"/>
    <w:rsid w:val="00540136"/>
    <w:rsid w:val="005423FA"/>
    <w:rsid w:val="00547B79"/>
    <w:rsid w:val="00552EFB"/>
    <w:rsid w:val="00553D03"/>
    <w:rsid w:val="005545CC"/>
    <w:rsid w:val="005604EF"/>
    <w:rsid w:val="00565836"/>
    <w:rsid w:val="00566940"/>
    <w:rsid w:val="0056770C"/>
    <w:rsid w:val="00571CE0"/>
    <w:rsid w:val="00572162"/>
    <w:rsid w:val="005726D1"/>
    <w:rsid w:val="00573E1B"/>
    <w:rsid w:val="00574755"/>
    <w:rsid w:val="0057783C"/>
    <w:rsid w:val="00580503"/>
    <w:rsid w:val="005865E6"/>
    <w:rsid w:val="0058723F"/>
    <w:rsid w:val="00591F9E"/>
    <w:rsid w:val="005922C3"/>
    <w:rsid w:val="00595DBA"/>
    <w:rsid w:val="00596526"/>
    <w:rsid w:val="005A59AB"/>
    <w:rsid w:val="005B12A1"/>
    <w:rsid w:val="005B1686"/>
    <w:rsid w:val="005B5F1E"/>
    <w:rsid w:val="005B6814"/>
    <w:rsid w:val="005C2494"/>
    <w:rsid w:val="005C50AF"/>
    <w:rsid w:val="005C6B28"/>
    <w:rsid w:val="005D1C3E"/>
    <w:rsid w:val="005E0304"/>
    <w:rsid w:val="005E1586"/>
    <w:rsid w:val="005E4F44"/>
    <w:rsid w:val="005F058E"/>
    <w:rsid w:val="005F0C6C"/>
    <w:rsid w:val="005F6EAB"/>
    <w:rsid w:val="005F708F"/>
    <w:rsid w:val="00605568"/>
    <w:rsid w:val="0061320E"/>
    <w:rsid w:val="00621638"/>
    <w:rsid w:val="006254F4"/>
    <w:rsid w:val="00633D46"/>
    <w:rsid w:val="00634FC6"/>
    <w:rsid w:val="00637159"/>
    <w:rsid w:val="00640448"/>
    <w:rsid w:val="00645D27"/>
    <w:rsid w:val="006477F8"/>
    <w:rsid w:val="006539F6"/>
    <w:rsid w:val="00653CE2"/>
    <w:rsid w:val="00654EEA"/>
    <w:rsid w:val="00656928"/>
    <w:rsid w:val="00657944"/>
    <w:rsid w:val="00660ADB"/>
    <w:rsid w:val="00662882"/>
    <w:rsid w:val="006658A1"/>
    <w:rsid w:val="00666D96"/>
    <w:rsid w:val="006677BA"/>
    <w:rsid w:val="00672639"/>
    <w:rsid w:val="00673EF6"/>
    <w:rsid w:val="0067442E"/>
    <w:rsid w:val="0067481E"/>
    <w:rsid w:val="00676ADD"/>
    <w:rsid w:val="00677669"/>
    <w:rsid w:val="006806F7"/>
    <w:rsid w:val="00680EF4"/>
    <w:rsid w:val="00687843"/>
    <w:rsid w:val="00690536"/>
    <w:rsid w:val="00692F47"/>
    <w:rsid w:val="00695B63"/>
    <w:rsid w:val="00696724"/>
    <w:rsid w:val="006A50AE"/>
    <w:rsid w:val="006A7E5C"/>
    <w:rsid w:val="006B2A1E"/>
    <w:rsid w:val="006B2E49"/>
    <w:rsid w:val="006B5F32"/>
    <w:rsid w:val="006C017C"/>
    <w:rsid w:val="006C1D5E"/>
    <w:rsid w:val="006C65E8"/>
    <w:rsid w:val="006D0E3B"/>
    <w:rsid w:val="006D269B"/>
    <w:rsid w:val="006D597F"/>
    <w:rsid w:val="006D7C5B"/>
    <w:rsid w:val="006E6B85"/>
    <w:rsid w:val="006F0333"/>
    <w:rsid w:val="006F15A9"/>
    <w:rsid w:val="006F2803"/>
    <w:rsid w:val="006F3638"/>
    <w:rsid w:val="006F6AFF"/>
    <w:rsid w:val="00700B9F"/>
    <w:rsid w:val="00704CCB"/>
    <w:rsid w:val="007058EC"/>
    <w:rsid w:val="00707355"/>
    <w:rsid w:val="00707F65"/>
    <w:rsid w:val="007113D6"/>
    <w:rsid w:val="00717872"/>
    <w:rsid w:val="00717C13"/>
    <w:rsid w:val="00720C59"/>
    <w:rsid w:val="00722313"/>
    <w:rsid w:val="00722A2F"/>
    <w:rsid w:val="00732DBB"/>
    <w:rsid w:val="007350D3"/>
    <w:rsid w:val="007451F9"/>
    <w:rsid w:val="00751D31"/>
    <w:rsid w:val="0075494C"/>
    <w:rsid w:val="00756B4E"/>
    <w:rsid w:val="00757B7F"/>
    <w:rsid w:val="00757C45"/>
    <w:rsid w:val="00760034"/>
    <w:rsid w:val="00761AC7"/>
    <w:rsid w:val="0076231C"/>
    <w:rsid w:val="0076291C"/>
    <w:rsid w:val="007641F9"/>
    <w:rsid w:val="0077115A"/>
    <w:rsid w:val="00774B5E"/>
    <w:rsid w:val="0077747D"/>
    <w:rsid w:val="007779E1"/>
    <w:rsid w:val="00781989"/>
    <w:rsid w:val="007824CB"/>
    <w:rsid w:val="00782BC1"/>
    <w:rsid w:val="007842EA"/>
    <w:rsid w:val="00784B62"/>
    <w:rsid w:val="00784CAC"/>
    <w:rsid w:val="007856EE"/>
    <w:rsid w:val="00787847"/>
    <w:rsid w:val="00791F71"/>
    <w:rsid w:val="00792F54"/>
    <w:rsid w:val="007936FE"/>
    <w:rsid w:val="00793BE0"/>
    <w:rsid w:val="00793F6A"/>
    <w:rsid w:val="00795636"/>
    <w:rsid w:val="00795952"/>
    <w:rsid w:val="007974C0"/>
    <w:rsid w:val="00797A9A"/>
    <w:rsid w:val="007A3C32"/>
    <w:rsid w:val="007A4A10"/>
    <w:rsid w:val="007A5E7F"/>
    <w:rsid w:val="007B09D8"/>
    <w:rsid w:val="007B0FBC"/>
    <w:rsid w:val="007B1FC8"/>
    <w:rsid w:val="007B24A4"/>
    <w:rsid w:val="007B39B3"/>
    <w:rsid w:val="007B60AD"/>
    <w:rsid w:val="007C248E"/>
    <w:rsid w:val="007C3471"/>
    <w:rsid w:val="007C6593"/>
    <w:rsid w:val="007D0468"/>
    <w:rsid w:val="007D2616"/>
    <w:rsid w:val="007D2D1F"/>
    <w:rsid w:val="007D4579"/>
    <w:rsid w:val="007D6211"/>
    <w:rsid w:val="007E0F9E"/>
    <w:rsid w:val="007E14EB"/>
    <w:rsid w:val="007E49B1"/>
    <w:rsid w:val="007F11FB"/>
    <w:rsid w:val="00804F59"/>
    <w:rsid w:val="00806FA9"/>
    <w:rsid w:val="00815006"/>
    <w:rsid w:val="00815C5B"/>
    <w:rsid w:val="008210D6"/>
    <w:rsid w:val="008232AD"/>
    <w:rsid w:val="00825733"/>
    <w:rsid w:val="00825A76"/>
    <w:rsid w:val="00825C8E"/>
    <w:rsid w:val="00831CDB"/>
    <w:rsid w:val="00832D1E"/>
    <w:rsid w:val="0083374B"/>
    <w:rsid w:val="00834E8E"/>
    <w:rsid w:val="00836DB7"/>
    <w:rsid w:val="008415BC"/>
    <w:rsid w:val="0084246A"/>
    <w:rsid w:val="0084646C"/>
    <w:rsid w:val="00853047"/>
    <w:rsid w:val="00854040"/>
    <w:rsid w:val="0085601A"/>
    <w:rsid w:val="00860FEC"/>
    <w:rsid w:val="00861AB0"/>
    <w:rsid w:val="0086232E"/>
    <w:rsid w:val="008632CA"/>
    <w:rsid w:val="00881F55"/>
    <w:rsid w:val="00882001"/>
    <w:rsid w:val="00883245"/>
    <w:rsid w:val="008867F1"/>
    <w:rsid w:val="008A56AB"/>
    <w:rsid w:val="008B3312"/>
    <w:rsid w:val="008B6088"/>
    <w:rsid w:val="008B6E25"/>
    <w:rsid w:val="008D3E77"/>
    <w:rsid w:val="008D59BF"/>
    <w:rsid w:val="008E2103"/>
    <w:rsid w:val="008E2214"/>
    <w:rsid w:val="008E3323"/>
    <w:rsid w:val="008E340B"/>
    <w:rsid w:val="008E49EE"/>
    <w:rsid w:val="008E535D"/>
    <w:rsid w:val="008F2011"/>
    <w:rsid w:val="008F2A9B"/>
    <w:rsid w:val="008F55B2"/>
    <w:rsid w:val="008F55BB"/>
    <w:rsid w:val="00904701"/>
    <w:rsid w:val="00907480"/>
    <w:rsid w:val="009113E1"/>
    <w:rsid w:val="00911641"/>
    <w:rsid w:val="00911A9B"/>
    <w:rsid w:val="00921362"/>
    <w:rsid w:val="009217B4"/>
    <w:rsid w:val="00923534"/>
    <w:rsid w:val="00924668"/>
    <w:rsid w:val="00924E19"/>
    <w:rsid w:val="00931354"/>
    <w:rsid w:val="00932447"/>
    <w:rsid w:val="009331DE"/>
    <w:rsid w:val="009369AA"/>
    <w:rsid w:val="00937831"/>
    <w:rsid w:val="00937C76"/>
    <w:rsid w:val="00941AAE"/>
    <w:rsid w:val="009432C8"/>
    <w:rsid w:val="00946B81"/>
    <w:rsid w:val="00950232"/>
    <w:rsid w:val="009505C5"/>
    <w:rsid w:val="0095646A"/>
    <w:rsid w:val="00957332"/>
    <w:rsid w:val="009609F7"/>
    <w:rsid w:val="00962675"/>
    <w:rsid w:val="0096373F"/>
    <w:rsid w:val="00964EA5"/>
    <w:rsid w:val="00974E86"/>
    <w:rsid w:val="009760F0"/>
    <w:rsid w:val="009767E0"/>
    <w:rsid w:val="00977F19"/>
    <w:rsid w:val="00984B0A"/>
    <w:rsid w:val="00987168"/>
    <w:rsid w:val="00992344"/>
    <w:rsid w:val="0099457C"/>
    <w:rsid w:val="00994C9B"/>
    <w:rsid w:val="009962EF"/>
    <w:rsid w:val="009974A2"/>
    <w:rsid w:val="00997C95"/>
    <w:rsid w:val="009A0F28"/>
    <w:rsid w:val="009A112F"/>
    <w:rsid w:val="009A280E"/>
    <w:rsid w:val="009A2C40"/>
    <w:rsid w:val="009A535E"/>
    <w:rsid w:val="009B5C08"/>
    <w:rsid w:val="009B6569"/>
    <w:rsid w:val="009B6BCA"/>
    <w:rsid w:val="009B70B7"/>
    <w:rsid w:val="009C0138"/>
    <w:rsid w:val="009C1D58"/>
    <w:rsid w:val="009C2CE8"/>
    <w:rsid w:val="009D2841"/>
    <w:rsid w:val="009D53EA"/>
    <w:rsid w:val="009E3836"/>
    <w:rsid w:val="009E5913"/>
    <w:rsid w:val="009F1198"/>
    <w:rsid w:val="00A0053E"/>
    <w:rsid w:val="00A014DB"/>
    <w:rsid w:val="00A01B4A"/>
    <w:rsid w:val="00A132F5"/>
    <w:rsid w:val="00A16086"/>
    <w:rsid w:val="00A176C4"/>
    <w:rsid w:val="00A17A3D"/>
    <w:rsid w:val="00A24A59"/>
    <w:rsid w:val="00A25816"/>
    <w:rsid w:val="00A304F2"/>
    <w:rsid w:val="00A32102"/>
    <w:rsid w:val="00A35D08"/>
    <w:rsid w:val="00A372F9"/>
    <w:rsid w:val="00A43B40"/>
    <w:rsid w:val="00A44C17"/>
    <w:rsid w:val="00A51E49"/>
    <w:rsid w:val="00A52423"/>
    <w:rsid w:val="00A54224"/>
    <w:rsid w:val="00A54972"/>
    <w:rsid w:val="00A71D85"/>
    <w:rsid w:val="00A729E4"/>
    <w:rsid w:val="00A74245"/>
    <w:rsid w:val="00A75209"/>
    <w:rsid w:val="00A83068"/>
    <w:rsid w:val="00A83586"/>
    <w:rsid w:val="00A83F29"/>
    <w:rsid w:val="00A85727"/>
    <w:rsid w:val="00A85877"/>
    <w:rsid w:val="00A90E23"/>
    <w:rsid w:val="00A93616"/>
    <w:rsid w:val="00A95624"/>
    <w:rsid w:val="00A96C4A"/>
    <w:rsid w:val="00AA0E25"/>
    <w:rsid w:val="00AA1781"/>
    <w:rsid w:val="00AA2163"/>
    <w:rsid w:val="00AA38D1"/>
    <w:rsid w:val="00AA7E36"/>
    <w:rsid w:val="00AB117B"/>
    <w:rsid w:val="00AB28B2"/>
    <w:rsid w:val="00AB30C2"/>
    <w:rsid w:val="00AC16C8"/>
    <w:rsid w:val="00AC1C87"/>
    <w:rsid w:val="00AC41CA"/>
    <w:rsid w:val="00AD1E6F"/>
    <w:rsid w:val="00AD3744"/>
    <w:rsid w:val="00AE5330"/>
    <w:rsid w:val="00AE5FF5"/>
    <w:rsid w:val="00AE6A5B"/>
    <w:rsid w:val="00AF148B"/>
    <w:rsid w:val="00AF2BBB"/>
    <w:rsid w:val="00AF577C"/>
    <w:rsid w:val="00AF67D1"/>
    <w:rsid w:val="00B00C08"/>
    <w:rsid w:val="00B02B37"/>
    <w:rsid w:val="00B03BE0"/>
    <w:rsid w:val="00B041F4"/>
    <w:rsid w:val="00B07B55"/>
    <w:rsid w:val="00B10ABA"/>
    <w:rsid w:val="00B11A21"/>
    <w:rsid w:val="00B12093"/>
    <w:rsid w:val="00B16E42"/>
    <w:rsid w:val="00B20A97"/>
    <w:rsid w:val="00B26D3B"/>
    <w:rsid w:val="00B27989"/>
    <w:rsid w:val="00B31004"/>
    <w:rsid w:val="00B34EB5"/>
    <w:rsid w:val="00B37207"/>
    <w:rsid w:val="00B42645"/>
    <w:rsid w:val="00B462FE"/>
    <w:rsid w:val="00B47E3F"/>
    <w:rsid w:val="00B50483"/>
    <w:rsid w:val="00B527CD"/>
    <w:rsid w:val="00B5456C"/>
    <w:rsid w:val="00B55FDF"/>
    <w:rsid w:val="00B601BD"/>
    <w:rsid w:val="00B615EF"/>
    <w:rsid w:val="00B625F3"/>
    <w:rsid w:val="00B62DF3"/>
    <w:rsid w:val="00B70ED5"/>
    <w:rsid w:val="00B7332E"/>
    <w:rsid w:val="00B74537"/>
    <w:rsid w:val="00B775B0"/>
    <w:rsid w:val="00B77DA3"/>
    <w:rsid w:val="00B77EBC"/>
    <w:rsid w:val="00B81A44"/>
    <w:rsid w:val="00B84819"/>
    <w:rsid w:val="00B85965"/>
    <w:rsid w:val="00B86A7A"/>
    <w:rsid w:val="00B90868"/>
    <w:rsid w:val="00B959B5"/>
    <w:rsid w:val="00B97A68"/>
    <w:rsid w:val="00BA0CC9"/>
    <w:rsid w:val="00BA41B2"/>
    <w:rsid w:val="00BA5F04"/>
    <w:rsid w:val="00BA5FF8"/>
    <w:rsid w:val="00BB1E4B"/>
    <w:rsid w:val="00BB390D"/>
    <w:rsid w:val="00BB6CB6"/>
    <w:rsid w:val="00BC01E3"/>
    <w:rsid w:val="00BC0F72"/>
    <w:rsid w:val="00BC6D70"/>
    <w:rsid w:val="00BC6E50"/>
    <w:rsid w:val="00BD0453"/>
    <w:rsid w:val="00BD055D"/>
    <w:rsid w:val="00BD17E3"/>
    <w:rsid w:val="00BD400A"/>
    <w:rsid w:val="00BE3B24"/>
    <w:rsid w:val="00BE5734"/>
    <w:rsid w:val="00BE7EF1"/>
    <w:rsid w:val="00BF0AEC"/>
    <w:rsid w:val="00BF15D3"/>
    <w:rsid w:val="00BF6A7A"/>
    <w:rsid w:val="00C0337B"/>
    <w:rsid w:val="00C03D84"/>
    <w:rsid w:val="00C0588A"/>
    <w:rsid w:val="00C126D7"/>
    <w:rsid w:val="00C2059A"/>
    <w:rsid w:val="00C223BC"/>
    <w:rsid w:val="00C250CD"/>
    <w:rsid w:val="00C31D5D"/>
    <w:rsid w:val="00C348A2"/>
    <w:rsid w:val="00C35759"/>
    <w:rsid w:val="00C36207"/>
    <w:rsid w:val="00C3674B"/>
    <w:rsid w:val="00C4126F"/>
    <w:rsid w:val="00C45760"/>
    <w:rsid w:val="00C46069"/>
    <w:rsid w:val="00C500FB"/>
    <w:rsid w:val="00C501C5"/>
    <w:rsid w:val="00C54986"/>
    <w:rsid w:val="00C56CC5"/>
    <w:rsid w:val="00C57B01"/>
    <w:rsid w:val="00C57F3E"/>
    <w:rsid w:val="00C60CBE"/>
    <w:rsid w:val="00C63D72"/>
    <w:rsid w:val="00C64A1C"/>
    <w:rsid w:val="00C67566"/>
    <w:rsid w:val="00C73E19"/>
    <w:rsid w:val="00C7513A"/>
    <w:rsid w:val="00C8268C"/>
    <w:rsid w:val="00C83AD3"/>
    <w:rsid w:val="00C83E27"/>
    <w:rsid w:val="00C849BD"/>
    <w:rsid w:val="00C8674C"/>
    <w:rsid w:val="00C86BDF"/>
    <w:rsid w:val="00C91794"/>
    <w:rsid w:val="00C91CC1"/>
    <w:rsid w:val="00C9287C"/>
    <w:rsid w:val="00C92A28"/>
    <w:rsid w:val="00C92D2F"/>
    <w:rsid w:val="00C95CC2"/>
    <w:rsid w:val="00CA0A3E"/>
    <w:rsid w:val="00CA754E"/>
    <w:rsid w:val="00CB0173"/>
    <w:rsid w:val="00CB4CE0"/>
    <w:rsid w:val="00CC1214"/>
    <w:rsid w:val="00CC3198"/>
    <w:rsid w:val="00CC3A2D"/>
    <w:rsid w:val="00CC3AF4"/>
    <w:rsid w:val="00CC4CF9"/>
    <w:rsid w:val="00CD6EAF"/>
    <w:rsid w:val="00CE1BBE"/>
    <w:rsid w:val="00CE2E77"/>
    <w:rsid w:val="00CF0E56"/>
    <w:rsid w:val="00CF4EDD"/>
    <w:rsid w:val="00CF59E8"/>
    <w:rsid w:val="00CF6245"/>
    <w:rsid w:val="00D005F6"/>
    <w:rsid w:val="00D029F7"/>
    <w:rsid w:val="00D03F23"/>
    <w:rsid w:val="00D04F59"/>
    <w:rsid w:val="00D07126"/>
    <w:rsid w:val="00D13831"/>
    <w:rsid w:val="00D13C42"/>
    <w:rsid w:val="00D162AB"/>
    <w:rsid w:val="00D22250"/>
    <w:rsid w:val="00D24EE2"/>
    <w:rsid w:val="00D255F1"/>
    <w:rsid w:val="00D262B6"/>
    <w:rsid w:val="00D26397"/>
    <w:rsid w:val="00D27F48"/>
    <w:rsid w:val="00D308ED"/>
    <w:rsid w:val="00D30C73"/>
    <w:rsid w:val="00D3170B"/>
    <w:rsid w:val="00D338FC"/>
    <w:rsid w:val="00D41E4A"/>
    <w:rsid w:val="00D508E9"/>
    <w:rsid w:val="00D534A7"/>
    <w:rsid w:val="00D55425"/>
    <w:rsid w:val="00D5572E"/>
    <w:rsid w:val="00D564E2"/>
    <w:rsid w:val="00D57954"/>
    <w:rsid w:val="00D624D3"/>
    <w:rsid w:val="00D62ED1"/>
    <w:rsid w:val="00D639E4"/>
    <w:rsid w:val="00D6498A"/>
    <w:rsid w:val="00D64C91"/>
    <w:rsid w:val="00D71D1F"/>
    <w:rsid w:val="00D7402E"/>
    <w:rsid w:val="00D74C69"/>
    <w:rsid w:val="00D766A8"/>
    <w:rsid w:val="00D84CFC"/>
    <w:rsid w:val="00D90700"/>
    <w:rsid w:val="00D90A48"/>
    <w:rsid w:val="00D912CB"/>
    <w:rsid w:val="00D95570"/>
    <w:rsid w:val="00D95BD2"/>
    <w:rsid w:val="00DA3ED6"/>
    <w:rsid w:val="00DA5822"/>
    <w:rsid w:val="00DC383F"/>
    <w:rsid w:val="00DC3D39"/>
    <w:rsid w:val="00DC3F08"/>
    <w:rsid w:val="00DC40F8"/>
    <w:rsid w:val="00DC41E6"/>
    <w:rsid w:val="00DC48DC"/>
    <w:rsid w:val="00DD4105"/>
    <w:rsid w:val="00DE3585"/>
    <w:rsid w:val="00DF2709"/>
    <w:rsid w:val="00DF5D6C"/>
    <w:rsid w:val="00DF75D2"/>
    <w:rsid w:val="00DF7BF2"/>
    <w:rsid w:val="00E042E1"/>
    <w:rsid w:val="00E0431B"/>
    <w:rsid w:val="00E12A87"/>
    <w:rsid w:val="00E15B82"/>
    <w:rsid w:val="00E16F94"/>
    <w:rsid w:val="00E20B9D"/>
    <w:rsid w:val="00E30536"/>
    <w:rsid w:val="00E30A77"/>
    <w:rsid w:val="00E32963"/>
    <w:rsid w:val="00E3407C"/>
    <w:rsid w:val="00E41F90"/>
    <w:rsid w:val="00E4215A"/>
    <w:rsid w:val="00E4714F"/>
    <w:rsid w:val="00E479CD"/>
    <w:rsid w:val="00E47B60"/>
    <w:rsid w:val="00E507B6"/>
    <w:rsid w:val="00E508CA"/>
    <w:rsid w:val="00E51B60"/>
    <w:rsid w:val="00E56EAF"/>
    <w:rsid w:val="00E609A0"/>
    <w:rsid w:val="00E60BA6"/>
    <w:rsid w:val="00E6497E"/>
    <w:rsid w:val="00E65C7E"/>
    <w:rsid w:val="00E72A03"/>
    <w:rsid w:val="00E77490"/>
    <w:rsid w:val="00E83227"/>
    <w:rsid w:val="00E8421A"/>
    <w:rsid w:val="00E908C8"/>
    <w:rsid w:val="00E94F73"/>
    <w:rsid w:val="00E95EBE"/>
    <w:rsid w:val="00E964F7"/>
    <w:rsid w:val="00E96559"/>
    <w:rsid w:val="00E9681B"/>
    <w:rsid w:val="00E96E82"/>
    <w:rsid w:val="00E97872"/>
    <w:rsid w:val="00EA5A2C"/>
    <w:rsid w:val="00EB17A3"/>
    <w:rsid w:val="00EB7A4E"/>
    <w:rsid w:val="00EC054B"/>
    <w:rsid w:val="00EC075B"/>
    <w:rsid w:val="00EC2153"/>
    <w:rsid w:val="00EC2FB7"/>
    <w:rsid w:val="00EC40D0"/>
    <w:rsid w:val="00ED1859"/>
    <w:rsid w:val="00ED2132"/>
    <w:rsid w:val="00ED3746"/>
    <w:rsid w:val="00EE3A45"/>
    <w:rsid w:val="00EF4F2A"/>
    <w:rsid w:val="00F00C41"/>
    <w:rsid w:val="00F014EB"/>
    <w:rsid w:val="00F0233E"/>
    <w:rsid w:val="00F0296F"/>
    <w:rsid w:val="00F0362E"/>
    <w:rsid w:val="00F054AC"/>
    <w:rsid w:val="00F10AEA"/>
    <w:rsid w:val="00F24680"/>
    <w:rsid w:val="00F24B96"/>
    <w:rsid w:val="00F25283"/>
    <w:rsid w:val="00F25344"/>
    <w:rsid w:val="00F255B3"/>
    <w:rsid w:val="00F258EB"/>
    <w:rsid w:val="00F3204D"/>
    <w:rsid w:val="00F33721"/>
    <w:rsid w:val="00F33B06"/>
    <w:rsid w:val="00F36E9B"/>
    <w:rsid w:val="00F40CC8"/>
    <w:rsid w:val="00F40F96"/>
    <w:rsid w:val="00F43BC1"/>
    <w:rsid w:val="00F440A7"/>
    <w:rsid w:val="00F45AA3"/>
    <w:rsid w:val="00F46D1B"/>
    <w:rsid w:val="00F50072"/>
    <w:rsid w:val="00F51068"/>
    <w:rsid w:val="00F541C6"/>
    <w:rsid w:val="00F573B3"/>
    <w:rsid w:val="00F5751A"/>
    <w:rsid w:val="00F57524"/>
    <w:rsid w:val="00F6210A"/>
    <w:rsid w:val="00F62A4F"/>
    <w:rsid w:val="00F632AB"/>
    <w:rsid w:val="00F71D90"/>
    <w:rsid w:val="00F7250F"/>
    <w:rsid w:val="00F72EA6"/>
    <w:rsid w:val="00F765FB"/>
    <w:rsid w:val="00F772C0"/>
    <w:rsid w:val="00F804CA"/>
    <w:rsid w:val="00F809EE"/>
    <w:rsid w:val="00F8247C"/>
    <w:rsid w:val="00F8463A"/>
    <w:rsid w:val="00F85193"/>
    <w:rsid w:val="00F86BF3"/>
    <w:rsid w:val="00FA56F7"/>
    <w:rsid w:val="00FB0BED"/>
    <w:rsid w:val="00FB17BF"/>
    <w:rsid w:val="00FB34B2"/>
    <w:rsid w:val="00FC2047"/>
    <w:rsid w:val="00FC7761"/>
    <w:rsid w:val="00FC7A03"/>
    <w:rsid w:val="00FC7FD6"/>
    <w:rsid w:val="00FD556F"/>
    <w:rsid w:val="00FE1447"/>
    <w:rsid w:val="00FE1AA8"/>
    <w:rsid w:val="00FE1BB6"/>
    <w:rsid w:val="00FE1C11"/>
    <w:rsid w:val="00FE5232"/>
    <w:rsid w:val="00FE7432"/>
    <w:rsid w:val="00FF4CD9"/>
    <w:rsid w:val="00FF4F7B"/>
    <w:rsid w:val="01011432"/>
    <w:rsid w:val="01D807EF"/>
    <w:rsid w:val="03E5503B"/>
    <w:rsid w:val="040E6BEC"/>
    <w:rsid w:val="044B4BE7"/>
    <w:rsid w:val="045C5616"/>
    <w:rsid w:val="04B073F7"/>
    <w:rsid w:val="053022E6"/>
    <w:rsid w:val="05B60993"/>
    <w:rsid w:val="05F93DC6"/>
    <w:rsid w:val="06065952"/>
    <w:rsid w:val="067C6C7C"/>
    <w:rsid w:val="06FF01A6"/>
    <w:rsid w:val="07627E79"/>
    <w:rsid w:val="07666CB3"/>
    <w:rsid w:val="079C700D"/>
    <w:rsid w:val="0950000A"/>
    <w:rsid w:val="09524819"/>
    <w:rsid w:val="096F02A0"/>
    <w:rsid w:val="09850EC4"/>
    <w:rsid w:val="09B66C11"/>
    <w:rsid w:val="09F61D50"/>
    <w:rsid w:val="0A93759F"/>
    <w:rsid w:val="0AC04AB2"/>
    <w:rsid w:val="0B043FF8"/>
    <w:rsid w:val="0B5D195B"/>
    <w:rsid w:val="0BD31DCC"/>
    <w:rsid w:val="0C121409"/>
    <w:rsid w:val="0C1A7C26"/>
    <w:rsid w:val="0C9055EC"/>
    <w:rsid w:val="0CEF7ECF"/>
    <w:rsid w:val="0D020A0B"/>
    <w:rsid w:val="0D0C3638"/>
    <w:rsid w:val="0D4A2113"/>
    <w:rsid w:val="0DC95DFA"/>
    <w:rsid w:val="0E0407B3"/>
    <w:rsid w:val="0E0D496A"/>
    <w:rsid w:val="0E101D52"/>
    <w:rsid w:val="0E4E71E7"/>
    <w:rsid w:val="0E82203D"/>
    <w:rsid w:val="0F783207"/>
    <w:rsid w:val="0FCF0BA1"/>
    <w:rsid w:val="10471EE0"/>
    <w:rsid w:val="10920900"/>
    <w:rsid w:val="10CB7366"/>
    <w:rsid w:val="11253617"/>
    <w:rsid w:val="112D1C7D"/>
    <w:rsid w:val="115353AC"/>
    <w:rsid w:val="1261638A"/>
    <w:rsid w:val="12A75AC3"/>
    <w:rsid w:val="12D55574"/>
    <w:rsid w:val="12F63207"/>
    <w:rsid w:val="13373E3D"/>
    <w:rsid w:val="13AF2F6F"/>
    <w:rsid w:val="14665D24"/>
    <w:rsid w:val="147075E2"/>
    <w:rsid w:val="14C41C81"/>
    <w:rsid w:val="14F61195"/>
    <w:rsid w:val="153D0030"/>
    <w:rsid w:val="156A6D57"/>
    <w:rsid w:val="158069A6"/>
    <w:rsid w:val="15A16E28"/>
    <w:rsid w:val="15FA02A7"/>
    <w:rsid w:val="16351280"/>
    <w:rsid w:val="168B1A72"/>
    <w:rsid w:val="16E76F5E"/>
    <w:rsid w:val="16F2652B"/>
    <w:rsid w:val="174B3737"/>
    <w:rsid w:val="18383533"/>
    <w:rsid w:val="183C4CD8"/>
    <w:rsid w:val="188F5EAC"/>
    <w:rsid w:val="18C774BA"/>
    <w:rsid w:val="18D16E71"/>
    <w:rsid w:val="1918273C"/>
    <w:rsid w:val="19193365"/>
    <w:rsid w:val="19EA0124"/>
    <w:rsid w:val="1A7B1DFD"/>
    <w:rsid w:val="1A856A8F"/>
    <w:rsid w:val="1A926C85"/>
    <w:rsid w:val="1B100797"/>
    <w:rsid w:val="1B4D19EC"/>
    <w:rsid w:val="1BE21B0B"/>
    <w:rsid w:val="1C2C3ED9"/>
    <w:rsid w:val="1C80402C"/>
    <w:rsid w:val="1DD737EE"/>
    <w:rsid w:val="1E3C4007"/>
    <w:rsid w:val="1EAB451D"/>
    <w:rsid w:val="1F3211FE"/>
    <w:rsid w:val="1F34787E"/>
    <w:rsid w:val="1F6115C2"/>
    <w:rsid w:val="20184F85"/>
    <w:rsid w:val="20304BC9"/>
    <w:rsid w:val="214747E7"/>
    <w:rsid w:val="2148345E"/>
    <w:rsid w:val="216A599B"/>
    <w:rsid w:val="2181419D"/>
    <w:rsid w:val="21970A05"/>
    <w:rsid w:val="21E6671C"/>
    <w:rsid w:val="21F92E01"/>
    <w:rsid w:val="22143896"/>
    <w:rsid w:val="22543660"/>
    <w:rsid w:val="22693159"/>
    <w:rsid w:val="22FB04DD"/>
    <w:rsid w:val="253C44E1"/>
    <w:rsid w:val="255547C8"/>
    <w:rsid w:val="25BC57A4"/>
    <w:rsid w:val="26CE6972"/>
    <w:rsid w:val="26E86A6C"/>
    <w:rsid w:val="27196C26"/>
    <w:rsid w:val="274B7E0A"/>
    <w:rsid w:val="274C0DA9"/>
    <w:rsid w:val="274C2B57"/>
    <w:rsid w:val="274D09F9"/>
    <w:rsid w:val="297E2AE5"/>
    <w:rsid w:val="298D6CF2"/>
    <w:rsid w:val="29CA4B81"/>
    <w:rsid w:val="2A0B5A1F"/>
    <w:rsid w:val="2A4D3F2F"/>
    <w:rsid w:val="2A541123"/>
    <w:rsid w:val="2A6D3510"/>
    <w:rsid w:val="2A704DAF"/>
    <w:rsid w:val="2A9B706F"/>
    <w:rsid w:val="2ABE66BE"/>
    <w:rsid w:val="2AC078AD"/>
    <w:rsid w:val="2B667F60"/>
    <w:rsid w:val="2B711B93"/>
    <w:rsid w:val="2B9176D3"/>
    <w:rsid w:val="2C283CE8"/>
    <w:rsid w:val="2CD80C4A"/>
    <w:rsid w:val="2CED6C30"/>
    <w:rsid w:val="2D7E7FA9"/>
    <w:rsid w:val="2DD3092A"/>
    <w:rsid w:val="2DE96D89"/>
    <w:rsid w:val="2E444588"/>
    <w:rsid w:val="2EA94D33"/>
    <w:rsid w:val="2EB65786"/>
    <w:rsid w:val="2ED3590C"/>
    <w:rsid w:val="2F8F217B"/>
    <w:rsid w:val="2FA704BD"/>
    <w:rsid w:val="303D3421"/>
    <w:rsid w:val="30A73982"/>
    <w:rsid w:val="30F42C13"/>
    <w:rsid w:val="310B1A9B"/>
    <w:rsid w:val="316533B6"/>
    <w:rsid w:val="322E56F3"/>
    <w:rsid w:val="329C2BEC"/>
    <w:rsid w:val="32D16607"/>
    <w:rsid w:val="32F71915"/>
    <w:rsid w:val="33576B0C"/>
    <w:rsid w:val="33BF6080"/>
    <w:rsid w:val="33FC252F"/>
    <w:rsid w:val="346A1F14"/>
    <w:rsid w:val="347A74E4"/>
    <w:rsid w:val="35356692"/>
    <w:rsid w:val="35636439"/>
    <w:rsid w:val="36406EFC"/>
    <w:rsid w:val="36FD79CA"/>
    <w:rsid w:val="37092813"/>
    <w:rsid w:val="372907BF"/>
    <w:rsid w:val="377A473A"/>
    <w:rsid w:val="37853A8B"/>
    <w:rsid w:val="38167235"/>
    <w:rsid w:val="385E6B8E"/>
    <w:rsid w:val="39972AA2"/>
    <w:rsid w:val="39CC6FF1"/>
    <w:rsid w:val="39EE1DE6"/>
    <w:rsid w:val="3AE12DB5"/>
    <w:rsid w:val="3B8E745C"/>
    <w:rsid w:val="3C0815AA"/>
    <w:rsid w:val="3C516BF1"/>
    <w:rsid w:val="3CB4779C"/>
    <w:rsid w:val="3CBF5A23"/>
    <w:rsid w:val="3D080DB7"/>
    <w:rsid w:val="3D410748"/>
    <w:rsid w:val="3E1D0952"/>
    <w:rsid w:val="3E6842CD"/>
    <w:rsid w:val="3E6F38A3"/>
    <w:rsid w:val="3E964F64"/>
    <w:rsid w:val="3E9B54C2"/>
    <w:rsid w:val="3F7B4F99"/>
    <w:rsid w:val="4062277F"/>
    <w:rsid w:val="40A43B77"/>
    <w:rsid w:val="40D12A83"/>
    <w:rsid w:val="418574BB"/>
    <w:rsid w:val="41A102A3"/>
    <w:rsid w:val="423E2F4F"/>
    <w:rsid w:val="43401FB6"/>
    <w:rsid w:val="44496945"/>
    <w:rsid w:val="44A9420C"/>
    <w:rsid w:val="45AD3FAA"/>
    <w:rsid w:val="477E06B3"/>
    <w:rsid w:val="4799729B"/>
    <w:rsid w:val="47D81C6D"/>
    <w:rsid w:val="48B55687"/>
    <w:rsid w:val="48C33EA6"/>
    <w:rsid w:val="48DC2D1D"/>
    <w:rsid w:val="493A4322"/>
    <w:rsid w:val="497726F9"/>
    <w:rsid w:val="499E503D"/>
    <w:rsid w:val="4A080885"/>
    <w:rsid w:val="4A776D78"/>
    <w:rsid w:val="4AAE148F"/>
    <w:rsid w:val="4AF81172"/>
    <w:rsid w:val="4B645E12"/>
    <w:rsid w:val="4B6969B6"/>
    <w:rsid w:val="4BF76C86"/>
    <w:rsid w:val="4C08108C"/>
    <w:rsid w:val="4C325EEB"/>
    <w:rsid w:val="4C3B586B"/>
    <w:rsid w:val="4C672BF1"/>
    <w:rsid w:val="4CFE0FFB"/>
    <w:rsid w:val="4D313C7E"/>
    <w:rsid w:val="4D313EF3"/>
    <w:rsid w:val="4EDE5EDB"/>
    <w:rsid w:val="4F624621"/>
    <w:rsid w:val="4FC60E49"/>
    <w:rsid w:val="4FEC63D6"/>
    <w:rsid w:val="4FFE473E"/>
    <w:rsid w:val="50AF6949"/>
    <w:rsid w:val="50DB0924"/>
    <w:rsid w:val="50DD00FE"/>
    <w:rsid w:val="5189650B"/>
    <w:rsid w:val="52173BDE"/>
    <w:rsid w:val="525B7B04"/>
    <w:rsid w:val="52AA10AF"/>
    <w:rsid w:val="53095B97"/>
    <w:rsid w:val="534B0B2D"/>
    <w:rsid w:val="53CF578C"/>
    <w:rsid w:val="53F8359B"/>
    <w:rsid w:val="540E24C8"/>
    <w:rsid w:val="54121FB6"/>
    <w:rsid w:val="54306AE6"/>
    <w:rsid w:val="545C23B9"/>
    <w:rsid w:val="54777CC4"/>
    <w:rsid w:val="54BD2C3B"/>
    <w:rsid w:val="54C416C9"/>
    <w:rsid w:val="54DE4E87"/>
    <w:rsid w:val="55147BA8"/>
    <w:rsid w:val="556963E6"/>
    <w:rsid w:val="556C6C2A"/>
    <w:rsid w:val="558277AF"/>
    <w:rsid w:val="561A3C9D"/>
    <w:rsid w:val="566E3FE9"/>
    <w:rsid w:val="5699760F"/>
    <w:rsid w:val="56A1327E"/>
    <w:rsid w:val="573E39BB"/>
    <w:rsid w:val="57632B2F"/>
    <w:rsid w:val="577D3138"/>
    <w:rsid w:val="57933824"/>
    <w:rsid w:val="57BC7A93"/>
    <w:rsid w:val="58006EC2"/>
    <w:rsid w:val="58D85A7B"/>
    <w:rsid w:val="59967677"/>
    <w:rsid w:val="59B77A55"/>
    <w:rsid w:val="5AD4278B"/>
    <w:rsid w:val="5B062A42"/>
    <w:rsid w:val="5C366C9F"/>
    <w:rsid w:val="5CA73DB1"/>
    <w:rsid w:val="5CDB19C4"/>
    <w:rsid w:val="5CEB1EEF"/>
    <w:rsid w:val="5D6F2B20"/>
    <w:rsid w:val="5E9529FD"/>
    <w:rsid w:val="5ECE1194"/>
    <w:rsid w:val="5FCD1D80"/>
    <w:rsid w:val="60BE7581"/>
    <w:rsid w:val="61402D41"/>
    <w:rsid w:val="61A04DAD"/>
    <w:rsid w:val="620500A2"/>
    <w:rsid w:val="62465E1A"/>
    <w:rsid w:val="625959CB"/>
    <w:rsid w:val="63A27715"/>
    <w:rsid w:val="647F37C0"/>
    <w:rsid w:val="64DC75B4"/>
    <w:rsid w:val="658A4B8B"/>
    <w:rsid w:val="65EF3D27"/>
    <w:rsid w:val="669C730B"/>
    <w:rsid w:val="66A97F15"/>
    <w:rsid w:val="677D1976"/>
    <w:rsid w:val="67BA708E"/>
    <w:rsid w:val="683961C9"/>
    <w:rsid w:val="685748DD"/>
    <w:rsid w:val="688C0BFD"/>
    <w:rsid w:val="68941F02"/>
    <w:rsid w:val="68DE2B67"/>
    <w:rsid w:val="69F07869"/>
    <w:rsid w:val="6A5C4C73"/>
    <w:rsid w:val="6AD7131F"/>
    <w:rsid w:val="6B882FFF"/>
    <w:rsid w:val="6BF75BEB"/>
    <w:rsid w:val="6C276CBC"/>
    <w:rsid w:val="6CB247D7"/>
    <w:rsid w:val="6CD02EB0"/>
    <w:rsid w:val="6DB9234E"/>
    <w:rsid w:val="6E074EC2"/>
    <w:rsid w:val="6E385E25"/>
    <w:rsid w:val="6E836A43"/>
    <w:rsid w:val="6F061D18"/>
    <w:rsid w:val="6F2A71DD"/>
    <w:rsid w:val="6F9401C4"/>
    <w:rsid w:val="6FA964C7"/>
    <w:rsid w:val="6FC30AAA"/>
    <w:rsid w:val="6FFD045F"/>
    <w:rsid w:val="700F68DA"/>
    <w:rsid w:val="70495453"/>
    <w:rsid w:val="70EE0E8C"/>
    <w:rsid w:val="70F84783"/>
    <w:rsid w:val="721E638F"/>
    <w:rsid w:val="72E74324"/>
    <w:rsid w:val="736D76AA"/>
    <w:rsid w:val="73BB00CF"/>
    <w:rsid w:val="73D94D40"/>
    <w:rsid w:val="73DC65DE"/>
    <w:rsid w:val="74896269"/>
    <w:rsid w:val="74EE0377"/>
    <w:rsid w:val="75236738"/>
    <w:rsid w:val="75710A95"/>
    <w:rsid w:val="763A339C"/>
    <w:rsid w:val="76F729D8"/>
    <w:rsid w:val="771B741D"/>
    <w:rsid w:val="78822D12"/>
    <w:rsid w:val="78B43685"/>
    <w:rsid w:val="78D67AA0"/>
    <w:rsid w:val="78E91F0A"/>
    <w:rsid w:val="78EC22A5"/>
    <w:rsid w:val="78F61EF0"/>
    <w:rsid w:val="79A25E80"/>
    <w:rsid w:val="7B3079D1"/>
    <w:rsid w:val="7B86675E"/>
    <w:rsid w:val="7B945E88"/>
    <w:rsid w:val="7CCD2F68"/>
    <w:rsid w:val="7D356246"/>
    <w:rsid w:val="7D67447D"/>
    <w:rsid w:val="7E4953C9"/>
    <w:rsid w:val="7E974D76"/>
    <w:rsid w:val="7EC212C1"/>
    <w:rsid w:val="7EC61C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99"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qFormat="1"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120" w:after="240"/>
      <w:jc w:val="both"/>
    </w:pPr>
    <w:rPr>
      <w:rFonts w:ascii="Palatino Linotype" w:hAnsi="Palatino Linotype" w:eastAsia="宋体" w:cs="Times New Roman"/>
      <w:sz w:val="22"/>
      <w:szCs w:val="22"/>
      <w:lang w:val="ru-RU" w:eastAsia="en-US" w:bidi="ar-SA"/>
    </w:rPr>
  </w:style>
  <w:style w:type="paragraph" w:styleId="2">
    <w:name w:val="heading 1"/>
    <w:basedOn w:val="3"/>
    <w:next w:val="1"/>
    <w:link w:val="32"/>
    <w:qFormat/>
    <w:uiPriority w:val="0"/>
    <w:pPr>
      <w:adjustRightInd w:val="0"/>
      <w:snapToGrid w:val="0"/>
      <w:spacing w:before="156" w:beforeLines="50" w:after="156" w:afterLines="50" w:line="360" w:lineRule="auto"/>
      <w:ind w:firstLine="482"/>
      <w:jc w:val="left"/>
      <w:outlineLvl w:val="0"/>
    </w:pPr>
    <w:rPr>
      <w:rFonts w:ascii="宋体" w:hAnsi="宋体" w:cs="宋体"/>
      <w:b/>
      <w:bCs/>
      <w:sz w:val="24"/>
      <w:szCs w:val="24"/>
      <w:lang w:val="en-US" w:eastAsia="zh-CN"/>
    </w:rPr>
  </w:style>
  <w:style w:type="paragraph" w:styleId="4">
    <w:name w:val="heading 2"/>
    <w:basedOn w:val="3"/>
    <w:next w:val="1"/>
    <w:link w:val="33"/>
    <w:unhideWhenUsed/>
    <w:qFormat/>
    <w:uiPriority w:val="0"/>
    <w:pPr>
      <w:spacing w:line="360" w:lineRule="auto"/>
      <w:ind w:firstLine="480"/>
      <w:outlineLvl w:val="1"/>
    </w:pPr>
    <w:rPr>
      <w:rFonts w:cs="宋体" w:asciiTheme="minorEastAsia" w:hAnsiTheme="minorEastAsia" w:eastAsiaTheme="minorEastAsia"/>
      <w:sz w:val="24"/>
      <w:szCs w:val="24"/>
      <w:lang w:val="en-US" w:eastAsia="zh-CN"/>
    </w:rPr>
  </w:style>
  <w:style w:type="paragraph" w:styleId="5">
    <w:name w:val="heading 3"/>
    <w:basedOn w:val="3"/>
    <w:next w:val="1"/>
    <w:link w:val="36"/>
    <w:unhideWhenUsed/>
    <w:qFormat/>
    <w:uiPriority w:val="0"/>
    <w:pPr>
      <w:spacing w:line="360" w:lineRule="auto"/>
      <w:ind w:firstLine="480"/>
      <w:outlineLvl w:val="2"/>
    </w:pPr>
    <w:rPr>
      <w:rFonts w:cs="宋体" w:asciiTheme="minorEastAsia" w:hAnsiTheme="minorEastAsia" w:eastAsiaTheme="minorEastAsia"/>
      <w:sz w:val="24"/>
      <w:szCs w:val="24"/>
      <w:shd w:val="clear" w:color="auto" w:fill="FFFFFF"/>
      <w:lang w:val="en-US" w:eastAsia="zh-CN"/>
    </w:rPr>
  </w:style>
  <w:style w:type="paragraph" w:styleId="6">
    <w:name w:val="heading 4"/>
    <w:basedOn w:val="1"/>
    <w:next w:val="1"/>
    <w:link w:val="37"/>
    <w:unhideWhenUsed/>
    <w:qFormat/>
    <w:uiPriority w:val="0"/>
    <w:pPr>
      <w:autoSpaceDE w:val="0"/>
      <w:autoSpaceDN w:val="0"/>
      <w:adjustRightInd w:val="0"/>
      <w:spacing w:line="360" w:lineRule="auto"/>
      <w:ind w:firstLine="440" w:firstLineChars="200"/>
      <w:outlineLvl w:val="3"/>
    </w:pPr>
    <w:rPr>
      <w:lang w:eastAsia="zh-CN"/>
    </w:rPr>
  </w:style>
  <w:style w:type="character" w:default="1" w:styleId="18">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3">
    <w:name w:val="List Paragraph"/>
    <w:basedOn w:val="1"/>
    <w:unhideWhenUsed/>
    <w:qFormat/>
    <w:uiPriority w:val="34"/>
    <w:pPr>
      <w:ind w:firstLine="420" w:firstLineChars="200"/>
    </w:pPr>
  </w:style>
  <w:style w:type="paragraph" w:styleId="7">
    <w:name w:val="Normal Indent"/>
    <w:basedOn w:val="1"/>
    <w:unhideWhenUsed/>
    <w:qFormat/>
    <w:uiPriority w:val="99"/>
    <w:pPr>
      <w:spacing w:line="590" w:lineRule="atLeast"/>
      <w:ind w:firstLine="420" w:firstLineChars="200"/>
    </w:pPr>
    <w:rPr>
      <w:rFonts w:ascii="Calibri" w:hAnsi="Calibri" w:cs="Calibri"/>
      <w:szCs w:val="21"/>
    </w:rPr>
  </w:style>
  <w:style w:type="paragraph" w:styleId="8">
    <w:name w:val="annotation text"/>
    <w:basedOn w:val="1"/>
    <w:link w:val="29"/>
    <w:qFormat/>
    <w:uiPriority w:val="99"/>
    <w:pPr>
      <w:jc w:val="left"/>
    </w:pPr>
  </w:style>
  <w:style w:type="paragraph" w:styleId="9">
    <w:name w:val="Body Text"/>
    <w:basedOn w:val="1"/>
    <w:link w:val="27"/>
    <w:qFormat/>
    <w:uiPriority w:val="99"/>
    <w:pPr>
      <w:spacing w:before="102" w:line="360" w:lineRule="auto"/>
      <w:ind w:left="112" w:firstLine="480" w:firstLineChars="200"/>
      <w:contextualSpacing/>
    </w:pPr>
    <w:rPr>
      <w:rFonts w:cs="宋体" w:asciiTheme="minorEastAsia" w:hAnsiTheme="minorEastAsia" w:eastAsiaTheme="minorEastAsia"/>
      <w:sz w:val="24"/>
      <w:szCs w:val="24"/>
      <w:lang w:val="en-US" w:eastAsia="zh-CN"/>
    </w:rPr>
  </w:style>
  <w:style w:type="paragraph" w:styleId="10">
    <w:name w:val="Balloon Text"/>
    <w:basedOn w:val="1"/>
    <w:link w:val="25"/>
    <w:qFormat/>
    <w:uiPriority w:val="0"/>
    <w:pPr>
      <w:spacing w:before="0" w:after="0"/>
    </w:pPr>
    <w:rPr>
      <w:sz w:val="18"/>
      <w:szCs w:val="18"/>
    </w:rPr>
  </w:style>
  <w:style w:type="paragraph" w:styleId="11">
    <w:name w:val="footer"/>
    <w:basedOn w:val="1"/>
    <w:link w:val="23"/>
    <w:qFormat/>
    <w:uiPriority w:val="99"/>
    <w:pPr>
      <w:tabs>
        <w:tab w:val="center" w:pos="4153"/>
        <w:tab w:val="right" w:pos="8306"/>
      </w:tabs>
      <w:snapToGrid w:val="0"/>
      <w:jc w:val="left"/>
    </w:pPr>
    <w:rPr>
      <w:sz w:val="18"/>
      <w:szCs w:val="18"/>
    </w:rPr>
  </w:style>
  <w:style w:type="paragraph" w:styleId="12">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qFormat/>
    <w:uiPriority w:val="0"/>
    <w:pPr>
      <w:spacing w:beforeAutospacing="1" w:afterAutospacing="1"/>
      <w:jc w:val="left"/>
    </w:pPr>
    <w:rPr>
      <w:sz w:val="24"/>
    </w:rPr>
  </w:style>
  <w:style w:type="paragraph" w:styleId="14">
    <w:name w:val="annotation subject"/>
    <w:basedOn w:val="8"/>
    <w:next w:val="8"/>
    <w:link w:val="30"/>
    <w:qFormat/>
    <w:uiPriority w:val="0"/>
    <w:rPr>
      <w:b/>
      <w:bCs/>
    </w:rPr>
  </w:style>
  <w:style w:type="table" w:styleId="16">
    <w:name w:val="Table Grid"/>
    <w:basedOn w:val="15"/>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7">
    <w:name w:val="Light Shading Accent 1"/>
    <w:basedOn w:val="15"/>
    <w:qFormat/>
    <w:uiPriority w:val="60"/>
    <w:rPr>
      <w:rFonts w:asciiTheme="minorHAnsi" w:hAnsiTheme="minorHAnsi" w:eastAsiaTheme="minorEastAsia" w:cstheme="minorBidi"/>
      <w:color w:val="2E75B6" w:themeColor="accent1" w:themeShade="BF"/>
      <w:sz w:val="22"/>
      <w:szCs w:val="22"/>
      <w:lang w:eastAsia="en-US"/>
    </w:rPr>
    <w:tblPr>
      <w:tblBorders>
        <w:top w:val="single" w:color="5B9BD5" w:themeColor="accent1" w:sz="8" w:space="0"/>
        <w:bottom w:val="single" w:color="5B9BD5" w:themeColor="accent1" w:sz="8" w:space="0"/>
      </w:tblBorders>
    </w:tblPr>
    <w:tblStylePr w:type="firstRow">
      <w:pPr>
        <w:spacing w:before="0" w:after="0" w:line="240" w:lineRule="auto"/>
      </w:pPr>
      <w:rPr>
        <w:b/>
        <w:bCs/>
      </w:rPr>
      <w:tblPr/>
      <w:tcPr>
        <w:tcBorders>
          <w:top w:val="single" w:color="5B9BD5" w:themeColor="accent1" w:sz="8" w:space="0"/>
          <w:left w:val="nil"/>
          <w:bottom w:val="single" w:color="5B9BD5" w:themeColor="accent1" w:sz="8" w:space="0"/>
          <w:right w:val="nil"/>
          <w:insideH w:val="nil"/>
          <w:insideV w:val="nil"/>
        </w:tcBorders>
      </w:tcPr>
    </w:tblStylePr>
    <w:tblStylePr w:type="lastRow">
      <w:pPr>
        <w:spacing w:before="0" w:after="0" w:line="240" w:lineRule="auto"/>
      </w:pPr>
      <w:rPr>
        <w:b/>
        <w:bCs/>
      </w:rPr>
      <w:tblPr/>
      <w:tcPr>
        <w:tcBorders>
          <w:top w:val="single" w:color="5B9BD5" w:themeColor="accent1" w:sz="8" w:space="0"/>
          <w:left w:val="nil"/>
          <w:bottom w:val="single" w:color="5B9BD5"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character" w:styleId="19">
    <w:name w:val="page number"/>
    <w:basedOn w:val="18"/>
    <w:qFormat/>
    <w:uiPriority w:val="0"/>
  </w:style>
  <w:style w:type="character" w:styleId="20">
    <w:name w:val="Hyperlink"/>
    <w:basedOn w:val="18"/>
    <w:unhideWhenUsed/>
    <w:qFormat/>
    <w:uiPriority w:val="0"/>
    <w:rPr>
      <w:color w:val="0563C1" w:themeColor="hyperlink"/>
      <w:u w:val="single"/>
      <w14:textFill>
        <w14:solidFill>
          <w14:schemeClr w14:val="hlink"/>
        </w14:solidFill>
      </w14:textFill>
    </w:rPr>
  </w:style>
  <w:style w:type="character" w:styleId="21">
    <w:name w:val="annotation reference"/>
    <w:basedOn w:val="18"/>
    <w:qFormat/>
    <w:uiPriority w:val="0"/>
    <w:rPr>
      <w:sz w:val="21"/>
      <w:szCs w:val="21"/>
    </w:rPr>
  </w:style>
  <w:style w:type="character" w:customStyle="1" w:styleId="22">
    <w:name w:val="页眉 字符"/>
    <w:basedOn w:val="18"/>
    <w:link w:val="12"/>
    <w:qFormat/>
    <w:uiPriority w:val="0"/>
    <w:rPr>
      <w:rFonts w:ascii="Palatino Linotype" w:hAnsi="Palatino Linotype" w:eastAsia="宋体" w:cs="Times New Roman"/>
      <w:sz w:val="18"/>
      <w:szCs w:val="18"/>
      <w:lang w:val="ru-RU" w:eastAsia="en-US"/>
    </w:rPr>
  </w:style>
  <w:style w:type="character" w:customStyle="1" w:styleId="23">
    <w:name w:val="页脚 字符"/>
    <w:basedOn w:val="18"/>
    <w:link w:val="11"/>
    <w:qFormat/>
    <w:uiPriority w:val="99"/>
    <w:rPr>
      <w:rFonts w:ascii="Palatino Linotype" w:hAnsi="Palatino Linotype" w:eastAsia="宋体" w:cs="Times New Roman"/>
      <w:sz w:val="18"/>
      <w:szCs w:val="18"/>
      <w:lang w:val="ru-RU" w:eastAsia="en-US"/>
    </w:rPr>
  </w:style>
  <w:style w:type="paragraph" w:customStyle="1" w:styleId="2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批注框文本 字符"/>
    <w:basedOn w:val="18"/>
    <w:link w:val="10"/>
    <w:qFormat/>
    <w:uiPriority w:val="0"/>
    <w:rPr>
      <w:rFonts w:ascii="Palatino Linotype" w:hAnsi="Palatino Linotype" w:eastAsia="宋体" w:cs="Times New Roman"/>
      <w:sz w:val="18"/>
      <w:szCs w:val="18"/>
      <w:lang w:val="ru-RU" w:eastAsia="en-US"/>
    </w:rPr>
  </w:style>
  <w:style w:type="character" w:customStyle="1" w:styleId="26">
    <w:name w:val="font51"/>
    <w:basedOn w:val="18"/>
    <w:qFormat/>
    <w:uiPriority w:val="0"/>
    <w:rPr>
      <w:rFonts w:ascii="宋体" w:hAnsi="宋体" w:eastAsia="宋体" w:cs="宋体"/>
      <w:color w:val="000000"/>
      <w:sz w:val="24"/>
      <w:szCs w:val="24"/>
      <w:u w:val="none"/>
    </w:rPr>
  </w:style>
  <w:style w:type="character" w:customStyle="1" w:styleId="27">
    <w:name w:val="正文文本 字符"/>
    <w:basedOn w:val="18"/>
    <w:link w:val="9"/>
    <w:qFormat/>
    <w:uiPriority w:val="99"/>
    <w:rPr>
      <w:rFonts w:cs="宋体" w:asciiTheme="minorEastAsia" w:hAnsiTheme="minorEastAsia" w:eastAsiaTheme="minorEastAsia"/>
      <w:sz w:val="24"/>
      <w:szCs w:val="24"/>
    </w:rPr>
  </w:style>
  <w:style w:type="paragraph" w:customStyle="1" w:styleId="28">
    <w:name w:val="修订1"/>
    <w:hidden/>
    <w:semiHidden/>
    <w:qFormat/>
    <w:uiPriority w:val="99"/>
    <w:rPr>
      <w:rFonts w:ascii="Palatino Linotype" w:hAnsi="Palatino Linotype" w:eastAsia="宋体" w:cs="Times New Roman"/>
      <w:sz w:val="22"/>
      <w:szCs w:val="22"/>
      <w:lang w:val="ru-RU" w:eastAsia="en-US" w:bidi="ar-SA"/>
    </w:rPr>
  </w:style>
  <w:style w:type="character" w:customStyle="1" w:styleId="29">
    <w:name w:val="批注文字 字符"/>
    <w:basedOn w:val="18"/>
    <w:link w:val="8"/>
    <w:qFormat/>
    <w:uiPriority w:val="99"/>
    <w:rPr>
      <w:rFonts w:ascii="Palatino Linotype" w:hAnsi="Palatino Linotype"/>
      <w:sz w:val="22"/>
      <w:szCs w:val="22"/>
      <w:lang w:val="ru-RU" w:eastAsia="en-US"/>
    </w:rPr>
  </w:style>
  <w:style w:type="character" w:customStyle="1" w:styleId="30">
    <w:name w:val="批注主题 字符"/>
    <w:basedOn w:val="29"/>
    <w:link w:val="14"/>
    <w:qFormat/>
    <w:uiPriority w:val="0"/>
    <w:rPr>
      <w:rFonts w:ascii="Palatino Linotype" w:hAnsi="Palatino Linotype"/>
      <w:b/>
      <w:bCs/>
      <w:sz w:val="22"/>
      <w:szCs w:val="22"/>
      <w:lang w:val="ru-RU" w:eastAsia="en-US"/>
    </w:rPr>
  </w:style>
  <w:style w:type="paragraph" w:customStyle="1" w:styleId="31">
    <w:name w:val="修订2"/>
    <w:hidden/>
    <w:semiHidden/>
    <w:qFormat/>
    <w:uiPriority w:val="99"/>
    <w:rPr>
      <w:rFonts w:ascii="Palatino Linotype" w:hAnsi="Palatino Linotype" w:eastAsia="宋体" w:cs="Times New Roman"/>
      <w:sz w:val="22"/>
      <w:szCs w:val="22"/>
      <w:lang w:val="ru-RU" w:eastAsia="en-US" w:bidi="ar-SA"/>
    </w:rPr>
  </w:style>
  <w:style w:type="character" w:customStyle="1" w:styleId="32">
    <w:name w:val="标题 1 字符"/>
    <w:basedOn w:val="18"/>
    <w:link w:val="2"/>
    <w:qFormat/>
    <w:uiPriority w:val="0"/>
    <w:rPr>
      <w:rFonts w:ascii="宋体" w:hAnsi="宋体" w:cs="宋体"/>
      <w:b/>
      <w:bCs/>
      <w:sz w:val="24"/>
      <w:szCs w:val="24"/>
    </w:rPr>
  </w:style>
  <w:style w:type="character" w:customStyle="1" w:styleId="33">
    <w:name w:val="标题 2 字符"/>
    <w:basedOn w:val="18"/>
    <w:link w:val="4"/>
    <w:qFormat/>
    <w:uiPriority w:val="0"/>
    <w:rPr>
      <w:rFonts w:cs="宋体" w:asciiTheme="minorEastAsia" w:hAnsiTheme="minorEastAsia" w:eastAsiaTheme="minorEastAsia"/>
      <w:sz w:val="24"/>
      <w:szCs w:val="24"/>
    </w:rPr>
  </w:style>
  <w:style w:type="paragraph" w:customStyle="1" w:styleId="34">
    <w:name w:val="RS Body Text"/>
    <w:basedOn w:val="1"/>
    <w:link w:val="35"/>
    <w:qFormat/>
    <w:uiPriority w:val="0"/>
    <w:pPr>
      <w:spacing w:before="0"/>
      <w:jc w:val="left"/>
    </w:pPr>
    <w:rPr>
      <w:rFonts w:ascii="Times New Roman" w:hAnsi="Times New Roman" w:eastAsia="PMingLiU" w:cstheme="minorBidi"/>
      <w:sz w:val="24"/>
      <w:szCs w:val="24"/>
      <w:lang w:val="en-US"/>
    </w:rPr>
  </w:style>
  <w:style w:type="character" w:customStyle="1" w:styleId="35">
    <w:name w:val="RS Body Text Char"/>
    <w:basedOn w:val="18"/>
    <w:link w:val="34"/>
    <w:qFormat/>
    <w:uiPriority w:val="0"/>
    <w:rPr>
      <w:rFonts w:eastAsia="PMingLiU" w:cstheme="minorBidi"/>
      <w:sz w:val="24"/>
      <w:szCs w:val="24"/>
      <w:lang w:eastAsia="en-US"/>
    </w:rPr>
  </w:style>
  <w:style w:type="character" w:customStyle="1" w:styleId="36">
    <w:name w:val="标题 3 字符"/>
    <w:basedOn w:val="18"/>
    <w:link w:val="5"/>
    <w:qFormat/>
    <w:uiPriority w:val="0"/>
    <w:rPr>
      <w:rFonts w:cs="宋体" w:asciiTheme="minorEastAsia" w:hAnsiTheme="minorEastAsia" w:eastAsiaTheme="minorEastAsia"/>
      <w:sz w:val="24"/>
      <w:szCs w:val="24"/>
    </w:rPr>
  </w:style>
  <w:style w:type="character" w:customStyle="1" w:styleId="37">
    <w:name w:val="标题 4 字符"/>
    <w:basedOn w:val="18"/>
    <w:link w:val="6"/>
    <w:qFormat/>
    <w:uiPriority w:val="0"/>
    <w:rPr>
      <w:rFonts w:ascii="Palatino Linotype" w:hAnsi="Palatino Linotype"/>
      <w:sz w:val="22"/>
      <w:szCs w:val="22"/>
      <w:lang w:val="ru-RU"/>
    </w:rPr>
  </w:style>
  <w:style w:type="paragraph" w:customStyle="1" w:styleId="38">
    <w:name w:val="Decimal Aligned"/>
    <w:basedOn w:val="1"/>
    <w:qFormat/>
    <w:uiPriority w:val="40"/>
    <w:pPr>
      <w:tabs>
        <w:tab w:val="decimal" w:pos="360"/>
      </w:tabs>
      <w:spacing w:before="0" w:after="200" w:line="276" w:lineRule="auto"/>
      <w:jc w:val="left"/>
    </w:pPr>
    <w:rPr>
      <w:rFonts w:asciiTheme="minorHAnsi" w:hAnsiTheme="minorHAnsi" w:eastAsiaTheme="minorEastAsia"/>
      <w:lang w:val="en-US"/>
    </w:rPr>
  </w:style>
  <w:style w:type="character" w:customStyle="1" w:styleId="39">
    <w:name w:val="不明显强调1"/>
    <w:basedOn w:val="18"/>
    <w:qFormat/>
    <w:uiPriority w:val="19"/>
    <w:rPr>
      <w:i/>
      <w:iCs/>
    </w:rPr>
  </w:style>
  <w:style w:type="paragraph" w:customStyle="1" w:styleId="40">
    <w:name w:val="修订3"/>
    <w:hidden/>
    <w:unhideWhenUsed/>
    <w:qFormat/>
    <w:uiPriority w:val="99"/>
    <w:rPr>
      <w:rFonts w:ascii="Palatino Linotype" w:hAnsi="Palatino Linotype" w:eastAsia="宋体" w:cs="Times New Roman"/>
      <w:sz w:val="22"/>
      <w:szCs w:val="22"/>
      <w:lang w:val="ru-RU" w:eastAsia="en-US" w:bidi="ar-SA"/>
    </w:rPr>
  </w:style>
  <w:style w:type="paragraph" w:customStyle="1" w:styleId="41">
    <w:name w:val="修订4"/>
    <w:hidden/>
    <w:semiHidden/>
    <w:qFormat/>
    <w:uiPriority w:val="99"/>
    <w:rPr>
      <w:rFonts w:ascii="Palatino Linotype" w:hAnsi="Palatino Linotype" w:eastAsia="宋体" w:cs="Times New Roman"/>
      <w:sz w:val="22"/>
      <w:szCs w:val="22"/>
      <w:lang w:val="ru-RU" w:eastAsia="en-US" w:bidi="ar-SA"/>
    </w:rPr>
  </w:style>
  <w:style w:type="character" w:customStyle="1" w:styleId="42">
    <w:name w:val="未处理的提及1"/>
    <w:basedOn w:val="18"/>
    <w:semiHidden/>
    <w:unhideWhenUsed/>
    <w:qFormat/>
    <w:uiPriority w:val="99"/>
    <w:rPr>
      <w:color w:val="605E5C"/>
      <w:shd w:val="clear" w:color="auto" w:fill="E1DFDD"/>
    </w:rPr>
  </w:style>
  <w:style w:type="paragraph" w:customStyle="1" w:styleId="43">
    <w:name w:val="Revision"/>
    <w:hidden/>
    <w:unhideWhenUsed/>
    <w:qFormat/>
    <w:uiPriority w:val="99"/>
    <w:rPr>
      <w:rFonts w:ascii="Palatino Linotype" w:hAnsi="Palatino Linotype" w:eastAsia="宋体" w:cs="Times New Roman"/>
      <w:sz w:val="22"/>
      <w:szCs w:val="22"/>
      <w:lang w:val="ru-RU"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694AD0-6C86-4D71-A089-EFCA25A1F7DA}">
  <ds:schemaRefs/>
</ds:datastoreItem>
</file>

<file path=docProps/app.xml><?xml version="1.0" encoding="utf-8"?>
<Properties xmlns="http://schemas.openxmlformats.org/officeDocument/2006/extended-properties" xmlns:vt="http://schemas.openxmlformats.org/officeDocument/2006/docPropsVTypes">
  <Template>Normal</Template>
  <Pages>3</Pages>
  <Words>1294</Words>
  <Characters>1681</Characters>
  <Lines>167</Lines>
  <Paragraphs>198</Paragraphs>
  <TotalTime>1</TotalTime>
  <ScaleCrop>false</ScaleCrop>
  <LinksUpToDate>false</LinksUpToDate>
  <CharactersWithSpaces>1696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2025-12-23T02:29:00Z</dcterms:created>
  <dc:creator>NH-222</dc:creator>
  <cp:lastModifiedBy>卢柯言</cp:lastModifiedBy>
  <cp:lastPrinted>2025-07-24T00:55:00Z</cp:lastPrinted>
  <dcterms:modified xsi:type="dcterms:W3CDTF">2026-01-07T08:39:41Z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8F189CB5C7F2488BA41496EB70456CDD_13</vt:lpwstr>
  </property>
  <property fmtid="{D5CDD505-2E9C-101B-9397-08002B2CF9AE}" pid="4" name="KSOTemplateDocerSaveRecord">
    <vt:lpwstr>eyJoZGlkIjoiM2NmMmIwMWIxYzAyZmZiMWZlOTY3NTcxZmU2NzhhZTEiLCJ1c2VySWQiOiIxNjcyMzMwMzQ3In0=</vt:lpwstr>
  </property>
</Properties>
</file>