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AED2B7">
      <w:pPr>
        <w:adjustRightInd w:val="0"/>
        <w:snapToGrid w:val="0"/>
        <w:spacing w:line="336" w:lineRule="auto"/>
        <w:jc w:val="center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股票简称：宁沪高速      股票代码：600377      编号：临2025-062</w:t>
      </w:r>
    </w:p>
    <w:p w14:paraId="128E0E4B">
      <w:pPr>
        <w:autoSpaceDE w:val="0"/>
        <w:autoSpaceDN w:val="0"/>
        <w:adjustRightInd w:val="0"/>
        <w:snapToGrid w:val="0"/>
        <w:spacing w:line="560" w:lineRule="exact"/>
        <w:ind w:firstLine="600" w:firstLineChars="200"/>
        <w:jc w:val="center"/>
        <w:rPr>
          <w:rFonts w:hint="eastAsia" w:ascii="仿宋" w:hAnsi="仿宋" w:eastAsia="仿宋_GB2312"/>
          <w:color w:val="000000"/>
          <w:sz w:val="30"/>
          <w:szCs w:val="30"/>
        </w:rPr>
      </w:pPr>
    </w:p>
    <w:p w14:paraId="19F6E58A">
      <w:pPr>
        <w:adjustRightInd w:val="0"/>
        <w:snapToGrid w:val="0"/>
        <w:spacing w:line="560" w:lineRule="exact"/>
        <w:jc w:val="center"/>
        <w:rPr>
          <w:rFonts w:hint="eastAsia"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>江苏宁沪高速公路股份有限公司</w:t>
      </w:r>
    </w:p>
    <w:p w14:paraId="6EC70F30">
      <w:pPr>
        <w:adjustRightInd w:val="0"/>
        <w:snapToGrid w:val="0"/>
        <w:spacing w:line="560" w:lineRule="exact"/>
        <w:jc w:val="center"/>
        <w:rPr>
          <w:rFonts w:hint="eastAsia" w:ascii="宋体" w:hAnsi="宋体" w:eastAsia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/>
          <w:b/>
          <w:bCs/>
          <w:color w:val="000000"/>
          <w:sz w:val="28"/>
          <w:szCs w:val="28"/>
        </w:rPr>
        <w:t>关于拟向本公司控股子公司再度增资的公告</w:t>
      </w:r>
    </w:p>
    <w:p w14:paraId="287E2C00">
      <w:pPr>
        <w:pBdr>
          <w:top w:val="single" w:color="auto" w:sz="4" w:space="1"/>
          <w:left w:val="single" w:color="auto" w:sz="4" w:space="4"/>
          <w:bottom w:val="single" w:color="auto" w:sz="4" w:space="2"/>
          <w:right w:val="single" w:color="auto" w:sz="4" w:space="4"/>
        </w:pBdr>
        <w:adjustRightInd w:val="0"/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本公司董事会及全体董事保证本公告内容不存在任何虚假记载、误导性陈述或者重大遗漏，并对其内容的真实性、准确性和完整性承担法律责任。</w:t>
      </w:r>
    </w:p>
    <w:p w14:paraId="1DFF7BF6">
      <w:pPr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</w:p>
    <w:p w14:paraId="6015F04D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重要内容提示：</w:t>
      </w:r>
    </w:p>
    <w:p w14:paraId="2ECB909E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1.交易简要内容：江苏宁沪高速公路股份有限公司（以下简称“本公司”或“宁沪公司”）拟向控股子公司江苏丹金高速公路有限公司（以下简称“丹金公司”）进行增资。</w:t>
      </w:r>
    </w:p>
    <w:p w14:paraId="030B0543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2.增资金额：人民币</w:t>
      </w:r>
      <w:r>
        <w:rPr>
          <w:rFonts w:ascii="宋体" w:hAnsi="宋体" w:eastAsia="宋体" w:cs="宋体"/>
          <w:b/>
          <w:sz w:val="24"/>
          <w:szCs w:val="24"/>
        </w:rPr>
        <w:t>12,817.5041</w:t>
      </w:r>
      <w:r>
        <w:rPr>
          <w:rFonts w:hint="eastAsia" w:ascii="宋体" w:hAnsi="宋体" w:eastAsia="宋体" w:cs="宋体"/>
          <w:b/>
          <w:sz w:val="24"/>
          <w:szCs w:val="24"/>
        </w:rPr>
        <w:t>万元。</w:t>
      </w:r>
    </w:p>
    <w:p w14:paraId="7BEF50E5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3.根据《上海证券交易所股票上市规则》（以下简称“上海上市规则”），本次增资事项不构成关联交易。根据《香港联合交易所有限公司证券上市规则》（以下简称“香港上市规则”），本次增资事项构成视作出售交易，本次增资事项不构成关连交易。</w:t>
      </w:r>
    </w:p>
    <w:p w14:paraId="610FC1B7">
      <w:pPr>
        <w:autoSpaceDE w:val="0"/>
        <w:autoSpaceDN w:val="0"/>
        <w:adjustRightInd w:val="0"/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4.本次交易未构成重</w:t>
      </w:r>
      <w:bookmarkStart w:id="0" w:name="_GoBack"/>
      <w:bookmarkEnd w:id="0"/>
      <w:r>
        <w:rPr>
          <w:rFonts w:hint="eastAsia" w:ascii="宋体" w:hAnsi="宋体" w:eastAsia="宋体" w:cs="宋体"/>
          <w:b/>
          <w:sz w:val="24"/>
          <w:szCs w:val="24"/>
        </w:rPr>
        <w:t>大资产重组。</w:t>
      </w:r>
    </w:p>
    <w:p w14:paraId="54127011"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</w:p>
    <w:p w14:paraId="3712AAFE"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一、增资概述</w:t>
      </w:r>
    </w:p>
    <w:p w14:paraId="3D3768B3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（一）增资基本情况</w:t>
      </w:r>
    </w:p>
    <w:p w14:paraId="17E7043C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2024年10月29日，本公司第十一届董事会第五次会议审议通过了《关于投资建设阜宁至溧阳高速公路丹阳至金坛段项目的议案》，批准投资阜宁至溧阳高速公路丹阳至金坛段（以下简称“丹金项目”）。有关详情请参见本公司于2024年10月30日披露的《关于拟投资建设阜宁至溧阳高速公路丹阳至金坛段项目的公告》。</w:t>
      </w:r>
    </w:p>
    <w:p w14:paraId="3DFCB9D4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2024年11月16日，本公司已与常州市交通控股集团有限公司（以下简称“常州交控”）签署出资协议书，商定共同出资成立丹金公司。有关详情请参见本公司于2024年11月18日披露的《关于投资建设阜宁至溧阳高速公路丹阳至金坛段项目的进展公告》。</w:t>
      </w:r>
    </w:p>
    <w:p w14:paraId="698C8022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2025年10月29日，本公司第十一届董事会第十六次会议审议通过了《关于向丹金公司增资的议案》，同意本公司按持股比例向控股子公司丹金公司进行现金增资，增资金额为人民币263,655.5840万元（以下简称“2025年第一次增资”）。有关详情请参见公司于2025年10月30日披露的《关于拟向本公司控股子公司提供同比例增资的公告》。</w:t>
      </w:r>
    </w:p>
    <w:p w14:paraId="3DA43CDB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2025年10月30日，本公司已与常州交控签署增资协议书，商定共同增加对丹金公司出资。有关详情请参见本公司于2025年10月31日披露的《关于向本公司控股子公司提供同比例增资的公告》。</w:t>
      </w:r>
    </w:p>
    <w:p w14:paraId="50BB05B1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为贯彻落实《交通强国江苏方案》《江苏省“十四五”综合交通运输体系发展规划》《江苏省综合立体交通网规划纲要》《关于全面推进江苏交通运输现代化示范区建设的实施意见》中关于引导和鼓励社会资本积极进入交通领域的有关政策要求，丹金项目拟采用“施工承包+股权投资”的模式引入社会资本，进行资本金增资。本项目特选施工承包方作为社会资本参与本次增资，合计出资金额人民币45,868.6559万元；丹金公司增加注册资本人民币</w:t>
      </w:r>
      <w:r>
        <w:rPr>
          <w:rFonts w:asciiTheme="minorEastAsia" w:hAnsiTheme="minorEastAsia"/>
          <w:sz w:val="24"/>
          <w:szCs w:val="24"/>
        </w:rPr>
        <w:t>58,686.16</w:t>
      </w:r>
      <w:r>
        <w:rPr>
          <w:rFonts w:hint="eastAsia" w:asciiTheme="minorEastAsia" w:hAnsiTheme="minorEastAsia"/>
          <w:sz w:val="24"/>
          <w:szCs w:val="24"/>
        </w:rPr>
        <w:t>万元，增资后丹金公司注册资本为人民币582,512.744万元。其中，本公司本次出资人民币12,817.5041万元（以下简称“2025年第二次拟增资”），增资后累计出资人民币403,591.0881万元。</w:t>
      </w:r>
    </w:p>
    <w:p w14:paraId="377E5658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（二）董事会审议情况</w:t>
      </w:r>
    </w:p>
    <w:p w14:paraId="077A837A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2025年12月30日，本公司第十一届董事会第十八次会议审议通过了《关于向子公司丹金公司增资的议案》，同意本公司向控股子公司丹金公司进行现金增资，增资金额为人民币12,817.5041万元。</w:t>
      </w:r>
    </w:p>
    <w:p w14:paraId="264F23D7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（三）根据上海上市规则，本次增资事项在董事会授权决策范围内，已经本公司第十一届董事会第十八次会议审议并批准，无需股东会批准。</w:t>
      </w:r>
    </w:p>
    <w:p w14:paraId="3016A843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（四）本次增资事项不构成关联交易，亦不构成《上市公司重大资产重组管理办法》规定的重大资产重组。</w:t>
      </w:r>
    </w:p>
    <w:p w14:paraId="534C478A">
      <w:pPr>
        <w:autoSpaceDE w:val="0"/>
        <w:autoSpaceDN w:val="0"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五）本次增资完成后，本公司对丹金公司的持股比例由74.5998%降至69.2845%。根据香港上市规则第14.29条，2025年第二次拟增资视作出售附属公司5.3153%股本权益。根据香港上市规则第14.22及14.23（2）条，本次增资应与2025年第一次增资合并计算。由于根据香港上市规则第14.07条所计算之最高适用百分比率低于5%，故2025年第二次拟增资可豁免披露遵守公告、股东批准规定。</w:t>
      </w:r>
    </w:p>
    <w:p w14:paraId="7E2BB963">
      <w:pPr>
        <w:autoSpaceDE w:val="0"/>
        <w:autoSpaceDN w:val="0"/>
        <w:adjustRightInd w:val="0"/>
        <w:snapToGrid w:val="0"/>
        <w:spacing w:line="360" w:lineRule="auto"/>
        <w:ind w:firstLine="482" w:firstLineChars="20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二、增资协议主体的基本情况</w:t>
      </w:r>
    </w:p>
    <w:p w14:paraId="2DD662A2">
      <w:pPr>
        <w:autoSpaceDE w:val="0"/>
        <w:autoSpaceDN w:val="0"/>
        <w:adjustRightInd w:val="0"/>
        <w:snapToGrid w:val="0"/>
        <w:spacing w:line="360" w:lineRule="auto"/>
        <w:ind w:firstLine="48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（一）江苏宁沪高速公路股份有限公司</w:t>
      </w:r>
    </w:p>
    <w:tbl>
      <w:tblPr>
        <w:tblStyle w:val="13"/>
        <w:tblW w:w="888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5453"/>
      </w:tblGrid>
      <w:tr w14:paraId="3159F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1492BCB7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住所：</w:t>
            </w:r>
          </w:p>
        </w:tc>
        <w:tc>
          <w:tcPr>
            <w:tcW w:w="5453" w:type="dxa"/>
          </w:tcPr>
          <w:p w14:paraId="5C5E867B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中国江苏南京市仙林大道6号</w:t>
            </w:r>
          </w:p>
        </w:tc>
      </w:tr>
      <w:tr w14:paraId="2263D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63D49E88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企业类型：</w:t>
            </w:r>
          </w:p>
        </w:tc>
        <w:tc>
          <w:tcPr>
            <w:tcW w:w="5453" w:type="dxa"/>
          </w:tcPr>
          <w:p w14:paraId="6ED2A729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股份有限公司</w:t>
            </w:r>
          </w:p>
        </w:tc>
      </w:tr>
      <w:tr w14:paraId="02732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6AFC57C6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成立时间：</w:t>
            </w:r>
          </w:p>
        </w:tc>
        <w:tc>
          <w:tcPr>
            <w:tcW w:w="5453" w:type="dxa"/>
          </w:tcPr>
          <w:p w14:paraId="6DC039B8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1992年8月</w:t>
            </w:r>
          </w:p>
        </w:tc>
      </w:tr>
      <w:tr w14:paraId="07FCF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17727638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法定代表人：</w:t>
            </w:r>
          </w:p>
        </w:tc>
        <w:tc>
          <w:tcPr>
            <w:tcW w:w="5453" w:type="dxa"/>
          </w:tcPr>
          <w:p w14:paraId="1D2DFAD8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陈云江</w:t>
            </w:r>
          </w:p>
        </w:tc>
      </w:tr>
      <w:tr w14:paraId="749E0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0EF4C7BB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注册资本：</w:t>
            </w:r>
          </w:p>
        </w:tc>
        <w:tc>
          <w:tcPr>
            <w:tcW w:w="5453" w:type="dxa"/>
          </w:tcPr>
          <w:p w14:paraId="5F9F12B8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人民币5,037,747.5千元</w:t>
            </w:r>
          </w:p>
        </w:tc>
      </w:tr>
      <w:tr w14:paraId="378DD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6DD0896E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主营业务：</w:t>
            </w:r>
          </w:p>
        </w:tc>
        <w:tc>
          <w:tcPr>
            <w:tcW w:w="5453" w:type="dxa"/>
          </w:tcPr>
          <w:p w14:paraId="74353060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江苏省境内收费公路及高速公路建设、管理、养护及收费</w:t>
            </w:r>
          </w:p>
        </w:tc>
      </w:tr>
      <w:tr w14:paraId="3382B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577CF149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最近一个企业会计期末的总资产（2024年度）：</w:t>
            </w:r>
          </w:p>
        </w:tc>
        <w:tc>
          <w:tcPr>
            <w:tcW w:w="5453" w:type="dxa"/>
          </w:tcPr>
          <w:p w14:paraId="6F416DC2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人民币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89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886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075</w:t>
            </w:r>
            <w:r>
              <w:rPr>
                <w:rFonts w:ascii="宋体" w:hAnsi="宋体" w:eastAsia="宋体" w:cs="宋体"/>
                <w:sz w:val="24"/>
                <w:szCs w:val="24"/>
              </w:rPr>
              <w:t>千元</w:t>
            </w:r>
          </w:p>
          <w:p w14:paraId="3C1CAF6D">
            <w:pPr>
              <w:spacing w:before="120" w:after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1AD89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3431" w:type="dxa"/>
          </w:tcPr>
          <w:p w14:paraId="39AC5CE5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最近一个企业会计期末的净资产（2024年度）：</w:t>
            </w:r>
          </w:p>
        </w:tc>
        <w:tc>
          <w:tcPr>
            <w:tcW w:w="5453" w:type="dxa"/>
          </w:tcPr>
          <w:p w14:paraId="24749A08">
            <w:pPr>
              <w:adjustRightInd w:val="0"/>
              <w:snapToGrid w:val="0"/>
              <w:spacing w:before="120" w:after="240"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人民币38,596,796千元</w:t>
            </w:r>
          </w:p>
          <w:p w14:paraId="2845DA68">
            <w:pPr>
              <w:adjustRightInd w:val="0"/>
              <w:snapToGrid w:val="0"/>
              <w:spacing w:before="120" w:after="240"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08526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01F6F6DF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最近一个企业会计期的营业收入（2024年度）：</w:t>
            </w:r>
          </w:p>
        </w:tc>
        <w:tc>
          <w:tcPr>
            <w:tcW w:w="5453" w:type="dxa"/>
          </w:tcPr>
          <w:p w14:paraId="7A697AFC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人民币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23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198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204千元</w:t>
            </w:r>
          </w:p>
          <w:p w14:paraId="3BA01BAC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7A1AD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31" w:type="dxa"/>
          </w:tcPr>
          <w:p w14:paraId="5C046627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最近一个企业会计期的净利润（2024年度）：</w:t>
            </w:r>
          </w:p>
        </w:tc>
        <w:tc>
          <w:tcPr>
            <w:tcW w:w="5453" w:type="dxa"/>
          </w:tcPr>
          <w:p w14:paraId="2FCFCEB2">
            <w:pPr>
              <w:adjustRightInd w:val="0"/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人民币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946</w:t>
            </w:r>
            <w:r>
              <w:rPr>
                <w:rFonts w:ascii="宋体" w:hAnsi="宋体" w:eastAsia="宋体" w:cs="宋体"/>
                <w:sz w:val="24"/>
                <w:szCs w:val="24"/>
              </w:rPr>
              <w:t>,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692</w:t>
            </w:r>
            <w:r>
              <w:rPr>
                <w:rFonts w:ascii="宋体" w:hAnsi="宋体" w:eastAsia="宋体" w:cs="宋体"/>
                <w:sz w:val="24"/>
                <w:szCs w:val="24"/>
              </w:rPr>
              <w:t>千元</w:t>
            </w:r>
          </w:p>
          <w:p w14:paraId="5239450D">
            <w:pPr>
              <w:spacing w:before="120" w:after="1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（根据中华人民共和国企业会计标准）</w:t>
            </w:r>
          </w:p>
        </w:tc>
      </w:tr>
    </w:tbl>
    <w:p w14:paraId="7350F361">
      <w:pPr>
        <w:adjustRightInd w:val="0"/>
        <w:spacing w:line="360" w:lineRule="auto"/>
        <w:ind w:firstLine="48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公司2025年9月30日资产总额人民币</w:t>
      </w:r>
      <w:r>
        <w:rPr>
          <w:rFonts w:ascii="宋体" w:hAnsi="宋体" w:eastAsia="宋体" w:cs="宋体"/>
          <w:bCs/>
          <w:sz w:val="24"/>
          <w:szCs w:val="24"/>
        </w:rPr>
        <w:t>92,852,43</w:t>
      </w:r>
      <w:r>
        <w:rPr>
          <w:rFonts w:hint="eastAsia" w:ascii="宋体" w:hAnsi="宋体" w:eastAsia="宋体" w:cs="宋体"/>
          <w:bCs/>
          <w:sz w:val="24"/>
          <w:szCs w:val="24"/>
        </w:rPr>
        <w:t>2千元，净资产人民币</w:t>
      </w:r>
      <w:r>
        <w:rPr>
          <w:rFonts w:ascii="宋体" w:hAnsi="宋体" w:eastAsia="宋体" w:cs="宋体"/>
          <w:bCs/>
          <w:sz w:val="24"/>
          <w:szCs w:val="24"/>
        </w:rPr>
        <w:t>40,282,93</w:t>
      </w:r>
      <w:r>
        <w:rPr>
          <w:rFonts w:hint="eastAsia" w:ascii="宋体" w:hAnsi="宋体" w:eastAsia="宋体" w:cs="宋体"/>
          <w:bCs/>
          <w:sz w:val="24"/>
          <w:szCs w:val="24"/>
        </w:rPr>
        <w:t>4千元；2025年1-9月营业收入人民币</w:t>
      </w:r>
      <w:r>
        <w:rPr>
          <w:rFonts w:ascii="宋体" w:hAnsi="宋体" w:eastAsia="宋体" w:cs="宋体"/>
          <w:bCs/>
          <w:sz w:val="24"/>
          <w:szCs w:val="24"/>
        </w:rPr>
        <w:t>12,981,379</w:t>
      </w:r>
      <w:r>
        <w:rPr>
          <w:rFonts w:hint="eastAsia" w:ascii="宋体" w:hAnsi="宋体" w:eastAsia="宋体" w:cs="宋体"/>
          <w:bCs/>
          <w:sz w:val="24"/>
          <w:szCs w:val="24"/>
        </w:rPr>
        <w:t>千元，净利润人民币</w:t>
      </w:r>
      <w:r>
        <w:rPr>
          <w:rFonts w:ascii="宋体" w:hAnsi="宋体" w:eastAsia="宋体" w:cs="宋体"/>
          <w:bCs/>
          <w:sz w:val="24"/>
          <w:szCs w:val="24"/>
        </w:rPr>
        <w:t>3,837,10</w:t>
      </w:r>
      <w:r>
        <w:rPr>
          <w:rFonts w:hint="eastAsia" w:ascii="宋体" w:hAnsi="宋体" w:eastAsia="宋体" w:cs="宋体"/>
          <w:bCs/>
          <w:sz w:val="24"/>
          <w:szCs w:val="24"/>
        </w:rPr>
        <w:t>4千元。</w:t>
      </w:r>
    </w:p>
    <w:p w14:paraId="1F4D9E81">
      <w:pPr>
        <w:autoSpaceDE w:val="0"/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（二）鉴于增资协议尚未签署，其余投资主体的身份将于进展公告中披露。</w:t>
      </w:r>
    </w:p>
    <w:p w14:paraId="7CABB872">
      <w:pPr>
        <w:autoSpaceDE w:val="0"/>
        <w:autoSpaceDN w:val="0"/>
        <w:adjustRightInd w:val="0"/>
        <w:snapToGrid w:val="0"/>
        <w:spacing w:line="560" w:lineRule="exact"/>
        <w:ind w:firstLine="482" w:firstLineChars="200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三、增资标的基本情况</w:t>
      </w:r>
    </w:p>
    <w:p w14:paraId="5A38420C">
      <w:pPr>
        <w:autoSpaceDE w:val="0"/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（一）江苏丹金高速公路有限公司</w:t>
      </w:r>
    </w:p>
    <w:tbl>
      <w:tblPr>
        <w:tblStyle w:val="13"/>
        <w:tblW w:w="889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4782"/>
      </w:tblGrid>
      <w:tr w14:paraId="63909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4833D78D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住所：</w:t>
            </w:r>
          </w:p>
        </w:tc>
        <w:tc>
          <w:tcPr>
            <w:tcW w:w="4782" w:type="dxa"/>
          </w:tcPr>
          <w:p w14:paraId="07E1268D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江苏省常州市新北区红河路65号（新桥大厦）416室</w:t>
            </w:r>
          </w:p>
        </w:tc>
      </w:tr>
      <w:tr w14:paraId="1B30D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3D4BAF6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企业类型：</w:t>
            </w:r>
          </w:p>
        </w:tc>
        <w:tc>
          <w:tcPr>
            <w:tcW w:w="4782" w:type="dxa"/>
          </w:tcPr>
          <w:p w14:paraId="1B941686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有限责任公司</w:t>
            </w:r>
          </w:p>
        </w:tc>
      </w:tr>
      <w:tr w14:paraId="0EAE8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3BB2A13C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成立时间：</w:t>
            </w:r>
          </w:p>
        </w:tc>
        <w:tc>
          <w:tcPr>
            <w:tcW w:w="4782" w:type="dxa"/>
          </w:tcPr>
          <w:p w14:paraId="4EE051CA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</w:rPr>
              <w:t>24年11月</w:t>
            </w:r>
          </w:p>
        </w:tc>
      </w:tr>
      <w:tr w14:paraId="79870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589CA00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法定代表人：</w:t>
            </w:r>
          </w:p>
        </w:tc>
        <w:tc>
          <w:tcPr>
            <w:tcW w:w="4782" w:type="dxa"/>
          </w:tcPr>
          <w:p w14:paraId="0BB35315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汪锋</w:t>
            </w:r>
          </w:p>
        </w:tc>
      </w:tr>
      <w:tr w14:paraId="54A1C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4BCE1576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注册资本：</w:t>
            </w:r>
          </w:p>
        </w:tc>
        <w:tc>
          <w:tcPr>
            <w:tcW w:w="4782" w:type="dxa"/>
          </w:tcPr>
          <w:p w14:paraId="3C1A364B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人民币1,704,000千元</w:t>
            </w:r>
          </w:p>
        </w:tc>
      </w:tr>
      <w:tr w14:paraId="1B258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5C6A6A9E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股东（持股比例）：</w:t>
            </w:r>
          </w:p>
        </w:tc>
        <w:tc>
          <w:tcPr>
            <w:tcW w:w="4782" w:type="dxa"/>
          </w:tcPr>
          <w:p w14:paraId="0D8972FE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江苏宁沪高速公路股份有限公司</w:t>
            </w:r>
            <w:r>
              <w:rPr>
                <w:rFonts w:ascii="宋体" w:hAnsi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</w:rPr>
              <w:t>74.6%</w:t>
            </w:r>
            <w:r>
              <w:rPr>
                <w:rFonts w:ascii="宋体" w:hAnsi="宋体" w:cs="宋体"/>
                <w:sz w:val="24"/>
                <w:szCs w:val="24"/>
              </w:rPr>
              <w:t>）</w:t>
            </w:r>
          </w:p>
          <w:p w14:paraId="7989163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常州市交通控股集团有限公司（25.4%）</w:t>
            </w:r>
          </w:p>
        </w:tc>
      </w:tr>
      <w:tr w14:paraId="7E111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095765EF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主营业务：</w:t>
            </w:r>
          </w:p>
        </w:tc>
        <w:tc>
          <w:tcPr>
            <w:tcW w:w="4782" w:type="dxa"/>
          </w:tcPr>
          <w:p w14:paraId="38DFD59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许可项目：公路管理与养护；建设工程施工（除核电站建设经营、民用机场建设）；出版物零售；食品销售；餐饮服务；住宿服务；道路货物运输（不含危险货物）（依法须经批准的项目，经相关部门批准后方可开展经营活动，具体经营项目以审批结果为准）一般项目：市政设施管理；普通货物仓储服务（不含危险化学品等需许可审批的项目）；住房租赁；土地使用权租赁；机械设备租赁；机械设备销售；电力设施器材销售；计算机软硬件及辅助设备零售；通讯设备销售；电子产品销售；仪器仪表销售；针纺织品销售；日用品销售；汽车销售；化工产品销售（不含许可类化工产品）；租赁服务（不含许可类租赁服务）；机动车充电销售；电动汽车充电基础设施运营；机动车修理和维护；石油制品销售（不含危险化学品）（除依法须经批准的项目外，凭营业执照依法自主开展经营活动）</w:t>
            </w:r>
          </w:p>
        </w:tc>
      </w:tr>
      <w:tr w14:paraId="2D94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6FCC4AE7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最近一个企业会计期末的总资产（2024年度）：</w:t>
            </w:r>
          </w:p>
        </w:tc>
        <w:tc>
          <w:tcPr>
            <w:tcW w:w="4782" w:type="dxa"/>
          </w:tcPr>
          <w:p w14:paraId="0B62673F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人民币1,704,000千元</w:t>
            </w:r>
          </w:p>
          <w:p w14:paraId="591FA1F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3E22C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380D5AC7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最近一个企业会计期末的净资产（2024年度）：</w:t>
            </w:r>
          </w:p>
        </w:tc>
        <w:tc>
          <w:tcPr>
            <w:tcW w:w="4782" w:type="dxa"/>
          </w:tcPr>
          <w:p w14:paraId="736062B3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人民币1,704,000千元</w:t>
            </w:r>
          </w:p>
          <w:p w14:paraId="53B76822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16F47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57D19E81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最近一个企业会计期的营业收入（2024年度）：</w:t>
            </w:r>
          </w:p>
        </w:tc>
        <w:tc>
          <w:tcPr>
            <w:tcW w:w="4782" w:type="dxa"/>
          </w:tcPr>
          <w:p w14:paraId="1FBA91DB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人民币0千元</w:t>
            </w:r>
          </w:p>
          <w:p w14:paraId="537A53FA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（根据中华人民共和国企业会计标准）</w:t>
            </w:r>
          </w:p>
        </w:tc>
      </w:tr>
      <w:tr w14:paraId="11CE4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11" w:type="dxa"/>
          </w:tcPr>
          <w:p w14:paraId="3C06DB69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最近一个企业会计期的净利润</w:t>
            </w:r>
          </w:p>
          <w:p w14:paraId="6E1C29A0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（2024年度）：</w:t>
            </w:r>
          </w:p>
        </w:tc>
        <w:tc>
          <w:tcPr>
            <w:tcW w:w="4782" w:type="dxa"/>
          </w:tcPr>
          <w:p w14:paraId="4975E133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人民币0千元</w:t>
            </w:r>
          </w:p>
          <w:p w14:paraId="4A4D47F4">
            <w:pPr>
              <w:adjustRightInd w:val="0"/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（根据中华人民共和国企业会计标准）</w:t>
            </w:r>
          </w:p>
        </w:tc>
      </w:tr>
    </w:tbl>
    <w:p w14:paraId="25CBE8F1">
      <w:pPr>
        <w:adjustRightInd w:val="0"/>
        <w:spacing w:line="360" w:lineRule="auto"/>
        <w:rPr>
          <w:rFonts w:hint="eastAsia" w:ascii="宋体" w:hAnsi="宋体" w:cs="宋体"/>
          <w:sz w:val="24"/>
          <w:szCs w:val="24"/>
        </w:rPr>
      </w:pPr>
    </w:p>
    <w:p w14:paraId="0EF17D7F">
      <w:pPr>
        <w:autoSpaceDE w:val="0"/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（二）增资标的主要财务指标</w:t>
      </w:r>
    </w:p>
    <w:p w14:paraId="75106898">
      <w:pPr>
        <w:autoSpaceDE w:val="0"/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丹金公司最近一年又一期的主要财务指标如下：</w:t>
      </w:r>
    </w:p>
    <w:p w14:paraId="289EAEED">
      <w:pPr>
        <w:autoSpaceDE w:val="0"/>
        <w:autoSpaceDN w:val="0"/>
        <w:adjustRightInd w:val="0"/>
        <w:snapToGrid w:val="0"/>
        <w:spacing w:line="560" w:lineRule="exact"/>
        <w:ind w:firstLine="482" w:firstLineChars="200"/>
        <w:jc w:val="right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单位：人民币千元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5"/>
        <w:gridCol w:w="2765"/>
        <w:gridCol w:w="2766"/>
      </w:tblGrid>
      <w:tr w14:paraId="11363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5612737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</w:t>
            </w:r>
          </w:p>
        </w:tc>
        <w:tc>
          <w:tcPr>
            <w:tcW w:w="2765" w:type="dxa"/>
            <w:vAlign w:val="center"/>
          </w:tcPr>
          <w:p w14:paraId="34235AB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2024年12月31日</w:t>
            </w:r>
          </w:p>
          <w:p w14:paraId="1CE4E6B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（经审计）</w:t>
            </w:r>
          </w:p>
        </w:tc>
        <w:tc>
          <w:tcPr>
            <w:tcW w:w="2766" w:type="dxa"/>
            <w:vAlign w:val="center"/>
          </w:tcPr>
          <w:p w14:paraId="76B54062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2025年9月30日</w:t>
            </w:r>
          </w:p>
          <w:p w14:paraId="1472BFD6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（未经审计）</w:t>
            </w:r>
          </w:p>
        </w:tc>
      </w:tr>
      <w:tr w14:paraId="6C3F5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68C27AB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资产总额</w:t>
            </w:r>
          </w:p>
        </w:tc>
        <w:tc>
          <w:tcPr>
            <w:tcW w:w="2765" w:type="dxa"/>
            <w:vAlign w:val="center"/>
          </w:tcPr>
          <w:p w14:paraId="07EA64F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1,704,000</w:t>
            </w:r>
          </w:p>
        </w:tc>
        <w:tc>
          <w:tcPr>
            <w:tcW w:w="2766" w:type="dxa"/>
            <w:vAlign w:val="center"/>
          </w:tcPr>
          <w:p w14:paraId="46314C0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2,489,009</w:t>
            </w:r>
          </w:p>
        </w:tc>
      </w:tr>
      <w:tr w14:paraId="1FD8C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5525AA4E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资产净额</w:t>
            </w:r>
          </w:p>
        </w:tc>
        <w:tc>
          <w:tcPr>
            <w:tcW w:w="2765" w:type="dxa"/>
            <w:vAlign w:val="center"/>
          </w:tcPr>
          <w:p w14:paraId="21035FF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1,704,000</w:t>
            </w:r>
          </w:p>
        </w:tc>
        <w:tc>
          <w:tcPr>
            <w:tcW w:w="2766" w:type="dxa"/>
            <w:vAlign w:val="center"/>
          </w:tcPr>
          <w:p w14:paraId="198509E1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2,489,008</w:t>
            </w:r>
          </w:p>
        </w:tc>
      </w:tr>
      <w:tr w14:paraId="64A7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755BCBF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项目</w:t>
            </w:r>
          </w:p>
        </w:tc>
        <w:tc>
          <w:tcPr>
            <w:tcW w:w="2765" w:type="dxa"/>
            <w:vAlign w:val="center"/>
          </w:tcPr>
          <w:p w14:paraId="7D49C29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2024年度</w:t>
            </w:r>
          </w:p>
          <w:p w14:paraId="5DAC6605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（经审计）</w:t>
            </w:r>
          </w:p>
        </w:tc>
        <w:tc>
          <w:tcPr>
            <w:tcW w:w="2766" w:type="dxa"/>
            <w:vAlign w:val="center"/>
          </w:tcPr>
          <w:p w14:paraId="24396127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2025年1-9月</w:t>
            </w:r>
          </w:p>
          <w:p w14:paraId="39D2BCF0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（未经审计）</w:t>
            </w:r>
          </w:p>
        </w:tc>
      </w:tr>
      <w:tr w14:paraId="3C4A7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77E274C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营业收入</w:t>
            </w:r>
          </w:p>
        </w:tc>
        <w:tc>
          <w:tcPr>
            <w:tcW w:w="2765" w:type="dxa"/>
            <w:vAlign w:val="center"/>
          </w:tcPr>
          <w:p w14:paraId="45A7729D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0</w:t>
            </w:r>
          </w:p>
        </w:tc>
        <w:tc>
          <w:tcPr>
            <w:tcW w:w="2766" w:type="dxa"/>
            <w:vAlign w:val="center"/>
          </w:tcPr>
          <w:p w14:paraId="43E4D19E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784,670</w:t>
            </w:r>
          </w:p>
        </w:tc>
      </w:tr>
      <w:tr w14:paraId="42215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1398ED5E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税前利润</w:t>
            </w:r>
          </w:p>
        </w:tc>
        <w:tc>
          <w:tcPr>
            <w:tcW w:w="2765" w:type="dxa"/>
            <w:vAlign w:val="center"/>
          </w:tcPr>
          <w:p w14:paraId="6CD6FC79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0</w:t>
            </w:r>
          </w:p>
        </w:tc>
        <w:tc>
          <w:tcPr>
            <w:tcW w:w="2766" w:type="dxa"/>
            <w:vAlign w:val="center"/>
          </w:tcPr>
          <w:p w14:paraId="0EA0992F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-662</w:t>
            </w:r>
          </w:p>
        </w:tc>
      </w:tr>
      <w:tr w14:paraId="79490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  <w:vAlign w:val="center"/>
          </w:tcPr>
          <w:p w14:paraId="002CC90B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净利润</w:t>
            </w:r>
          </w:p>
        </w:tc>
        <w:tc>
          <w:tcPr>
            <w:tcW w:w="2765" w:type="dxa"/>
            <w:vAlign w:val="center"/>
          </w:tcPr>
          <w:p w14:paraId="51295CD3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0</w:t>
            </w:r>
          </w:p>
        </w:tc>
        <w:tc>
          <w:tcPr>
            <w:tcW w:w="2766" w:type="dxa"/>
            <w:vAlign w:val="center"/>
          </w:tcPr>
          <w:p w14:paraId="3ADADC7A">
            <w:pPr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-662</w:t>
            </w:r>
          </w:p>
        </w:tc>
      </w:tr>
    </w:tbl>
    <w:p w14:paraId="595DF0C5">
      <w:pPr>
        <w:autoSpaceDE w:val="0"/>
        <w:autoSpaceDN w:val="0"/>
        <w:adjustRightInd w:val="0"/>
        <w:snapToGrid w:val="0"/>
        <w:spacing w:line="560" w:lineRule="exact"/>
        <w:ind w:firstLine="482" w:firstLineChars="200"/>
        <w:rPr>
          <w:rFonts w:hint="eastAsia" w:ascii="宋体" w:hAnsi="宋体" w:eastAsia="宋体"/>
          <w:b/>
          <w:sz w:val="24"/>
          <w:szCs w:val="24"/>
        </w:rPr>
      </w:pPr>
    </w:p>
    <w:p w14:paraId="04304BCC">
      <w:pPr>
        <w:autoSpaceDE w:val="0"/>
        <w:autoSpaceDN w:val="0"/>
        <w:adjustRightInd w:val="0"/>
        <w:snapToGrid w:val="0"/>
        <w:spacing w:line="560" w:lineRule="exact"/>
        <w:ind w:firstLine="482" w:firstLineChars="200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四、本次增资的定价依据</w:t>
      </w:r>
    </w:p>
    <w:p w14:paraId="4AE0407B">
      <w:pPr>
        <w:autoSpaceDE w:val="0"/>
        <w:autoSpaceDN w:val="0"/>
        <w:adjustRightInd w:val="0"/>
        <w:snapToGrid w:val="0"/>
        <w:spacing w:line="560" w:lineRule="exact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鉴于丹金项目刚刚开始且没有发生重大变化，丹金公司仅录得轻微亏损，各方同意，新投资者将按照与现有股东相同的条件，按人民币每1元注册资本出资人民币1元，如同初始投资者一样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2E17D9A9">
      <w:pPr>
        <w:autoSpaceDE w:val="0"/>
        <w:autoSpaceDN w:val="0"/>
        <w:adjustRightInd w:val="0"/>
        <w:snapToGrid w:val="0"/>
        <w:spacing w:line="560" w:lineRule="exact"/>
        <w:ind w:firstLine="482" w:firstLineChars="200"/>
        <w:rPr>
          <w:rFonts w:hint="eastAsia"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五、本次增资对上市公司的影响</w:t>
      </w:r>
    </w:p>
    <w:p w14:paraId="388BA1DD">
      <w:pPr>
        <w:tabs>
          <w:tab w:val="left" w:pos="540"/>
          <w:tab w:val="left" w:pos="900"/>
        </w:tabs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  <w:t>丹金项目是苏南高速路网的重要组成部分，该项目的成功实施将进一步加强公司在苏南高速路网中的领先地位。通过引入社会资本增资，将有助于为丹金项目提供必要的资金，同时降低公司自身的资本投入要求。本次交易遵循自愿、公平合理、协商一致的原则。增资完成后，本公司对丹金公司的持股比例由74.5998%降至69.2845%，不会导致上市公司合并报表范围变更，不会对本公司未来的财务状况和经营业绩产生不利影响，不存在损害上市公司及股东特别是中小股东利益的情形。</w:t>
      </w:r>
    </w:p>
    <w:p w14:paraId="11ABF536">
      <w:pPr>
        <w:tabs>
          <w:tab w:val="left" w:pos="540"/>
          <w:tab w:val="left" w:pos="900"/>
        </w:tabs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 w:cs="Times New Roman"/>
          <w:color w:val="000000"/>
          <w:kern w:val="0"/>
          <w:sz w:val="24"/>
          <w:szCs w:val="24"/>
        </w:rPr>
      </w:pPr>
    </w:p>
    <w:p w14:paraId="471EF104">
      <w:pPr>
        <w:tabs>
          <w:tab w:val="left" w:pos="540"/>
          <w:tab w:val="left" w:pos="900"/>
        </w:tabs>
        <w:adjustRightInd w:val="0"/>
        <w:snapToGrid w:val="0"/>
        <w:spacing w:line="560" w:lineRule="exact"/>
        <w:ind w:firstLine="482" w:firstLineChars="200"/>
        <w:rPr>
          <w:rFonts w:hint="eastAsia" w:ascii="宋体" w:hAnsi="宋体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24"/>
          <w:szCs w:val="24"/>
        </w:rPr>
        <w:t>特此公告。</w:t>
      </w:r>
    </w:p>
    <w:p w14:paraId="0910EE9D">
      <w:pPr>
        <w:adjustRightInd w:val="0"/>
        <w:snapToGrid w:val="0"/>
        <w:spacing w:line="560" w:lineRule="exact"/>
        <w:ind w:firstLine="480" w:firstLineChars="200"/>
        <w:rPr>
          <w:rFonts w:hint="eastAsia" w:ascii="宋体" w:hAnsi="宋体" w:eastAsia="宋体"/>
          <w:color w:val="676767"/>
          <w:sz w:val="24"/>
          <w:szCs w:val="24"/>
        </w:rPr>
      </w:pPr>
    </w:p>
    <w:p w14:paraId="699EAD70">
      <w:pPr>
        <w:autoSpaceDE w:val="0"/>
        <w:autoSpaceDN w:val="0"/>
        <w:adjustRightInd w:val="0"/>
        <w:spacing w:line="560" w:lineRule="exact"/>
        <w:jc w:val="right"/>
        <w:rPr>
          <w:rFonts w:hint="eastAsia" w:ascii="宋体" w:hAnsi="宋体" w:eastAsia="宋体" w:cs="宋体-WinCharSetFFFF-H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江苏宁沪高速公路</w:t>
      </w:r>
      <w:r>
        <w:rPr>
          <w:rFonts w:hint="eastAsia" w:ascii="宋体" w:hAnsi="宋体" w:eastAsia="宋体" w:cs="宋体-WinCharSetFFFF-H"/>
          <w:b/>
          <w:bCs/>
          <w:color w:val="000000"/>
          <w:kern w:val="0"/>
          <w:sz w:val="24"/>
          <w:szCs w:val="24"/>
        </w:rPr>
        <w:t>股份有限公司董事会</w:t>
      </w:r>
    </w:p>
    <w:p w14:paraId="0F917C2C">
      <w:pPr>
        <w:spacing w:line="360" w:lineRule="auto"/>
        <w:jc w:val="righ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cs="宋体" w:asciiTheme="minorEastAsia" w:hAnsiTheme="minorEastAsia"/>
          <w:b/>
          <w:sz w:val="24"/>
        </w:rPr>
        <w:t>二〇二五年十二月三十一日</w:t>
      </w:r>
    </w:p>
    <w:p w14:paraId="07708891">
      <w:pPr>
        <w:spacing w:line="560" w:lineRule="exact"/>
        <w:jc w:val="right"/>
        <w:rPr>
          <w:rFonts w:hint="eastAsia" w:ascii="宋体" w:hAnsi="宋体" w:eastAsia="宋体" w:cs="宋体-WinCharSetFFFF-H"/>
          <w:color w:val="000000"/>
          <w:kern w:val="0"/>
          <w:sz w:val="24"/>
          <w:szCs w:val="24"/>
        </w:rPr>
      </w:pPr>
    </w:p>
    <w:p w14:paraId="5798AACC">
      <w:pPr>
        <w:autoSpaceDE w:val="0"/>
        <w:autoSpaceDN w:val="0"/>
        <w:adjustRightInd w:val="0"/>
        <w:snapToGrid w:val="0"/>
        <w:spacing w:line="560" w:lineRule="exact"/>
        <w:rPr>
          <w:rFonts w:ascii="仿宋_GB2312" w:eastAsia="仿宋_GB2312"/>
          <w:color w:val="000000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6376979"/>
      <w:docPartObj>
        <w:docPartGallery w:val="autotext"/>
      </w:docPartObj>
    </w:sdtPr>
    <w:sdtContent>
      <w:p w14:paraId="7A3253AE"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E4475A"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7B1010"/>
    <w:multiLevelType w:val="multilevel"/>
    <w:tmpl w:val="5E7B1010"/>
    <w:lvl w:ilvl="0" w:tentative="0">
      <w:start w:val="1"/>
      <w:numFmt w:val="chineseCountingThousand"/>
      <w:pStyle w:val="3"/>
      <w:lvlText w:val="%1、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26"/>
      </w:rPr>
    </w:lvl>
    <w:lvl w:ilvl="1" w:tentative="0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7E6360"/>
    <w:rsid w:val="00004D6A"/>
    <w:rsid w:val="0000551B"/>
    <w:rsid w:val="0000658F"/>
    <w:rsid w:val="0000700D"/>
    <w:rsid w:val="000126EA"/>
    <w:rsid w:val="00012D48"/>
    <w:rsid w:val="000154B3"/>
    <w:rsid w:val="00015FDA"/>
    <w:rsid w:val="00023E62"/>
    <w:rsid w:val="00024C4A"/>
    <w:rsid w:val="00024EB9"/>
    <w:rsid w:val="00026C6B"/>
    <w:rsid w:val="00027869"/>
    <w:rsid w:val="00027D07"/>
    <w:rsid w:val="00031CB2"/>
    <w:rsid w:val="00047C93"/>
    <w:rsid w:val="00047F33"/>
    <w:rsid w:val="00051EAC"/>
    <w:rsid w:val="0005379B"/>
    <w:rsid w:val="00056399"/>
    <w:rsid w:val="00060060"/>
    <w:rsid w:val="000607D6"/>
    <w:rsid w:val="00063231"/>
    <w:rsid w:val="00066C71"/>
    <w:rsid w:val="0007235D"/>
    <w:rsid w:val="0007542E"/>
    <w:rsid w:val="00075F7C"/>
    <w:rsid w:val="0007617E"/>
    <w:rsid w:val="00076CA2"/>
    <w:rsid w:val="00080C4F"/>
    <w:rsid w:val="00081A22"/>
    <w:rsid w:val="00081B15"/>
    <w:rsid w:val="00081DA4"/>
    <w:rsid w:val="000823F3"/>
    <w:rsid w:val="000852DD"/>
    <w:rsid w:val="00086157"/>
    <w:rsid w:val="00086ED8"/>
    <w:rsid w:val="0008735D"/>
    <w:rsid w:val="00087695"/>
    <w:rsid w:val="00090CD6"/>
    <w:rsid w:val="00091BBD"/>
    <w:rsid w:val="00096092"/>
    <w:rsid w:val="000A03DA"/>
    <w:rsid w:val="000A768F"/>
    <w:rsid w:val="000B2446"/>
    <w:rsid w:val="000B3B71"/>
    <w:rsid w:val="000C27AF"/>
    <w:rsid w:val="000C3D68"/>
    <w:rsid w:val="000C553F"/>
    <w:rsid w:val="000C70FA"/>
    <w:rsid w:val="000C7B16"/>
    <w:rsid w:val="000D2A38"/>
    <w:rsid w:val="000D5D5D"/>
    <w:rsid w:val="000E1324"/>
    <w:rsid w:val="000E1619"/>
    <w:rsid w:val="000E476C"/>
    <w:rsid w:val="000E4B5E"/>
    <w:rsid w:val="000E6C73"/>
    <w:rsid w:val="000E7252"/>
    <w:rsid w:val="000E7821"/>
    <w:rsid w:val="000F4AC2"/>
    <w:rsid w:val="000F58C7"/>
    <w:rsid w:val="000F6D50"/>
    <w:rsid w:val="001006CF"/>
    <w:rsid w:val="001010ED"/>
    <w:rsid w:val="00101636"/>
    <w:rsid w:val="00103FC5"/>
    <w:rsid w:val="001041AC"/>
    <w:rsid w:val="001045BB"/>
    <w:rsid w:val="001045FB"/>
    <w:rsid w:val="00104FA8"/>
    <w:rsid w:val="001127EB"/>
    <w:rsid w:val="00116DAA"/>
    <w:rsid w:val="0011722C"/>
    <w:rsid w:val="00117D19"/>
    <w:rsid w:val="0012185C"/>
    <w:rsid w:val="00127E90"/>
    <w:rsid w:val="00130F18"/>
    <w:rsid w:val="0014023F"/>
    <w:rsid w:val="0014188B"/>
    <w:rsid w:val="00142194"/>
    <w:rsid w:val="00144325"/>
    <w:rsid w:val="00147CAD"/>
    <w:rsid w:val="001535A4"/>
    <w:rsid w:val="0015741A"/>
    <w:rsid w:val="00162C1B"/>
    <w:rsid w:val="00165891"/>
    <w:rsid w:val="00165DCD"/>
    <w:rsid w:val="001716BF"/>
    <w:rsid w:val="0017177C"/>
    <w:rsid w:val="00177552"/>
    <w:rsid w:val="001806CB"/>
    <w:rsid w:val="00187871"/>
    <w:rsid w:val="00190903"/>
    <w:rsid w:val="001939BB"/>
    <w:rsid w:val="001A0ADF"/>
    <w:rsid w:val="001A2F8C"/>
    <w:rsid w:val="001A6A9F"/>
    <w:rsid w:val="001A7A6A"/>
    <w:rsid w:val="001B1148"/>
    <w:rsid w:val="001B1A52"/>
    <w:rsid w:val="001B5897"/>
    <w:rsid w:val="001B757C"/>
    <w:rsid w:val="001C1DFD"/>
    <w:rsid w:val="001C2A86"/>
    <w:rsid w:val="001C441A"/>
    <w:rsid w:val="001C5C17"/>
    <w:rsid w:val="001D4DDA"/>
    <w:rsid w:val="001D5DEB"/>
    <w:rsid w:val="001D6A5C"/>
    <w:rsid w:val="001E093B"/>
    <w:rsid w:val="001E1192"/>
    <w:rsid w:val="001E13FC"/>
    <w:rsid w:val="001E17C5"/>
    <w:rsid w:val="001E5D2A"/>
    <w:rsid w:val="001F1E71"/>
    <w:rsid w:val="00201D95"/>
    <w:rsid w:val="0020254D"/>
    <w:rsid w:val="0020377B"/>
    <w:rsid w:val="00205D8A"/>
    <w:rsid w:val="00211CA1"/>
    <w:rsid w:val="00212318"/>
    <w:rsid w:val="00212FBB"/>
    <w:rsid w:val="002177A4"/>
    <w:rsid w:val="00224DFB"/>
    <w:rsid w:val="00225D8E"/>
    <w:rsid w:val="0023144A"/>
    <w:rsid w:val="00232517"/>
    <w:rsid w:val="002350E5"/>
    <w:rsid w:val="00235D1A"/>
    <w:rsid w:val="00240260"/>
    <w:rsid w:val="002422A2"/>
    <w:rsid w:val="002431C1"/>
    <w:rsid w:val="00243A19"/>
    <w:rsid w:val="00244C9C"/>
    <w:rsid w:val="00251ABB"/>
    <w:rsid w:val="00252D33"/>
    <w:rsid w:val="0025351F"/>
    <w:rsid w:val="0025585F"/>
    <w:rsid w:val="002627B6"/>
    <w:rsid w:val="00262E9A"/>
    <w:rsid w:val="002645CA"/>
    <w:rsid w:val="00270F72"/>
    <w:rsid w:val="002727B6"/>
    <w:rsid w:val="0027371A"/>
    <w:rsid w:val="00273BC7"/>
    <w:rsid w:val="00275948"/>
    <w:rsid w:val="002823B6"/>
    <w:rsid w:val="00284583"/>
    <w:rsid w:val="00287298"/>
    <w:rsid w:val="0029039D"/>
    <w:rsid w:val="00290C6C"/>
    <w:rsid w:val="00293712"/>
    <w:rsid w:val="00293727"/>
    <w:rsid w:val="00294FCA"/>
    <w:rsid w:val="00295751"/>
    <w:rsid w:val="002968E9"/>
    <w:rsid w:val="002A168F"/>
    <w:rsid w:val="002A4E44"/>
    <w:rsid w:val="002A51C8"/>
    <w:rsid w:val="002A60C3"/>
    <w:rsid w:val="002A75D3"/>
    <w:rsid w:val="002B417E"/>
    <w:rsid w:val="002B4A8A"/>
    <w:rsid w:val="002B59AF"/>
    <w:rsid w:val="002C1806"/>
    <w:rsid w:val="002C3C6D"/>
    <w:rsid w:val="002C509D"/>
    <w:rsid w:val="002C532B"/>
    <w:rsid w:val="002C78E0"/>
    <w:rsid w:val="002C7EE3"/>
    <w:rsid w:val="002E03D0"/>
    <w:rsid w:val="002E0690"/>
    <w:rsid w:val="002E1950"/>
    <w:rsid w:val="002E6415"/>
    <w:rsid w:val="002E668B"/>
    <w:rsid w:val="002F0E0B"/>
    <w:rsid w:val="002F6F04"/>
    <w:rsid w:val="002F7B45"/>
    <w:rsid w:val="003109BD"/>
    <w:rsid w:val="003124A3"/>
    <w:rsid w:val="00312BED"/>
    <w:rsid w:val="0031446C"/>
    <w:rsid w:val="0032462A"/>
    <w:rsid w:val="00326695"/>
    <w:rsid w:val="003300E1"/>
    <w:rsid w:val="00334F44"/>
    <w:rsid w:val="00335E07"/>
    <w:rsid w:val="00336B0C"/>
    <w:rsid w:val="003402CC"/>
    <w:rsid w:val="00341E25"/>
    <w:rsid w:val="003424A9"/>
    <w:rsid w:val="0034277B"/>
    <w:rsid w:val="00342FF2"/>
    <w:rsid w:val="00345F6A"/>
    <w:rsid w:val="00354083"/>
    <w:rsid w:val="00355683"/>
    <w:rsid w:val="00356361"/>
    <w:rsid w:val="003612FA"/>
    <w:rsid w:val="00361924"/>
    <w:rsid w:val="00364073"/>
    <w:rsid w:val="003649E3"/>
    <w:rsid w:val="0037021A"/>
    <w:rsid w:val="00370465"/>
    <w:rsid w:val="00376797"/>
    <w:rsid w:val="00386843"/>
    <w:rsid w:val="00386D16"/>
    <w:rsid w:val="003872B8"/>
    <w:rsid w:val="003915DD"/>
    <w:rsid w:val="00391DF0"/>
    <w:rsid w:val="00395143"/>
    <w:rsid w:val="00395B78"/>
    <w:rsid w:val="003B12B6"/>
    <w:rsid w:val="003B1A0A"/>
    <w:rsid w:val="003B5D8A"/>
    <w:rsid w:val="003C3A3E"/>
    <w:rsid w:val="003C581C"/>
    <w:rsid w:val="003C6F78"/>
    <w:rsid w:val="003D0E8A"/>
    <w:rsid w:val="003D585E"/>
    <w:rsid w:val="003E32CA"/>
    <w:rsid w:val="003E3AFE"/>
    <w:rsid w:val="003F0BA7"/>
    <w:rsid w:val="003F1C98"/>
    <w:rsid w:val="003F2108"/>
    <w:rsid w:val="003F24CC"/>
    <w:rsid w:val="003F27DE"/>
    <w:rsid w:val="003F39B7"/>
    <w:rsid w:val="003F4793"/>
    <w:rsid w:val="003F578C"/>
    <w:rsid w:val="0040051A"/>
    <w:rsid w:val="00401E0E"/>
    <w:rsid w:val="00410787"/>
    <w:rsid w:val="004153FF"/>
    <w:rsid w:val="004176B1"/>
    <w:rsid w:val="00420046"/>
    <w:rsid w:val="004252E5"/>
    <w:rsid w:val="00426384"/>
    <w:rsid w:val="00427524"/>
    <w:rsid w:val="00437E3A"/>
    <w:rsid w:val="00441D1F"/>
    <w:rsid w:val="00447673"/>
    <w:rsid w:val="0045178B"/>
    <w:rsid w:val="00455134"/>
    <w:rsid w:val="0045528B"/>
    <w:rsid w:val="004561ED"/>
    <w:rsid w:val="00457526"/>
    <w:rsid w:val="00460184"/>
    <w:rsid w:val="00464DC8"/>
    <w:rsid w:val="004656AD"/>
    <w:rsid w:val="00466982"/>
    <w:rsid w:val="00467C7F"/>
    <w:rsid w:val="00472D09"/>
    <w:rsid w:val="00472E6C"/>
    <w:rsid w:val="0047321A"/>
    <w:rsid w:val="004801AA"/>
    <w:rsid w:val="0048100C"/>
    <w:rsid w:val="00482042"/>
    <w:rsid w:val="0048483C"/>
    <w:rsid w:val="00490BC7"/>
    <w:rsid w:val="00494BC0"/>
    <w:rsid w:val="004954D5"/>
    <w:rsid w:val="00497981"/>
    <w:rsid w:val="004A57E5"/>
    <w:rsid w:val="004A632D"/>
    <w:rsid w:val="004A7A25"/>
    <w:rsid w:val="004B1C2A"/>
    <w:rsid w:val="004B2E5E"/>
    <w:rsid w:val="004C0978"/>
    <w:rsid w:val="004C1DB3"/>
    <w:rsid w:val="004C3DB6"/>
    <w:rsid w:val="004C578B"/>
    <w:rsid w:val="004C7A47"/>
    <w:rsid w:val="004D046C"/>
    <w:rsid w:val="004D1963"/>
    <w:rsid w:val="004E2665"/>
    <w:rsid w:val="004E5F10"/>
    <w:rsid w:val="004F0D3E"/>
    <w:rsid w:val="004F0D58"/>
    <w:rsid w:val="004F2B1D"/>
    <w:rsid w:val="004F3CF5"/>
    <w:rsid w:val="00511FBC"/>
    <w:rsid w:val="00512A69"/>
    <w:rsid w:val="00515A88"/>
    <w:rsid w:val="00515DB4"/>
    <w:rsid w:val="0051767B"/>
    <w:rsid w:val="0051777D"/>
    <w:rsid w:val="00522626"/>
    <w:rsid w:val="00522F5D"/>
    <w:rsid w:val="00526209"/>
    <w:rsid w:val="005309EE"/>
    <w:rsid w:val="005323CB"/>
    <w:rsid w:val="00534E86"/>
    <w:rsid w:val="00540163"/>
    <w:rsid w:val="00540C91"/>
    <w:rsid w:val="005412AC"/>
    <w:rsid w:val="00546047"/>
    <w:rsid w:val="00547EFB"/>
    <w:rsid w:val="00551FF8"/>
    <w:rsid w:val="005532B4"/>
    <w:rsid w:val="005553C6"/>
    <w:rsid w:val="00555A3F"/>
    <w:rsid w:val="00556C39"/>
    <w:rsid w:val="00561AFE"/>
    <w:rsid w:val="0056210A"/>
    <w:rsid w:val="00566044"/>
    <w:rsid w:val="00577063"/>
    <w:rsid w:val="00577A11"/>
    <w:rsid w:val="00577E39"/>
    <w:rsid w:val="00583BE6"/>
    <w:rsid w:val="005867B2"/>
    <w:rsid w:val="0059007A"/>
    <w:rsid w:val="00591E69"/>
    <w:rsid w:val="005931CF"/>
    <w:rsid w:val="00596372"/>
    <w:rsid w:val="00597772"/>
    <w:rsid w:val="005A1760"/>
    <w:rsid w:val="005A49D8"/>
    <w:rsid w:val="005A5985"/>
    <w:rsid w:val="005A674D"/>
    <w:rsid w:val="005B29F6"/>
    <w:rsid w:val="005B3C4C"/>
    <w:rsid w:val="005B4681"/>
    <w:rsid w:val="005B70AB"/>
    <w:rsid w:val="005B797C"/>
    <w:rsid w:val="005C0D88"/>
    <w:rsid w:val="005C1D01"/>
    <w:rsid w:val="005C2CE3"/>
    <w:rsid w:val="005C5D92"/>
    <w:rsid w:val="005C6DDE"/>
    <w:rsid w:val="005D0B1E"/>
    <w:rsid w:val="005D4D93"/>
    <w:rsid w:val="005D503B"/>
    <w:rsid w:val="005D5EDA"/>
    <w:rsid w:val="005D724F"/>
    <w:rsid w:val="005E63A8"/>
    <w:rsid w:val="005F2C40"/>
    <w:rsid w:val="005F60DF"/>
    <w:rsid w:val="005F6C91"/>
    <w:rsid w:val="006018F4"/>
    <w:rsid w:val="00602A2B"/>
    <w:rsid w:val="00602A9E"/>
    <w:rsid w:val="00604EF6"/>
    <w:rsid w:val="00606538"/>
    <w:rsid w:val="00606A6B"/>
    <w:rsid w:val="006145EE"/>
    <w:rsid w:val="00617B61"/>
    <w:rsid w:val="00620D1F"/>
    <w:rsid w:val="00621B24"/>
    <w:rsid w:val="00622771"/>
    <w:rsid w:val="00623271"/>
    <w:rsid w:val="0062441A"/>
    <w:rsid w:val="00624AAF"/>
    <w:rsid w:val="00627D7A"/>
    <w:rsid w:val="006415AE"/>
    <w:rsid w:val="006476F5"/>
    <w:rsid w:val="006555E2"/>
    <w:rsid w:val="006566B8"/>
    <w:rsid w:val="006623D4"/>
    <w:rsid w:val="00665F14"/>
    <w:rsid w:val="006701B1"/>
    <w:rsid w:val="00671228"/>
    <w:rsid w:val="00675F83"/>
    <w:rsid w:val="006779FB"/>
    <w:rsid w:val="0068232B"/>
    <w:rsid w:val="00683A9A"/>
    <w:rsid w:val="006854EB"/>
    <w:rsid w:val="00687A3C"/>
    <w:rsid w:val="006910B2"/>
    <w:rsid w:val="00694E0D"/>
    <w:rsid w:val="006A0383"/>
    <w:rsid w:val="006A29BA"/>
    <w:rsid w:val="006A4AE9"/>
    <w:rsid w:val="006A788F"/>
    <w:rsid w:val="006B06A9"/>
    <w:rsid w:val="006B08F4"/>
    <w:rsid w:val="006B3ADF"/>
    <w:rsid w:val="006B6557"/>
    <w:rsid w:val="006B70A7"/>
    <w:rsid w:val="006B7AD1"/>
    <w:rsid w:val="006B7B21"/>
    <w:rsid w:val="006B7CF6"/>
    <w:rsid w:val="006B7DB2"/>
    <w:rsid w:val="006C3BA4"/>
    <w:rsid w:val="006C4814"/>
    <w:rsid w:val="006C5815"/>
    <w:rsid w:val="006C648D"/>
    <w:rsid w:val="006D267C"/>
    <w:rsid w:val="006D26E6"/>
    <w:rsid w:val="006E41A4"/>
    <w:rsid w:val="006E4DCC"/>
    <w:rsid w:val="006E62D5"/>
    <w:rsid w:val="006E7545"/>
    <w:rsid w:val="006F1A51"/>
    <w:rsid w:val="006F390C"/>
    <w:rsid w:val="006F3972"/>
    <w:rsid w:val="0070193B"/>
    <w:rsid w:val="007038BE"/>
    <w:rsid w:val="00704F6D"/>
    <w:rsid w:val="00707F49"/>
    <w:rsid w:val="00710DEB"/>
    <w:rsid w:val="00710F1D"/>
    <w:rsid w:val="00711D7C"/>
    <w:rsid w:val="0071555F"/>
    <w:rsid w:val="00715F71"/>
    <w:rsid w:val="00717FC4"/>
    <w:rsid w:val="00721F74"/>
    <w:rsid w:val="0072344F"/>
    <w:rsid w:val="00723F0D"/>
    <w:rsid w:val="007256AD"/>
    <w:rsid w:val="00730A26"/>
    <w:rsid w:val="00730CB9"/>
    <w:rsid w:val="00730E0E"/>
    <w:rsid w:val="00731FE6"/>
    <w:rsid w:val="00732248"/>
    <w:rsid w:val="00735792"/>
    <w:rsid w:val="00740640"/>
    <w:rsid w:val="00742C37"/>
    <w:rsid w:val="00742EC3"/>
    <w:rsid w:val="00743E5B"/>
    <w:rsid w:val="007465E4"/>
    <w:rsid w:val="007520E7"/>
    <w:rsid w:val="007534DE"/>
    <w:rsid w:val="00757BF7"/>
    <w:rsid w:val="00766DEC"/>
    <w:rsid w:val="00771889"/>
    <w:rsid w:val="0077407F"/>
    <w:rsid w:val="00776BE5"/>
    <w:rsid w:val="00777EC3"/>
    <w:rsid w:val="00780A74"/>
    <w:rsid w:val="00784498"/>
    <w:rsid w:val="00791362"/>
    <w:rsid w:val="00792CFB"/>
    <w:rsid w:val="007933B1"/>
    <w:rsid w:val="00793E53"/>
    <w:rsid w:val="0079705A"/>
    <w:rsid w:val="007A6B5A"/>
    <w:rsid w:val="007A75BE"/>
    <w:rsid w:val="007B2A07"/>
    <w:rsid w:val="007B5DFE"/>
    <w:rsid w:val="007B7EC4"/>
    <w:rsid w:val="007C0272"/>
    <w:rsid w:val="007C2B9B"/>
    <w:rsid w:val="007C36FE"/>
    <w:rsid w:val="007C3BEE"/>
    <w:rsid w:val="007C667D"/>
    <w:rsid w:val="007C72FB"/>
    <w:rsid w:val="007D2017"/>
    <w:rsid w:val="007E0513"/>
    <w:rsid w:val="007E5C8C"/>
    <w:rsid w:val="007F09C1"/>
    <w:rsid w:val="007F67F7"/>
    <w:rsid w:val="007F71AF"/>
    <w:rsid w:val="008024A8"/>
    <w:rsid w:val="008026C9"/>
    <w:rsid w:val="00803880"/>
    <w:rsid w:val="00806FC4"/>
    <w:rsid w:val="00816DBE"/>
    <w:rsid w:val="0082123C"/>
    <w:rsid w:val="008212AD"/>
    <w:rsid w:val="00821CFD"/>
    <w:rsid w:val="00822271"/>
    <w:rsid w:val="00825888"/>
    <w:rsid w:val="00827F27"/>
    <w:rsid w:val="0083050B"/>
    <w:rsid w:val="00834E43"/>
    <w:rsid w:val="00842D1B"/>
    <w:rsid w:val="00843F6A"/>
    <w:rsid w:val="008450DC"/>
    <w:rsid w:val="00851191"/>
    <w:rsid w:val="00851F7F"/>
    <w:rsid w:val="00860550"/>
    <w:rsid w:val="00862CFE"/>
    <w:rsid w:val="008657B4"/>
    <w:rsid w:val="00865A70"/>
    <w:rsid w:val="00866161"/>
    <w:rsid w:val="00866E40"/>
    <w:rsid w:val="00870E25"/>
    <w:rsid w:val="008763DD"/>
    <w:rsid w:val="00876734"/>
    <w:rsid w:val="008778AA"/>
    <w:rsid w:val="008820E0"/>
    <w:rsid w:val="008844A0"/>
    <w:rsid w:val="00885E03"/>
    <w:rsid w:val="008878D5"/>
    <w:rsid w:val="008944FB"/>
    <w:rsid w:val="008A5229"/>
    <w:rsid w:val="008A590F"/>
    <w:rsid w:val="008A7BCE"/>
    <w:rsid w:val="008A7DE0"/>
    <w:rsid w:val="008B03B3"/>
    <w:rsid w:val="008B3E8C"/>
    <w:rsid w:val="008C024F"/>
    <w:rsid w:val="008C46BE"/>
    <w:rsid w:val="008C571D"/>
    <w:rsid w:val="008C7CEE"/>
    <w:rsid w:val="008D1466"/>
    <w:rsid w:val="008D1BED"/>
    <w:rsid w:val="008D573C"/>
    <w:rsid w:val="008D647B"/>
    <w:rsid w:val="008D6E59"/>
    <w:rsid w:val="008E2B02"/>
    <w:rsid w:val="008F50EB"/>
    <w:rsid w:val="008F568A"/>
    <w:rsid w:val="008F6D0F"/>
    <w:rsid w:val="00903100"/>
    <w:rsid w:val="009040BD"/>
    <w:rsid w:val="00904547"/>
    <w:rsid w:val="00904FE3"/>
    <w:rsid w:val="00907BC7"/>
    <w:rsid w:val="009117CE"/>
    <w:rsid w:val="00911BB6"/>
    <w:rsid w:val="00912040"/>
    <w:rsid w:val="00920A47"/>
    <w:rsid w:val="00920C87"/>
    <w:rsid w:val="00921DF6"/>
    <w:rsid w:val="00922473"/>
    <w:rsid w:val="00923B9B"/>
    <w:rsid w:val="009311CD"/>
    <w:rsid w:val="00932EA6"/>
    <w:rsid w:val="00933BDF"/>
    <w:rsid w:val="00940BF0"/>
    <w:rsid w:val="00941E3E"/>
    <w:rsid w:val="00942AD8"/>
    <w:rsid w:val="00942EEC"/>
    <w:rsid w:val="0094325A"/>
    <w:rsid w:val="00945162"/>
    <w:rsid w:val="0094602F"/>
    <w:rsid w:val="009520AA"/>
    <w:rsid w:val="00952D27"/>
    <w:rsid w:val="009534D2"/>
    <w:rsid w:val="009657E9"/>
    <w:rsid w:val="009661C9"/>
    <w:rsid w:val="00966AA9"/>
    <w:rsid w:val="00970E76"/>
    <w:rsid w:val="0097238F"/>
    <w:rsid w:val="00972E64"/>
    <w:rsid w:val="00974527"/>
    <w:rsid w:val="00983E7D"/>
    <w:rsid w:val="00986352"/>
    <w:rsid w:val="00991F23"/>
    <w:rsid w:val="0099370B"/>
    <w:rsid w:val="00996232"/>
    <w:rsid w:val="00997C30"/>
    <w:rsid w:val="009A2AA9"/>
    <w:rsid w:val="009A2BA2"/>
    <w:rsid w:val="009A3814"/>
    <w:rsid w:val="009B1C90"/>
    <w:rsid w:val="009B3C55"/>
    <w:rsid w:val="009B575F"/>
    <w:rsid w:val="009C2659"/>
    <w:rsid w:val="009C5D0B"/>
    <w:rsid w:val="009C6AFE"/>
    <w:rsid w:val="009D3559"/>
    <w:rsid w:val="009D60A9"/>
    <w:rsid w:val="009E3D56"/>
    <w:rsid w:val="009E6687"/>
    <w:rsid w:val="009F00D1"/>
    <w:rsid w:val="009F0FEA"/>
    <w:rsid w:val="009F1958"/>
    <w:rsid w:val="009F1B6A"/>
    <w:rsid w:val="009F2C74"/>
    <w:rsid w:val="009F3E84"/>
    <w:rsid w:val="009F45EA"/>
    <w:rsid w:val="009F5AB1"/>
    <w:rsid w:val="009F6C3B"/>
    <w:rsid w:val="009F7445"/>
    <w:rsid w:val="009F7613"/>
    <w:rsid w:val="00A01677"/>
    <w:rsid w:val="00A043BB"/>
    <w:rsid w:val="00A044B8"/>
    <w:rsid w:val="00A054DD"/>
    <w:rsid w:val="00A12BBB"/>
    <w:rsid w:val="00A17FA0"/>
    <w:rsid w:val="00A20AF0"/>
    <w:rsid w:val="00A237F8"/>
    <w:rsid w:val="00A36F51"/>
    <w:rsid w:val="00A42DA6"/>
    <w:rsid w:val="00A42EEE"/>
    <w:rsid w:val="00A502F9"/>
    <w:rsid w:val="00A5283A"/>
    <w:rsid w:val="00A61EC3"/>
    <w:rsid w:val="00A62D07"/>
    <w:rsid w:val="00A7072D"/>
    <w:rsid w:val="00A74A46"/>
    <w:rsid w:val="00A77D1C"/>
    <w:rsid w:val="00A80169"/>
    <w:rsid w:val="00A82E63"/>
    <w:rsid w:val="00A83FCD"/>
    <w:rsid w:val="00A869D3"/>
    <w:rsid w:val="00A920B6"/>
    <w:rsid w:val="00A92681"/>
    <w:rsid w:val="00A93151"/>
    <w:rsid w:val="00A94DAE"/>
    <w:rsid w:val="00A974FB"/>
    <w:rsid w:val="00AA1BA9"/>
    <w:rsid w:val="00AA1D20"/>
    <w:rsid w:val="00AA3C7F"/>
    <w:rsid w:val="00AA5D04"/>
    <w:rsid w:val="00AA6183"/>
    <w:rsid w:val="00AB141C"/>
    <w:rsid w:val="00AB25C3"/>
    <w:rsid w:val="00AB25D9"/>
    <w:rsid w:val="00AB268B"/>
    <w:rsid w:val="00AB776A"/>
    <w:rsid w:val="00AC0826"/>
    <w:rsid w:val="00AC5EC2"/>
    <w:rsid w:val="00AC78CA"/>
    <w:rsid w:val="00AD0515"/>
    <w:rsid w:val="00AD074D"/>
    <w:rsid w:val="00AD2BE3"/>
    <w:rsid w:val="00AD5181"/>
    <w:rsid w:val="00AE26FE"/>
    <w:rsid w:val="00AE2D56"/>
    <w:rsid w:val="00AE484A"/>
    <w:rsid w:val="00AE5DC6"/>
    <w:rsid w:val="00AE5F76"/>
    <w:rsid w:val="00AF1691"/>
    <w:rsid w:val="00AF276F"/>
    <w:rsid w:val="00AF476A"/>
    <w:rsid w:val="00AF5DCC"/>
    <w:rsid w:val="00B02BE4"/>
    <w:rsid w:val="00B0398A"/>
    <w:rsid w:val="00B04575"/>
    <w:rsid w:val="00B059F3"/>
    <w:rsid w:val="00B061F1"/>
    <w:rsid w:val="00B13893"/>
    <w:rsid w:val="00B14097"/>
    <w:rsid w:val="00B153E1"/>
    <w:rsid w:val="00B209BE"/>
    <w:rsid w:val="00B309E3"/>
    <w:rsid w:val="00B317E1"/>
    <w:rsid w:val="00B3798B"/>
    <w:rsid w:val="00B403D2"/>
    <w:rsid w:val="00B421A5"/>
    <w:rsid w:val="00B525EA"/>
    <w:rsid w:val="00B532A6"/>
    <w:rsid w:val="00B53D77"/>
    <w:rsid w:val="00B56402"/>
    <w:rsid w:val="00B57DAB"/>
    <w:rsid w:val="00B6080A"/>
    <w:rsid w:val="00B62C04"/>
    <w:rsid w:val="00B62D68"/>
    <w:rsid w:val="00B6399E"/>
    <w:rsid w:val="00B641BA"/>
    <w:rsid w:val="00B6793E"/>
    <w:rsid w:val="00B70B39"/>
    <w:rsid w:val="00B70E3C"/>
    <w:rsid w:val="00B74A2C"/>
    <w:rsid w:val="00B77B05"/>
    <w:rsid w:val="00B82EF2"/>
    <w:rsid w:val="00B84E4D"/>
    <w:rsid w:val="00B86EB3"/>
    <w:rsid w:val="00B92ED3"/>
    <w:rsid w:val="00B93994"/>
    <w:rsid w:val="00B940F7"/>
    <w:rsid w:val="00B973D0"/>
    <w:rsid w:val="00BA351B"/>
    <w:rsid w:val="00BB0D46"/>
    <w:rsid w:val="00BB0E38"/>
    <w:rsid w:val="00BB1F96"/>
    <w:rsid w:val="00BB5E7C"/>
    <w:rsid w:val="00BC0F3C"/>
    <w:rsid w:val="00BC1E2F"/>
    <w:rsid w:val="00BC1E58"/>
    <w:rsid w:val="00BC26AB"/>
    <w:rsid w:val="00BC3EFB"/>
    <w:rsid w:val="00BC43F6"/>
    <w:rsid w:val="00BD0CB7"/>
    <w:rsid w:val="00BD35E4"/>
    <w:rsid w:val="00BE21EA"/>
    <w:rsid w:val="00BE40A8"/>
    <w:rsid w:val="00BE740B"/>
    <w:rsid w:val="00BF09D5"/>
    <w:rsid w:val="00BF2498"/>
    <w:rsid w:val="00BF37AD"/>
    <w:rsid w:val="00BF3942"/>
    <w:rsid w:val="00BF40FA"/>
    <w:rsid w:val="00BF4765"/>
    <w:rsid w:val="00BF594E"/>
    <w:rsid w:val="00C00F13"/>
    <w:rsid w:val="00C033D7"/>
    <w:rsid w:val="00C0455E"/>
    <w:rsid w:val="00C06041"/>
    <w:rsid w:val="00C12D0C"/>
    <w:rsid w:val="00C133C1"/>
    <w:rsid w:val="00C16D2B"/>
    <w:rsid w:val="00C23BC7"/>
    <w:rsid w:val="00C26352"/>
    <w:rsid w:val="00C31746"/>
    <w:rsid w:val="00C32390"/>
    <w:rsid w:val="00C32E4B"/>
    <w:rsid w:val="00C340E9"/>
    <w:rsid w:val="00C350A0"/>
    <w:rsid w:val="00C50904"/>
    <w:rsid w:val="00C51282"/>
    <w:rsid w:val="00C51F0A"/>
    <w:rsid w:val="00C53C93"/>
    <w:rsid w:val="00C61582"/>
    <w:rsid w:val="00C626C4"/>
    <w:rsid w:val="00C6507A"/>
    <w:rsid w:val="00C66D7F"/>
    <w:rsid w:val="00C705DA"/>
    <w:rsid w:val="00C72863"/>
    <w:rsid w:val="00C742D5"/>
    <w:rsid w:val="00C74E5A"/>
    <w:rsid w:val="00C87E0F"/>
    <w:rsid w:val="00C905DB"/>
    <w:rsid w:val="00C93475"/>
    <w:rsid w:val="00C96191"/>
    <w:rsid w:val="00C97874"/>
    <w:rsid w:val="00CA005A"/>
    <w:rsid w:val="00CA4786"/>
    <w:rsid w:val="00CA4DA0"/>
    <w:rsid w:val="00CB47AD"/>
    <w:rsid w:val="00CB7645"/>
    <w:rsid w:val="00CB7B09"/>
    <w:rsid w:val="00CC0B46"/>
    <w:rsid w:val="00CC1E00"/>
    <w:rsid w:val="00CC3D29"/>
    <w:rsid w:val="00CC6DDC"/>
    <w:rsid w:val="00CD1B97"/>
    <w:rsid w:val="00CD4302"/>
    <w:rsid w:val="00CD4805"/>
    <w:rsid w:val="00CD4EA6"/>
    <w:rsid w:val="00CD5992"/>
    <w:rsid w:val="00CD5A4D"/>
    <w:rsid w:val="00CD629A"/>
    <w:rsid w:val="00CD770F"/>
    <w:rsid w:val="00CE7788"/>
    <w:rsid w:val="00CF5873"/>
    <w:rsid w:val="00D001A9"/>
    <w:rsid w:val="00D00225"/>
    <w:rsid w:val="00D00CC7"/>
    <w:rsid w:val="00D02629"/>
    <w:rsid w:val="00D02DFC"/>
    <w:rsid w:val="00D04ED4"/>
    <w:rsid w:val="00D055A9"/>
    <w:rsid w:val="00D07FEF"/>
    <w:rsid w:val="00D12CE1"/>
    <w:rsid w:val="00D12F2D"/>
    <w:rsid w:val="00D220B7"/>
    <w:rsid w:val="00D22C6C"/>
    <w:rsid w:val="00D2426C"/>
    <w:rsid w:val="00D25750"/>
    <w:rsid w:val="00D32EF6"/>
    <w:rsid w:val="00D330B4"/>
    <w:rsid w:val="00D33631"/>
    <w:rsid w:val="00D34FE1"/>
    <w:rsid w:val="00D40F9B"/>
    <w:rsid w:val="00D44D33"/>
    <w:rsid w:val="00D4639F"/>
    <w:rsid w:val="00D532C9"/>
    <w:rsid w:val="00D559DA"/>
    <w:rsid w:val="00D55B30"/>
    <w:rsid w:val="00D55D8F"/>
    <w:rsid w:val="00D67585"/>
    <w:rsid w:val="00D71D73"/>
    <w:rsid w:val="00D72611"/>
    <w:rsid w:val="00D75E79"/>
    <w:rsid w:val="00D813D3"/>
    <w:rsid w:val="00D8220B"/>
    <w:rsid w:val="00D86DF8"/>
    <w:rsid w:val="00D87979"/>
    <w:rsid w:val="00D92B5A"/>
    <w:rsid w:val="00D96CB2"/>
    <w:rsid w:val="00DA022B"/>
    <w:rsid w:val="00DA02EA"/>
    <w:rsid w:val="00DA20DB"/>
    <w:rsid w:val="00DA3458"/>
    <w:rsid w:val="00DA7C80"/>
    <w:rsid w:val="00DB2A47"/>
    <w:rsid w:val="00DB5FC9"/>
    <w:rsid w:val="00DB6338"/>
    <w:rsid w:val="00DC0160"/>
    <w:rsid w:val="00DC144C"/>
    <w:rsid w:val="00DC251B"/>
    <w:rsid w:val="00DC28AD"/>
    <w:rsid w:val="00DC3262"/>
    <w:rsid w:val="00DC43F0"/>
    <w:rsid w:val="00DD0533"/>
    <w:rsid w:val="00DD7DA7"/>
    <w:rsid w:val="00DD7EE0"/>
    <w:rsid w:val="00DE00A0"/>
    <w:rsid w:val="00DE3D64"/>
    <w:rsid w:val="00DE5E52"/>
    <w:rsid w:val="00DF1228"/>
    <w:rsid w:val="00E03427"/>
    <w:rsid w:val="00E22C2F"/>
    <w:rsid w:val="00E251E4"/>
    <w:rsid w:val="00E25F0F"/>
    <w:rsid w:val="00E26199"/>
    <w:rsid w:val="00E26E09"/>
    <w:rsid w:val="00E31E20"/>
    <w:rsid w:val="00E3494E"/>
    <w:rsid w:val="00E36703"/>
    <w:rsid w:val="00E40F58"/>
    <w:rsid w:val="00E40FBD"/>
    <w:rsid w:val="00E425B8"/>
    <w:rsid w:val="00E4531E"/>
    <w:rsid w:val="00E53347"/>
    <w:rsid w:val="00E5334E"/>
    <w:rsid w:val="00E5649D"/>
    <w:rsid w:val="00E6239F"/>
    <w:rsid w:val="00E6399D"/>
    <w:rsid w:val="00E65816"/>
    <w:rsid w:val="00E66083"/>
    <w:rsid w:val="00E661AF"/>
    <w:rsid w:val="00E71E6F"/>
    <w:rsid w:val="00E757E5"/>
    <w:rsid w:val="00E82991"/>
    <w:rsid w:val="00E83693"/>
    <w:rsid w:val="00E9667C"/>
    <w:rsid w:val="00E967D6"/>
    <w:rsid w:val="00E968EE"/>
    <w:rsid w:val="00E978B3"/>
    <w:rsid w:val="00EA1874"/>
    <w:rsid w:val="00EA2E64"/>
    <w:rsid w:val="00EA308D"/>
    <w:rsid w:val="00EA59E9"/>
    <w:rsid w:val="00EB0776"/>
    <w:rsid w:val="00EC061E"/>
    <w:rsid w:val="00EC6E4B"/>
    <w:rsid w:val="00ED118C"/>
    <w:rsid w:val="00ED24F2"/>
    <w:rsid w:val="00ED25A7"/>
    <w:rsid w:val="00ED28FC"/>
    <w:rsid w:val="00ED291F"/>
    <w:rsid w:val="00EE1306"/>
    <w:rsid w:val="00EE4BC4"/>
    <w:rsid w:val="00EE5384"/>
    <w:rsid w:val="00EE53C8"/>
    <w:rsid w:val="00EE7A14"/>
    <w:rsid w:val="00EF274E"/>
    <w:rsid w:val="00EF580A"/>
    <w:rsid w:val="00F012BE"/>
    <w:rsid w:val="00F05071"/>
    <w:rsid w:val="00F16980"/>
    <w:rsid w:val="00F17A23"/>
    <w:rsid w:val="00F20278"/>
    <w:rsid w:val="00F23E10"/>
    <w:rsid w:val="00F25CD6"/>
    <w:rsid w:val="00F270AB"/>
    <w:rsid w:val="00F2781E"/>
    <w:rsid w:val="00F27D72"/>
    <w:rsid w:val="00F31C25"/>
    <w:rsid w:val="00F32189"/>
    <w:rsid w:val="00F32579"/>
    <w:rsid w:val="00F32AFA"/>
    <w:rsid w:val="00F33DBF"/>
    <w:rsid w:val="00F4287E"/>
    <w:rsid w:val="00F5204C"/>
    <w:rsid w:val="00F53809"/>
    <w:rsid w:val="00F56C5C"/>
    <w:rsid w:val="00F60370"/>
    <w:rsid w:val="00F60DBF"/>
    <w:rsid w:val="00F62018"/>
    <w:rsid w:val="00F643FB"/>
    <w:rsid w:val="00F65107"/>
    <w:rsid w:val="00F6630F"/>
    <w:rsid w:val="00F67964"/>
    <w:rsid w:val="00F71B82"/>
    <w:rsid w:val="00F76428"/>
    <w:rsid w:val="00F828E3"/>
    <w:rsid w:val="00F85389"/>
    <w:rsid w:val="00F97721"/>
    <w:rsid w:val="00FA076F"/>
    <w:rsid w:val="00FA1697"/>
    <w:rsid w:val="00FA32D5"/>
    <w:rsid w:val="00FA52ED"/>
    <w:rsid w:val="00FA5C9F"/>
    <w:rsid w:val="00FA68E4"/>
    <w:rsid w:val="00FA6905"/>
    <w:rsid w:val="00FB1067"/>
    <w:rsid w:val="00FB2B46"/>
    <w:rsid w:val="00FC03EF"/>
    <w:rsid w:val="00FC12D4"/>
    <w:rsid w:val="00FC16E4"/>
    <w:rsid w:val="00FC285C"/>
    <w:rsid w:val="00FC54E3"/>
    <w:rsid w:val="00FC7EE8"/>
    <w:rsid w:val="00FD1DC6"/>
    <w:rsid w:val="00FD2075"/>
    <w:rsid w:val="00FD25B2"/>
    <w:rsid w:val="00FD3EFE"/>
    <w:rsid w:val="00FD521D"/>
    <w:rsid w:val="00FD6685"/>
    <w:rsid w:val="00FD7B49"/>
    <w:rsid w:val="00FE16A7"/>
    <w:rsid w:val="00FE20B0"/>
    <w:rsid w:val="00FE3FD5"/>
    <w:rsid w:val="00FF6DB6"/>
    <w:rsid w:val="265C38F6"/>
    <w:rsid w:val="30670D37"/>
    <w:rsid w:val="4DFF6C8F"/>
    <w:rsid w:val="6F1F531E"/>
    <w:rsid w:val="79FF6DA8"/>
    <w:rsid w:val="7F7E6360"/>
    <w:rsid w:val="DFDFA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qFormat="1" w:unhideWhenUsed="0" w:uiPriority="0" w:semiHidden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4"/>
    <w:next w:val="1"/>
    <w:unhideWhenUsed/>
    <w:qFormat/>
    <w:uiPriority w:val="0"/>
    <w:pPr>
      <w:keepNext/>
      <w:keepLines/>
      <w:numPr>
        <w:ilvl w:val="0"/>
        <w:numId w:val="1"/>
      </w:numPr>
      <w:spacing w:before="240" w:after="240" w:line="360" w:lineRule="auto"/>
      <w:ind w:firstLine="721" w:firstLineChars="200"/>
      <w:outlineLvl w:val="1"/>
    </w:pPr>
    <w:rPr>
      <w:rFonts w:eastAsia="黑体" w:asciiTheme="majorHAnsi" w:hAnsiTheme="majorHAnsi" w:cstheme="majorBidi"/>
      <w:bCs/>
      <w:sz w:val="26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lock Text"/>
    <w:basedOn w:val="1"/>
    <w:qFormat/>
    <w:uiPriority w:val="0"/>
    <w:pPr>
      <w:ind w:left="1440" w:leftChars="700" w:right="700" w:rightChars="700"/>
    </w:pPr>
  </w:style>
  <w:style w:type="paragraph" w:styleId="5">
    <w:name w:val="annotation text"/>
    <w:basedOn w:val="1"/>
    <w:link w:val="22"/>
    <w:unhideWhenUsed/>
    <w:qFormat/>
    <w:uiPriority w:val="0"/>
    <w:pPr>
      <w:jc w:val="left"/>
    </w:pPr>
  </w:style>
  <w:style w:type="paragraph" w:styleId="6">
    <w:name w:val="Body Text"/>
    <w:basedOn w:val="1"/>
    <w:link w:val="24"/>
    <w:semiHidden/>
    <w:unhideWhenUsed/>
    <w:qFormat/>
    <w:uiPriority w:val="99"/>
    <w:pPr>
      <w:spacing w:after="120"/>
    </w:pPr>
  </w:style>
  <w:style w:type="paragraph" w:styleId="7">
    <w:name w:val="Body Text Indent 2"/>
    <w:basedOn w:val="1"/>
    <w:qFormat/>
    <w:uiPriority w:val="0"/>
    <w:pPr>
      <w:spacing w:line="600" w:lineRule="exact"/>
      <w:ind w:firstLine="600" w:firstLineChars="200"/>
    </w:pPr>
    <w:rPr>
      <w:rFonts w:ascii="仿宋_GB2312" w:hAnsi="宋体" w:eastAsia="仿宋_GB2312" w:cs="Times New Roman"/>
      <w:sz w:val="30"/>
      <w:szCs w:val="30"/>
    </w:rPr>
  </w:style>
  <w:style w:type="paragraph" w:styleId="8">
    <w:name w:val="Balloon Text"/>
    <w:basedOn w:val="1"/>
    <w:link w:val="21"/>
    <w:qFormat/>
    <w:uiPriority w:val="0"/>
    <w:rPr>
      <w:sz w:val="18"/>
      <w:szCs w:val="18"/>
    </w:rPr>
  </w:style>
  <w:style w:type="paragraph" w:styleId="9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5"/>
    <w:next w:val="5"/>
    <w:link w:val="23"/>
    <w:semiHidden/>
    <w:unhideWhenUsed/>
    <w:qFormat/>
    <w:uiPriority w:val="0"/>
    <w:rPr>
      <w:b/>
      <w:bCs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annotation reference"/>
    <w:basedOn w:val="15"/>
    <w:semiHidden/>
    <w:unhideWhenUsed/>
    <w:qFormat/>
    <w:uiPriority w:val="0"/>
    <w:rPr>
      <w:sz w:val="21"/>
      <w:szCs w:val="21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5"/>
    <w:link w:val="10"/>
    <w:qFormat/>
    <w:uiPriority w:val="0"/>
    <w:rPr>
      <w:kern w:val="2"/>
      <w:sz w:val="18"/>
      <w:szCs w:val="18"/>
    </w:rPr>
  </w:style>
  <w:style w:type="character" w:customStyle="1" w:styleId="19">
    <w:name w:val="页脚 字符"/>
    <w:basedOn w:val="15"/>
    <w:link w:val="9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21">
    <w:name w:val="批注框文本 字符"/>
    <w:basedOn w:val="15"/>
    <w:link w:val="8"/>
    <w:qFormat/>
    <w:uiPriority w:val="0"/>
    <w:rPr>
      <w:kern w:val="2"/>
      <w:sz w:val="18"/>
      <w:szCs w:val="18"/>
    </w:rPr>
  </w:style>
  <w:style w:type="character" w:customStyle="1" w:styleId="22">
    <w:name w:val="批注文字 字符"/>
    <w:basedOn w:val="15"/>
    <w:link w:val="5"/>
    <w:qFormat/>
    <w:uiPriority w:val="0"/>
    <w:rPr>
      <w:kern w:val="2"/>
      <w:sz w:val="21"/>
      <w:szCs w:val="22"/>
    </w:rPr>
  </w:style>
  <w:style w:type="character" w:customStyle="1" w:styleId="23">
    <w:name w:val="批注主题 字符"/>
    <w:basedOn w:val="22"/>
    <w:link w:val="12"/>
    <w:qFormat/>
    <w:uiPriority w:val="0"/>
    <w:rPr>
      <w:kern w:val="2"/>
      <w:sz w:val="21"/>
      <w:szCs w:val="22"/>
    </w:rPr>
  </w:style>
  <w:style w:type="character" w:customStyle="1" w:styleId="24">
    <w:name w:val="正文文本 字符"/>
    <w:basedOn w:val="15"/>
    <w:link w:val="6"/>
    <w:semiHidden/>
    <w:qFormat/>
    <w:uiPriority w:val="99"/>
    <w:rPr>
      <w:kern w:val="2"/>
      <w:sz w:val="21"/>
      <w:szCs w:val="22"/>
    </w:rPr>
  </w:style>
  <w:style w:type="paragraph" w:customStyle="1" w:styleId="25">
    <w:name w:val="Revision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6">
    <w:name w:val="font21"/>
    <w:basedOn w:val="15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7">
    <w:name w:val="font41"/>
    <w:basedOn w:val="1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28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BBECB-12CB-4A6D-B415-CAD37EB5C3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2939</Words>
  <Characters>3362</Characters>
  <Lines>4</Lines>
  <Paragraphs>7</Paragraphs>
  <TotalTime>17</TotalTime>
  <ScaleCrop>false</ScaleCrop>
  <LinksUpToDate>false</LinksUpToDate>
  <CharactersWithSpaces>3374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2025-12-30T06:49:00Z</dcterms:created>
  <dc:creator>Administrator</dc:creator>
  <cp:lastModifiedBy>卢柯言</cp:lastModifiedBy>
  <cp:lastPrinted>2025-12-29T04:20:00Z</cp:lastPrinted>
  <dcterms:modified xsi:type="dcterms:W3CDTF">2025-12-30T08:29:06Z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eyJoZGlkIjoiM2NmMmIwMWIxYzAyZmZiMWZlOTY3NTcxZmU2NzhhZTEiLCJ1c2VySWQiOiIxNjcyMzMwMzQ3In0=</vt:lpwstr>
  </property>
  <property fmtid="{D5CDD505-2E9C-101B-9397-08002B2CF9AE}" pid="4" name="ICV">
    <vt:lpwstr>5790A2DA06BA4A50B82D1DC111B89653_13</vt:lpwstr>
  </property>
</Properties>
</file>