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A1676">
      <w:pPr>
        <w:adjustRightInd w:val="0"/>
        <w:snapToGrid w:val="0"/>
        <w:spacing w:line="360" w:lineRule="auto"/>
        <w:jc w:val="center"/>
        <w:rPr>
          <w:rFonts w:hint="eastAsia"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b/>
          <w:sz w:val="24"/>
          <w:szCs w:val="24"/>
        </w:rPr>
        <w:t>股票简称：宁沪高速         股票代码：600377        编号：临202</w:t>
      </w:r>
      <w:r>
        <w:rPr>
          <w:rFonts w:hint="eastAsia" w:asciiTheme="minorEastAsia" w:hAnsiTheme="minorEastAsia" w:eastAsiaTheme="minorEastAsia" w:cstheme="minorEastAsia"/>
          <w:b/>
          <w:sz w:val="24"/>
          <w:szCs w:val="24"/>
          <w:lang w:val="en-US" w:eastAsia="zh-CN"/>
        </w:rPr>
        <w:t>5</w:t>
      </w:r>
      <w:r>
        <w:rPr>
          <w:rFonts w:hint="eastAsia" w:asciiTheme="minorEastAsia" w:hAnsiTheme="minorEastAsia" w:eastAsiaTheme="minorEastAsia" w:cstheme="minorEastAsia"/>
          <w:b/>
          <w:sz w:val="24"/>
          <w:szCs w:val="24"/>
        </w:rPr>
        <w:t>-0</w:t>
      </w:r>
      <w:r>
        <w:rPr>
          <w:rFonts w:hint="eastAsia" w:asciiTheme="minorEastAsia" w:hAnsiTheme="minorEastAsia" w:eastAsiaTheme="minorEastAsia" w:cstheme="minorEastAsia"/>
          <w:b/>
          <w:sz w:val="24"/>
          <w:szCs w:val="24"/>
          <w:lang w:val="en-US" w:eastAsia="zh-CN"/>
        </w:rPr>
        <w:t>57</w:t>
      </w:r>
    </w:p>
    <w:p w14:paraId="44F1C468">
      <w:pPr>
        <w:adjustRightInd w:val="0"/>
        <w:snapToGrid w:val="0"/>
        <w:spacing w:line="336" w:lineRule="auto"/>
        <w:jc w:val="center"/>
        <w:rPr>
          <w:rFonts w:hint="eastAsia" w:ascii="仿宋_GB2312" w:hAnsi="宋体" w:eastAsia="仿宋_GB2312"/>
          <w:b/>
          <w:sz w:val="24"/>
          <w:szCs w:val="24"/>
        </w:rPr>
      </w:pPr>
    </w:p>
    <w:p w14:paraId="6ACE8BD3">
      <w:pPr>
        <w:adjustRightInd w:val="0"/>
        <w:snapToGrid w:val="0"/>
        <w:spacing w:line="336"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江苏宁沪高速公路股份有限公司</w:t>
      </w:r>
    </w:p>
    <w:p w14:paraId="462E73D5">
      <w:pPr>
        <w:adjustRightInd w:val="0"/>
        <w:snapToGrid w:val="0"/>
        <w:spacing w:line="336"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关于对外投资事项的公告</w:t>
      </w:r>
    </w:p>
    <w:p w14:paraId="78659A5F">
      <w:pPr>
        <w:adjustRightInd w:val="0"/>
        <w:snapToGrid w:val="0"/>
        <w:spacing w:line="360" w:lineRule="auto"/>
        <w:jc w:val="center"/>
        <w:rPr>
          <w:rFonts w:hint="eastAsia" w:ascii="仿宋_GB2312" w:hAnsi="宋体" w:eastAsia="仿宋_GB2312"/>
          <w:b/>
          <w:sz w:val="24"/>
          <w:szCs w:val="24"/>
          <w:lang w:val="en-GB"/>
        </w:rPr>
      </w:pPr>
      <w:r>
        <w:rPr>
          <w:rFonts w:hint="eastAsia" w:ascii="仿宋_GB2312" w:hAnsi="宋体" w:eastAsia="仿宋_GB2312"/>
          <w:sz w:val="20"/>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172085</wp:posOffset>
                </wp:positionV>
                <wp:extent cx="5324475" cy="609600"/>
                <wp:effectExtent l="4445" t="4445" r="5080" b="825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1213485" y="2275205"/>
                          <a:ext cx="5324475" cy="609600"/>
                        </a:xfrm>
                        <a:prstGeom prst="rect">
                          <a:avLst/>
                        </a:prstGeom>
                        <a:solidFill>
                          <a:srgbClr val="FFFFFF"/>
                        </a:solidFill>
                        <a:ln w="9525">
                          <a:solidFill>
                            <a:srgbClr val="000000"/>
                          </a:solidFill>
                          <a:miter lim="800000"/>
                        </a:ln>
                        <a:effectLst/>
                      </wps:spPr>
                      <wps:txbx>
                        <w:txbxContent>
                          <w:p w14:paraId="2DBC5523">
                            <w:pPr>
                              <w:spacing w:line="276" w:lineRule="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color w:val="000000"/>
                                <w:kern w:val="0"/>
                                <w:sz w:val="24"/>
                                <w:szCs w:val="24"/>
                              </w:rPr>
                              <w:t>本公司董事会及全体董事保证本公告内容不存在任何虚假记载、误导性陈述或者重大遗漏，并对其内容的真实性、准确性和完整性承担</w:t>
                            </w:r>
                            <w:r>
                              <w:rPr>
                                <w:rFonts w:hint="eastAsia" w:asciiTheme="minorEastAsia" w:hAnsiTheme="minorEastAsia" w:eastAsiaTheme="minorEastAsia" w:cstheme="minorEastAsia"/>
                                <w:b/>
                                <w:color w:val="000000"/>
                                <w:kern w:val="0"/>
                                <w:sz w:val="24"/>
                                <w:szCs w:val="24"/>
                                <w:lang w:val="en-US" w:eastAsia="zh-CN"/>
                              </w:rPr>
                              <w:t>法律</w:t>
                            </w:r>
                            <w:r>
                              <w:rPr>
                                <w:rFonts w:hint="eastAsia" w:asciiTheme="minorEastAsia" w:hAnsiTheme="minorEastAsia" w:eastAsiaTheme="minorEastAsia" w:cstheme="minorEastAsia"/>
                                <w:b/>
                                <w:color w:val="000000"/>
                                <w:kern w:val="0"/>
                                <w:sz w:val="24"/>
                                <w:szCs w:val="24"/>
                              </w:rPr>
                              <w:t>责任。</w:t>
                            </w:r>
                          </w:p>
                        </w:txbxContent>
                      </wps:txbx>
                      <wps:bodyPr rot="0" vert="horz" wrap="square" anchor="t" anchorCtr="0" upright="1"/>
                    </wps:wsp>
                  </a:graphicData>
                </a:graphic>
              </wp:anchor>
            </w:drawing>
          </mc:Choice>
          <mc:Fallback>
            <w:pict>
              <v:rect id="Rectangle 2" o:spid="_x0000_s1026" o:spt="1" style="position:absolute;left:0pt;margin-left:10.5pt;margin-top:13.55pt;height:48pt;width:419.25pt;z-index:251659264;mso-width-relative:page;mso-height-relative:page;" fillcolor="#FFFFFF" filled="t" stroked="t" coordsize="21600,21600" o:gfxdata="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1R0+/tgAAAAJ&#10;AQAADwAAAAAAAAABACAAAAAiAAAAZHJzL2Rvd25yZXYueG1sUEsBAhQAFAAAAAgAh07iQJTp2Owc&#10;AgAASQQAAA4AAAAAAAAAAQAgAAAAJwEAAGRycy9lMm9Eb2MueG1sUEsFBgAAAAAGAAYAWQEAALUF&#10;AAAAAA==&#10;">
                <v:fill on="t" focussize="0,0"/>
                <v:stroke color="#000000" miterlimit="8" joinstyle="miter"/>
                <v:imagedata o:title=""/>
                <o:lock v:ext="edit" aspectratio="f"/>
                <v:textbox>
                  <w:txbxContent>
                    <w:p w14:paraId="2DBC5523">
                      <w:pPr>
                        <w:spacing w:line="276" w:lineRule="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color w:val="000000"/>
                          <w:kern w:val="0"/>
                          <w:sz w:val="24"/>
                          <w:szCs w:val="24"/>
                        </w:rPr>
                        <w:t>本公司董事会及全体董事保证本公告内容不存在任何虚假记载、误导性陈述或者重大遗漏，并对其内容的真实性、准确性和完整性承担</w:t>
                      </w:r>
                      <w:r>
                        <w:rPr>
                          <w:rFonts w:hint="eastAsia" w:asciiTheme="minorEastAsia" w:hAnsiTheme="minorEastAsia" w:eastAsiaTheme="minorEastAsia" w:cstheme="minorEastAsia"/>
                          <w:b/>
                          <w:color w:val="000000"/>
                          <w:kern w:val="0"/>
                          <w:sz w:val="24"/>
                          <w:szCs w:val="24"/>
                          <w:lang w:val="en-US" w:eastAsia="zh-CN"/>
                        </w:rPr>
                        <w:t>法律</w:t>
                      </w:r>
                      <w:r>
                        <w:rPr>
                          <w:rFonts w:hint="eastAsia" w:asciiTheme="minorEastAsia" w:hAnsiTheme="minorEastAsia" w:eastAsiaTheme="minorEastAsia" w:cstheme="minorEastAsia"/>
                          <w:b/>
                          <w:color w:val="000000"/>
                          <w:kern w:val="0"/>
                          <w:sz w:val="24"/>
                          <w:szCs w:val="24"/>
                        </w:rPr>
                        <w:t>责任。</w:t>
                      </w:r>
                    </w:p>
                  </w:txbxContent>
                </v:textbox>
              </v:rect>
            </w:pict>
          </mc:Fallback>
        </mc:AlternateContent>
      </w:r>
      <w:r>
        <w:rPr>
          <w:rFonts w:hint="eastAsia" w:ascii="仿宋_GB2312" w:hAnsi="宋体" w:eastAsia="仿宋_GB2312"/>
          <w:b/>
          <w:sz w:val="24"/>
          <w:szCs w:val="24"/>
          <w:lang w:val="en-GB"/>
        </w:rPr>
        <w:t xml:space="preserve"> </w:t>
      </w:r>
    </w:p>
    <w:p w14:paraId="012FE24A">
      <w:pPr>
        <w:adjustRightInd w:val="0"/>
        <w:snapToGrid w:val="0"/>
        <w:spacing w:line="360" w:lineRule="auto"/>
        <w:rPr>
          <w:rFonts w:hint="eastAsia" w:ascii="仿宋_GB2312" w:hAnsi="宋体" w:eastAsia="仿宋_GB2312"/>
          <w:b/>
          <w:sz w:val="24"/>
          <w:szCs w:val="24"/>
          <w:lang w:val="en-GB"/>
        </w:rPr>
      </w:pPr>
    </w:p>
    <w:p w14:paraId="56FC0E28">
      <w:pPr>
        <w:adjustRightInd w:val="0"/>
        <w:snapToGrid w:val="0"/>
        <w:spacing w:line="360" w:lineRule="auto"/>
        <w:rPr>
          <w:rFonts w:hint="eastAsia" w:ascii="仿宋_GB2312" w:hAnsi="宋体" w:eastAsia="仿宋_GB2312"/>
          <w:b/>
          <w:sz w:val="24"/>
          <w:szCs w:val="24"/>
        </w:rPr>
      </w:pPr>
    </w:p>
    <w:p w14:paraId="316C1A59">
      <w:pPr>
        <w:adjustRightInd w:val="0"/>
        <w:snapToGrid w:val="0"/>
        <w:spacing w:line="360" w:lineRule="auto"/>
        <w:rPr>
          <w:rFonts w:hint="eastAsia" w:asciiTheme="minorEastAsia" w:hAnsiTheme="minorEastAsia" w:eastAsiaTheme="minorEastAsia" w:cstheme="minorEastAsia"/>
          <w:b/>
          <w:sz w:val="24"/>
          <w:szCs w:val="24"/>
        </w:rPr>
      </w:pPr>
    </w:p>
    <w:p w14:paraId="0C6FB017">
      <w:pPr>
        <w:adjustRightInd w:val="0"/>
        <w:snapToGrid w:val="0"/>
        <w:spacing w:line="360" w:lineRule="auto"/>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重要内容提示</w:t>
      </w:r>
    </w:p>
    <w:p w14:paraId="506DFDF8">
      <w:pPr>
        <w:adjustRightInd w:val="0"/>
        <w:snapToGrid w:val="0"/>
        <w:spacing w:line="360" w:lineRule="auto"/>
        <w:ind w:firstLine="472" w:firstLineChars="19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投资标的：</w:t>
      </w:r>
      <w:r>
        <w:rPr>
          <w:rFonts w:hint="eastAsia" w:asciiTheme="minorEastAsia" w:hAnsiTheme="minorEastAsia" w:eastAsiaTheme="minorEastAsia" w:cstheme="minorEastAsia"/>
          <w:sz w:val="24"/>
          <w:szCs w:val="24"/>
        </w:rPr>
        <w:t>江苏宁沪高速公路股份有限公司（以下简称“本公司”或“宁沪高速”）向本公司控股子公司江苏龙潭大桥有限公司（以下简称“龙潭大桥公司”）增加注册资本金，并以龙潭大桥公司为投资主体投资建设</w:t>
      </w:r>
      <w:r>
        <w:rPr>
          <w:rFonts w:hint="eastAsia" w:asciiTheme="minorEastAsia" w:hAnsiTheme="minorEastAsia" w:eastAsiaTheme="minorEastAsia" w:cstheme="minorEastAsia"/>
          <w:sz w:val="24"/>
          <w:szCs w:val="24"/>
          <w:lang w:bidi="ar"/>
        </w:rPr>
        <w:t>南京都市圈环线高速公路338省道至沪蓉高速段项目</w:t>
      </w:r>
      <w:r>
        <w:rPr>
          <w:rFonts w:hint="eastAsia" w:asciiTheme="minorEastAsia" w:hAnsiTheme="minorEastAsia" w:eastAsiaTheme="minorEastAsia" w:cstheme="minorEastAsia"/>
          <w:sz w:val="24"/>
          <w:szCs w:val="24"/>
        </w:rPr>
        <w:t>（以下简称“宁扬长江大桥南接线项目”或“本项目”）。</w:t>
      </w:r>
    </w:p>
    <w:p w14:paraId="21D57F26">
      <w:pPr>
        <w:adjustRightInd w:val="0"/>
        <w:snapToGrid w:val="0"/>
        <w:spacing w:line="360" w:lineRule="auto"/>
        <w:ind w:firstLine="472" w:firstLineChars="19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投资金额：</w:t>
      </w:r>
      <w:r>
        <w:rPr>
          <w:rFonts w:hint="eastAsia" w:asciiTheme="minorEastAsia" w:hAnsiTheme="minorEastAsia" w:eastAsiaTheme="minorEastAsia" w:cstheme="minorEastAsia"/>
          <w:sz w:val="24"/>
          <w:szCs w:val="24"/>
        </w:rPr>
        <w:t>宁扬长江大桥南接线项目估算的投资总金额不超过人民币90.3272亿元。</w:t>
      </w:r>
    </w:p>
    <w:p w14:paraId="412C92D3">
      <w:pPr>
        <w:adjustRightInd w:val="0"/>
        <w:snapToGrid w:val="0"/>
        <w:spacing w:line="360" w:lineRule="auto"/>
        <w:ind w:firstLine="472" w:firstLineChars="196"/>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相关风险提示：</w:t>
      </w:r>
      <w:r>
        <w:rPr>
          <w:rFonts w:hint="eastAsia" w:asciiTheme="minorEastAsia" w:hAnsiTheme="minorEastAsia" w:eastAsiaTheme="minorEastAsia" w:cstheme="minorEastAsia"/>
          <w:sz w:val="24"/>
          <w:szCs w:val="24"/>
        </w:rPr>
        <w:t>本项目实际建设方案、投资估算及资本金比例将以工程可行性研究报告批复内容为准；项目概算投资额将以初步设计批复为准；项目最终总投资将以竣工财务决算数据为准，前述事项均可能存在不确定性。同时，项目可能面临国家收费公路政策调整及经营管理等方面的风险。公司将密切关注项目进展，积极采取相应措施加强风险管控。</w:t>
      </w:r>
    </w:p>
    <w:p w14:paraId="2C3F68BD">
      <w:pPr>
        <w:adjustRightInd w:val="0"/>
        <w:snapToGrid w:val="0"/>
        <w:spacing w:line="360" w:lineRule="auto"/>
        <w:ind w:firstLine="426"/>
        <w:rPr>
          <w:rFonts w:hint="eastAsia" w:asciiTheme="minorEastAsia" w:hAnsiTheme="minorEastAsia" w:eastAsiaTheme="minorEastAsia" w:cstheme="minorEastAsia"/>
          <w:b/>
          <w:sz w:val="24"/>
          <w:szCs w:val="24"/>
        </w:rPr>
      </w:pPr>
    </w:p>
    <w:p w14:paraId="20CA1300">
      <w:pPr>
        <w:adjustRightInd w:val="0"/>
        <w:snapToGri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一、对外投资概述</w:t>
      </w:r>
    </w:p>
    <w:p w14:paraId="152B941C">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为完善区域高速公路网络、尽快发挥宁扬长江大桥及宁扬长江大桥北接线项目的通道功能、巩固本公司在苏南路网内的主导地位，本公司于2025年12月</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日第十一届董事会第十七次会议（以下简称“董事会”）审议通过了《关于</w:t>
      </w:r>
      <w:r>
        <w:rPr>
          <w:rFonts w:hint="eastAsia" w:asciiTheme="minorEastAsia" w:hAnsiTheme="minorEastAsia" w:eastAsiaTheme="minorEastAsia" w:cstheme="minorEastAsia"/>
          <w:sz w:val="24"/>
          <w:szCs w:val="24"/>
          <w:lang w:val="en-US" w:eastAsia="zh-CN"/>
        </w:rPr>
        <w:t>本公司</w:t>
      </w:r>
      <w:r>
        <w:rPr>
          <w:rFonts w:hint="eastAsia" w:asciiTheme="minorEastAsia" w:hAnsiTheme="minorEastAsia" w:eastAsiaTheme="minorEastAsia" w:cstheme="minorEastAsia"/>
          <w:sz w:val="24"/>
          <w:szCs w:val="24"/>
        </w:rPr>
        <w:t>向控股子公司</w:t>
      </w:r>
      <w:r>
        <w:rPr>
          <w:rFonts w:hint="eastAsia" w:asciiTheme="minorEastAsia" w:hAnsiTheme="minorEastAsia" w:eastAsiaTheme="minorEastAsia" w:cstheme="minorEastAsia"/>
          <w:sz w:val="24"/>
          <w:szCs w:val="24"/>
          <w:lang w:val="en-US" w:eastAsia="zh-CN"/>
        </w:rPr>
        <w:t>龙潭大桥公司</w:t>
      </w:r>
      <w:r>
        <w:rPr>
          <w:rFonts w:hint="eastAsia" w:asciiTheme="minorEastAsia" w:hAnsiTheme="minorEastAsia" w:eastAsiaTheme="minorEastAsia" w:cstheme="minorEastAsia"/>
          <w:sz w:val="24"/>
          <w:szCs w:val="24"/>
        </w:rPr>
        <w:t>增资暨投资建设高速公路项目的议案》。本公司控股子公司龙潭大桥公司拟投资不超过人民币90.3272亿元建设宁扬长江大桥南接线项目。本公司将以自有资金或其他符合出资要求的资金人民币32.6964亿元向龙潭大桥公司增资，龙潭大桥公司股东南京公路发展（集团）有限公司（以下简称“南京公路”）将以人民币12.4672亿元对龙潭大桥公司增资，其余建设资金人民币45.1636亿元，将由龙潭大桥公司向银行贷款等方式筹集。本次增资后，本公司对龙潭大桥公司的持股比例将由约57.33%增加至约63.80%，</w:t>
      </w:r>
      <w:r>
        <w:rPr>
          <w:rFonts w:hint="eastAsia" w:asciiTheme="minorEastAsia" w:hAnsiTheme="minorEastAsia" w:eastAsiaTheme="minorEastAsia" w:cstheme="minorEastAsia"/>
          <w:sz w:val="24"/>
          <w:szCs w:val="24"/>
          <w:lang w:val="en-US" w:eastAsia="zh-CN"/>
        </w:rPr>
        <w:t>仍属于</w:t>
      </w:r>
      <w:r>
        <w:rPr>
          <w:rFonts w:hint="eastAsia" w:asciiTheme="minorEastAsia" w:hAnsiTheme="minorEastAsia" w:eastAsiaTheme="minorEastAsia" w:cstheme="minorEastAsia"/>
          <w:sz w:val="24"/>
          <w:szCs w:val="24"/>
        </w:rPr>
        <w:t>公司合并</w:t>
      </w:r>
      <w:r>
        <w:rPr>
          <w:rFonts w:hint="eastAsia" w:asciiTheme="minorEastAsia" w:hAnsiTheme="minorEastAsia" w:eastAsiaTheme="minorEastAsia" w:cstheme="minorEastAsia"/>
          <w:sz w:val="24"/>
          <w:szCs w:val="24"/>
          <w:lang w:val="en-US" w:eastAsia="zh-CN"/>
        </w:rPr>
        <w:t>财务</w:t>
      </w:r>
      <w:r>
        <w:rPr>
          <w:rFonts w:hint="eastAsia" w:asciiTheme="minorEastAsia" w:hAnsiTheme="minorEastAsia" w:eastAsiaTheme="minorEastAsia" w:cstheme="minorEastAsia"/>
          <w:sz w:val="24"/>
          <w:szCs w:val="24"/>
        </w:rPr>
        <w:t>报表</w:t>
      </w:r>
      <w:r>
        <w:rPr>
          <w:rFonts w:hint="eastAsia" w:asciiTheme="minorEastAsia" w:hAnsiTheme="minorEastAsia" w:eastAsiaTheme="minorEastAsia" w:cstheme="minorEastAsia"/>
          <w:sz w:val="24"/>
          <w:szCs w:val="24"/>
          <w:lang w:val="en-US" w:eastAsia="zh-CN"/>
        </w:rPr>
        <w:t>核算</w:t>
      </w:r>
      <w:r>
        <w:rPr>
          <w:rFonts w:hint="eastAsia" w:asciiTheme="minorEastAsia" w:hAnsiTheme="minorEastAsia" w:eastAsiaTheme="minorEastAsia" w:cstheme="minorEastAsia"/>
          <w:sz w:val="24"/>
          <w:szCs w:val="24"/>
        </w:rPr>
        <w:t>范围。本公司董事（包括所有独立非执行董事）确认交易条款公平合理，按一般商业条款或更佳条款进行，且符合本公司及其股东的整体利益。2025年12月</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日，本公司</w:t>
      </w:r>
      <w:r>
        <w:rPr>
          <w:rFonts w:hint="eastAsia" w:asciiTheme="minorEastAsia" w:hAnsiTheme="minorEastAsia" w:eastAsiaTheme="minorEastAsia" w:cstheme="minorEastAsia"/>
          <w:sz w:val="24"/>
          <w:szCs w:val="24"/>
          <w:lang w:val="en-US" w:eastAsia="zh-CN"/>
        </w:rPr>
        <w:t>与</w:t>
      </w:r>
      <w:r>
        <w:rPr>
          <w:rFonts w:hint="eastAsia" w:asciiTheme="minorEastAsia" w:hAnsiTheme="minorEastAsia" w:eastAsiaTheme="minorEastAsia" w:cstheme="minorEastAsia"/>
          <w:sz w:val="24"/>
          <w:szCs w:val="24"/>
        </w:rPr>
        <w:t>龙潭大桥公司及其股东</w:t>
      </w:r>
      <w:r>
        <w:rPr>
          <w:rFonts w:hint="eastAsia" w:asciiTheme="minorEastAsia" w:hAnsiTheme="minorEastAsia" w:eastAsiaTheme="minorEastAsia" w:cstheme="minorEastAsia"/>
          <w:sz w:val="24"/>
          <w:szCs w:val="24"/>
          <w:lang w:val="en-US" w:eastAsia="zh-CN"/>
        </w:rPr>
        <w:t>签署</w:t>
      </w:r>
      <w:r>
        <w:rPr>
          <w:rFonts w:hint="eastAsia" w:asciiTheme="minorEastAsia" w:hAnsiTheme="minorEastAsia" w:eastAsiaTheme="minorEastAsia" w:cstheme="minorEastAsia"/>
          <w:sz w:val="24"/>
          <w:szCs w:val="24"/>
        </w:rPr>
        <w:t>《增资协议》。</w:t>
      </w:r>
    </w:p>
    <w:p w14:paraId="59255F3C">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根据《上海证券交易所股票上市规则》(以下简称“上海上市规则”)及其他相关规定，本次投资事项在董事会授权决策范围内，已经第十一届董事会第十七次会议审议并批准，无需股东大会批准。</w:t>
      </w:r>
    </w:p>
    <w:p w14:paraId="6FE516F4">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根据《上市公司重大资产重组管理办法》的有关规定，本次对外投资事项不构成重大资产重组，不属于关联交易。</w:t>
      </w:r>
    </w:p>
    <w:p w14:paraId="47EC6A6B">
      <w:pPr>
        <w:adjustRightInd w:val="0"/>
        <w:snapToGrid w:val="0"/>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AU" w:eastAsia="zh-TW"/>
        </w:rPr>
        <w:t>根据</w:t>
      </w:r>
      <w:r>
        <w:rPr>
          <w:rFonts w:hint="eastAsia" w:asciiTheme="minorEastAsia" w:hAnsiTheme="minorEastAsia" w:eastAsiaTheme="minorEastAsia" w:cstheme="minorEastAsia"/>
          <w:sz w:val="24"/>
          <w:szCs w:val="24"/>
        </w:rPr>
        <w:t>香港联合交易所有限公司证券上市规则（以下简称</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香港上市规则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AU" w:eastAsia="zh-TW"/>
        </w:rPr>
        <w:t>第14</w:t>
      </w:r>
      <w:r>
        <w:rPr>
          <w:rFonts w:hint="eastAsia" w:asciiTheme="minorEastAsia" w:hAnsiTheme="minorEastAsia" w:eastAsiaTheme="minorEastAsia" w:cstheme="minorEastAsia"/>
          <w:sz w:val="24"/>
          <w:szCs w:val="24"/>
          <w:lang w:val="en-US" w:eastAsia="zh-CN"/>
        </w:rPr>
        <w:t>A</w:t>
      </w:r>
      <w:r>
        <w:rPr>
          <w:rFonts w:hint="eastAsia" w:asciiTheme="minorEastAsia" w:hAnsiTheme="minorEastAsia" w:eastAsiaTheme="minorEastAsia" w:cstheme="minorEastAsia"/>
          <w:sz w:val="24"/>
          <w:szCs w:val="24"/>
          <w:lang w:val="en-AU" w:eastAsia="zh-TW"/>
        </w:rPr>
        <w:t>.07条计算的最高适用百分比率超过5%但低于25%，故该项注资将构成本公司的须予披露交易，仅须遵守披露规定。</w:t>
      </w:r>
    </w:p>
    <w:p w14:paraId="5977EA62">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lang w:eastAsia="zh-TW"/>
        </w:rPr>
      </w:pPr>
      <w:r>
        <w:rPr>
          <w:rFonts w:hint="eastAsia" w:asciiTheme="minorEastAsia" w:hAnsiTheme="minorEastAsia" w:eastAsiaTheme="minorEastAsia" w:cstheme="minorEastAsia"/>
          <w:sz w:val="24"/>
          <w:szCs w:val="24"/>
          <w:lang w:eastAsia="zh-TW"/>
        </w:rPr>
        <w:t>根</w:t>
      </w:r>
      <w:r>
        <w:rPr>
          <w:rFonts w:hint="eastAsia" w:asciiTheme="minorEastAsia" w:hAnsiTheme="minorEastAsia" w:eastAsiaTheme="minorEastAsia" w:cstheme="minorEastAsia"/>
          <w:sz w:val="24"/>
          <w:szCs w:val="24"/>
          <w:lang w:val="en-US" w:eastAsia="zh-CN"/>
        </w:rPr>
        <w:t>据</w:t>
      </w:r>
      <w:r>
        <w:rPr>
          <w:rFonts w:hint="eastAsia" w:asciiTheme="minorEastAsia" w:hAnsiTheme="minorEastAsia" w:eastAsiaTheme="minorEastAsia" w:cstheme="minorEastAsia"/>
          <w:sz w:val="24"/>
          <w:szCs w:val="24"/>
          <w:lang w:eastAsia="zh-TW"/>
        </w:rPr>
        <w:t>香港上市</w:t>
      </w:r>
      <w:r>
        <w:rPr>
          <w:rFonts w:hint="eastAsia" w:asciiTheme="minorEastAsia" w:hAnsiTheme="minorEastAsia" w:eastAsiaTheme="minorEastAsia" w:cstheme="minorEastAsia"/>
          <w:sz w:val="24"/>
          <w:szCs w:val="24"/>
          <w:lang w:val="en-US" w:eastAsia="zh-CN"/>
        </w:rPr>
        <w:t>规则</w:t>
      </w:r>
      <w:r>
        <w:rPr>
          <w:rFonts w:hint="eastAsia" w:asciiTheme="minorEastAsia" w:hAnsiTheme="minorEastAsia" w:eastAsiaTheme="minorEastAsia" w:cstheme="minorEastAsia"/>
          <w:sz w:val="24"/>
          <w:szCs w:val="24"/>
          <w:lang w:eastAsia="zh-TW"/>
        </w:rPr>
        <w:t>第14A.07(1)条，由</w:t>
      </w:r>
      <w:r>
        <w:rPr>
          <w:rFonts w:hint="eastAsia" w:asciiTheme="minorEastAsia" w:hAnsiTheme="minorEastAsia" w:eastAsiaTheme="minorEastAsia" w:cstheme="minorEastAsia"/>
          <w:sz w:val="24"/>
          <w:szCs w:val="24"/>
          <w:lang w:val="en-US" w:eastAsia="zh-CN"/>
        </w:rPr>
        <w:t>于</w:t>
      </w:r>
      <w:r>
        <w:rPr>
          <w:rFonts w:hint="eastAsia" w:asciiTheme="minorEastAsia" w:hAnsiTheme="minorEastAsia" w:eastAsiaTheme="minorEastAsia" w:cstheme="minorEastAsia"/>
          <w:sz w:val="24"/>
          <w:szCs w:val="24"/>
          <w:lang w:eastAsia="zh-TW"/>
        </w:rPr>
        <w:t>南京公路持有</w:t>
      </w:r>
      <w:r>
        <w:rPr>
          <w:rFonts w:hint="eastAsia" w:asciiTheme="minorEastAsia" w:hAnsiTheme="minorEastAsia" w:eastAsiaTheme="minorEastAsia" w:cstheme="minorEastAsia"/>
          <w:sz w:val="24"/>
          <w:szCs w:val="24"/>
          <w:lang w:val="en-US" w:eastAsia="zh-CN"/>
        </w:rPr>
        <w:t>龙潭大桥</w:t>
      </w:r>
      <w:r>
        <w:rPr>
          <w:rFonts w:hint="eastAsia" w:asciiTheme="minorEastAsia" w:hAnsiTheme="minorEastAsia" w:eastAsiaTheme="minorEastAsia" w:cstheme="minorEastAsia"/>
          <w:sz w:val="24"/>
          <w:szCs w:val="24"/>
          <w:lang w:eastAsia="zh-TW"/>
        </w:rPr>
        <w:t>公司10%或以上的股</w:t>
      </w:r>
      <w:r>
        <w:rPr>
          <w:rFonts w:hint="eastAsia" w:asciiTheme="minorEastAsia" w:hAnsiTheme="minorEastAsia" w:eastAsiaTheme="minorEastAsia" w:cstheme="minorEastAsia"/>
          <w:sz w:val="24"/>
          <w:szCs w:val="24"/>
          <w:lang w:val="en-US" w:eastAsia="zh-CN"/>
        </w:rPr>
        <w:t>权</w:t>
      </w:r>
      <w:r>
        <w:rPr>
          <w:rFonts w:hint="eastAsia" w:asciiTheme="minorEastAsia" w:hAnsiTheme="minorEastAsia" w:eastAsiaTheme="minorEastAsia" w:cstheme="minorEastAsia"/>
          <w:sz w:val="24"/>
          <w:szCs w:val="24"/>
          <w:lang w:eastAsia="zh-TW"/>
        </w:rPr>
        <w:t>，是本公司</w:t>
      </w:r>
      <w:r>
        <w:rPr>
          <w:rFonts w:hint="eastAsia" w:asciiTheme="minorEastAsia" w:hAnsiTheme="minorEastAsia" w:eastAsiaTheme="minorEastAsia" w:cstheme="minorEastAsia"/>
          <w:sz w:val="24"/>
          <w:szCs w:val="24"/>
          <w:lang w:val="en-US" w:eastAsia="zh-CN"/>
        </w:rPr>
        <w:t>附属</w:t>
      </w:r>
      <w:r>
        <w:rPr>
          <w:rFonts w:hint="eastAsia" w:asciiTheme="minorEastAsia" w:hAnsiTheme="minorEastAsia" w:eastAsiaTheme="minorEastAsia" w:cstheme="minorEastAsia"/>
          <w:sz w:val="24"/>
          <w:szCs w:val="24"/>
          <w:lang w:eastAsia="zh-TW"/>
        </w:rPr>
        <w:t>公司</w:t>
      </w:r>
      <w:r>
        <w:rPr>
          <w:rFonts w:hint="eastAsia" w:asciiTheme="minorEastAsia" w:hAnsiTheme="minorEastAsia" w:eastAsiaTheme="minorEastAsia" w:cstheme="minorEastAsia"/>
          <w:sz w:val="24"/>
          <w:szCs w:val="24"/>
          <w:lang w:val="en-US" w:eastAsia="zh-CN"/>
        </w:rPr>
        <w:t>层面</w:t>
      </w:r>
      <w:r>
        <w:rPr>
          <w:rFonts w:hint="eastAsia" w:asciiTheme="minorEastAsia" w:hAnsiTheme="minorEastAsia" w:eastAsiaTheme="minorEastAsia" w:cstheme="minorEastAsia"/>
          <w:sz w:val="24"/>
          <w:szCs w:val="24"/>
          <w:lang w:eastAsia="zh-TW"/>
        </w:rPr>
        <w:t>的</w:t>
      </w:r>
      <w:r>
        <w:rPr>
          <w:rFonts w:hint="eastAsia" w:asciiTheme="minorEastAsia" w:hAnsiTheme="minorEastAsia" w:eastAsiaTheme="minorEastAsia" w:cstheme="minorEastAsia"/>
          <w:sz w:val="24"/>
          <w:szCs w:val="24"/>
          <w:lang w:val="en-US" w:eastAsia="zh-CN"/>
        </w:rPr>
        <w:t>关连</w:t>
      </w:r>
      <w:r>
        <w:rPr>
          <w:rFonts w:hint="eastAsia" w:asciiTheme="minorEastAsia" w:hAnsiTheme="minorEastAsia" w:eastAsiaTheme="minorEastAsia" w:cstheme="minorEastAsia"/>
          <w:sz w:val="24"/>
          <w:szCs w:val="24"/>
          <w:lang w:eastAsia="zh-TW"/>
        </w:rPr>
        <w:t>人士，南京公路本次</w:t>
      </w:r>
      <w:r>
        <w:rPr>
          <w:rFonts w:hint="eastAsia" w:asciiTheme="minorEastAsia" w:hAnsiTheme="minorEastAsia" w:eastAsiaTheme="minorEastAsia" w:cstheme="minorEastAsia"/>
          <w:sz w:val="24"/>
          <w:szCs w:val="24"/>
          <w:lang w:val="en-US" w:eastAsia="zh-CN"/>
        </w:rPr>
        <w:t>增资构成</w:t>
      </w:r>
      <w:r>
        <w:rPr>
          <w:rFonts w:hint="eastAsia" w:asciiTheme="minorEastAsia" w:hAnsiTheme="minorEastAsia" w:eastAsiaTheme="minorEastAsia" w:cstheme="minorEastAsia"/>
          <w:sz w:val="24"/>
          <w:szCs w:val="24"/>
          <w:lang w:eastAsia="zh-TW"/>
        </w:rPr>
        <w:t>本公司的</w:t>
      </w:r>
      <w:r>
        <w:rPr>
          <w:rFonts w:hint="eastAsia" w:asciiTheme="minorEastAsia" w:hAnsiTheme="minorEastAsia" w:eastAsiaTheme="minorEastAsia" w:cstheme="minorEastAsia"/>
          <w:sz w:val="24"/>
          <w:szCs w:val="24"/>
          <w:lang w:val="en-US" w:eastAsia="zh-CN"/>
        </w:rPr>
        <w:t>关连</w:t>
      </w:r>
      <w:r>
        <w:rPr>
          <w:rFonts w:hint="eastAsia" w:asciiTheme="minorEastAsia" w:hAnsiTheme="minorEastAsia" w:eastAsiaTheme="minorEastAsia" w:cstheme="minorEastAsia"/>
          <w:sz w:val="24"/>
          <w:szCs w:val="24"/>
          <w:lang w:eastAsia="zh-TW"/>
        </w:rPr>
        <w:t>交易，</w:t>
      </w:r>
      <w:r>
        <w:rPr>
          <w:rFonts w:hint="eastAsia" w:asciiTheme="minorEastAsia" w:hAnsiTheme="minorEastAsia" w:eastAsiaTheme="minorEastAsia" w:cstheme="minorEastAsia"/>
          <w:sz w:val="24"/>
          <w:szCs w:val="24"/>
          <w:lang w:val="en-US" w:eastAsia="zh-CN"/>
        </w:rPr>
        <w:t>根据</w:t>
      </w:r>
      <w:r>
        <w:rPr>
          <w:rFonts w:hint="eastAsia" w:asciiTheme="minorEastAsia" w:hAnsiTheme="minorEastAsia" w:eastAsiaTheme="minorEastAsia" w:cstheme="minorEastAsia"/>
          <w:sz w:val="24"/>
          <w:szCs w:val="24"/>
          <w:lang w:eastAsia="zh-TW"/>
        </w:rPr>
        <w:t>香港上市</w:t>
      </w:r>
      <w:r>
        <w:rPr>
          <w:rFonts w:hint="eastAsia" w:asciiTheme="minorEastAsia" w:hAnsiTheme="minorEastAsia" w:eastAsiaTheme="minorEastAsia" w:cstheme="minorEastAsia"/>
          <w:sz w:val="24"/>
          <w:szCs w:val="24"/>
          <w:lang w:val="en-US" w:eastAsia="zh-CN"/>
        </w:rPr>
        <w:t>规则</w:t>
      </w:r>
      <w:r>
        <w:rPr>
          <w:rFonts w:hint="eastAsia" w:asciiTheme="minorEastAsia" w:hAnsiTheme="minorEastAsia" w:eastAsiaTheme="minorEastAsia" w:cstheme="minorEastAsia"/>
          <w:sz w:val="24"/>
          <w:szCs w:val="24"/>
          <w:lang w:eastAsia="zh-TW"/>
        </w:rPr>
        <w:t>第14.07</w:t>
      </w:r>
      <w:r>
        <w:rPr>
          <w:rFonts w:hint="eastAsia" w:asciiTheme="minorEastAsia" w:hAnsiTheme="minorEastAsia" w:eastAsiaTheme="minorEastAsia" w:cstheme="minorEastAsia"/>
          <w:sz w:val="24"/>
          <w:szCs w:val="24"/>
          <w:lang w:val="en-US" w:eastAsia="zh-CN"/>
        </w:rPr>
        <w:t>条计算</w:t>
      </w:r>
      <w:r>
        <w:rPr>
          <w:rFonts w:hint="eastAsia" w:asciiTheme="minorEastAsia" w:hAnsiTheme="minorEastAsia" w:eastAsiaTheme="minorEastAsia" w:cstheme="minorEastAsia"/>
          <w:sz w:val="24"/>
          <w:szCs w:val="24"/>
          <w:lang w:eastAsia="zh-TW"/>
        </w:rPr>
        <w:t>的最高</w:t>
      </w:r>
      <w:r>
        <w:rPr>
          <w:rFonts w:hint="eastAsia" w:asciiTheme="minorEastAsia" w:hAnsiTheme="minorEastAsia" w:eastAsiaTheme="minorEastAsia" w:cstheme="minorEastAsia"/>
          <w:sz w:val="24"/>
          <w:szCs w:val="24"/>
          <w:lang w:val="en-US" w:eastAsia="zh-CN"/>
        </w:rPr>
        <w:t>适用</w:t>
      </w:r>
      <w:r>
        <w:rPr>
          <w:rFonts w:hint="eastAsia" w:asciiTheme="minorEastAsia" w:hAnsiTheme="minorEastAsia" w:eastAsiaTheme="minorEastAsia" w:cstheme="minorEastAsia"/>
          <w:sz w:val="24"/>
          <w:szCs w:val="24"/>
          <w:lang w:eastAsia="zh-TW"/>
        </w:rPr>
        <w:t>百分比率</w:t>
      </w:r>
      <w:r>
        <w:rPr>
          <w:rFonts w:hint="eastAsia" w:asciiTheme="minorEastAsia" w:hAnsiTheme="minorEastAsia" w:eastAsiaTheme="minorEastAsia" w:cstheme="minorEastAsia"/>
          <w:sz w:val="24"/>
          <w:szCs w:val="24"/>
          <w:lang w:val="en-US" w:eastAsia="zh-CN"/>
        </w:rPr>
        <w:t>超过</w:t>
      </w:r>
      <w:r>
        <w:rPr>
          <w:rFonts w:hint="eastAsia" w:asciiTheme="minorEastAsia" w:hAnsiTheme="minorEastAsia" w:eastAsiaTheme="minorEastAsia" w:cstheme="minorEastAsia"/>
          <w:sz w:val="24"/>
          <w:szCs w:val="24"/>
          <w:lang w:eastAsia="zh-TW"/>
        </w:rPr>
        <w:t>0.1%但低</w:t>
      </w:r>
      <w:r>
        <w:rPr>
          <w:rFonts w:hint="eastAsia" w:asciiTheme="minorEastAsia" w:hAnsiTheme="minorEastAsia" w:eastAsiaTheme="minorEastAsia" w:cstheme="minorEastAsia"/>
          <w:sz w:val="24"/>
          <w:szCs w:val="24"/>
          <w:lang w:val="en-US" w:eastAsia="zh-CN"/>
        </w:rPr>
        <w:t>于</w:t>
      </w:r>
      <w:r>
        <w:rPr>
          <w:rFonts w:hint="eastAsia" w:asciiTheme="minorEastAsia" w:hAnsiTheme="minorEastAsia" w:eastAsiaTheme="minorEastAsia" w:cstheme="minorEastAsia"/>
          <w:sz w:val="24"/>
          <w:szCs w:val="24"/>
          <w:lang w:eastAsia="zh-TW"/>
        </w:rPr>
        <w:t>5%</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val="en-AU" w:eastAsia="zh-TW"/>
        </w:rPr>
        <w:t>仅须遵守披露规定</w:t>
      </w:r>
      <w:r>
        <w:rPr>
          <w:rFonts w:hint="eastAsia" w:asciiTheme="minorEastAsia" w:hAnsiTheme="minorEastAsia" w:eastAsiaTheme="minorEastAsia" w:cstheme="minorEastAsia"/>
          <w:sz w:val="24"/>
          <w:szCs w:val="24"/>
          <w:lang w:eastAsia="zh-TW"/>
        </w:rPr>
        <w:t>。</w:t>
      </w:r>
    </w:p>
    <w:p w14:paraId="4999E190">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本项目的工程可行性研究报告及初步设计尚需江苏省发展和改革委员会批复。</w:t>
      </w:r>
    </w:p>
    <w:p w14:paraId="638DEFDE">
      <w:pPr>
        <w:adjustRightInd w:val="0"/>
        <w:snapToGrid w:val="0"/>
        <w:spacing w:line="360" w:lineRule="auto"/>
        <w:ind w:firstLine="480"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sz w:val="24"/>
          <w:szCs w:val="24"/>
          <w:highlight w:val="none"/>
          <w:lang w:val="en-US" w:eastAsia="zh-CN"/>
        </w:rPr>
        <w:t>二、</w:t>
      </w:r>
      <w:r>
        <w:rPr>
          <w:rFonts w:hint="eastAsia" w:asciiTheme="minorEastAsia" w:hAnsiTheme="minorEastAsia" w:eastAsiaTheme="minorEastAsia" w:cstheme="minorEastAsia"/>
          <w:b/>
          <w:sz w:val="24"/>
          <w:szCs w:val="24"/>
          <w:highlight w:val="none"/>
        </w:rPr>
        <w:t>增资各方的基本情况</w:t>
      </w:r>
    </w:p>
    <w:p w14:paraId="7CA6C127">
      <w:pPr>
        <w:adjustRightInd w:val="0"/>
        <w:snapToGrid w:val="0"/>
        <w:spacing w:line="360" w:lineRule="auto"/>
        <w:rPr>
          <w:rFonts w:hint="eastAsia" w:asciiTheme="minorEastAsia" w:hAnsiTheme="minorEastAsia" w:eastAsiaTheme="minorEastAsia" w:cstheme="minorEastAsia"/>
          <w:b w:val="0"/>
          <w:bCs/>
          <w:sz w:val="24"/>
          <w:szCs w:val="24"/>
          <w:highlight w:val="none"/>
        </w:rPr>
      </w:pPr>
      <w:r>
        <w:rPr>
          <w:rFonts w:hint="eastAsia" w:asciiTheme="minorEastAsia" w:hAnsiTheme="minorEastAsia" w:eastAsiaTheme="minorEastAsia" w:cstheme="minorEastAsia"/>
          <w:b w:val="0"/>
          <w:bCs/>
          <w:sz w:val="24"/>
          <w:szCs w:val="24"/>
          <w:highlight w:val="none"/>
        </w:rPr>
        <w:t>1.江苏宁沪高速公路股份有限公司</w:t>
      </w:r>
    </w:p>
    <w:tbl>
      <w:tblPr>
        <w:tblStyle w:val="10"/>
        <w:tblW w:w="88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3"/>
      </w:tblGrid>
      <w:tr w14:paraId="62787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2F75526C">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住所：</w:t>
            </w:r>
          </w:p>
        </w:tc>
        <w:tc>
          <w:tcPr>
            <w:tcW w:w="5453" w:type="dxa"/>
            <w:noWrap w:val="0"/>
            <w:vAlign w:val="top"/>
          </w:tcPr>
          <w:p w14:paraId="5D2A2796">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中国江苏南京市仙林大道6号</w:t>
            </w:r>
          </w:p>
        </w:tc>
      </w:tr>
      <w:tr w14:paraId="32CF2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10392FD">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企业类型：</w:t>
            </w:r>
          </w:p>
        </w:tc>
        <w:tc>
          <w:tcPr>
            <w:tcW w:w="5453" w:type="dxa"/>
            <w:noWrap w:val="0"/>
            <w:vAlign w:val="top"/>
          </w:tcPr>
          <w:p w14:paraId="42CE716C">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股份有限公司</w:t>
            </w:r>
          </w:p>
        </w:tc>
      </w:tr>
      <w:tr w14:paraId="6FEFB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3221AA23">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成立时间：</w:t>
            </w:r>
          </w:p>
        </w:tc>
        <w:tc>
          <w:tcPr>
            <w:tcW w:w="5453" w:type="dxa"/>
            <w:noWrap w:val="0"/>
            <w:vAlign w:val="top"/>
          </w:tcPr>
          <w:p w14:paraId="05728539">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1992年8月</w:t>
            </w:r>
          </w:p>
        </w:tc>
      </w:tr>
      <w:tr w14:paraId="61BCF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F1D6B75">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法定代表人：</w:t>
            </w:r>
          </w:p>
        </w:tc>
        <w:tc>
          <w:tcPr>
            <w:tcW w:w="5453" w:type="dxa"/>
            <w:noWrap w:val="0"/>
            <w:vAlign w:val="top"/>
          </w:tcPr>
          <w:p w14:paraId="365A01A9">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陈云江</w:t>
            </w:r>
          </w:p>
        </w:tc>
      </w:tr>
      <w:tr w14:paraId="15810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277F59A4">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注册资本：</w:t>
            </w:r>
          </w:p>
        </w:tc>
        <w:tc>
          <w:tcPr>
            <w:tcW w:w="5453" w:type="dxa"/>
            <w:noWrap w:val="0"/>
            <w:vAlign w:val="top"/>
          </w:tcPr>
          <w:p w14:paraId="6FA99A30">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人民币5,037,747.5千元</w:t>
            </w:r>
          </w:p>
        </w:tc>
      </w:tr>
      <w:tr w14:paraId="0C658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394DB1C8">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主营业务：</w:t>
            </w:r>
          </w:p>
        </w:tc>
        <w:tc>
          <w:tcPr>
            <w:tcW w:w="5453" w:type="dxa"/>
            <w:noWrap w:val="0"/>
            <w:vAlign w:val="top"/>
          </w:tcPr>
          <w:p w14:paraId="5A276F69">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江苏省境内收费公路及高速公路建设、管理、养护及收费</w:t>
            </w:r>
          </w:p>
        </w:tc>
      </w:tr>
      <w:tr w14:paraId="5694C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258B50F4">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最近一个企业会计期末的总资产（2024年度）：</w:t>
            </w:r>
          </w:p>
        </w:tc>
        <w:tc>
          <w:tcPr>
            <w:tcW w:w="5453" w:type="dxa"/>
            <w:noWrap w:val="0"/>
            <w:vAlign w:val="top"/>
          </w:tcPr>
          <w:p w14:paraId="715CE8AB">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人民币89,886,075千元</w:t>
            </w:r>
          </w:p>
          <w:p w14:paraId="63FA62BA">
            <w:pPr>
              <w:widowControl/>
              <w:spacing w:before="120" w:after="120"/>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（根据中华人民共和国企业会计标准）</w:t>
            </w:r>
          </w:p>
        </w:tc>
      </w:tr>
      <w:tr w14:paraId="60085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7C28AC86">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最近一个企业会计期末的净资产（2024年度）：</w:t>
            </w:r>
          </w:p>
        </w:tc>
        <w:tc>
          <w:tcPr>
            <w:tcW w:w="5453" w:type="dxa"/>
            <w:noWrap w:val="0"/>
            <w:vAlign w:val="top"/>
          </w:tcPr>
          <w:p w14:paraId="0707432C">
            <w:pPr>
              <w:widowControl w:val="0"/>
              <w:adjustRightInd w:val="0"/>
              <w:snapToGrid w:val="0"/>
              <w:spacing w:before="120" w:after="240" w:line="360" w:lineRule="auto"/>
              <w:jc w:val="left"/>
              <w:rPr>
                <w:rFonts w:hint="eastAsia" w:asciiTheme="minorEastAsia" w:hAnsiTheme="minorEastAsia" w:eastAsiaTheme="minorEastAsia" w:cstheme="minorEastAsia"/>
                <w:kern w:val="0"/>
                <w:sz w:val="21"/>
                <w:szCs w:val="21"/>
                <w:highlight w:val="none"/>
                <w:lang w:val="ru-RU" w:eastAsia="zh-CN" w:bidi="ar-SA"/>
              </w:rPr>
            </w:pPr>
            <w:r>
              <w:rPr>
                <w:rFonts w:hint="eastAsia" w:asciiTheme="minorEastAsia" w:hAnsiTheme="minorEastAsia" w:eastAsiaTheme="minorEastAsia" w:cstheme="minorEastAsia"/>
                <w:kern w:val="0"/>
                <w:sz w:val="21"/>
                <w:szCs w:val="21"/>
                <w:highlight w:val="none"/>
                <w:lang w:val="ru-RU" w:eastAsia="zh-CN" w:bidi="ar-SA"/>
              </w:rPr>
              <w:t>人民币38,596,796千元</w:t>
            </w:r>
          </w:p>
          <w:p w14:paraId="322BA83E">
            <w:pPr>
              <w:widowControl/>
              <w:spacing w:before="120" w:after="120"/>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（根据中华人民共和国企业会计标准）</w:t>
            </w:r>
          </w:p>
        </w:tc>
      </w:tr>
      <w:tr w14:paraId="211F2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650471A7">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最近一个企业会计期末的营业收入（2024年度）：</w:t>
            </w:r>
          </w:p>
        </w:tc>
        <w:tc>
          <w:tcPr>
            <w:tcW w:w="5453" w:type="dxa"/>
            <w:noWrap w:val="0"/>
            <w:vAlign w:val="top"/>
          </w:tcPr>
          <w:p w14:paraId="1DA10677">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人民币23,198,204千元</w:t>
            </w:r>
          </w:p>
          <w:p w14:paraId="45633CDF">
            <w:pPr>
              <w:widowControl/>
              <w:spacing w:before="120" w:after="120"/>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（根据中华人民共和国企业会计标准）</w:t>
            </w:r>
          </w:p>
        </w:tc>
      </w:tr>
      <w:tr w14:paraId="0FA06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A6381B9">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最近一个企业会计期末的净利润（2024年度）：</w:t>
            </w:r>
          </w:p>
        </w:tc>
        <w:tc>
          <w:tcPr>
            <w:tcW w:w="5453" w:type="dxa"/>
            <w:noWrap w:val="0"/>
            <w:vAlign w:val="top"/>
          </w:tcPr>
          <w:p w14:paraId="239A9FA3">
            <w:pPr>
              <w:widowControl w:val="0"/>
              <w:adjustRightInd w:val="0"/>
              <w:spacing w:line="360" w:lineRule="auto"/>
              <w:jc w:val="left"/>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人民币4,946,692千元</w:t>
            </w:r>
          </w:p>
          <w:p w14:paraId="7A5205D2">
            <w:pPr>
              <w:widowControl/>
              <w:spacing w:before="120" w:after="120"/>
              <w:jc w:val="both"/>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2"/>
                <w:sz w:val="21"/>
                <w:szCs w:val="21"/>
                <w:highlight w:val="none"/>
                <w:lang w:val="en-US" w:eastAsia="zh-CN" w:bidi="ar-SA"/>
              </w:rPr>
              <w:t>（根据中华人民共和国企业会计标准）</w:t>
            </w:r>
          </w:p>
        </w:tc>
      </w:tr>
    </w:tbl>
    <w:p w14:paraId="59911515">
      <w:pPr>
        <w:adjustRightInd w:val="0"/>
        <w:spacing w:line="360" w:lineRule="auto"/>
        <w:ind w:firstLine="480"/>
        <w:rPr>
          <w:rFonts w:hint="eastAsia" w:asciiTheme="minorEastAsia" w:hAnsiTheme="minorEastAsia" w:eastAsiaTheme="minorEastAsia" w:cstheme="minorEastAsia"/>
          <w:bCs/>
          <w:sz w:val="24"/>
          <w:szCs w:val="24"/>
          <w:highlight w:val="none"/>
        </w:rPr>
      </w:pPr>
      <w:r>
        <w:rPr>
          <w:rFonts w:hint="eastAsia" w:asciiTheme="minorEastAsia" w:hAnsiTheme="minorEastAsia" w:eastAsiaTheme="minorEastAsia" w:cstheme="minorEastAsia"/>
          <w:bCs/>
          <w:sz w:val="24"/>
          <w:szCs w:val="24"/>
          <w:highlight w:val="none"/>
        </w:rPr>
        <w:t>公司2025年9月30日资产总额人民币92,852,432千元，净资产人民币40,282,934千元；2025年1-9月营业收入人民币12,981,379千元，净利润人民币3,837,104千元。</w:t>
      </w:r>
    </w:p>
    <w:p w14:paraId="5D1F7EBD">
      <w:pPr>
        <w:numPr>
          <w:ilvl w:val="0"/>
          <w:numId w:val="2"/>
        </w:numPr>
        <w:adjustRightInd w:val="0"/>
        <w:spacing w:line="360" w:lineRule="auto"/>
        <w:ind w:firstLine="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南京公路发展（集团）有限公司</w:t>
      </w:r>
    </w:p>
    <w:tbl>
      <w:tblPr>
        <w:tblStyle w:val="10"/>
        <w:tblW w:w="88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3"/>
      </w:tblGrid>
      <w:tr w14:paraId="5EB6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DCC0C05">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住所：</w:t>
            </w:r>
          </w:p>
        </w:tc>
        <w:tc>
          <w:tcPr>
            <w:tcW w:w="5453" w:type="dxa"/>
            <w:noWrap w:val="0"/>
            <w:vAlign w:val="top"/>
          </w:tcPr>
          <w:p w14:paraId="2B05EBA5">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南京市玄武区中山路268号1幢2401-2412室</w:t>
            </w:r>
          </w:p>
        </w:tc>
      </w:tr>
      <w:tr w14:paraId="0E7B8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2B9AB4D0">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企业类型：</w:t>
            </w:r>
          </w:p>
        </w:tc>
        <w:tc>
          <w:tcPr>
            <w:tcW w:w="5453" w:type="dxa"/>
            <w:noWrap w:val="0"/>
            <w:vAlign w:val="top"/>
          </w:tcPr>
          <w:p w14:paraId="1DFC219C">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有限责任公司(非自然人投资或控股的法人独资)</w:t>
            </w:r>
          </w:p>
        </w:tc>
      </w:tr>
      <w:tr w14:paraId="53476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297DCBA1">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成立时间：</w:t>
            </w:r>
          </w:p>
        </w:tc>
        <w:tc>
          <w:tcPr>
            <w:tcW w:w="5453" w:type="dxa"/>
            <w:noWrap w:val="0"/>
            <w:vAlign w:val="top"/>
          </w:tcPr>
          <w:p w14:paraId="5C3D1093">
            <w:pPr>
              <w:adjustRightInd w:val="0"/>
              <w:spacing w:line="360" w:lineRule="auto"/>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2001年7月</w:t>
            </w:r>
          </w:p>
        </w:tc>
      </w:tr>
      <w:tr w14:paraId="77C97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7118981C">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w:t>
            </w:r>
          </w:p>
        </w:tc>
        <w:tc>
          <w:tcPr>
            <w:tcW w:w="5453" w:type="dxa"/>
            <w:noWrap w:val="0"/>
            <w:vAlign w:val="top"/>
          </w:tcPr>
          <w:p w14:paraId="1F63F5E6">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HYPERLINK "https://www.qcc.com/pl/p693545f8ee60ae9238257a5d820bfba.html" \t "https://www.qcc.com/web/_blank"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徐勇</w:t>
            </w:r>
            <w:r>
              <w:rPr>
                <w:rFonts w:hint="eastAsia" w:asciiTheme="minorEastAsia" w:hAnsiTheme="minorEastAsia" w:eastAsiaTheme="minorEastAsia" w:cstheme="minorEastAsia"/>
                <w:sz w:val="21"/>
                <w:szCs w:val="21"/>
              </w:rPr>
              <w:fldChar w:fldCharType="end"/>
            </w:r>
          </w:p>
        </w:tc>
      </w:tr>
      <w:tr w14:paraId="20CDF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791D7A98">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注册资本：</w:t>
            </w:r>
          </w:p>
        </w:tc>
        <w:tc>
          <w:tcPr>
            <w:tcW w:w="5453" w:type="dxa"/>
            <w:noWrap w:val="0"/>
            <w:vAlign w:val="top"/>
          </w:tcPr>
          <w:p w14:paraId="3CC49AB9">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w:t>
            </w:r>
            <w:r>
              <w:rPr>
                <w:rFonts w:hint="eastAsia" w:asciiTheme="minorEastAsia" w:hAnsiTheme="minorEastAsia" w:eastAsiaTheme="minorEastAsia" w:cstheme="minorEastAsia"/>
                <w:sz w:val="21"/>
                <w:szCs w:val="21"/>
                <w:lang w:val="en-US" w:eastAsia="zh-CN"/>
              </w:rPr>
              <w:t>5,840,386.04千元</w:t>
            </w:r>
          </w:p>
        </w:tc>
      </w:tr>
      <w:tr w14:paraId="712A4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7460DD43">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主营业务：</w:t>
            </w:r>
          </w:p>
        </w:tc>
        <w:tc>
          <w:tcPr>
            <w:tcW w:w="5453" w:type="dxa"/>
            <w:noWrap w:val="0"/>
            <w:vAlign w:val="top"/>
          </w:tcPr>
          <w:p w14:paraId="22E7D5E7">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负责对高速公路等基础设施及相关产业的投资（控股或参股）和统一经营管理；高速公路及配套设施的建设、养护、经营管理；自有房屋租赁；自有场地租赁；机械设备租赁；百货销售；设计、制作、代理、发布国内各类广告。</w:t>
            </w:r>
          </w:p>
        </w:tc>
      </w:tr>
      <w:tr w14:paraId="57BB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2153845D">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最近一个企业会计期末的总资产（2024年度）：</w:t>
            </w:r>
          </w:p>
        </w:tc>
        <w:tc>
          <w:tcPr>
            <w:tcW w:w="5453" w:type="dxa"/>
            <w:noWrap w:val="0"/>
            <w:vAlign w:val="top"/>
          </w:tcPr>
          <w:p w14:paraId="15780BAA">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人民币25,390,142.75千元</w:t>
            </w:r>
          </w:p>
          <w:p w14:paraId="08258C47">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r w14:paraId="51484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5351FD26">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最近一个企业会计期末的净资产（2024年度）：</w:t>
            </w:r>
          </w:p>
        </w:tc>
        <w:tc>
          <w:tcPr>
            <w:tcW w:w="5453" w:type="dxa"/>
            <w:noWrap w:val="0"/>
            <w:vAlign w:val="top"/>
          </w:tcPr>
          <w:p w14:paraId="569698AC">
            <w:pPr>
              <w:adjustRightInd w:val="0"/>
              <w:snapToGrid w:val="0"/>
              <w:spacing w:before="120" w:after="240" w:line="360" w:lineRule="auto"/>
              <w:jc w:val="left"/>
              <w:rPr>
                <w:rFonts w:hint="eastAsia" w:asciiTheme="minorEastAsia" w:hAnsiTheme="minorEastAsia" w:eastAsiaTheme="minorEastAsia" w:cstheme="minorEastAsia"/>
                <w:kern w:val="0"/>
                <w:sz w:val="21"/>
                <w:szCs w:val="21"/>
                <w:lang w:val="ru-RU"/>
              </w:rPr>
            </w:pPr>
            <w:r>
              <w:rPr>
                <w:rFonts w:hint="eastAsia" w:asciiTheme="minorEastAsia" w:hAnsiTheme="minorEastAsia" w:eastAsiaTheme="minorEastAsia" w:cstheme="minorEastAsia"/>
                <w:kern w:val="0"/>
                <w:sz w:val="21"/>
                <w:szCs w:val="21"/>
                <w:lang w:val="ru-RU"/>
              </w:rPr>
              <w:t>人民币</w:t>
            </w:r>
            <w:r>
              <w:rPr>
                <w:rFonts w:hint="eastAsia" w:asciiTheme="minorEastAsia" w:hAnsiTheme="minorEastAsia" w:eastAsiaTheme="minorEastAsia" w:cstheme="minorEastAsia"/>
                <w:kern w:val="0"/>
                <w:sz w:val="21"/>
                <w:szCs w:val="21"/>
              </w:rPr>
              <w:t>12,293,403.98</w:t>
            </w:r>
            <w:r>
              <w:rPr>
                <w:rFonts w:hint="eastAsia" w:asciiTheme="minorEastAsia" w:hAnsiTheme="minorEastAsia" w:eastAsiaTheme="minorEastAsia" w:cstheme="minorEastAsia"/>
                <w:kern w:val="0"/>
                <w:sz w:val="21"/>
                <w:szCs w:val="21"/>
                <w:lang w:val="ru-RU"/>
              </w:rPr>
              <w:t>千元</w:t>
            </w:r>
          </w:p>
          <w:p w14:paraId="5BAD71C3">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r w14:paraId="07DE8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536D5C7">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最近一个企业会计期末的营业收入（2024年度）：</w:t>
            </w:r>
          </w:p>
        </w:tc>
        <w:tc>
          <w:tcPr>
            <w:tcW w:w="5453" w:type="dxa"/>
            <w:noWrap w:val="0"/>
            <w:vAlign w:val="top"/>
          </w:tcPr>
          <w:p w14:paraId="085DDE2F">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人民币1,261,896.56千元</w:t>
            </w:r>
          </w:p>
          <w:p w14:paraId="6CBFEDF6">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r w14:paraId="68611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3021CF0C">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最近一个企业会计期末的净利润（2024年度）：</w:t>
            </w:r>
          </w:p>
        </w:tc>
        <w:tc>
          <w:tcPr>
            <w:tcW w:w="5453" w:type="dxa"/>
            <w:noWrap w:val="0"/>
            <w:vAlign w:val="top"/>
          </w:tcPr>
          <w:p w14:paraId="38BA815B">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人民币310,888.42千元</w:t>
            </w:r>
          </w:p>
          <w:p w14:paraId="7F4E1A07">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bl>
    <w:p w14:paraId="026BD425">
      <w:pPr>
        <w:numPr>
          <w:ilvl w:val="0"/>
          <w:numId w:val="0"/>
        </w:numPr>
        <w:tabs>
          <w:tab w:val="left" w:pos="312"/>
        </w:tabs>
        <w:adjustRightInd w:val="0"/>
        <w:spacing w:line="360" w:lineRule="auto"/>
        <w:ind w:firstLine="48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bCs/>
          <w:sz w:val="24"/>
          <w:szCs w:val="24"/>
          <w:lang w:val="en-US" w:eastAsia="zh-CN"/>
        </w:rPr>
        <w:t>南京公路</w:t>
      </w:r>
      <w:r>
        <w:rPr>
          <w:rFonts w:hint="eastAsia" w:asciiTheme="minorEastAsia" w:hAnsiTheme="minorEastAsia" w:eastAsiaTheme="minorEastAsia" w:cstheme="minorEastAsia"/>
          <w:bCs/>
          <w:sz w:val="24"/>
          <w:szCs w:val="24"/>
        </w:rPr>
        <w:t>2025年9月30日资产总额人民币27,099,469.64千元，净资产人民币13,864,315.17千元；2025年1-9月营业收入人民币1,504,747.72千元，净利润人民币519,470.54千元。</w:t>
      </w:r>
    </w:p>
    <w:p w14:paraId="185C5605">
      <w:pPr>
        <w:numPr>
          <w:ilvl w:val="0"/>
          <w:numId w:val="0"/>
        </w:numPr>
        <w:adjustRightInd w:val="0"/>
        <w:spacing w:line="360" w:lineRule="auto"/>
        <w:ind w:firstLine="0"/>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扬州市交通产业集团有限责任公司</w:t>
      </w:r>
    </w:p>
    <w:tbl>
      <w:tblPr>
        <w:tblStyle w:val="10"/>
        <w:tblW w:w="888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1"/>
        <w:gridCol w:w="5453"/>
      </w:tblGrid>
      <w:tr w14:paraId="50EC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362D7F62">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住所：</w:t>
            </w:r>
          </w:p>
        </w:tc>
        <w:tc>
          <w:tcPr>
            <w:tcW w:w="5453" w:type="dxa"/>
            <w:noWrap w:val="0"/>
            <w:vAlign w:val="top"/>
          </w:tcPr>
          <w:p w14:paraId="206CF6BC">
            <w:pPr>
              <w:adjustRightInd w:val="0"/>
              <w:spacing w:line="360" w:lineRule="auto"/>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扬州市文昌西路525号新盛商务中心3号楼</w:t>
            </w:r>
          </w:p>
        </w:tc>
      </w:tr>
      <w:tr w14:paraId="62663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B05C037">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企业类型：</w:t>
            </w:r>
          </w:p>
        </w:tc>
        <w:tc>
          <w:tcPr>
            <w:tcW w:w="5453" w:type="dxa"/>
            <w:noWrap w:val="0"/>
            <w:vAlign w:val="top"/>
          </w:tcPr>
          <w:p w14:paraId="45BBB5C6">
            <w:pPr>
              <w:adjustRightInd w:val="0"/>
              <w:spacing w:line="360" w:lineRule="auto"/>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有限责任公司（非自然人投资或控股的法人独资）</w:t>
            </w:r>
          </w:p>
        </w:tc>
      </w:tr>
      <w:tr w14:paraId="0BDA2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543FF69E">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成立时间：</w:t>
            </w:r>
          </w:p>
        </w:tc>
        <w:tc>
          <w:tcPr>
            <w:tcW w:w="5453" w:type="dxa"/>
            <w:noWrap w:val="0"/>
            <w:vAlign w:val="top"/>
          </w:tcPr>
          <w:p w14:paraId="37552DE1">
            <w:pPr>
              <w:adjustRightInd w:val="0"/>
              <w:spacing w:line="360" w:lineRule="auto"/>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2003年03月</w:t>
            </w:r>
          </w:p>
        </w:tc>
      </w:tr>
      <w:tr w14:paraId="2E554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3D202B9C">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w:t>
            </w:r>
          </w:p>
        </w:tc>
        <w:tc>
          <w:tcPr>
            <w:tcW w:w="5453" w:type="dxa"/>
            <w:noWrap w:val="0"/>
            <w:vAlign w:val="top"/>
          </w:tcPr>
          <w:p w14:paraId="0899AF2F">
            <w:pPr>
              <w:adjustRightInd w:val="0"/>
              <w:spacing w:line="360" w:lineRule="auto"/>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曹远志</w:t>
            </w:r>
          </w:p>
        </w:tc>
      </w:tr>
      <w:tr w14:paraId="1BB4C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3BB2C5DD">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注册资本：</w:t>
            </w:r>
          </w:p>
        </w:tc>
        <w:tc>
          <w:tcPr>
            <w:tcW w:w="5453" w:type="dxa"/>
            <w:noWrap w:val="0"/>
            <w:vAlign w:val="top"/>
          </w:tcPr>
          <w:p w14:paraId="1D28B4CE">
            <w:pPr>
              <w:adjustRightInd w:val="0"/>
              <w:spacing w:line="360" w:lineRule="auto"/>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5,305,882.52681千元</w:t>
            </w:r>
          </w:p>
        </w:tc>
      </w:tr>
      <w:tr w14:paraId="4BD4D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73F0F4A">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主营业务：</w:t>
            </w:r>
          </w:p>
        </w:tc>
        <w:tc>
          <w:tcPr>
            <w:tcW w:w="5453" w:type="dxa"/>
            <w:noWrap w:val="0"/>
            <w:vAlign w:val="top"/>
          </w:tcPr>
          <w:p w14:paraId="3536D90D">
            <w:pPr>
              <w:adjustRightInd w:val="0"/>
              <w:spacing w:line="360" w:lineRule="auto"/>
              <w:jc w:val="lef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（1）交通基础设施投资、建设和运营；（2）交通运输；（3）交通运输辅助业。</w:t>
            </w:r>
          </w:p>
        </w:tc>
      </w:tr>
      <w:tr w14:paraId="65758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7EAB7AC8">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最近一个企业会计期末的总资产（2024年度）：</w:t>
            </w:r>
          </w:p>
        </w:tc>
        <w:tc>
          <w:tcPr>
            <w:tcW w:w="5453" w:type="dxa"/>
            <w:noWrap w:val="0"/>
            <w:vAlign w:val="top"/>
          </w:tcPr>
          <w:p w14:paraId="5900AFB0">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w:t>
            </w:r>
            <w:r>
              <w:rPr>
                <w:rFonts w:hint="eastAsia" w:asciiTheme="minorEastAsia" w:hAnsiTheme="minorEastAsia" w:eastAsiaTheme="minorEastAsia" w:cstheme="minorEastAsia"/>
                <w:sz w:val="21"/>
                <w:szCs w:val="21"/>
                <w:lang w:val="en-US" w:eastAsia="zh-CN"/>
              </w:rPr>
              <w:t>43,882,349.62</w:t>
            </w:r>
            <w:r>
              <w:rPr>
                <w:rFonts w:hint="eastAsia" w:asciiTheme="minorEastAsia" w:hAnsiTheme="minorEastAsia" w:eastAsiaTheme="minorEastAsia" w:cstheme="minorEastAsia"/>
                <w:sz w:val="21"/>
                <w:szCs w:val="21"/>
              </w:rPr>
              <w:t>千元</w:t>
            </w:r>
          </w:p>
          <w:p w14:paraId="2BC931F3">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r w14:paraId="4EE26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1C7763F1">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最近一个企业会计期末的净资产（2024年度）：</w:t>
            </w:r>
          </w:p>
        </w:tc>
        <w:tc>
          <w:tcPr>
            <w:tcW w:w="5453" w:type="dxa"/>
            <w:noWrap w:val="0"/>
            <w:vAlign w:val="top"/>
          </w:tcPr>
          <w:p w14:paraId="7BE8B2DE">
            <w:pPr>
              <w:adjustRightInd w:val="0"/>
              <w:snapToGrid w:val="0"/>
              <w:spacing w:before="120" w:after="240" w:line="360" w:lineRule="auto"/>
              <w:jc w:val="left"/>
              <w:rPr>
                <w:rFonts w:hint="eastAsia" w:asciiTheme="minorEastAsia" w:hAnsiTheme="minorEastAsia" w:eastAsiaTheme="minorEastAsia" w:cstheme="minorEastAsia"/>
                <w:kern w:val="0"/>
                <w:sz w:val="21"/>
                <w:szCs w:val="21"/>
                <w:lang w:val="ru-RU"/>
              </w:rPr>
            </w:pPr>
            <w:r>
              <w:rPr>
                <w:rFonts w:hint="eastAsia" w:asciiTheme="minorEastAsia" w:hAnsiTheme="minorEastAsia" w:eastAsiaTheme="minorEastAsia" w:cstheme="minorEastAsia"/>
                <w:kern w:val="0"/>
                <w:sz w:val="21"/>
                <w:szCs w:val="21"/>
                <w:lang w:val="ru-RU"/>
              </w:rPr>
              <w:t>人民币</w:t>
            </w:r>
            <w:r>
              <w:rPr>
                <w:rFonts w:hint="eastAsia" w:asciiTheme="minorEastAsia" w:hAnsiTheme="minorEastAsia" w:eastAsiaTheme="minorEastAsia" w:cstheme="minorEastAsia"/>
                <w:kern w:val="0"/>
                <w:sz w:val="21"/>
                <w:szCs w:val="21"/>
                <w:lang w:val="en-US" w:eastAsia="zh-CN"/>
              </w:rPr>
              <w:t>15,903,545.47</w:t>
            </w:r>
            <w:r>
              <w:rPr>
                <w:rFonts w:hint="eastAsia" w:asciiTheme="minorEastAsia" w:hAnsiTheme="minorEastAsia" w:eastAsiaTheme="minorEastAsia" w:cstheme="minorEastAsia"/>
                <w:kern w:val="0"/>
                <w:sz w:val="21"/>
                <w:szCs w:val="21"/>
                <w:lang w:val="ru-RU"/>
              </w:rPr>
              <w:t>千元</w:t>
            </w:r>
          </w:p>
          <w:p w14:paraId="4C66A32D">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r w14:paraId="161B6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7EBD486E">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最近一个企业会计期末的营业收入（2024年度）：</w:t>
            </w:r>
          </w:p>
        </w:tc>
        <w:tc>
          <w:tcPr>
            <w:tcW w:w="5453" w:type="dxa"/>
            <w:noWrap w:val="0"/>
            <w:vAlign w:val="top"/>
          </w:tcPr>
          <w:p w14:paraId="5985F06F">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w:t>
            </w:r>
            <w:r>
              <w:rPr>
                <w:rFonts w:hint="eastAsia" w:asciiTheme="minorEastAsia" w:hAnsiTheme="minorEastAsia" w:eastAsiaTheme="minorEastAsia" w:cstheme="minorEastAsia"/>
                <w:sz w:val="21"/>
                <w:szCs w:val="21"/>
                <w:lang w:val="en-US" w:eastAsia="zh-CN"/>
              </w:rPr>
              <w:t>2,150,049.62</w:t>
            </w:r>
            <w:r>
              <w:rPr>
                <w:rFonts w:hint="eastAsia" w:asciiTheme="minorEastAsia" w:hAnsiTheme="minorEastAsia" w:eastAsiaTheme="minorEastAsia" w:cstheme="minorEastAsia"/>
                <w:sz w:val="21"/>
                <w:szCs w:val="21"/>
              </w:rPr>
              <w:t>千元</w:t>
            </w:r>
          </w:p>
          <w:p w14:paraId="791EDA5A">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r w14:paraId="62020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31" w:type="dxa"/>
            <w:noWrap w:val="0"/>
            <w:vAlign w:val="top"/>
          </w:tcPr>
          <w:p w14:paraId="5E24D5BD">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最近一个企业会计期末的净利润（2024年度）：</w:t>
            </w:r>
          </w:p>
        </w:tc>
        <w:tc>
          <w:tcPr>
            <w:tcW w:w="5453" w:type="dxa"/>
            <w:noWrap w:val="0"/>
            <w:vAlign w:val="top"/>
          </w:tcPr>
          <w:p w14:paraId="701BDC27">
            <w:pPr>
              <w:adjustRightInd w:val="0"/>
              <w:spacing w:line="360" w:lineRule="auto"/>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人民币</w:t>
            </w:r>
            <w:r>
              <w:rPr>
                <w:rFonts w:hint="eastAsia" w:asciiTheme="minorEastAsia" w:hAnsiTheme="minorEastAsia" w:eastAsiaTheme="minorEastAsia" w:cstheme="minorEastAsia"/>
                <w:sz w:val="21"/>
                <w:szCs w:val="21"/>
                <w:lang w:val="en-US" w:eastAsia="zh-CN"/>
              </w:rPr>
              <w:t>-592,860.52</w:t>
            </w:r>
            <w:r>
              <w:rPr>
                <w:rFonts w:hint="eastAsia" w:asciiTheme="minorEastAsia" w:hAnsiTheme="minorEastAsia" w:eastAsiaTheme="minorEastAsia" w:cstheme="minorEastAsia"/>
                <w:sz w:val="21"/>
                <w:szCs w:val="21"/>
              </w:rPr>
              <w:t>千元</w:t>
            </w:r>
          </w:p>
          <w:p w14:paraId="604FAFEE">
            <w:pPr>
              <w:widowControl/>
              <w:spacing w:before="120" w:after="12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（根据中华人民共和国企业会计标准）</w:t>
            </w:r>
          </w:p>
        </w:tc>
      </w:tr>
    </w:tbl>
    <w:p w14:paraId="0D3E028D">
      <w:pPr>
        <w:adjustRightInd w:val="0"/>
        <w:spacing w:line="360" w:lineRule="auto"/>
        <w:ind w:firstLine="480"/>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bCs/>
          <w:sz w:val="24"/>
          <w:szCs w:val="24"/>
          <w:lang w:val="en-US" w:eastAsia="zh-CN"/>
        </w:rPr>
        <w:t>扬州交通</w:t>
      </w:r>
      <w:r>
        <w:rPr>
          <w:rFonts w:hint="eastAsia" w:asciiTheme="minorEastAsia" w:hAnsiTheme="minorEastAsia" w:eastAsiaTheme="minorEastAsia" w:cstheme="minorEastAsia"/>
          <w:bCs/>
          <w:sz w:val="24"/>
          <w:szCs w:val="24"/>
        </w:rPr>
        <w:t>2025年9月30日资产总额人民币</w:t>
      </w:r>
      <w:r>
        <w:rPr>
          <w:rFonts w:hint="eastAsia" w:asciiTheme="minorEastAsia" w:hAnsiTheme="minorEastAsia" w:eastAsiaTheme="minorEastAsia" w:cstheme="minorEastAsia"/>
          <w:bCs/>
          <w:sz w:val="24"/>
          <w:szCs w:val="24"/>
          <w:lang w:val="en-US" w:eastAsia="zh-CN"/>
        </w:rPr>
        <w:t>43,278,893.06</w:t>
      </w:r>
      <w:r>
        <w:rPr>
          <w:rFonts w:hint="eastAsia" w:asciiTheme="minorEastAsia" w:hAnsiTheme="minorEastAsia" w:eastAsiaTheme="minorEastAsia" w:cstheme="minorEastAsia"/>
          <w:bCs/>
          <w:sz w:val="24"/>
          <w:szCs w:val="24"/>
        </w:rPr>
        <w:t>千元，净资产人民币</w:t>
      </w:r>
      <w:r>
        <w:rPr>
          <w:rFonts w:hint="eastAsia" w:asciiTheme="minorEastAsia" w:hAnsiTheme="minorEastAsia" w:eastAsiaTheme="minorEastAsia" w:cstheme="minorEastAsia"/>
          <w:bCs/>
          <w:sz w:val="24"/>
          <w:szCs w:val="24"/>
          <w:lang w:val="en-US" w:eastAsia="zh-CN"/>
        </w:rPr>
        <w:t>14,942,890.11</w:t>
      </w:r>
      <w:r>
        <w:rPr>
          <w:rFonts w:hint="eastAsia" w:asciiTheme="minorEastAsia" w:hAnsiTheme="minorEastAsia" w:eastAsiaTheme="minorEastAsia" w:cstheme="minorEastAsia"/>
          <w:bCs/>
          <w:sz w:val="24"/>
          <w:szCs w:val="24"/>
        </w:rPr>
        <w:t>千元；2025年1-9月营业收入人民币</w:t>
      </w:r>
      <w:r>
        <w:rPr>
          <w:rFonts w:hint="eastAsia" w:asciiTheme="minorEastAsia" w:hAnsiTheme="minorEastAsia" w:eastAsiaTheme="minorEastAsia" w:cstheme="minorEastAsia"/>
          <w:bCs/>
          <w:sz w:val="24"/>
          <w:szCs w:val="24"/>
          <w:lang w:val="en-US" w:eastAsia="zh-CN"/>
        </w:rPr>
        <w:t>1,624,793.09</w:t>
      </w:r>
      <w:r>
        <w:rPr>
          <w:rFonts w:hint="eastAsia" w:asciiTheme="minorEastAsia" w:hAnsiTheme="minorEastAsia" w:eastAsiaTheme="minorEastAsia" w:cstheme="minorEastAsia"/>
          <w:bCs/>
          <w:sz w:val="24"/>
          <w:szCs w:val="24"/>
        </w:rPr>
        <w:t>千元，净利润人民币</w:t>
      </w:r>
      <w:r>
        <w:rPr>
          <w:rFonts w:hint="eastAsia" w:asciiTheme="minorEastAsia" w:hAnsiTheme="minorEastAsia" w:eastAsiaTheme="minorEastAsia" w:cstheme="minorEastAsia"/>
          <w:bCs/>
          <w:sz w:val="24"/>
          <w:szCs w:val="24"/>
          <w:lang w:val="en-US" w:eastAsia="zh-CN"/>
        </w:rPr>
        <w:t>15,402.65</w:t>
      </w:r>
      <w:r>
        <w:rPr>
          <w:rFonts w:hint="eastAsia" w:asciiTheme="minorEastAsia" w:hAnsiTheme="minorEastAsia" w:eastAsiaTheme="minorEastAsia" w:cstheme="minorEastAsia"/>
          <w:bCs/>
          <w:sz w:val="24"/>
          <w:szCs w:val="24"/>
        </w:rPr>
        <w:t>千元。</w:t>
      </w:r>
    </w:p>
    <w:p w14:paraId="5F95FE59">
      <w:pPr>
        <w:adjustRightIn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据董事于作出一切合理查询后所知、所悉及所信，《增资协议》各方及其各</w:t>
      </w:r>
      <w:r>
        <w:rPr>
          <w:rFonts w:hint="eastAsia" w:asciiTheme="minorEastAsia" w:hAnsiTheme="minorEastAsia" w:eastAsiaTheme="minorEastAsia" w:cstheme="minorEastAsia"/>
          <w:sz w:val="24"/>
          <w:szCs w:val="24"/>
          <w:highlight w:val="none"/>
          <w:lang w:val="en-US" w:eastAsia="zh-CN"/>
        </w:rPr>
        <w:t>自</w:t>
      </w:r>
      <w:r>
        <w:rPr>
          <w:rFonts w:hint="eastAsia" w:asciiTheme="minorEastAsia" w:hAnsiTheme="minorEastAsia" w:eastAsiaTheme="minorEastAsia" w:cstheme="minorEastAsia"/>
          <w:sz w:val="24"/>
          <w:szCs w:val="24"/>
          <w:highlight w:val="none"/>
        </w:rPr>
        <w:t>的最终实益拥有人(除于龙潭大桥公司权益外)为独立于本公司及其</w:t>
      </w:r>
      <w:r>
        <w:rPr>
          <w:rFonts w:hint="eastAsia" w:asciiTheme="minorEastAsia" w:hAnsiTheme="minorEastAsia" w:eastAsiaTheme="minorEastAsia" w:cstheme="minorEastAsia"/>
          <w:sz w:val="24"/>
          <w:szCs w:val="24"/>
          <w:highlight w:val="none"/>
          <w:lang w:val="en-US" w:eastAsia="zh-CN"/>
        </w:rPr>
        <w:t>关联/</w:t>
      </w:r>
      <w:r>
        <w:rPr>
          <w:rFonts w:hint="eastAsia" w:asciiTheme="minorEastAsia" w:hAnsiTheme="minorEastAsia" w:eastAsiaTheme="minorEastAsia" w:cstheme="minorEastAsia"/>
          <w:sz w:val="24"/>
          <w:szCs w:val="24"/>
          <w:highlight w:val="none"/>
        </w:rPr>
        <w:t>关连人士以及其各自联系人的第三方。</w:t>
      </w:r>
    </w:p>
    <w:p w14:paraId="7B2A9977">
      <w:pPr>
        <w:adjustRightInd w:val="0"/>
        <w:spacing w:line="360" w:lineRule="auto"/>
        <w:ind w:firstLine="480"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sz w:val="24"/>
          <w:szCs w:val="24"/>
          <w:highlight w:val="none"/>
          <w:lang w:val="en-US" w:eastAsia="zh-CN"/>
        </w:rPr>
        <w:t>三、</w:t>
      </w:r>
      <w:r>
        <w:rPr>
          <w:rFonts w:hint="eastAsia" w:asciiTheme="minorEastAsia" w:hAnsiTheme="minorEastAsia" w:eastAsiaTheme="minorEastAsia" w:cstheme="minorEastAsia"/>
          <w:b/>
          <w:sz w:val="24"/>
          <w:szCs w:val="24"/>
          <w:highlight w:val="none"/>
        </w:rPr>
        <w:t>增资标的的基本情况</w:t>
      </w:r>
    </w:p>
    <w:p w14:paraId="7A7CACF9">
      <w:pPr>
        <w:adjustRightInd w:val="0"/>
        <w:snapToGrid w:val="0"/>
        <w:spacing w:line="360" w:lineRule="auto"/>
        <w:ind w:firstLine="480" w:firstLineChars="200"/>
        <w:rPr>
          <w:rFonts w:hint="eastAsia" w:asciiTheme="minorEastAsia" w:hAnsiTheme="minorEastAsia" w:eastAsiaTheme="minorEastAsia" w:cstheme="minorEastAsia"/>
          <w:b w:val="0"/>
          <w:bCs/>
          <w:sz w:val="24"/>
          <w:szCs w:val="24"/>
          <w:highlight w:val="none"/>
        </w:rPr>
      </w:pPr>
      <w:r>
        <w:rPr>
          <w:rFonts w:hint="eastAsia" w:asciiTheme="minorEastAsia" w:hAnsiTheme="minorEastAsia" w:eastAsiaTheme="minorEastAsia" w:cstheme="minorEastAsia"/>
          <w:b w:val="0"/>
          <w:bCs/>
          <w:sz w:val="24"/>
          <w:szCs w:val="24"/>
          <w:highlight w:val="none"/>
        </w:rPr>
        <w:t>1、基本情况</w:t>
      </w:r>
    </w:p>
    <w:p w14:paraId="4E2793A3">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公司名称：江苏龙潭大桥有限公司</w:t>
      </w:r>
    </w:p>
    <w:p w14:paraId="59CA5AA8">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企业性质：有限责任公司</w:t>
      </w:r>
    </w:p>
    <w:p w14:paraId="6BD0DEE4">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注册地：南京市栖霞区仙林大道6号</w:t>
      </w:r>
    </w:p>
    <w:p w14:paraId="217563B2">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法定代表人：汪锋</w:t>
      </w:r>
    </w:p>
    <w:p w14:paraId="3B1F3813">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注册资本：</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5</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eastAsiaTheme="minorEastAsia" w:cstheme="minorEastAsia"/>
          <w:sz w:val="24"/>
          <w:szCs w:val="24"/>
          <w:highlight w:val="none"/>
        </w:rPr>
        <w:t>993</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eastAsiaTheme="minorEastAsia" w:cstheme="minorEastAsia"/>
          <w:sz w:val="24"/>
          <w:szCs w:val="24"/>
          <w:highlight w:val="none"/>
        </w:rPr>
        <w:t>86</w:t>
      </w:r>
      <w:r>
        <w:rPr>
          <w:rFonts w:hint="eastAsia" w:asciiTheme="minorEastAsia" w:hAnsiTheme="minorEastAsia" w:eastAsiaTheme="minorEastAsia" w:cstheme="minorEastAsia"/>
          <w:sz w:val="24"/>
          <w:szCs w:val="24"/>
          <w:highlight w:val="none"/>
          <w:lang w:val="en-US" w:eastAsia="zh-CN"/>
        </w:rPr>
        <w:t>0.00千</w:t>
      </w:r>
      <w:r>
        <w:rPr>
          <w:rFonts w:hint="eastAsia" w:asciiTheme="minorEastAsia" w:hAnsiTheme="minorEastAsia" w:eastAsiaTheme="minorEastAsia" w:cstheme="minorEastAsia"/>
          <w:sz w:val="24"/>
          <w:szCs w:val="24"/>
          <w:highlight w:val="none"/>
        </w:rPr>
        <w:t>元</w:t>
      </w:r>
    </w:p>
    <w:p w14:paraId="693AB4C9">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主营业务：高速公路的经营和管理。</w:t>
      </w:r>
    </w:p>
    <w:p w14:paraId="533AE1E5">
      <w:pPr>
        <w:adjustRightInd w:val="0"/>
        <w:snapToGrid w:val="0"/>
        <w:spacing w:line="360" w:lineRule="auto"/>
        <w:ind w:firstLine="480" w:firstLineChars="200"/>
        <w:rPr>
          <w:rFonts w:hint="eastAsia" w:asciiTheme="minorEastAsia" w:hAnsiTheme="minorEastAsia" w:eastAsiaTheme="minorEastAsia" w:cstheme="minorEastAsia"/>
          <w:b w:val="0"/>
          <w:bCs/>
          <w:color w:val="000000"/>
          <w:kern w:val="0"/>
          <w:sz w:val="24"/>
          <w:szCs w:val="24"/>
          <w:highlight w:val="none"/>
          <w:lang w:eastAsia="zh-CN"/>
        </w:rPr>
      </w:pPr>
      <w:r>
        <w:rPr>
          <w:rFonts w:hint="eastAsia" w:asciiTheme="minorEastAsia" w:hAnsiTheme="minorEastAsia" w:eastAsiaTheme="minorEastAsia" w:cstheme="minorEastAsia"/>
          <w:b w:val="0"/>
          <w:bCs/>
          <w:sz w:val="24"/>
          <w:szCs w:val="24"/>
          <w:highlight w:val="none"/>
        </w:rPr>
        <w:t>2、财务状况</w:t>
      </w:r>
    </w:p>
    <w:p w14:paraId="1C34B9B1">
      <w:pPr>
        <w:adjustRightInd w:val="0"/>
        <w:snapToGrid w:val="0"/>
        <w:spacing w:line="360" w:lineRule="auto"/>
        <w:ind w:firstLine="480"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sz w:val="24"/>
          <w:szCs w:val="24"/>
          <w:highlight w:val="none"/>
        </w:rPr>
        <w:t xml:space="preserve">        </w:t>
      </w:r>
      <w:bookmarkStart w:id="0" w:name="_GoBack"/>
      <w:r>
        <w:rPr>
          <w:rFonts w:hint="eastAsia" w:asciiTheme="minorEastAsia" w:hAnsiTheme="minorEastAsia" w:eastAsiaTheme="minorEastAsia" w:cstheme="minorEastAsia"/>
          <w:sz w:val="24"/>
          <w:szCs w:val="24"/>
          <w:highlight w:val="none"/>
        </w:rPr>
        <w:t xml:space="preserve"> </w:t>
      </w:r>
      <w:bookmarkEnd w:id="0"/>
      <w:r>
        <w:rPr>
          <w:rFonts w:hint="eastAsia" w:asciiTheme="minorEastAsia" w:hAnsiTheme="minorEastAsia" w:eastAsiaTheme="minorEastAsia" w:cstheme="minorEastAsia"/>
          <w:sz w:val="24"/>
          <w:szCs w:val="24"/>
          <w:highlight w:val="none"/>
        </w:rPr>
        <w:t xml:space="preserve">                              </w:t>
      </w:r>
      <w:r>
        <w:rPr>
          <w:rFonts w:hint="default" w:asciiTheme="minorEastAsia" w:hAnsiTheme="minorEastAsia" w:eastAsiaTheme="minorEastAsia" w:cstheme="minorEastAsia"/>
          <w:sz w:val="24"/>
          <w:szCs w:val="24"/>
          <w:highlight w:val="none"/>
          <w:lang w:val="en-US"/>
        </w:rPr>
        <w:t xml:space="preserve">      </w:t>
      </w: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单位：</w:t>
      </w:r>
      <w:r>
        <w:rPr>
          <w:rFonts w:hint="eastAsia" w:asciiTheme="minorEastAsia" w:hAnsiTheme="minorEastAsia" w:eastAsiaTheme="minorEastAsia" w:cstheme="minorEastAsia"/>
          <w:sz w:val="24"/>
          <w:szCs w:val="24"/>
          <w:highlight w:val="none"/>
          <w:lang w:val="en-US" w:eastAsia="zh-CN"/>
        </w:rPr>
        <w:t>人民币千</w:t>
      </w:r>
      <w:r>
        <w:rPr>
          <w:rFonts w:hint="eastAsia" w:asciiTheme="minorEastAsia" w:hAnsiTheme="minorEastAsia" w:eastAsiaTheme="minorEastAsia" w:cstheme="minorEastAsia"/>
          <w:sz w:val="24"/>
          <w:szCs w:val="24"/>
          <w:highlight w:val="none"/>
        </w:rPr>
        <w:t>元</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6"/>
        <w:gridCol w:w="2236"/>
        <w:gridCol w:w="2236"/>
        <w:gridCol w:w="2237"/>
      </w:tblGrid>
      <w:tr w14:paraId="11EFB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605CC5B0">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项目</w:t>
            </w:r>
          </w:p>
        </w:tc>
        <w:tc>
          <w:tcPr>
            <w:tcW w:w="2236" w:type="dxa"/>
            <w:noWrap w:val="0"/>
            <w:vAlign w:val="center"/>
          </w:tcPr>
          <w:p w14:paraId="40CD4A6F">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2023年12月31日</w:t>
            </w:r>
          </w:p>
          <w:p w14:paraId="108A57EA">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（经审计）</w:t>
            </w:r>
          </w:p>
        </w:tc>
        <w:tc>
          <w:tcPr>
            <w:tcW w:w="2236" w:type="dxa"/>
            <w:noWrap w:val="0"/>
            <w:vAlign w:val="center"/>
          </w:tcPr>
          <w:p w14:paraId="29224367">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2024年12月31日</w:t>
            </w:r>
          </w:p>
          <w:p w14:paraId="33C289FA">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（经审计）</w:t>
            </w:r>
          </w:p>
        </w:tc>
        <w:tc>
          <w:tcPr>
            <w:tcW w:w="2237" w:type="dxa"/>
            <w:noWrap w:val="0"/>
            <w:vAlign w:val="center"/>
          </w:tcPr>
          <w:p w14:paraId="2664603C">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2025年9月30日</w:t>
            </w:r>
          </w:p>
          <w:p w14:paraId="1FEF8B2F">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（未经审计）</w:t>
            </w:r>
          </w:p>
        </w:tc>
      </w:tr>
      <w:tr w14:paraId="1B2E9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4CE0D0CA">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资产总额</w:t>
            </w:r>
          </w:p>
        </w:tc>
        <w:tc>
          <w:tcPr>
            <w:tcW w:w="2236" w:type="dxa"/>
            <w:noWrap w:val="0"/>
            <w:vAlign w:val="center"/>
          </w:tcPr>
          <w:p w14:paraId="0B7C7169">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0"/>
                <w:sz w:val="21"/>
                <w:szCs w:val="21"/>
                <w:highlight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7,091,799.68</w:t>
            </w:r>
          </w:p>
        </w:tc>
        <w:tc>
          <w:tcPr>
            <w:tcW w:w="2236" w:type="dxa"/>
            <w:noWrap w:val="0"/>
            <w:vAlign w:val="center"/>
          </w:tcPr>
          <w:p w14:paraId="5CAC9A7E">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9,045,964.57</w:t>
            </w:r>
          </w:p>
        </w:tc>
        <w:tc>
          <w:tcPr>
            <w:tcW w:w="2237" w:type="dxa"/>
            <w:noWrap w:val="0"/>
            <w:vAlign w:val="center"/>
          </w:tcPr>
          <w:p w14:paraId="3ECCA99A">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9,424,216.97</w:t>
            </w:r>
          </w:p>
        </w:tc>
      </w:tr>
      <w:tr w14:paraId="5FD3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0EB209AA">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资产净额</w:t>
            </w:r>
          </w:p>
        </w:tc>
        <w:tc>
          <w:tcPr>
            <w:tcW w:w="2236" w:type="dxa"/>
            <w:noWrap w:val="0"/>
            <w:vAlign w:val="center"/>
          </w:tcPr>
          <w:p w14:paraId="7C787C9A">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0"/>
                <w:sz w:val="21"/>
                <w:szCs w:val="21"/>
                <w:highlight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4,782,666.04</w:t>
            </w:r>
          </w:p>
        </w:tc>
        <w:tc>
          <w:tcPr>
            <w:tcW w:w="2236" w:type="dxa"/>
            <w:noWrap w:val="0"/>
            <w:vAlign w:val="center"/>
          </w:tcPr>
          <w:p w14:paraId="48E34C25">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5,991,981.69</w:t>
            </w:r>
          </w:p>
        </w:tc>
        <w:tc>
          <w:tcPr>
            <w:tcW w:w="2237" w:type="dxa"/>
            <w:noWrap w:val="0"/>
            <w:vAlign w:val="center"/>
          </w:tcPr>
          <w:p w14:paraId="532626B0">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5,917,608.14</w:t>
            </w:r>
          </w:p>
        </w:tc>
      </w:tr>
      <w:tr w14:paraId="411FC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714AF12A">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项目</w:t>
            </w:r>
          </w:p>
        </w:tc>
        <w:tc>
          <w:tcPr>
            <w:tcW w:w="2236" w:type="dxa"/>
            <w:noWrap w:val="0"/>
            <w:vAlign w:val="center"/>
          </w:tcPr>
          <w:p w14:paraId="19764C3A">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2023年度</w:t>
            </w:r>
          </w:p>
          <w:p w14:paraId="38BD5F04">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（经审计）</w:t>
            </w:r>
          </w:p>
        </w:tc>
        <w:tc>
          <w:tcPr>
            <w:tcW w:w="2236" w:type="dxa"/>
            <w:noWrap w:val="0"/>
            <w:vAlign w:val="center"/>
          </w:tcPr>
          <w:p w14:paraId="28EE9B58">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2024年度</w:t>
            </w:r>
          </w:p>
          <w:p w14:paraId="7BE15184">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（经审计）</w:t>
            </w:r>
          </w:p>
        </w:tc>
        <w:tc>
          <w:tcPr>
            <w:tcW w:w="2237" w:type="dxa"/>
            <w:noWrap w:val="0"/>
            <w:vAlign w:val="center"/>
          </w:tcPr>
          <w:p w14:paraId="5C2FFAE6">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2025年1-9月</w:t>
            </w:r>
          </w:p>
          <w:p w14:paraId="52398CED">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（未经审计）</w:t>
            </w:r>
          </w:p>
        </w:tc>
      </w:tr>
      <w:tr w14:paraId="1BA4A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61964A17">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营业收入</w:t>
            </w:r>
          </w:p>
        </w:tc>
        <w:tc>
          <w:tcPr>
            <w:tcW w:w="2236" w:type="dxa"/>
            <w:noWrap w:val="0"/>
            <w:vAlign w:val="center"/>
          </w:tcPr>
          <w:p w14:paraId="608577AE">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0"/>
                <w:sz w:val="21"/>
                <w:szCs w:val="21"/>
                <w:highlight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1,720,627.20</w:t>
            </w:r>
          </w:p>
        </w:tc>
        <w:tc>
          <w:tcPr>
            <w:tcW w:w="2236" w:type="dxa"/>
            <w:noWrap w:val="0"/>
            <w:vAlign w:val="center"/>
          </w:tcPr>
          <w:p w14:paraId="6AC892A0">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2,017,577.91</w:t>
            </w:r>
          </w:p>
        </w:tc>
        <w:tc>
          <w:tcPr>
            <w:tcW w:w="2237" w:type="dxa"/>
            <w:noWrap w:val="0"/>
            <w:vAlign w:val="center"/>
          </w:tcPr>
          <w:p w14:paraId="6A2C820A">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227,591.00</w:t>
            </w:r>
          </w:p>
        </w:tc>
      </w:tr>
      <w:tr w14:paraId="37381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499596FE">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利润总额</w:t>
            </w:r>
          </w:p>
        </w:tc>
        <w:tc>
          <w:tcPr>
            <w:tcW w:w="2236" w:type="dxa"/>
            <w:noWrap w:val="0"/>
            <w:vAlign w:val="center"/>
          </w:tcPr>
          <w:p w14:paraId="58B03388">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0"/>
                <w:sz w:val="21"/>
                <w:szCs w:val="21"/>
                <w:highlight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610.53</w:t>
            </w:r>
          </w:p>
        </w:tc>
        <w:tc>
          <w:tcPr>
            <w:tcW w:w="2236" w:type="dxa"/>
            <w:noWrap w:val="0"/>
            <w:vAlign w:val="center"/>
          </w:tcPr>
          <w:p w14:paraId="272176EB">
            <w:pPr>
              <w:keepNext w:val="0"/>
              <w:keepLines w:val="0"/>
              <w:widowControl/>
              <w:suppressLineNumbers w:val="0"/>
              <w:jc w:val="center"/>
              <w:textAlignment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-3,062.15</w:t>
            </w:r>
          </w:p>
        </w:tc>
        <w:tc>
          <w:tcPr>
            <w:tcW w:w="2237" w:type="dxa"/>
            <w:noWrap w:val="0"/>
            <w:vAlign w:val="center"/>
          </w:tcPr>
          <w:p w14:paraId="63F21EE2">
            <w:pPr>
              <w:keepNext w:val="0"/>
              <w:keepLines w:val="0"/>
              <w:widowControl/>
              <w:suppressLineNumbers w:val="0"/>
              <w:jc w:val="center"/>
              <w:textAlignment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-74,373.55</w:t>
            </w:r>
          </w:p>
        </w:tc>
      </w:tr>
      <w:tr w14:paraId="51ACC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noWrap w:val="0"/>
            <w:vAlign w:val="center"/>
          </w:tcPr>
          <w:p w14:paraId="7A84201C">
            <w:pPr>
              <w:widowControl w:val="0"/>
              <w:autoSpaceDE w:val="0"/>
              <w:autoSpaceDN w:val="0"/>
              <w:adjustRightInd w:val="0"/>
              <w:snapToGrid w:val="0"/>
              <w:spacing w:line="560" w:lineRule="exact"/>
              <w:jc w:val="center"/>
              <w:rPr>
                <w:rFonts w:hint="eastAsia" w:asciiTheme="minorEastAsia" w:hAnsiTheme="minorEastAsia" w:eastAsiaTheme="minorEastAsia" w:cstheme="minorEastAsia"/>
                <w:b/>
                <w:kern w:val="2"/>
                <w:sz w:val="21"/>
                <w:szCs w:val="21"/>
                <w:highlight w:val="none"/>
                <w:lang w:val="en-US" w:eastAsia="zh-CN" w:bidi="ar-SA"/>
              </w:rPr>
            </w:pPr>
            <w:r>
              <w:rPr>
                <w:rFonts w:hint="eastAsia" w:asciiTheme="minorEastAsia" w:hAnsiTheme="minorEastAsia" w:eastAsiaTheme="minorEastAsia" w:cstheme="minorEastAsia"/>
                <w:b/>
                <w:kern w:val="2"/>
                <w:sz w:val="21"/>
                <w:szCs w:val="21"/>
                <w:highlight w:val="none"/>
                <w:lang w:val="en-US" w:eastAsia="zh-CN" w:bidi="ar-SA"/>
              </w:rPr>
              <w:t>净利润</w:t>
            </w:r>
          </w:p>
        </w:tc>
        <w:tc>
          <w:tcPr>
            <w:tcW w:w="2236" w:type="dxa"/>
            <w:noWrap w:val="0"/>
            <w:vAlign w:val="center"/>
          </w:tcPr>
          <w:p w14:paraId="2BA14A9B">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0"/>
                <w:sz w:val="21"/>
                <w:szCs w:val="21"/>
                <w:highlight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457.90</w:t>
            </w:r>
          </w:p>
        </w:tc>
        <w:tc>
          <w:tcPr>
            <w:tcW w:w="2236" w:type="dxa"/>
            <w:noWrap w:val="0"/>
            <w:vAlign w:val="center"/>
          </w:tcPr>
          <w:p w14:paraId="2CCBDD0E">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-3,104.35</w:t>
            </w:r>
          </w:p>
        </w:tc>
        <w:tc>
          <w:tcPr>
            <w:tcW w:w="2237" w:type="dxa"/>
            <w:noWrap w:val="0"/>
            <w:vAlign w:val="center"/>
          </w:tcPr>
          <w:p w14:paraId="620B714A">
            <w:pPr>
              <w:keepNext w:val="0"/>
              <w:keepLines w:val="0"/>
              <w:widowControl/>
              <w:suppressLineNumbers w:val="0"/>
              <w:jc w:val="center"/>
              <w:textAlignment w:val="center"/>
              <w:rPr>
                <w:rFonts w:hint="eastAsia" w:asciiTheme="minorEastAsia" w:hAnsiTheme="minorEastAsia" w:eastAsiaTheme="minorEastAsia" w:cstheme="minorEastAsia"/>
                <w:bCs/>
                <w:kern w:val="2"/>
                <w:sz w:val="21"/>
                <w:szCs w:val="21"/>
                <w:highlight w:val="none"/>
                <w:lang w:val="en-US" w:eastAsia="zh-CN" w:bidi="ar-SA"/>
              </w:rPr>
            </w:pPr>
            <w:r>
              <w:rPr>
                <w:rFonts w:hint="eastAsia" w:asciiTheme="minorEastAsia" w:hAnsiTheme="minorEastAsia" w:eastAsiaTheme="minorEastAsia" w:cstheme="minorEastAsia"/>
                <w:i w:val="0"/>
                <w:iCs w:val="0"/>
                <w:color w:val="000000"/>
                <w:kern w:val="0"/>
                <w:sz w:val="21"/>
                <w:szCs w:val="21"/>
                <w:u w:val="none"/>
                <w:lang w:val="en-US" w:eastAsia="zh-CN" w:bidi="ar"/>
              </w:rPr>
              <w:t>-74,373.55</w:t>
            </w:r>
          </w:p>
        </w:tc>
      </w:tr>
    </w:tbl>
    <w:p w14:paraId="7EFDA719">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龙潭大桥公司2023、2024年度财务报表经毕马威会计师事务所（特殊普通合伙）审计，毕马威会计师事务所（特殊普通合伙）是一家符合《证券法》要求的审计机构。</w:t>
      </w:r>
    </w:p>
    <w:p w14:paraId="08D35210">
      <w:pPr>
        <w:adjustRightInd w:val="0"/>
        <w:snapToGrid w:val="0"/>
        <w:spacing w:line="360" w:lineRule="auto"/>
        <w:ind w:firstLine="482"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bCs/>
          <w:sz w:val="24"/>
          <w:szCs w:val="24"/>
          <w:highlight w:val="none"/>
          <w:lang w:val="en-US" w:eastAsia="zh-CN"/>
        </w:rPr>
        <w:t>四、</w:t>
      </w:r>
      <w:r>
        <w:rPr>
          <w:rFonts w:hint="eastAsia" w:asciiTheme="minorEastAsia" w:hAnsiTheme="minorEastAsia" w:eastAsiaTheme="minorEastAsia" w:cstheme="minorEastAsia"/>
          <w:b/>
          <w:sz w:val="24"/>
          <w:szCs w:val="24"/>
          <w:highlight w:val="none"/>
        </w:rPr>
        <w:t>增资方案</w:t>
      </w:r>
    </w:p>
    <w:p w14:paraId="78ED0AA7">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rPr>
        <w:t>龙潭大桥公司本次增加注册资本人民币45.1636亿元；其中本公司现金出资人民币32.6964亿元，南京公路现金出资人民币12.4672亿元，扬州市交通产业集团有限责任公司（以下简称“扬州交通”）不参与本次增资。增资完成后，龙潭大桥公司注册资本金增加至人民币105.1022亿元，各方投资额及股权比例变动如下所示：</w:t>
      </w:r>
      <w:r>
        <w:rPr>
          <w:rFonts w:hint="eastAsia" w:asciiTheme="minorEastAsia" w:hAnsiTheme="minorEastAsia" w:eastAsiaTheme="minorEastAsia" w:cstheme="minorEastAsia"/>
          <w:sz w:val="24"/>
          <w:szCs w:val="24"/>
          <w:highlight w:val="none"/>
          <w:lang w:val="en-US" w:eastAsia="zh-CN"/>
        </w:rPr>
        <w:t xml:space="preserve">                                   </w:t>
      </w:r>
    </w:p>
    <w:p w14:paraId="74F5DE40">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lang w:val="en-US" w:eastAsia="zh-CN"/>
        </w:rPr>
      </w:pPr>
    </w:p>
    <w:p w14:paraId="2C77CCE2">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lang w:val="en-US" w:eastAsia="zh-CN"/>
        </w:rPr>
      </w:pPr>
    </w:p>
    <w:p w14:paraId="2521115D">
      <w:pPr>
        <w:adjustRightInd w:val="0"/>
        <w:snapToGrid w:val="0"/>
        <w:spacing w:line="360" w:lineRule="auto"/>
        <w:ind w:firstLine="5280" w:firstLineChars="2200"/>
        <w:rPr>
          <w:rFonts w:hint="eastAsia" w:asciiTheme="minorEastAsia" w:hAnsiTheme="minorEastAsia" w:eastAsiaTheme="minorEastAsia" w:cstheme="minorEastAsia"/>
          <w:sz w:val="24"/>
          <w:szCs w:val="24"/>
          <w:highlight w:val="none"/>
          <w:lang w:val="en-US" w:eastAsia="zh-CN"/>
        </w:rPr>
      </w:pPr>
    </w:p>
    <w:p w14:paraId="534A376C">
      <w:pPr>
        <w:adjustRightInd w:val="0"/>
        <w:snapToGrid w:val="0"/>
        <w:spacing w:line="360" w:lineRule="auto"/>
        <w:ind w:firstLine="5280" w:firstLineChars="2200"/>
        <w:rPr>
          <w:rFonts w:hint="eastAsia" w:asciiTheme="minorEastAsia" w:hAnsiTheme="minorEastAsia" w:eastAsiaTheme="minorEastAsia" w:cstheme="minorEastAsia"/>
          <w:sz w:val="24"/>
          <w:szCs w:val="24"/>
          <w:highlight w:val="none"/>
          <w:lang w:val="en-US" w:eastAsia="zh-CN"/>
        </w:rPr>
      </w:pPr>
    </w:p>
    <w:p w14:paraId="20102B2E">
      <w:pPr>
        <w:adjustRightInd w:val="0"/>
        <w:snapToGrid w:val="0"/>
        <w:spacing w:line="360" w:lineRule="auto"/>
        <w:ind w:firstLine="6480" w:firstLineChars="27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单位：</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亿元</w:t>
      </w:r>
    </w:p>
    <w:tbl>
      <w:tblPr>
        <w:tblStyle w:val="10"/>
        <w:tblW w:w="5114" w:type="pct"/>
        <w:tblInd w:w="-164" w:type="dxa"/>
        <w:tblLayout w:type="fixed"/>
        <w:tblCellMar>
          <w:top w:w="0" w:type="dxa"/>
          <w:left w:w="108" w:type="dxa"/>
          <w:bottom w:w="0" w:type="dxa"/>
          <w:right w:w="108" w:type="dxa"/>
        </w:tblCellMar>
      </w:tblPr>
      <w:tblGrid>
        <w:gridCol w:w="1488"/>
        <w:gridCol w:w="1586"/>
        <w:gridCol w:w="1500"/>
        <w:gridCol w:w="1530"/>
        <w:gridCol w:w="1729"/>
        <w:gridCol w:w="1320"/>
      </w:tblGrid>
      <w:tr w14:paraId="2CC06A8F">
        <w:tblPrEx>
          <w:tblCellMar>
            <w:top w:w="0" w:type="dxa"/>
            <w:left w:w="108" w:type="dxa"/>
            <w:bottom w:w="0" w:type="dxa"/>
            <w:right w:w="108" w:type="dxa"/>
          </w:tblCellMar>
        </w:tblPrEx>
        <w:trPr>
          <w:trHeight w:val="392" w:hRule="atLeast"/>
        </w:trPr>
        <w:tc>
          <w:tcPr>
            <w:tcW w:w="812" w:type="pct"/>
            <w:vMerge w:val="restart"/>
            <w:tcBorders>
              <w:top w:val="single" w:color="auto" w:sz="12" w:space="0"/>
              <w:left w:val="single" w:color="auto" w:sz="12" w:space="0"/>
              <w:bottom w:val="single" w:color="000000" w:sz="4" w:space="0"/>
              <w:right w:val="single" w:color="auto" w:sz="4" w:space="0"/>
            </w:tcBorders>
            <w:noWrap w:val="0"/>
            <w:vAlign w:val="center"/>
          </w:tcPr>
          <w:p w14:paraId="254BED7B">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出资方</w:t>
            </w:r>
          </w:p>
        </w:tc>
        <w:tc>
          <w:tcPr>
            <w:tcW w:w="1685" w:type="pct"/>
            <w:gridSpan w:val="2"/>
            <w:tcBorders>
              <w:top w:val="single" w:color="auto" w:sz="12" w:space="0"/>
              <w:left w:val="nil"/>
              <w:bottom w:val="single" w:color="auto" w:sz="4" w:space="0"/>
              <w:right w:val="single" w:color="auto" w:sz="4" w:space="0"/>
            </w:tcBorders>
            <w:noWrap/>
            <w:vAlign w:val="center"/>
          </w:tcPr>
          <w:p w14:paraId="2B539699">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增资前</w:t>
            </w:r>
          </w:p>
        </w:tc>
        <w:tc>
          <w:tcPr>
            <w:tcW w:w="2501" w:type="pct"/>
            <w:gridSpan w:val="3"/>
            <w:tcBorders>
              <w:top w:val="single" w:color="auto" w:sz="12" w:space="0"/>
              <w:left w:val="nil"/>
              <w:bottom w:val="single" w:color="auto" w:sz="4" w:space="0"/>
              <w:right w:val="single" w:color="auto" w:sz="12" w:space="0"/>
            </w:tcBorders>
            <w:noWrap/>
            <w:vAlign w:val="center"/>
          </w:tcPr>
          <w:p w14:paraId="67622890">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增资后</w:t>
            </w:r>
          </w:p>
        </w:tc>
      </w:tr>
      <w:tr w14:paraId="30318F23">
        <w:tblPrEx>
          <w:tblCellMar>
            <w:top w:w="0" w:type="dxa"/>
            <w:left w:w="108" w:type="dxa"/>
            <w:bottom w:w="0" w:type="dxa"/>
            <w:right w:w="108" w:type="dxa"/>
          </w:tblCellMar>
        </w:tblPrEx>
        <w:trPr>
          <w:trHeight w:val="477" w:hRule="atLeast"/>
        </w:trPr>
        <w:tc>
          <w:tcPr>
            <w:tcW w:w="812" w:type="pct"/>
            <w:vMerge w:val="continue"/>
            <w:tcBorders>
              <w:top w:val="single" w:color="auto" w:sz="4" w:space="0"/>
              <w:left w:val="single" w:color="auto" w:sz="12" w:space="0"/>
              <w:bottom w:val="single" w:color="000000" w:sz="4" w:space="0"/>
              <w:right w:val="single" w:color="auto" w:sz="4" w:space="0"/>
            </w:tcBorders>
            <w:noWrap w:val="0"/>
            <w:vAlign w:val="center"/>
          </w:tcPr>
          <w:p w14:paraId="6CCA8ACA">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p>
        </w:tc>
        <w:tc>
          <w:tcPr>
            <w:tcW w:w="866" w:type="pct"/>
            <w:tcBorders>
              <w:top w:val="nil"/>
              <w:left w:val="nil"/>
              <w:bottom w:val="single" w:color="auto" w:sz="4" w:space="0"/>
              <w:right w:val="single" w:color="auto" w:sz="4" w:space="0"/>
            </w:tcBorders>
            <w:noWrap w:val="0"/>
            <w:vAlign w:val="center"/>
          </w:tcPr>
          <w:p w14:paraId="5E029807">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注册资本</w:t>
            </w:r>
          </w:p>
        </w:tc>
        <w:tc>
          <w:tcPr>
            <w:tcW w:w="819" w:type="pct"/>
            <w:tcBorders>
              <w:top w:val="nil"/>
              <w:left w:val="nil"/>
              <w:bottom w:val="single" w:color="auto" w:sz="4" w:space="0"/>
              <w:right w:val="single" w:color="auto" w:sz="4" w:space="0"/>
            </w:tcBorders>
            <w:noWrap w:val="0"/>
            <w:vAlign w:val="center"/>
          </w:tcPr>
          <w:p w14:paraId="7C074FAF">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股权比例</w:t>
            </w:r>
          </w:p>
        </w:tc>
        <w:tc>
          <w:tcPr>
            <w:tcW w:w="835" w:type="pct"/>
            <w:tcBorders>
              <w:top w:val="nil"/>
              <w:left w:val="nil"/>
              <w:bottom w:val="single" w:color="auto" w:sz="4" w:space="0"/>
              <w:right w:val="single" w:color="auto" w:sz="4" w:space="0"/>
            </w:tcBorders>
            <w:noWrap w:val="0"/>
            <w:vAlign w:val="center"/>
          </w:tcPr>
          <w:p w14:paraId="32152794">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注册资本</w:t>
            </w:r>
          </w:p>
        </w:tc>
        <w:tc>
          <w:tcPr>
            <w:tcW w:w="944" w:type="pct"/>
            <w:tcBorders>
              <w:top w:val="nil"/>
              <w:left w:val="nil"/>
              <w:bottom w:val="single" w:color="auto" w:sz="4" w:space="0"/>
              <w:right w:val="single" w:color="auto" w:sz="4" w:space="0"/>
            </w:tcBorders>
            <w:noWrap w:val="0"/>
            <w:vAlign w:val="center"/>
          </w:tcPr>
          <w:p w14:paraId="6F4707F6">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其中：增加投资</w:t>
            </w:r>
          </w:p>
        </w:tc>
        <w:tc>
          <w:tcPr>
            <w:tcW w:w="721" w:type="pct"/>
            <w:tcBorders>
              <w:top w:val="nil"/>
              <w:left w:val="nil"/>
              <w:bottom w:val="single" w:color="auto" w:sz="4" w:space="0"/>
              <w:right w:val="single" w:color="auto" w:sz="12" w:space="0"/>
            </w:tcBorders>
            <w:noWrap w:val="0"/>
            <w:vAlign w:val="center"/>
          </w:tcPr>
          <w:p w14:paraId="248C4B3B">
            <w:pPr>
              <w:pStyle w:val="29"/>
              <w:widowControl w:val="0"/>
              <w:ind w:firstLine="0" w:firstLineChars="0"/>
              <w:jc w:val="center"/>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股权比例</w:t>
            </w:r>
          </w:p>
        </w:tc>
      </w:tr>
      <w:tr w14:paraId="6D7F1721">
        <w:tblPrEx>
          <w:tblCellMar>
            <w:top w:w="0" w:type="dxa"/>
            <w:left w:w="108" w:type="dxa"/>
            <w:bottom w:w="0" w:type="dxa"/>
            <w:right w:w="108" w:type="dxa"/>
          </w:tblCellMar>
        </w:tblPrEx>
        <w:trPr>
          <w:trHeight w:val="552" w:hRule="atLeast"/>
        </w:trPr>
        <w:tc>
          <w:tcPr>
            <w:tcW w:w="812" w:type="pct"/>
            <w:tcBorders>
              <w:top w:val="nil"/>
              <w:left w:val="single" w:color="auto" w:sz="12" w:space="0"/>
              <w:bottom w:val="single" w:color="auto" w:sz="4" w:space="0"/>
              <w:right w:val="single" w:color="auto" w:sz="4" w:space="0"/>
            </w:tcBorders>
            <w:noWrap w:val="0"/>
            <w:vAlign w:val="center"/>
          </w:tcPr>
          <w:p w14:paraId="5A5FD936">
            <w:pPr>
              <w:pStyle w:val="29"/>
              <w:widowControl w:val="0"/>
              <w:ind w:firstLine="0" w:firstLineChars="0"/>
              <w:jc w:val="center"/>
              <w:rPr>
                <w:rFonts w:hint="eastAsia" w:asciiTheme="minorEastAsia" w:hAnsiTheme="minorEastAsia" w:eastAsiaTheme="minorEastAsia" w:cstheme="minorEastAsia"/>
                <w:b/>
                <w:bCs/>
                <w:kern w:val="2"/>
                <w:sz w:val="21"/>
                <w:szCs w:val="21"/>
                <w:highlight w:val="none"/>
                <w:lang w:val="en-US" w:eastAsia="zh-CN" w:bidi="ar-SA"/>
              </w:rPr>
            </w:pPr>
            <w:r>
              <w:rPr>
                <w:rFonts w:hint="eastAsia" w:asciiTheme="minorEastAsia" w:hAnsiTheme="minorEastAsia" w:eastAsiaTheme="minorEastAsia" w:cstheme="minorEastAsia"/>
                <w:b/>
                <w:bCs/>
                <w:kern w:val="2"/>
                <w:sz w:val="21"/>
                <w:szCs w:val="21"/>
                <w:highlight w:val="none"/>
                <w:lang w:val="en-US" w:eastAsia="zh-CN" w:bidi="ar-SA"/>
              </w:rPr>
              <w:t>宁沪公司</w:t>
            </w:r>
          </w:p>
        </w:tc>
        <w:tc>
          <w:tcPr>
            <w:tcW w:w="866" w:type="pct"/>
            <w:tcBorders>
              <w:top w:val="nil"/>
              <w:left w:val="nil"/>
              <w:bottom w:val="single" w:color="auto" w:sz="4" w:space="0"/>
              <w:right w:val="single" w:color="auto" w:sz="4" w:space="0"/>
            </w:tcBorders>
            <w:noWrap w:val="0"/>
            <w:vAlign w:val="center"/>
          </w:tcPr>
          <w:p w14:paraId="0B975064">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34.3621</w:t>
            </w:r>
          </w:p>
        </w:tc>
        <w:tc>
          <w:tcPr>
            <w:tcW w:w="819" w:type="pct"/>
            <w:tcBorders>
              <w:top w:val="nil"/>
              <w:left w:val="nil"/>
              <w:bottom w:val="single" w:color="auto" w:sz="4" w:space="0"/>
              <w:right w:val="single" w:color="auto" w:sz="4" w:space="0"/>
            </w:tcBorders>
            <w:noWrap w:val="0"/>
            <w:vAlign w:val="center"/>
          </w:tcPr>
          <w:p w14:paraId="40A92FF5">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57.33%</w:t>
            </w:r>
          </w:p>
        </w:tc>
        <w:tc>
          <w:tcPr>
            <w:tcW w:w="835" w:type="pct"/>
            <w:tcBorders>
              <w:top w:val="nil"/>
              <w:left w:val="nil"/>
              <w:bottom w:val="single" w:color="auto" w:sz="4" w:space="0"/>
              <w:right w:val="single" w:color="auto" w:sz="4" w:space="0"/>
            </w:tcBorders>
            <w:noWrap w:val="0"/>
            <w:vAlign w:val="center"/>
          </w:tcPr>
          <w:p w14:paraId="2DA94F22">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67.0585</w:t>
            </w:r>
          </w:p>
        </w:tc>
        <w:tc>
          <w:tcPr>
            <w:tcW w:w="944" w:type="pct"/>
            <w:tcBorders>
              <w:top w:val="nil"/>
              <w:left w:val="nil"/>
              <w:bottom w:val="single" w:color="auto" w:sz="4" w:space="0"/>
              <w:right w:val="single" w:color="auto" w:sz="4" w:space="0"/>
            </w:tcBorders>
            <w:noWrap w:val="0"/>
            <w:vAlign w:val="center"/>
          </w:tcPr>
          <w:p w14:paraId="533F7EE9">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32.6964</w:t>
            </w:r>
          </w:p>
        </w:tc>
        <w:tc>
          <w:tcPr>
            <w:tcW w:w="721" w:type="pct"/>
            <w:tcBorders>
              <w:top w:val="nil"/>
              <w:left w:val="nil"/>
              <w:bottom w:val="single" w:color="auto" w:sz="4" w:space="0"/>
              <w:right w:val="single" w:color="auto" w:sz="12" w:space="0"/>
            </w:tcBorders>
            <w:noWrap w:val="0"/>
            <w:vAlign w:val="center"/>
          </w:tcPr>
          <w:p w14:paraId="2DC6CA55">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63.80%</w:t>
            </w:r>
          </w:p>
        </w:tc>
      </w:tr>
      <w:tr w14:paraId="32353B3C">
        <w:tblPrEx>
          <w:tblCellMar>
            <w:top w:w="0" w:type="dxa"/>
            <w:left w:w="108" w:type="dxa"/>
            <w:bottom w:w="0" w:type="dxa"/>
            <w:right w:w="108" w:type="dxa"/>
          </w:tblCellMar>
        </w:tblPrEx>
        <w:trPr>
          <w:trHeight w:val="507" w:hRule="atLeast"/>
        </w:trPr>
        <w:tc>
          <w:tcPr>
            <w:tcW w:w="812" w:type="pct"/>
            <w:tcBorders>
              <w:top w:val="nil"/>
              <w:left w:val="single" w:color="auto" w:sz="12" w:space="0"/>
              <w:bottom w:val="single" w:color="auto" w:sz="4" w:space="0"/>
              <w:right w:val="single" w:color="auto" w:sz="4" w:space="0"/>
            </w:tcBorders>
            <w:shd w:val="clear" w:color="auto" w:fill="auto"/>
            <w:noWrap w:val="0"/>
            <w:vAlign w:val="center"/>
          </w:tcPr>
          <w:p w14:paraId="2EB5A334">
            <w:pPr>
              <w:pStyle w:val="29"/>
              <w:widowControl w:val="0"/>
              <w:ind w:firstLine="0" w:firstLineChars="0"/>
              <w:jc w:val="center"/>
              <w:rPr>
                <w:rFonts w:hint="eastAsia" w:asciiTheme="minorEastAsia" w:hAnsiTheme="minorEastAsia" w:eastAsiaTheme="minorEastAsia" w:cstheme="minorEastAsia"/>
                <w:b/>
                <w:bCs/>
                <w:kern w:val="2"/>
                <w:sz w:val="21"/>
                <w:szCs w:val="21"/>
                <w:highlight w:val="none"/>
                <w:lang w:val="en-US" w:eastAsia="zh-CN" w:bidi="ar-SA"/>
              </w:rPr>
            </w:pPr>
            <w:r>
              <w:rPr>
                <w:rFonts w:hint="eastAsia" w:asciiTheme="minorEastAsia" w:hAnsiTheme="minorEastAsia" w:eastAsiaTheme="minorEastAsia" w:cstheme="minorEastAsia"/>
                <w:b/>
                <w:bCs/>
                <w:kern w:val="2"/>
                <w:sz w:val="21"/>
                <w:szCs w:val="21"/>
                <w:highlight w:val="none"/>
                <w:lang w:val="en-US" w:eastAsia="zh-CN" w:bidi="ar-SA"/>
              </w:rPr>
              <w:t>南京公路</w:t>
            </w:r>
          </w:p>
        </w:tc>
        <w:tc>
          <w:tcPr>
            <w:tcW w:w="866" w:type="pct"/>
            <w:tcBorders>
              <w:top w:val="nil"/>
              <w:left w:val="nil"/>
              <w:bottom w:val="single" w:color="auto" w:sz="4" w:space="0"/>
              <w:right w:val="single" w:color="auto" w:sz="4" w:space="0"/>
            </w:tcBorders>
            <w:shd w:val="clear" w:color="auto" w:fill="auto"/>
            <w:noWrap w:val="0"/>
            <w:vAlign w:val="center"/>
          </w:tcPr>
          <w:p w14:paraId="79A25060">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7.9550</w:t>
            </w:r>
          </w:p>
        </w:tc>
        <w:tc>
          <w:tcPr>
            <w:tcW w:w="819" w:type="pct"/>
            <w:tcBorders>
              <w:top w:val="nil"/>
              <w:left w:val="nil"/>
              <w:bottom w:val="single" w:color="auto" w:sz="4" w:space="0"/>
              <w:right w:val="single" w:color="auto" w:sz="4" w:space="0"/>
            </w:tcBorders>
            <w:shd w:val="clear" w:color="auto" w:fill="auto"/>
            <w:noWrap w:val="0"/>
            <w:vAlign w:val="center"/>
          </w:tcPr>
          <w:p w14:paraId="202F4BD0">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13.27%</w:t>
            </w:r>
          </w:p>
        </w:tc>
        <w:tc>
          <w:tcPr>
            <w:tcW w:w="835" w:type="pct"/>
            <w:tcBorders>
              <w:top w:val="nil"/>
              <w:left w:val="nil"/>
              <w:bottom w:val="single" w:color="auto" w:sz="4" w:space="0"/>
              <w:right w:val="single" w:color="auto" w:sz="4" w:space="0"/>
            </w:tcBorders>
            <w:shd w:val="clear" w:color="auto" w:fill="auto"/>
            <w:noWrap w:val="0"/>
            <w:vAlign w:val="center"/>
          </w:tcPr>
          <w:p w14:paraId="5B6A1673">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20.4222</w:t>
            </w:r>
          </w:p>
        </w:tc>
        <w:tc>
          <w:tcPr>
            <w:tcW w:w="944" w:type="pct"/>
            <w:tcBorders>
              <w:top w:val="nil"/>
              <w:left w:val="nil"/>
              <w:bottom w:val="single" w:color="auto" w:sz="4" w:space="0"/>
              <w:right w:val="single" w:color="auto" w:sz="4" w:space="0"/>
            </w:tcBorders>
            <w:shd w:val="clear" w:color="auto" w:fill="auto"/>
            <w:noWrap w:val="0"/>
            <w:vAlign w:val="center"/>
          </w:tcPr>
          <w:p w14:paraId="0506BCF4">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12.4672</w:t>
            </w:r>
          </w:p>
        </w:tc>
        <w:tc>
          <w:tcPr>
            <w:tcW w:w="721" w:type="pct"/>
            <w:tcBorders>
              <w:top w:val="nil"/>
              <w:left w:val="nil"/>
              <w:bottom w:val="single" w:color="auto" w:sz="4" w:space="0"/>
              <w:right w:val="single" w:color="auto" w:sz="12" w:space="0"/>
            </w:tcBorders>
            <w:shd w:val="clear" w:color="auto" w:fill="FFFFFF"/>
            <w:noWrap w:val="0"/>
            <w:vAlign w:val="center"/>
          </w:tcPr>
          <w:p w14:paraId="36220F3B">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19.43%</w:t>
            </w:r>
          </w:p>
        </w:tc>
      </w:tr>
      <w:tr w14:paraId="0D243FAE">
        <w:tblPrEx>
          <w:tblCellMar>
            <w:top w:w="0" w:type="dxa"/>
            <w:left w:w="108" w:type="dxa"/>
            <w:bottom w:w="0" w:type="dxa"/>
            <w:right w:w="108" w:type="dxa"/>
          </w:tblCellMar>
        </w:tblPrEx>
        <w:trPr>
          <w:trHeight w:val="477" w:hRule="atLeast"/>
        </w:trPr>
        <w:tc>
          <w:tcPr>
            <w:tcW w:w="812" w:type="pct"/>
            <w:tcBorders>
              <w:top w:val="nil"/>
              <w:left w:val="single" w:color="auto" w:sz="12" w:space="0"/>
              <w:bottom w:val="single" w:color="auto" w:sz="4" w:space="0"/>
              <w:right w:val="single" w:color="auto" w:sz="4" w:space="0"/>
            </w:tcBorders>
            <w:noWrap w:val="0"/>
            <w:vAlign w:val="center"/>
          </w:tcPr>
          <w:p w14:paraId="27FFFE53">
            <w:pPr>
              <w:pStyle w:val="29"/>
              <w:widowControl w:val="0"/>
              <w:ind w:firstLine="0" w:firstLineChars="0"/>
              <w:jc w:val="center"/>
              <w:rPr>
                <w:rFonts w:hint="eastAsia" w:asciiTheme="minorEastAsia" w:hAnsiTheme="minorEastAsia" w:eastAsiaTheme="minorEastAsia" w:cstheme="minorEastAsia"/>
                <w:b/>
                <w:bCs/>
                <w:kern w:val="2"/>
                <w:sz w:val="21"/>
                <w:szCs w:val="21"/>
                <w:highlight w:val="none"/>
                <w:lang w:val="en-US" w:eastAsia="zh-CN" w:bidi="ar-SA"/>
              </w:rPr>
            </w:pPr>
            <w:r>
              <w:rPr>
                <w:rFonts w:hint="eastAsia" w:asciiTheme="minorEastAsia" w:hAnsiTheme="minorEastAsia" w:eastAsiaTheme="minorEastAsia" w:cstheme="minorEastAsia"/>
                <w:b/>
                <w:bCs/>
                <w:kern w:val="2"/>
                <w:sz w:val="21"/>
                <w:szCs w:val="21"/>
                <w:highlight w:val="none"/>
                <w:lang w:val="en-US" w:eastAsia="zh-CN" w:bidi="ar-SA"/>
              </w:rPr>
              <w:t>扬州交通</w:t>
            </w:r>
          </w:p>
        </w:tc>
        <w:tc>
          <w:tcPr>
            <w:tcW w:w="866" w:type="pct"/>
            <w:tcBorders>
              <w:top w:val="nil"/>
              <w:left w:val="nil"/>
              <w:bottom w:val="single" w:color="auto" w:sz="4" w:space="0"/>
              <w:right w:val="single" w:color="auto" w:sz="4" w:space="0"/>
            </w:tcBorders>
            <w:noWrap w:val="0"/>
            <w:vAlign w:val="center"/>
          </w:tcPr>
          <w:p w14:paraId="187BD54D">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17.6215</w:t>
            </w:r>
          </w:p>
        </w:tc>
        <w:tc>
          <w:tcPr>
            <w:tcW w:w="819" w:type="pct"/>
            <w:tcBorders>
              <w:top w:val="nil"/>
              <w:left w:val="nil"/>
              <w:bottom w:val="single" w:color="auto" w:sz="4" w:space="0"/>
              <w:right w:val="single" w:color="auto" w:sz="4" w:space="0"/>
            </w:tcBorders>
            <w:noWrap w:val="0"/>
            <w:vAlign w:val="center"/>
          </w:tcPr>
          <w:p w14:paraId="483B7D63">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29.40%</w:t>
            </w:r>
          </w:p>
        </w:tc>
        <w:tc>
          <w:tcPr>
            <w:tcW w:w="835" w:type="pct"/>
            <w:tcBorders>
              <w:top w:val="nil"/>
              <w:left w:val="nil"/>
              <w:bottom w:val="single" w:color="auto" w:sz="4" w:space="0"/>
              <w:right w:val="single" w:color="auto" w:sz="4" w:space="0"/>
            </w:tcBorders>
            <w:noWrap w:val="0"/>
            <w:vAlign w:val="center"/>
          </w:tcPr>
          <w:p w14:paraId="6819EE2F">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17.6215</w:t>
            </w:r>
          </w:p>
        </w:tc>
        <w:tc>
          <w:tcPr>
            <w:tcW w:w="944" w:type="pct"/>
            <w:tcBorders>
              <w:top w:val="nil"/>
              <w:left w:val="nil"/>
              <w:bottom w:val="single" w:color="auto" w:sz="4" w:space="0"/>
              <w:right w:val="single" w:color="auto" w:sz="4" w:space="0"/>
            </w:tcBorders>
            <w:noWrap w:val="0"/>
            <w:vAlign w:val="center"/>
          </w:tcPr>
          <w:p w14:paraId="7884CB80">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0</w:t>
            </w:r>
          </w:p>
        </w:tc>
        <w:tc>
          <w:tcPr>
            <w:tcW w:w="721" w:type="pct"/>
            <w:tcBorders>
              <w:top w:val="nil"/>
              <w:left w:val="nil"/>
              <w:bottom w:val="single" w:color="auto" w:sz="4" w:space="0"/>
              <w:right w:val="single" w:color="auto" w:sz="12" w:space="0"/>
            </w:tcBorders>
            <w:noWrap w:val="0"/>
            <w:vAlign w:val="center"/>
          </w:tcPr>
          <w:p w14:paraId="3F9F67ED">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16.77%</w:t>
            </w:r>
          </w:p>
        </w:tc>
      </w:tr>
      <w:tr w14:paraId="565E7CB8">
        <w:tblPrEx>
          <w:tblCellMar>
            <w:top w:w="0" w:type="dxa"/>
            <w:left w:w="108" w:type="dxa"/>
            <w:bottom w:w="0" w:type="dxa"/>
            <w:right w:w="108" w:type="dxa"/>
          </w:tblCellMar>
        </w:tblPrEx>
        <w:trPr>
          <w:trHeight w:val="572" w:hRule="atLeast"/>
        </w:trPr>
        <w:tc>
          <w:tcPr>
            <w:tcW w:w="812" w:type="pct"/>
            <w:tcBorders>
              <w:top w:val="nil"/>
              <w:left w:val="single" w:color="auto" w:sz="12" w:space="0"/>
              <w:bottom w:val="single" w:color="auto" w:sz="12" w:space="0"/>
              <w:right w:val="single" w:color="auto" w:sz="4" w:space="0"/>
            </w:tcBorders>
            <w:noWrap w:val="0"/>
            <w:vAlign w:val="center"/>
          </w:tcPr>
          <w:p w14:paraId="4156434B">
            <w:pPr>
              <w:pStyle w:val="29"/>
              <w:widowControl w:val="0"/>
              <w:ind w:firstLine="0" w:firstLineChars="0"/>
              <w:jc w:val="center"/>
              <w:rPr>
                <w:rFonts w:hint="eastAsia" w:asciiTheme="minorEastAsia" w:hAnsiTheme="minorEastAsia" w:eastAsiaTheme="minorEastAsia" w:cstheme="minorEastAsia"/>
                <w:b/>
                <w:bCs/>
                <w:kern w:val="2"/>
                <w:sz w:val="21"/>
                <w:szCs w:val="21"/>
                <w:highlight w:val="none"/>
                <w:lang w:val="en-US" w:eastAsia="zh-CN" w:bidi="ar-SA"/>
              </w:rPr>
            </w:pPr>
            <w:r>
              <w:rPr>
                <w:rFonts w:hint="eastAsia" w:asciiTheme="minorEastAsia" w:hAnsiTheme="minorEastAsia" w:eastAsiaTheme="minorEastAsia" w:cstheme="minorEastAsia"/>
                <w:b/>
                <w:bCs/>
                <w:kern w:val="2"/>
                <w:sz w:val="21"/>
                <w:szCs w:val="21"/>
                <w:highlight w:val="none"/>
                <w:lang w:val="en-US" w:eastAsia="zh-CN" w:bidi="ar-SA"/>
              </w:rPr>
              <w:t>合计</w:t>
            </w:r>
          </w:p>
        </w:tc>
        <w:tc>
          <w:tcPr>
            <w:tcW w:w="866" w:type="pct"/>
            <w:tcBorders>
              <w:top w:val="nil"/>
              <w:left w:val="nil"/>
              <w:bottom w:val="single" w:color="auto" w:sz="12" w:space="0"/>
              <w:right w:val="single" w:color="auto" w:sz="4" w:space="0"/>
            </w:tcBorders>
            <w:noWrap w:val="0"/>
            <w:vAlign w:val="center"/>
          </w:tcPr>
          <w:p w14:paraId="276E0A8D">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59.9386</w:t>
            </w:r>
          </w:p>
        </w:tc>
        <w:tc>
          <w:tcPr>
            <w:tcW w:w="819" w:type="pct"/>
            <w:tcBorders>
              <w:top w:val="nil"/>
              <w:left w:val="nil"/>
              <w:bottom w:val="single" w:color="auto" w:sz="12" w:space="0"/>
              <w:right w:val="single" w:color="auto" w:sz="4" w:space="0"/>
            </w:tcBorders>
            <w:noWrap w:val="0"/>
            <w:vAlign w:val="center"/>
          </w:tcPr>
          <w:p w14:paraId="34A26E05">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100.00%</w:t>
            </w:r>
          </w:p>
        </w:tc>
        <w:tc>
          <w:tcPr>
            <w:tcW w:w="835" w:type="pct"/>
            <w:tcBorders>
              <w:top w:val="nil"/>
              <w:left w:val="nil"/>
              <w:bottom w:val="single" w:color="auto" w:sz="12" w:space="0"/>
              <w:right w:val="single" w:color="auto" w:sz="4" w:space="0"/>
            </w:tcBorders>
            <w:noWrap w:val="0"/>
            <w:vAlign w:val="center"/>
          </w:tcPr>
          <w:p w14:paraId="73DBEFC6">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105.1022</w:t>
            </w:r>
          </w:p>
        </w:tc>
        <w:tc>
          <w:tcPr>
            <w:tcW w:w="944" w:type="pct"/>
            <w:tcBorders>
              <w:top w:val="nil"/>
              <w:left w:val="nil"/>
              <w:bottom w:val="single" w:color="auto" w:sz="12" w:space="0"/>
              <w:right w:val="single" w:color="auto" w:sz="4" w:space="0"/>
            </w:tcBorders>
            <w:noWrap w:val="0"/>
            <w:vAlign w:val="center"/>
          </w:tcPr>
          <w:p w14:paraId="7249EAF9">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45.1636</w:t>
            </w:r>
          </w:p>
        </w:tc>
        <w:tc>
          <w:tcPr>
            <w:tcW w:w="721" w:type="pct"/>
            <w:tcBorders>
              <w:top w:val="nil"/>
              <w:left w:val="nil"/>
              <w:bottom w:val="single" w:color="auto" w:sz="12" w:space="0"/>
              <w:right w:val="single" w:color="auto" w:sz="12" w:space="0"/>
            </w:tcBorders>
            <w:noWrap w:val="0"/>
            <w:vAlign w:val="center"/>
          </w:tcPr>
          <w:p w14:paraId="72690DF5">
            <w:pPr>
              <w:widowControl w:val="0"/>
              <w:jc w:val="center"/>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100.00%</w:t>
            </w:r>
          </w:p>
        </w:tc>
      </w:tr>
    </w:tbl>
    <w:p w14:paraId="263806B4">
      <w:pPr>
        <w:adjustRightInd w:val="0"/>
        <w:snapToGrid w:val="0"/>
        <w:spacing w:line="360" w:lineRule="auto"/>
        <w:ind w:firstLine="480" w:firstLineChars="200"/>
        <w:jc w:val="lef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后续，工程可行性研究报告批复后，龙潭大桥公司增资方案如需调整，将另行</w:t>
      </w:r>
      <w:r>
        <w:rPr>
          <w:rFonts w:hint="eastAsia" w:asciiTheme="minorEastAsia" w:hAnsiTheme="minorEastAsia" w:eastAsiaTheme="minorEastAsia" w:cstheme="minorEastAsia"/>
          <w:sz w:val="24"/>
          <w:szCs w:val="24"/>
          <w:highlight w:val="none"/>
          <w:lang w:val="en-US" w:eastAsia="zh-CN"/>
        </w:rPr>
        <w:t>提请</w:t>
      </w:r>
      <w:r>
        <w:rPr>
          <w:rFonts w:hint="eastAsia" w:asciiTheme="minorEastAsia" w:hAnsiTheme="minorEastAsia" w:eastAsiaTheme="minorEastAsia" w:cstheme="minorEastAsia"/>
          <w:sz w:val="24"/>
          <w:szCs w:val="24"/>
          <w:highlight w:val="none"/>
        </w:rPr>
        <w:t>决策。</w:t>
      </w:r>
    </w:p>
    <w:p w14:paraId="74CF706A">
      <w:pPr>
        <w:adjustRightInd w:val="0"/>
        <w:snapToGrid w:val="0"/>
        <w:spacing w:line="360" w:lineRule="auto"/>
        <w:ind w:firstLine="482"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五、增资协议的主要内容</w:t>
      </w:r>
    </w:p>
    <w:p w14:paraId="32DA2004">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1、协议主体</w:t>
      </w:r>
    </w:p>
    <w:p w14:paraId="7D208EA7">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甲方：江苏宁沪高速公路股份有限公司</w:t>
      </w:r>
    </w:p>
    <w:p w14:paraId="4F68ECA6">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乙方：南京公路发展（集团）有限公司</w:t>
      </w:r>
    </w:p>
    <w:p w14:paraId="19CF06F1">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丙方：扬州市交通产业集团有限责任公司</w:t>
      </w:r>
    </w:p>
    <w:p w14:paraId="34A200C0">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丁方：江苏龙潭大桥有限公司</w:t>
      </w:r>
    </w:p>
    <w:p w14:paraId="13F2BBAC">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2、增资方案</w:t>
      </w:r>
    </w:p>
    <w:p w14:paraId="2BBB7730">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根据《南京都市圈环线高速公路338省道至沪蓉高速段项目工程可行性报告（送审稿）》，宁扬长江大桥南接线项目的估算总投资额人民币90.3272亿元，项目资本金占总投资额50%，为人民币45.1636亿元。</w:t>
      </w:r>
    </w:p>
    <w:p w14:paraId="19815353">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该项目拟由龙潭大桥公司完成投资建设，需增加注册资本人民币45.1636亿元，增加的注册资本全额用于宁扬长江大桥南接线项目资本金。增加注册资本后，龙潭大桥公司注册资本总额调整为人民币105.1022亿元。</w:t>
      </w:r>
    </w:p>
    <w:p w14:paraId="5594AB52">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本项目的工程可行性研究报告及初步设计尚需江苏省发展和改革委员会批复。龙潭大桥公司增资方案如需调整，将提请各方另行决策。</w:t>
      </w:r>
    </w:p>
    <w:p w14:paraId="122A5AC7">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3、出资分配</w:t>
      </w:r>
    </w:p>
    <w:p w14:paraId="6D741026">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股东各方此次增加出资金额、本轮增资完成后在龙潭大桥公司的出资总金额及出资比例分别为：</w:t>
      </w:r>
    </w:p>
    <w:p w14:paraId="59E53557">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甲方此次增资金额</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32.6964亿元、本轮增资完成后在龙潭大桥公司的出资总额</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67.0585亿元，占比</w:t>
      </w:r>
      <w:r>
        <w:rPr>
          <w:rFonts w:hint="eastAsia" w:asciiTheme="minorEastAsia" w:hAnsiTheme="minorEastAsia" w:eastAsiaTheme="minorEastAsia" w:cstheme="minorEastAsia"/>
          <w:sz w:val="24"/>
          <w:szCs w:val="24"/>
          <w:highlight w:val="none"/>
          <w:lang w:val="en-US" w:eastAsia="zh-CN"/>
        </w:rPr>
        <w:t>约</w:t>
      </w:r>
      <w:r>
        <w:rPr>
          <w:rFonts w:hint="eastAsia" w:asciiTheme="minorEastAsia" w:hAnsiTheme="minorEastAsia" w:eastAsiaTheme="minorEastAsia" w:cstheme="minorEastAsia"/>
          <w:sz w:val="24"/>
          <w:szCs w:val="24"/>
          <w:highlight w:val="none"/>
        </w:rPr>
        <w:t>63.80%；</w:t>
      </w:r>
    </w:p>
    <w:p w14:paraId="374F9EF8">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乙方此次增资金额</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12.4672亿元、本轮增资完成后在龙潭大桥公司的出资总额</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20.4222亿元，占比</w:t>
      </w:r>
      <w:r>
        <w:rPr>
          <w:rFonts w:hint="eastAsia" w:asciiTheme="minorEastAsia" w:hAnsiTheme="minorEastAsia" w:eastAsiaTheme="minorEastAsia" w:cstheme="minorEastAsia"/>
          <w:sz w:val="24"/>
          <w:szCs w:val="24"/>
          <w:highlight w:val="none"/>
          <w:lang w:val="en-US" w:eastAsia="zh-CN"/>
        </w:rPr>
        <w:t>约</w:t>
      </w:r>
      <w:r>
        <w:rPr>
          <w:rFonts w:hint="eastAsia" w:asciiTheme="minorEastAsia" w:hAnsiTheme="minorEastAsia" w:eastAsiaTheme="minorEastAsia" w:cstheme="minorEastAsia"/>
          <w:sz w:val="24"/>
          <w:szCs w:val="24"/>
          <w:highlight w:val="none"/>
        </w:rPr>
        <w:t>19.43%；</w:t>
      </w:r>
    </w:p>
    <w:p w14:paraId="0D326A17">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丙方不参与此次增资，此次增资金额为</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0亿元、本轮增资完成后在龙潭大桥公司的出资总额</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17.6215亿元，占比</w:t>
      </w:r>
      <w:r>
        <w:rPr>
          <w:rFonts w:hint="eastAsia" w:asciiTheme="minorEastAsia" w:hAnsiTheme="minorEastAsia" w:eastAsiaTheme="minorEastAsia" w:cstheme="minorEastAsia"/>
          <w:sz w:val="24"/>
          <w:szCs w:val="24"/>
          <w:highlight w:val="none"/>
          <w:lang w:val="en-US" w:eastAsia="zh-CN"/>
        </w:rPr>
        <w:t>约</w:t>
      </w:r>
      <w:r>
        <w:rPr>
          <w:rFonts w:hint="eastAsia" w:asciiTheme="minorEastAsia" w:hAnsiTheme="minorEastAsia" w:eastAsiaTheme="minorEastAsia" w:cstheme="minorEastAsia"/>
          <w:sz w:val="24"/>
          <w:szCs w:val="24"/>
          <w:highlight w:val="none"/>
        </w:rPr>
        <w:t>16.77%。</w:t>
      </w:r>
    </w:p>
    <w:p w14:paraId="441B9BBE">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4、时间安排</w:t>
      </w:r>
    </w:p>
    <w:p w14:paraId="62744B27">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此次增加的资本金人民币45.1636亿元列入202</w:t>
      </w:r>
      <w:r>
        <w:rPr>
          <w:rFonts w:hint="eastAsia" w:asciiTheme="minorEastAsia" w:hAnsiTheme="minorEastAsia" w:eastAsiaTheme="minorEastAsia" w:cstheme="minorEastAsia"/>
          <w:sz w:val="24"/>
          <w:szCs w:val="24"/>
          <w:highlight w:val="none"/>
          <w:lang w:val="en-US" w:eastAsia="zh-CN"/>
        </w:rPr>
        <w:t>6</w:t>
      </w:r>
      <w:r>
        <w:rPr>
          <w:rFonts w:hint="eastAsia" w:asciiTheme="minorEastAsia" w:hAnsiTheme="minorEastAsia" w:eastAsiaTheme="minorEastAsia" w:cstheme="minorEastAsia"/>
          <w:sz w:val="24"/>
          <w:szCs w:val="24"/>
          <w:highlight w:val="none"/>
        </w:rPr>
        <w:t>-2029年度的出资计划，具体出资时间和金额安排如下：</w:t>
      </w:r>
    </w:p>
    <w:p w14:paraId="0FCA5A42">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 xml:space="preserve"> 单位：</w:t>
      </w:r>
      <w:r>
        <w:rPr>
          <w:rFonts w:hint="eastAsia" w:asciiTheme="minorEastAsia" w:hAnsiTheme="minorEastAsia" w:eastAsiaTheme="minorEastAsia" w:cstheme="minorEastAsia"/>
          <w:sz w:val="24"/>
          <w:szCs w:val="24"/>
          <w:highlight w:val="none"/>
          <w:lang w:val="en-US" w:eastAsia="zh-CN"/>
        </w:rPr>
        <w:t>人民币</w:t>
      </w:r>
      <w:r>
        <w:rPr>
          <w:rFonts w:hint="eastAsia" w:asciiTheme="minorEastAsia" w:hAnsiTheme="minorEastAsia" w:eastAsiaTheme="minorEastAsia" w:cstheme="minorEastAsia"/>
          <w:sz w:val="24"/>
          <w:szCs w:val="24"/>
          <w:highlight w:val="none"/>
        </w:rPr>
        <w:t>亿元</w:t>
      </w:r>
    </w:p>
    <w:tbl>
      <w:tblPr>
        <w:tblStyle w:val="10"/>
        <w:tblW w:w="9204" w:type="dxa"/>
        <w:jc w:val="center"/>
        <w:tblLayout w:type="fixed"/>
        <w:tblCellMar>
          <w:top w:w="0" w:type="dxa"/>
          <w:left w:w="10" w:type="dxa"/>
          <w:bottom w:w="0" w:type="dxa"/>
          <w:right w:w="10" w:type="dxa"/>
        </w:tblCellMar>
      </w:tblPr>
      <w:tblGrid>
        <w:gridCol w:w="2400"/>
        <w:gridCol w:w="1232"/>
        <w:gridCol w:w="1264"/>
        <w:gridCol w:w="1222"/>
        <w:gridCol w:w="1082"/>
        <w:gridCol w:w="2004"/>
      </w:tblGrid>
      <w:tr w14:paraId="27D18F64">
        <w:tblPrEx>
          <w:tblCellMar>
            <w:top w:w="0" w:type="dxa"/>
            <w:left w:w="10" w:type="dxa"/>
            <w:bottom w:w="0" w:type="dxa"/>
            <w:right w:w="10" w:type="dxa"/>
          </w:tblCellMar>
        </w:tblPrEx>
        <w:trPr>
          <w:trHeight w:val="709" w:hRule="atLeast"/>
          <w:jc w:val="center"/>
        </w:trPr>
        <w:tc>
          <w:tcPr>
            <w:tcW w:w="2400" w:type="dxa"/>
            <w:tcBorders>
              <w:top w:val="single" w:color="auto" w:sz="4" w:space="0"/>
              <w:left w:val="single" w:color="auto" w:sz="4" w:space="0"/>
            </w:tcBorders>
            <w:shd w:val="clear" w:color="auto" w:fill="FFFFFF"/>
            <w:noWrap w:val="0"/>
            <w:vAlign w:val="center"/>
          </w:tcPr>
          <w:p w14:paraId="45FDD17C">
            <w:pPr>
              <w:pStyle w:val="31"/>
              <w:widowControl/>
              <w:kinsoku w:val="0"/>
              <w:adjustRightInd w:val="0"/>
              <w:snapToGrid w:val="0"/>
              <w:spacing w:line="240" w:lineRule="auto"/>
              <w:ind w:firstLine="0" w:firstLineChars="0"/>
              <w:jc w:val="center"/>
              <w:textAlignment w:val="baseline"/>
              <w:rPr>
                <w:rFonts w:hint="default"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时间</w:t>
            </w:r>
          </w:p>
        </w:tc>
        <w:tc>
          <w:tcPr>
            <w:tcW w:w="1232" w:type="dxa"/>
            <w:tcBorders>
              <w:top w:val="single" w:color="auto" w:sz="4" w:space="0"/>
              <w:left w:val="single" w:color="auto" w:sz="4" w:space="0"/>
            </w:tcBorders>
            <w:shd w:val="clear" w:color="auto" w:fill="FFFFFF"/>
            <w:noWrap w:val="0"/>
            <w:vAlign w:val="center"/>
          </w:tcPr>
          <w:p w14:paraId="08B507D7">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甲方累计</w:t>
            </w:r>
          </w:p>
          <w:p w14:paraId="21277601">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增资金额</w:t>
            </w:r>
          </w:p>
        </w:tc>
        <w:tc>
          <w:tcPr>
            <w:tcW w:w="1264" w:type="dxa"/>
            <w:tcBorders>
              <w:top w:val="single" w:color="auto" w:sz="4" w:space="0"/>
              <w:left w:val="single" w:color="auto" w:sz="4" w:space="0"/>
            </w:tcBorders>
            <w:shd w:val="clear" w:color="auto" w:fill="FFFFFF"/>
            <w:noWrap w:val="0"/>
            <w:vAlign w:val="center"/>
          </w:tcPr>
          <w:p w14:paraId="53417CEB">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乙方累计</w:t>
            </w:r>
          </w:p>
          <w:p w14:paraId="5033D58A">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增资金额</w:t>
            </w:r>
          </w:p>
        </w:tc>
        <w:tc>
          <w:tcPr>
            <w:tcW w:w="1222" w:type="dxa"/>
            <w:tcBorders>
              <w:top w:val="single" w:color="auto" w:sz="4" w:space="0"/>
              <w:left w:val="single" w:color="auto" w:sz="4" w:space="0"/>
            </w:tcBorders>
            <w:shd w:val="clear" w:color="auto" w:fill="FFFFFF"/>
            <w:noWrap w:val="0"/>
            <w:vAlign w:val="center"/>
          </w:tcPr>
          <w:p w14:paraId="7B937C68">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丙方累计</w:t>
            </w:r>
          </w:p>
          <w:p w14:paraId="62197740">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增资金额</w:t>
            </w:r>
          </w:p>
        </w:tc>
        <w:tc>
          <w:tcPr>
            <w:tcW w:w="1082" w:type="dxa"/>
            <w:tcBorders>
              <w:top w:val="single" w:color="auto" w:sz="4" w:space="0"/>
              <w:left w:val="single" w:color="auto" w:sz="4" w:space="0"/>
            </w:tcBorders>
            <w:shd w:val="clear" w:color="auto" w:fill="FFFFFF"/>
            <w:noWrap w:val="0"/>
            <w:vAlign w:val="center"/>
          </w:tcPr>
          <w:p w14:paraId="4847F4C4">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合计增资金额累计</w:t>
            </w:r>
          </w:p>
        </w:tc>
        <w:tc>
          <w:tcPr>
            <w:tcW w:w="2004" w:type="dxa"/>
            <w:tcBorders>
              <w:top w:val="single" w:color="auto" w:sz="4" w:space="0"/>
              <w:left w:val="single" w:color="auto" w:sz="4" w:space="0"/>
              <w:right w:val="single" w:color="auto" w:sz="4" w:space="0"/>
            </w:tcBorders>
            <w:shd w:val="clear" w:color="auto" w:fill="FFFFFF"/>
            <w:noWrap w:val="0"/>
            <w:vAlign w:val="center"/>
          </w:tcPr>
          <w:p w14:paraId="254C5D1A">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合计增资金额累计</w:t>
            </w:r>
          </w:p>
          <w:p w14:paraId="643521E0">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占应增加出资比例</w:t>
            </w:r>
          </w:p>
        </w:tc>
      </w:tr>
      <w:tr w14:paraId="2EA6B635">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tcBorders>
            <w:shd w:val="clear" w:color="auto" w:fill="FFFFFF"/>
            <w:noWrap w:val="0"/>
            <w:vAlign w:val="center"/>
          </w:tcPr>
          <w:p w14:paraId="637BBC33">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截至2026年6月30日</w:t>
            </w:r>
          </w:p>
        </w:tc>
        <w:tc>
          <w:tcPr>
            <w:tcW w:w="1232" w:type="dxa"/>
            <w:tcBorders>
              <w:top w:val="single" w:color="auto" w:sz="4" w:space="0"/>
              <w:left w:val="single" w:color="auto" w:sz="4" w:space="0"/>
            </w:tcBorders>
            <w:shd w:val="clear" w:color="auto" w:fill="FFFFFF"/>
            <w:noWrap w:val="0"/>
            <w:vAlign w:val="center"/>
          </w:tcPr>
          <w:p w14:paraId="2CC78190">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4.7904 </w:t>
            </w:r>
          </w:p>
        </w:tc>
        <w:tc>
          <w:tcPr>
            <w:tcW w:w="1264" w:type="dxa"/>
            <w:tcBorders>
              <w:top w:val="single" w:color="auto" w:sz="4" w:space="0"/>
              <w:left w:val="single" w:color="auto" w:sz="4" w:space="0"/>
            </w:tcBorders>
            <w:shd w:val="clear" w:color="auto" w:fill="FFFFFF"/>
            <w:noWrap w:val="0"/>
            <w:vAlign w:val="center"/>
          </w:tcPr>
          <w:p w14:paraId="1243AD0B">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1.8261 </w:t>
            </w:r>
          </w:p>
        </w:tc>
        <w:tc>
          <w:tcPr>
            <w:tcW w:w="1222" w:type="dxa"/>
            <w:tcBorders>
              <w:top w:val="single" w:color="auto" w:sz="4" w:space="0"/>
              <w:left w:val="single" w:color="auto" w:sz="4" w:space="0"/>
            </w:tcBorders>
            <w:shd w:val="clear" w:color="auto" w:fill="FFFFFF"/>
            <w:noWrap w:val="0"/>
            <w:vAlign w:val="center"/>
          </w:tcPr>
          <w:p w14:paraId="0C8B5CA2">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0</w:t>
            </w:r>
          </w:p>
        </w:tc>
        <w:tc>
          <w:tcPr>
            <w:tcW w:w="1082" w:type="dxa"/>
            <w:tcBorders>
              <w:top w:val="single" w:color="auto" w:sz="4" w:space="0"/>
              <w:left w:val="single" w:color="auto" w:sz="4" w:space="0"/>
            </w:tcBorders>
            <w:shd w:val="clear" w:color="auto" w:fill="FFFFFF"/>
            <w:noWrap w:val="0"/>
            <w:vAlign w:val="center"/>
          </w:tcPr>
          <w:p w14:paraId="2B32F5C0">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6.6165 </w:t>
            </w:r>
          </w:p>
        </w:tc>
        <w:tc>
          <w:tcPr>
            <w:tcW w:w="2004" w:type="dxa"/>
            <w:tcBorders>
              <w:top w:val="single" w:color="auto" w:sz="4" w:space="0"/>
              <w:left w:val="single" w:color="auto" w:sz="4" w:space="0"/>
              <w:right w:val="single" w:color="auto" w:sz="4" w:space="0"/>
            </w:tcBorders>
            <w:shd w:val="clear" w:color="auto" w:fill="FFFFFF"/>
            <w:noWrap w:val="0"/>
            <w:vAlign w:val="center"/>
          </w:tcPr>
          <w:p w14:paraId="5ABBC07D">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15%</w:t>
            </w:r>
          </w:p>
        </w:tc>
      </w:tr>
      <w:tr w14:paraId="0C4C4F1C">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tcBorders>
            <w:shd w:val="clear" w:color="auto" w:fill="FFFFFF"/>
            <w:noWrap w:val="0"/>
            <w:vAlign w:val="center"/>
          </w:tcPr>
          <w:p w14:paraId="111FEB08">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截至2026年12月31日</w:t>
            </w:r>
          </w:p>
        </w:tc>
        <w:tc>
          <w:tcPr>
            <w:tcW w:w="1232" w:type="dxa"/>
            <w:tcBorders>
              <w:top w:val="single" w:color="auto" w:sz="4" w:space="0"/>
              <w:left w:val="single" w:color="auto" w:sz="4" w:space="0"/>
            </w:tcBorders>
            <w:shd w:val="clear" w:color="auto" w:fill="FFFFFF"/>
            <w:noWrap w:val="0"/>
            <w:vAlign w:val="center"/>
          </w:tcPr>
          <w:p w14:paraId="359179D9">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TW"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9.8095 </w:t>
            </w:r>
          </w:p>
        </w:tc>
        <w:tc>
          <w:tcPr>
            <w:tcW w:w="1264" w:type="dxa"/>
            <w:tcBorders>
              <w:top w:val="single" w:color="auto" w:sz="4" w:space="0"/>
              <w:left w:val="single" w:color="auto" w:sz="4" w:space="0"/>
            </w:tcBorders>
            <w:shd w:val="clear" w:color="auto" w:fill="FFFFFF"/>
            <w:noWrap w:val="0"/>
            <w:vAlign w:val="center"/>
          </w:tcPr>
          <w:p w14:paraId="16BB0607">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3.7395 </w:t>
            </w:r>
          </w:p>
        </w:tc>
        <w:tc>
          <w:tcPr>
            <w:tcW w:w="1222" w:type="dxa"/>
            <w:tcBorders>
              <w:top w:val="single" w:color="auto" w:sz="4" w:space="0"/>
              <w:left w:val="single" w:color="auto" w:sz="4" w:space="0"/>
            </w:tcBorders>
            <w:shd w:val="clear" w:color="auto" w:fill="FFFFFF"/>
            <w:noWrap w:val="0"/>
            <w:vAlign w:val="center"/>
          </w:tcPr>
          <w:p w14:paraId="236FCAC5">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0 </w:t>
            </w:r>
          </w:p>
        </w:tc>
        <w:tc>
          <w:tcPr>
            <w:tcW w:w="1082" w:type="dxa"/>
            <w:tcBorders>
              <w:top w:val="single" w:color="auto" w:sz="4" w:space="0"/>
              <w:left w:val="single" w:color="auto" w:sz="4" w:space="0"/>
            </w:tcBorders>
            <w:shd w:val="clear" w:color="auto" w:fill="FFFFFF"/>
            <w:noWrap w:val="0"/>
            <w:vAlign w:val="center"/>
          </w:tcPr>
          <w:p w14:paraId="6D930581">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13.5490 </w:t>
            </w:r>
          </w:p>
        </w:tc>
        <w:tc>
          <w:tcPr>
            <w:tcW w:w="2004" w:type="dxa"/>
            <w:tcBorders>
              <w:top w:val="single" w:color="auto" w:sz="4" w:space="0"/>
              <w:left w:val="single" w:color="auto" w:sz="4" w:space="0"/>
              <w:right w:val="single" w:color="auto" w:sz="4" w:space="0"/>
            </w:tcBorders>
            <w:shd w:val="clear" w:color="auto" w:fill="FFFFFF"/>
            <w:noWrap w:val="0"/>
            <w:vAlign w:val="center"/>
          </w:tcPr>
          <w:p w14:paraId="39AC1EF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4"/>
                <w:szCs w:val="24"/>
                <w:highlight w:val="none"/>
                <w:lang w:val="en-US" w:eastAsia="zh-CN" w:bidi="ar-SA"/>
              </w:rPr>
            </w:pPr>
            <w:r>
              <w:rPr>
                <w:rFonts w:hint="eastAsia" w:asciiTheme="minorEastAsia" w:hAnsiTheme="minorEastAsia" w:eastAsiaTheme="minorEastAsia" w:cstheme="minorEastAsia"/>
                <w:color w:val="000000"/>
                <w:kern w:val="2"/>
                <w:sz w:val="24"/>
                <w:szCs w:val="24"/>
                <w:highlight w:val="none"/>
                <w:lang w:val="en-US" w:eastAsia="zh-CN" w:bidi="ar-SA"/>
              </w:rPr>
              <w:t>30%</w:t>
            </w:r>
          </w:p>
        </w:tc>
      </w:tr>
      <w:tr w14:paraId="2B146BC8">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tcBorders>
            <w:shd w:val="clear" w:color="auto" w:fill="FFFFFF"/>
            <w:noWrap w:val="0"/>
            <w:vAlign w:val="center"/>
          </w:tcPr>
          <w:p w14:paraId="6971DC9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截至2027年6月30日</w:t>
            </w:r>
          </w:p>
        </w:tc>
        <w:tc>
          <w:tcPr>
            <w:tcW w:w="1232" w:type="dxa"/>
            <w:tcBorders>
              <w:top w:val="single" w:color="auto" w:sz="4" w:space="0"/>
              <w:left w:val="single" w:color="auto" w:sz="4" w:space="0"/>
            </w:tcBorders>
            <w:shd w:val="clear" w:color="auto" w:fill="FFFFFF"/>
            <w:noWrap w:val="0"/>
            <w:vAlign w:val="center"/>
          </w:tcPr>
          <w:p w14:paraId="3CEEE915">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TW"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14.7143 </w:t>
            </w:r>
          </w:p>
        </w:tc>
        <w:tc>
          <w:tcPr>
            <w:tcW w:w="1264" w:type="dxa"/>
            <w:tcBorders>
              <w:top w:val="single" w:color="auto" w:sz="4" w:space="0"/>
              <w:left w:val="single" w:color="auto" w:sz="4" w:space="0"/>
            </w:tcBorders>
            <w:shd w:val="clear" w:color="auto" w:fill="FFFFFF"/>
            <w:noWrap w:val="0"/>
            <w:vAlign w:val="center"/>
          </w:tcPr>
          <w:p w14:paraId="427CE5E7">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5.6093 </w:t>
            </w:r>
          </w:p>
        </w:tc>
        <w:tc>
          <w:tcPr>
            <w:tcW w:w="1222" w:type="dxa"/>
            <w:tcBorders>
              <w:top w:val="single" w:color="auto" w:sz="4" w:space="0"/>
              <w:left w:val="single" w:color="auto" w:sz="4" w:space="0"/>
            </w:tcBorders>
            <w:shd w:val="clear" w:color="auto" w:fill="FFFFFF"/>
            <w:noWrap w:val="0"/>
            <w:vAlign w:val="center"/>
          </w:tcPr>
          <w:p w14:paraId="0171BAB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0</w:t>
            </w:r>
          </w:p>
        </w:tc>
        <w:tc>
          <w:tcPr>
            <w:tcW w:w="1082" w:type="dxa"/>
            <w:tcBorders>
              <w:top w:val="single" w:color="auto" w:sz="4" w:space="0"/>
              <w:left w:val="single" w:color="auto" w:sz="4" w:space="0"/>
            </w:tcBorders>
            <w:shd w:val="clear" w:color="auto" w:fill="FFFFFF"/>
            <w:noWrap w:val="0"/>
            <w:vAlign w:val="center"/>
          </w:tcPr>
          <w:p w14:paraId="610E7F61">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20.3236 </w:t>
            </w:r>
          </w:p>
        </w:tc>
        <w:tc>
          <w:tcPr>
            <w:tcW w:w="2004" w:type="dxa"/>
            <w:tcBorders>
              <w:top w:val="single" w:color="auto" w:sz="4" w:space="0"/>
              <w:left w:val="single" w:color="auto" w:sz="4" w:space="0"/>
              <w:right w:val="single" w:color="auto" w:sz="4" w:space="0"/>
            </w:tcBorders>
            <w:shd w:val="clear" w:color="auto" w:fill="FFFFFF"/>
            <w:noWrap w:val="0"/>
            <w:vAlign w:val="center"/>
          </w:tcPr>
          <w:p w14:paraId="3A81165B">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45%</w:t>
            </w:r>
          </w:p>
        </w:tc>
      </w:tr>
      <w:tr w14:paraId="76A1A3A0">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tcBorders>
            <w:shd w:val="clear" w:color="auto" w:fill="FFFFFF"/>
            <w:noWrap w:val="0"/>
            <w:vAlign w:val="center"/>
          </w:tcPr>
          <w:p w14:paraId="58DA0EB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截至2027年12月31日</w:t>
            </w:r>
          </w:p>
        </w:tc>
        <w:tc>
          <w:tcPr>
            <w:tcW w:w="1232" w:type="dxa"/>
            <w:tcBorders>
              <w:top w:val="single" w:color="auto" w:sz="4" w:space="0"/>
              <w:left w:val="single" w:color="auto" w:sz="4" w:space="0"/>
            </w:tcBorders>
            <w:shd w:val="clear" w:color="auto" w:fill="FFFFFF"/>
            <w:noWrap w:val="0"/>
            <w:vAlign w:val="center"/>
          </w:tcPr>
          <w:p w14:paraId="0C578FC8">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19.6190 </w:t>
            </w:r>
          </w:p>
        </w:tc>
        <w:tc>
          <w:tcPr>
            <w:tcW w:w="1264" w:type="dxa"/>
            <w:tcBorders>
              <w:top w:val="single" w:color="auto" w:sz="4" w:space="0"/>
              <w:left w:val="single" w:color="auto" w:sz="4" w:space="0"/>
            </w:tcBorders>
            <w:shd w:val="clear" w:color="auto" w:fill="FFFFFF"/>
            <w:noWrap w:val="0"/>
            <w:vAlign w:val="center"/>
          </w:tcPr>
          <w:p w14:paraId="1E7C1463">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7.4790 </w:t>
            </w:r>
          </w:p>
        </w:tc>
        <w:tc>
          <w:tcPr>
            <w:tcW w:w="1222" w:type="dxa"/>
            <w:tcBorders>
              <w:top w:val="single" w:color="auto" w:sz="4" w:space="0"/>
              <w:left w:val="single" w:color="auto" w:sz="4" w:space="0"/>
            </w:tcBorders>
            <w:shd w:val="clear" w:color="auto" w:fill="FFFFFF"/>
            <w:noWrap w:val="0"/>
            <w:vAlign w:val="center"/>
          </w:tcPr>
          <w:p w14:paraId="1AFF19E8">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0</w:t>
            </w:r>
          </w:p>
        </w:tc>
        <w:tc>
          <w:tcPr>
            <w:tcW w:w="1082" w:type="dxa"/>
            <w:tcBorders>
              <w:top w:val="single" w:color="auto" w:sz="4" w:space="0"/>
              <w:left w:val="single" w:color="auto" w:sz="4" w:space="0"/>
            </w:tcBorders>
            <w:shd w:val="clear" w:color="auto" w:fill="FFFFFF"/>
            <w:noWrap w:val="0"/>
            <w:vAlign w:val="center"/>
          </w:tcPr>
          <w:p w14:paraId="29769CF1">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27.0980 </w:t>
            </w:r>
          </w:p>
        </w:tc>
        <w:tc>
          <w:tcPr>
            <w:tcW w:w="2004" w:type="dxa"/>
            <w:tcBorders>
              <w:top w:val="single" w:color="auto" w:sz="4" w:space="0"/>
              <w:left w:val="single" w:color="auto" w:sz="4" w:space="0"/>
              <w:right w:val="single" w:color="auto" w:sz="4" w:space="0"/>
            </w:tcBorders>
            <w:shd w:val="clear" w:color="auto" w:fill="FFFFFF"/>
            <w:noWrap w:val="0"/>
            <w:vAlign w:val="center"/>
          </w:tcPr>
          <w:p w14:paraId="42C228A2">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60%</w:t>
            </w:r>
          </w:p>
        </w:tc>
      </w:tr>
      <w:tr w14:paraId="209AEF50">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tcBorders>
            <w:shd w:val="clear" w:color="auto" w:fill="FFFFFF"/>
            <w:noWrap w:val="0"/>
            <w:vAlign w:val="center"/>
          </w:tcPr>
          <w:p w14:paraId="4C6EEB93">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截至2028年6月30日</w:t>
            </w:r>
          </w:p>
        </w:tc>
        <w:tc>
          <w:tcPr>
            <w:tcW w:w="1232" w:type="dxa"/>
            <w:tcBorders>
              <w:top w:val="single" w:color="auto" w:sz="4" w:space="0"/>
              <w:left w:val="single" w:color="auto" w:sz="4" w:space="0"/>
            </w:tcBorders>
            <w:shd w:val="clear" w:color="auto" w:fill="FFFFFF"/>
            <w:noWrap w:val="0"/>
            <w:vAlign w:val="center"/>
          </w:tcPr>
          <w:p w14:paraId="13EA8F68">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24.5238 </w:t>
            </w:r>
          </w:p>
        </w:tc>
        <w:tc>
          <w:tcPr>
            <w:tcW w:w="1264" w:type="dxa"/>
            <w:tcBorders>
              <w:top w:val="single" w:color="auto" w:sz="4" w:space="0"/>
              <w:left w:val="single" w:color="auto" w:sz="4" w:space="0"/>
            </w:tcBorders>
            <w:shd w:val="clear" w:color="auto" w:fill="FFFFFF"/>
            <w:noWrap w:val="0"/>
            <w:vAlign w:val="center"/>
          </w:tcPr>
          <w:p w14:paraId="37AF48C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9.3488 </w:t>
            </w:r>
          </w:p>
        </w:tc>
        <w:tc>
          <w:tcPr>
            <w:tcW w:w="1222" w:type="dxa"/>
            <w:tcBorders>
              <w:top w:val="single" w:color="auto" w:sz="4" w:space="0"/>
              <w:left w:val="single" w:color="auto" w:sz="4" w:space="0"/>
            </w:tcBorders>
            <w:shd w:val="clear" w:color="auto" w:fill="FFFFFF"/>
            <w:noWrap w:val="0"/>
            <w:vAlign w:val="center"/>
          </w:tcPr>
          <w:p w14:paraId="6CE0D74B">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0</w:t>
            </w:r>
          </w:p>
        </w:tc>
        <w:tc>
          <w:tcPr>
            <w:tcW w:w="1082" w:type="dxa"/>
            <w:tcBorders>
              <w:top w:val="single" w:color="auto" w:sz="4" w:space="0"/>
              <w:left w:val="single" w:color="auto" w:sz="4" w:space="0"/>
            </w:tcBorders>
            <w:shd w:val="clear" w:color="auto" w:fill="FFFFFF"/>
            <w:noWrap w:val="0"/>
            <w:vAlign w:val="center"/>
          </w:tcPr>
          <w:p w14:paraId="7D15CB13">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33.8726 </w:t>
            </w:r>
          </w:p>
        </w:tc>
        <w:tc>
          <w:tcPr>
            <w:tcW w:w="2004" w:type="dxa"/>
            <w:tcBorders>
              <w:top w:val="single" w:color="auto" w:sz="4" w:space="0"/>
              <w:left w:val="single" w:color="auto" w:sz="4" w:space="0"/>
              <w:right w:val="single" w:color="auto" w:sz="4" w:space="0"/>
            </w:tcBorders>
            <w:shd w:val="clear" w:color="auto" w:fill="FFFFFF"/>
            <w:noWrap w:val="0"/>
            <w:vAlign w:val="center"/>
          </w:tcPr>
          <w:p w14:paraId="7B4424E4">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75%</w:t>
            </w:r>
          </w:p>
        </w:tc>
      </w:tr>
      <w:tr w14:paraId="37C1B073">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tcBorders>
            <w:shd w:val="clear" w:color="auto" w:fill="FFFFFF"/>
            <w:noWrap w:val="0"/>
            <w:vAlign w:val="center"/>
          </w:tcPr>
          <w:p w14:paraId="4D82593B">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截至2028年12月31日</w:t>
            </w:r>
          </w:p>
        </w:tc>
        <w:tc>
          <w:tcPr>
            <w:tcW w:w="1232" w:type="dxa"/>
            <w:tcBorders>
              <w:top w:val="single" w:color="auto" w:sz="4" w:space="0"/>
              <w:left w:val="single" w:color="auto" w:sz="4" w:space="0"/>
            </w:tcBorders>
            <w:shd w:val="clear" w:color="auto" w:fill="FFFFFF"/>
            <w:noWrap w:val="0"/>
            <w:vAlign w:val="center"/>
          </w:tcPr>
          <w:p w14:paraId="7910A20A">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29.4286 </w:t>
            </w:r>
          </w:p>
        </w:tc>
        <w:tc>
          <w:tcPr>
            <w:tcW w:w="1264" w:type="dxa"/>
            <w:tcBorders>
              <w:top w:val="single" w:color="auto" w:sz="4" w:space="0"/>
              <w:left w:val="single" w:color="auto" w:sz="4" w:space="0"/>
            </w:tcBorders>
            <w:shd w:val="clear" w:color="auto" w:fill="FFFFFF"/>
            <w:noWrap w:val="0"/>
            <w:vAlign w:val="center"/>
          </w:tcPr>
          <w:p w14:paraId="5A135837">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11.2186 </w:t>
            </w:r>
          </w:p>
        </w:tc>
        <w:tc>
          <w:tcPr>
            <w:tcW w:w="1222" w:type="dxa"/>
            <w:tcBorders>
              <w:top w:val="single" w:color="auto" w:sz="4" w:space="0"/>
              <w:left w:val="single" w:color="auto" w:sz="4" w:space="0"/>
            </w:tcBorders>
            <w:shd w:val="clear" w:color="auto" w:fill="FFFFFF"/>
            <w:noWrap w:val="0"/>
            <w:vAlign w:val="center"/>
          </w:tcPr>
          <w:p w14:paraId="479512F7">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0</w:t>
            </w:r>
          </w:p>
        </w:tc>
        <w:tc>
          <w:tcPr>
            <w:tcW w:w="1082" w:type="dxa"/>
            <w:tcBorders>
              <w:top w:val="single" w:color="auto" w:sz="4" w:space="0"/>
              <w:left w:val="single" w:color="auto" w:sz="4" w:space="0"/>
            </w:tcBorders>
            <w:shd w:val="clear" w:color="auto" w:fill="FFFFFF"/>
            <w:noWrap w:val="0"/>
            <w:vAlign w:val="center"/>
          </w:tcPr>
          <w:p w14:paraId="0026B833">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40.6472 </w:t>
            </w:r>
          </w:p>
        </w:tc>
        <w:tc>
          <w:tcPr>
            <w:tcW w:w="2004" w:type="dxa"/>
            <w:tcBorders>
              <w:top w:val="single" w:color="auto" w:sz="4" w:space="0"/>
              <w:left w:val="single" w:color="auto" w:sz="4" w:space="0"/>
              <w:right w:val="single" w:color="auto" w:sz="4" w:space="0"/>
            </w:tcBorders>
            <w:shd w:val="clear" w:color="auto" w:fill="FFFFFF"/>
            <w:noWrap w:val="0"/>
            <w:vAlign w:val="center"/>
          </w:tcPr>
          <w:p w14:paraId="3DDC8C5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90%</w:t>
            </w:r>
          </w:p>
        </w:tc>
      </w:tr>
      <w:tr w14:paraId="395DAB9F">
        <w:tblPrEx>
          <w:tblCellMar>
            <w:top w:w="0" w:type="dxa"/>
            <w:left w:w="10" w:type="dxa"/>
            <w:bottom w:w="0" w:type="dxa"/>
            <w:right w:w="10" w:type="dxa"/>
          </w:tblCellMar>
        </w:tblPrEx>
        <w:trPr>
          <w:trHeight w:val="544" w:hRule="atLeast"/>
          <w:jc w:val="center"/>
        </w:trPr>
        <w:tc>
          <w:tcPr>
            <w:tcW w:w="2400" w:type="dxa"/>
            <w:tcBorders>
              <w:top w:val="single" w:color="auto" w:sz="4" w:space="0"/>
              <w:left w:val="single" w:color="auto" w:sz="4" w:space="0"/>
              <w:bottom w:val="single" w:color="auto" w:sz="4" w:space="0"/>
            </w:tcBorders>
            <w:shd w:val="clear" w:color="auto" w:fill="FFFFFF"/>
            <w:noWrap w:val="0"/>
            <w:vAlign w:val="center"/>
          </w:tcPr>
          <w:p w14:paraId="16BAB7C8">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截至2029年6月30日</w:t>
            </w:r>
          </w:p>
        </w:tc>
        <w:tc>
          <w:tcPr>
            <w:tcW w:w="1232" w:type="dxa"/>
            <w:tcBorders>
              <w:top w:val="single" w:color="auto" w:sz="4" w:space="0"/>
              <w:left w:val="single" w:color="auto" w:sz="4" w:space="0"/>
              <w:bottom w:val="single" w:color="auto" w:sz="4" w:space="0"/>
            </w:tcBorders>
            <w:shd w:val="clear" w:color="auto" w:fill="FFFFFF"/>
            <w:noWrap w:val="0"/>
            <w:vAlign w:val="center"/>
          </w:tcPr>
          <w:p w14:paraId="499108D5">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32.6964 </w:t>
            </w:r>
          </w:p>
        </w:tc>
        <w:tc>
          <w:tcPr>
            <w:tcW w:w="1264" w:type="dxa"/>
            <w:tcBorders>
              <w:top w:val="single" w:color="auto" w:sz="4" w:space="0"/>
              <w:left w:val="single" w:color="auto" w:sz="4" w:space="0"/>
              <w:bottom w:val="single" w:color="auto" w:sz="4" w:space="0"/>
            </w:tcBorders>
            <w:shd w:val="clear" w:color="auto" w:fill="FFFFFF"/>
            <w:noWrap w:val="0"/>
            <w:vAlign w:val="center"/>
          </w:tcPr>
          <w:p w14:paraId="5D0F4737">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12.4672 </w:t>
            </w:r>
          </w:p>
        </w:tc>
        <w:tc>
          <w:tcPr>
            <w:tcW w:w="1222" w:type="dxa"/>
            <w:tcBorders>
              <w:top w:val="single" w:color="auto" w:sz="4" w:space="0"/>
              <w:left w:val="single" w:color="auto" w:sz="4" w:space="0"/>
              <w:bottom w:val="single" w:color="auto" w:sz="4" w:space="0"/>
            </w:tcBorders>
            <w:shd w:val="clear" w:color="auto" w:fill="FFFFFF"/>
            <w:noWrap w:val="0"/>
            <w:vAlign w:val="center"/>
          </w:tcPr>
          <w:p w14:paraId="4E7946EC">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0 </w:t>
            </w:r>
          </w:p>
        </w:tc>
        <w:tc>
          <w:tcPr>
            <w:tcW w:w="1082" w:type="dxa"/>
            <w:tcBorders>
              <w:top w:val="single" w:color="auto" w:sz="4" w:space="0"/>
              <w:left w:val="single" w:color="auto" w:sz="4" w:space="0"/>
              <w:bottom w:val="single" w:color="auto" w:sz="4" w:space="0"/>
            </w:tcBorders>
            <w:shd w:val="clear" w:color="auto" w:fill="FFFFFF"/>
            <w:noWrap w:val="0"/>
            <w:vAlign w:val="center"/>
          </w:tcPr>
          <w:p w14:paraId="5C95A346">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 xml:space="preserve">45.1636 </w:t>
            </w:r>
          </w:p>
        </w:tc>
        <w:tc>
          <w:tcPr>
            <w:tcW w:w="200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6D33BFB2">
            <w:pPr>
              <w:pStyle w:val="31"/>
              <w:widowControl/>
              <w:kinsoku w:val="0"/>
              <w:adjustRightInd w:val="0"/>
              <w:snapToGrid w:val="0"/>
              <w:spacing w:line="240" w:lineRule="auto"/>
              <w:ind w:firstLine="0" w:firstLineChars="0"/>
              <w:jc w:val="center"/>
              <w:textAlignment w:val="baseline"/>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100%</w:t>
            </w:r>
          </w:p>
        </w:tc>
      </w:tr>
    </w:tbl>
    <w:p w14:paraId="2F97C25F">
      <w:pPr>
        <w:adjustRightInd w:val="0"/>
        <w:snapToGrid w:val="0"/>
        <w:spacing w:line="360" w:lineRule="auto"/>
        <w:ind w:firstLine="482"/>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sz w:val="24"/>
          <w:szCs w:val="24"/>
          <w:highlight w:val="none"/>
        </w:rPr>
        <w:t>实际出资时间及出资金额以</w:t>
      </w:r>
      <w:r>
        <w:rPr>
          <w:rFonts w:hint="eastAsia" w:asciiTheme="minorEastAsia" w:hAnsiTheme="minorEastAsia" w:eastAsiaTheme="minorEastAsia" w:cstheme="minorEastAsia"/>
          <w:sz w:val="24"/>
          <w:szCs w:val="24"/>
          <w:highlight w:val="none"/>
          <w:lang w:val="en-US" w:eastAsia="zh-CN"/>
        </w:rPr>
        <w:t>龙潭大桥</w:t>
      </w:r>
      <w:r>
        <w:rPr>
          <w:rFonts w:hint="eastAsia" w:asciiTheme="minorEastAsia" w:hAnsiTheme="minorEastAsia" w:eastAsiaTheme="minorEastAsia" w:cstheme="minorEastAsia"/>
          <w:sz w:val="24"/>
          <w:szCs w:val="24"/>
          <w:highlight w:val="none"/>
        </w:rPr>
        <w:t>公司出资通知书为准。</w:t>
      </w:r>
    </w:p>
    <w:p w14:paraId="7495DD7A">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5、争议解决</w:t>
      </w:r>
    </w:p>
    <w:p w14:paraId="1196276D">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如本协议履行过程中发生争议，各方友好协商，协商不成由龙潭大桥公司住所地人民法院管辖。</w:t>
      </w:r>
    </w:p>
    <w:p w14:paraId="7D2D9F65">
      <w:pPr>
        <w:adjustRightInd w:val="0"/>
        <w:snapToGrid w:val="0"/>
        <w:spacing w:line="360" w:lineRule="auto"/>
        <w:ind w:firstLine="482"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六、投资标的基本情况</w:t>
      </w:r>
    </w:p>
    <w:p w14:paraId="6607AEE9">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2022年,本公司与扬州交通增资龙潭大桥公司,投资宁扬长江大桥北接线项目。本次交易为本公司与南京公路增资</w:t>
      </w:r>
      <w:r>
        <w:rPr>
          <w:rFonts w:hint="eastAsia" w:asciiTheme="minorEastAsia" w:hAnsiTheme="minorEastAsia" w:eastAsiaTheme="minorEastAsia" w:cstheme="minorEastAsia"/>
          <w:sz w:val="24"/>
          <w:szCs w:val="24"/>
          <w:highlight w:val="none"/>
          <w:lang w:val="en-US" w:eastAsia="zh-CN"/>
        </w:rPr>
        <w:t>龙</w:t>
      </w:r>
      <w:r>
        <w:rPr>
          <w:rFonts w:hint="eastAsia" w:asciiTheme="minorEastAsia" w:hAnsiTheme="minorEastAsia" w:eastAsiaTheme="minorEastAsia" w:cstheme="minorEastAsia"/>
          <w:sz w:val="24"/>
          <w:szCs w:val="24"/>
          <w:highlight w:val="none"/>
        </w:rPr>
        <w:t>潭大桥公司投资宁扬长江大桥南接线项目。</w:t>
      </w:r>
    </w:p>
    <w:p w14:paraId="67222134">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作为宁扬长江大桥的南接线，是将龙潭大桥公司已投资建设的宁扬长江大桥及其北接线衔接进区域高速公路网的关键载体，推荐路线起自338省道顺接已建成通车的宁扬长江大桥，往南隧道穿越南京龙潭新城至镇江句容市境内，与京沪铁路、沪宁城际、312国道交叉后，穿越宝华山，下穿京沪高铁，从台泥矿业和固江口水库之间经过，之后在句容西部干线东侧衔接沪蓉高速，路线全长约19.627公里，其中南京段里程约3.116公里，镇江段里程约16.511公里。项目拟采用双向六车道高速公路技术标准建设，设计速度100公里/小时，整体式路基宽度33.5米，分离式路基宽度16.75米。共设置1处枢纽式立交、1处一般互通式立交。根据《南京都市圈环线高速公路338省道至沪蓉高速段项目工程可行性报告（送审稿）》，宁扬长江大桥南接线项目的估算总投资额人民币90.3272亿元，项目资本金占总投资额50%，为人民币45.1636亿元。资本金以外的部分由龙潭大桥公司通过银行贷款等渠道筹措。</w:t>
      </w:r>
    </w:p>
    <w:p w14:paraId="318B1451">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bidi="ar"/>
        </w:rPr>
        <w:t>本项目实际建设方案、投资估算及资本金比例将以工程可行性研究报告批复内容为准；项目概算投资额将以初步设计批复为准；项目最终总投资将以竣工财务决算数据为准。</w:t>
      </w:r>
    </w:p>
    <w:p w14:paraId="2B204803">
      <w:pPr>
        <w:adjustRightInd w:val="0"/>
        <w:snapToGrid w:val="0"/>
        <w:spacing w:line="360" w:lineRule="auto"/>
        <w:ind w:firstLine="482"/>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七、对外投资对上市公司的影响</w:t>
      </w:r>
    </w:p>
    <w:p w14:paraId="197B3860">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作为宁扬长江大桥的南接线，是将龙潭大桥公司已投资建设的宁扬长江大桥及其北接线衔接进区域高速公路网的关键载体，由龙潭大桥公司投资建设本项目，将能确保有效加快宁扬长江大桥及北接线接入区域路网的进程，提升既有项目的整体通行能力，带动车流量与通行费收入增长，切实保障龙潭大桥公司既有项目的经营效益。</w:t>
      </w:r>
    </w:p>
    <w:p w14:paraId="4BD1E35B">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于句容西部干线东侧衔接沪蓉高速，建成后将有效串联沪宁高速，显著加强宁扬长江大桥与沪宁高速公路之间的路网连接，有利于促进双方交通流量的协同提升，进一步增强仪禄高速区域路网与苏南地区的交通联系。投资建设本项目，有利于本公司完善苏南区域高速公路网络，巩固在苏南路网中的主导地位。</w:t>
      </w:r>
    </w:p>
    <w:p w14:paraId="19AF1DA3">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投资本项目不会对本公司财务状况形成明显压力，不会导致公司合并报表范围发生变化，投资建设本项目可以进一步提升既有资产的收益能力。</w:t>
      </w:r>
    </w:p>
    <w:p w14:paraId="2D6420D6">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董事会认为宁扬长江大桥南接线项目的投资建成将</w:t>
      </w:r>
      <w:r>
        <w:rPr>
          <w:rFonts w:hint="eastAsia" w:asciiTheme="minorEastAsia" w:hAnsiTheme="minorEastAsia" w:eastAsiaTheme="minorEastAsia" w:cstheme="minorEastAsia"/>
          <w:sz w:val="24"/>
          <w:szCs w:val="24"/>
          <w:highlight w:val="none"/>
          <w:lang w:val="en-US" w:eastAsia="zh-CN"/>
        </w:rPr>
        <w:t>使</w:t>
      </w:r>
      <w:r>
        <w:rPr>
          <w:rFonts w:hint="eastAsia" w:asciiTheme="minorEastAsia" w:hAnsiTheme="minorEastAsia" w:eastAsiaTheme="minorEastAsia" w:cstheme="minorEastAsia"/>
          <w:sz w:val="24"/>
          <w:szCs w:val="24"/>
          <w:highlight w:val="none"/>
        </w:rPr>
        <w:t>宁扬长江大桥</w:t>
      </w:r>
      <w:r>
        <w:rPr>
          <w:rFonts w:hint="eastAsia" w:asciiTheme="minorEastAsia" w:hAnsiTheme="minorEastAsia" w:eastAsiaTheme="minorEastAsia" w:cstheme="minorEastAsia"/>
          <w:sz w:val="24"/>
          <w:szCs w:val="24"/>
          <w:highlight w:val="none"/>
          <w:lang w:val="en-US" w:eastAsia="zh-CN"/>
        </w:rPr>
        <w:t>进一步融入区域</w:t>
      </w:r>
      <w:r>
        <w:rPr>
          <w:rFonts w:hint="eastAsia" w:asciiTheme="minorEastAsia" w:hAnsiTheme="minorEastAsia" w:eastAsiaTheme="minorEastAsia" w:cstheme="minorEastAsia"/>
          <w:sz w:val="24"/>
          <w:szCs w:val="24"/>
          <w:highlight w:val="none"/>
        </w:rPr>
        <w:t>高速公路网，同时宁扬长江大桥与既有沪宁高速相接，建成后会进一步促进沪宁高速流量增长。</w:t>
      </w:r>
    </w:p>
    <w:p w14:paraId="2ACB3171">
      <w:pPr>
        <w:adjustRightInd w:val="0"/>
        <w:snapToGrid w:val="0"/>
        <w:spacing w:line="360" w:lineRule="auto"/>
        <w:ind w:firstLine="482"/>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八、对外投资的风险分析</w:t>
      </w:r>
    </w:p>
    <w:p w14:paraId="07FC7622">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1、政策风险</w:t>
      </w:r>
    </w:p>
    <w:p w14:paraId="5BA35980">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根据江苏省现行收费标准审批程序，高速公路项目收费方案的审批工作通常在建成通车前夕才启动。因此，目前尚未能获得江苏省人民政府关于本项目收费标准的正式批复，未来具体收费标准存在一定不确定性。同时，由于《收费公路管理条例》尚在修订中，本项目能否获得较长的收费年限亦</w:t>
      </w:r>
      <w:r>
        <w:rPr>
          <w:rFonts w:hint="eastAsia" w:asciiTheme="minorEastAsia" w:hAnsiTheme="minorEastAsia" w:eastAsiaTheme="minorEastAsia" w:cstheme="minorEastAsia"/>
          <w:sz w:val="24"/>
          <w:szCs w:val="24"/>
          <w:highlight w:val="none"/>
          <w:lang w:val="en-US" w:eastAsia="zh-CN"/>
        </w:rPr>
        <w:t>存在</w:t>
      </w:r>
      <w:r>
        <w:rPr>
          <w:rFonts w:hint="eastAsia" w:asciiTheme="minorEastAsia" w:hAnsiTheme="minorEastAsia" w:eastAsiaTheme="minorEastAsia" w:cstheme="minorEastAsia"/>
          <w:sz w:val="24"/>
          <w:szCs w:val="24"/>
          <w:highlight w:val="none"/>
        </w:rPr>
        <w:t>不确定性。综上，本项目在收费标准和收费期限方面均具有一定不确定性。</w:t>
      </w:r>
    </w:p>
    <w:p w14:paraId="0BF44309">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应对措施：公司将加强政策研究、跟踪政策变化并积极做出应对，加快推进本项目收费方案的报批进程，力争尽早取得收费标准的核定批复，最大限度争取有利的收费年限，有效防范政策风险。</w:t>
      </w:r>
    </w:p>
    <w:p w14:paraId="7B9D0D32">
      <w:pPr>
        <w:adjustRightInd w:val="0"/>
        <w:snapToGrid w:val="0"/>
        <w:spacing w:line="360" w:lineRule="auto"/>
        <w:ind w:firstLine="482"/>
        <w:rPr>
          <w:rFonts w:hint="eastAsia" w:asciiTheme="minorEastAsia" w:hAnsiTheme="minorEastAsia" w:eastAsiaTheme="minorEastAsia" w:cstheme="minorEastAsia"/>
          <w:b w:val="0"/>
          <w:bCs w:val="0"/>
          <w:sz w:val="24"/>
          <w:szCs w:val="24"/>
          <w:highlight w:val="none"/>
        </w:rPr>
      </w:pPr>
      <w:r>
        <w:rPr>
          <w:rFonts w:hint="eastAsia" w:asciiTheme="minorEastAsia" w:hAnsiTheme="minorEastAsia" w:eastAsiaTheme="minorEastAsia" w:cstheme="minorEastAsia"/>
          <w:b w:val="0"/>
          <w:bCs w:val="0"/>
          <w:sz w:val="24"/>
          <w:szCs w:val="24"/>
          <w:highlight w:val="none"/>
        </w:rPr>
        <w:t>2、经营风险</w:t>
      </w:r>
    </w:p>
    <w:p w14:paraId="4AD28CD3">
      <w:pPr>
        <w:adjustRightInd w:val="0"/>
        <w:snapToGrid w:val="0"/>
        <w:spacing w:line="360" w:lineRule="auto"/>
        <w:ind w:firstLine="482"/>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项目交通量和通行费收入受区域经济发展、综合交通发展、路网变化等影响较大，可能使预测准确性降低，实际收入达不到预期。</w:t>
      </w:r>
    </w:p>
    <w:p w14:paraId="4163C6FA">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应对措施：在投资决策阶段深化交通量研究，及早识别和规避潜在风险；加强交通流量监测与预测，动态掌握交通变化趋势与规律；深入开展对社会经济、产业结构变动等因素的研究，精准把握交通量波动的内在成因，并适时采取应对措施。</w:t>
      </w:r>
    </w:p>
    <w:p w14:paraId="54AAE1C5">
      <w:pPr>
        <w:adjustRightInd w:val="0"/>
        <w:snapToGrid w:val="0"/>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工程可行性研究报告尚未获得批复，具体建设方案、投资估算及资本金比例等事项尚未最终确定。若后续批复内容发生调整，公司将严格履行相关审议程序，并及时履行信息披露义务。敬请广大投资者注意投资风险。</w:t>
      </w:r>
    </w:p>
    <w:p w14:paraId="33E9C061">
      <w:pPr>
        <w:adjustRightInd w:val="0"/>
        <w:snapToGrid w:val="0"/>
        <w:spacing w:line="360" w:lineRule="auto"/>
        <w:ind w:firstLine="480" w:firstLineChars="200"/>
        <w:rPr>
          <w:rFonts w:hint="eastAsia" w:asciiTheme="minorEastAsia" w:hAnsiTheme="minorEastAsia" w:eastAsiaTheme="minorEastAsia" w:cstheme="minorEastAsia"/>
          <w:sz w:val="24"/>
          <w:szCs w:val="24"/>
          <w:lang w:val="en-US" w:eastAsia="zh-CN"/>
        </w:rPr>
      </w:pPr>
    </w:p>
    <w:p w14:paraId="37769B2F">
      <w:pPr>
        <w:adjustRightInd w:val="0"/>
        <w:snapToGri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特此公告。</w:t>
      </w:r>
    </w:p>
    <w:p w14:paraId="2157481F">
      <w:pPr>
        <w:adjustRightInd w:val="0"/>
        <w:snapToGrid w:val="0"/>
        <w:spacing w:line="360" w:lineRule="auto"/>
        <w:ind w:firstLine="562" w:firstLineChars="200"/>
        <w:rPr>
          <w:rFonts w:hint="eastAsia" w:ascii="仿宋_GB2312" w:hAnsi="仿宋_GB2312" w:eastAsia="仿宋_GB2312" w:cs="仿宋_GB2312"/>
          <w:b/>
          <w:sz w:val="28"/>
          <w:szCs w:val="28"/>
        </w:rPr>
      </w:pPr>
    </w:p>
    <w:p w14:paraId="33002B4B">
      <w:pPr>
        <w:adjustRightInd w:val="0"/>
        <w:snapToGrid w:val="0"/>
        <w:spacing w:line="360" w:lineRule="auto"/>
        <w:ind w:firstLine="562" w:firstLineChars="200"/>
        <w:rPr>
          <w:rFonts w:hint="eastAsia" w:ascii="仿宋_GB2312" w:hAnsi="仿宋_GB2312" w:eastAsia="仿宋_GB2312" w:cs="仿宋_GB2312"/>
          <w:b/>
          <w:sz w:val="28"/>
          <w:szCs w:val="28"/>
        </w:rPr>
      </w:pPr>
    </w:p>
    <w:p w14:paraId="65A83BC1">
      <w:pPr>
        <w:adjustRightInd w:val="0"/>
        <w:snapToGrid w:val="0"/>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 xml:space="preserve">                                 </w:t>
      </w:r>
      <w:r>
        <w:rPr>
          <w:rFonts w:hint="eastAsia" w:asciiTheme="minorEastAsia" w:hAnsiTheme="minorEastAsia" w:eastAsiaTheme="minorEastAsia" w:cstheme="minorEastAsia"/>
          <w:b/>
          <w:sz w:val="24"/>
          <w:szCs w:val="24"/>
        </w:rPr>
        <w:t>江苏宁沪高速公路股份有限公司董事会</w:t>
      </w:r>
    </w:p>
    <w:p w14:paraId="69C0957E">
      <w:pPr>
        <w:adjustRightInd w:val="0"/>
        <w:snapToGrid w:val="0"/>
        <w:spacing w:line="360" w:lineRule="auto"/>
        <w:jc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val="en-US" w:eastAsia="zh-CN"/>
        </w:rPr>
        <w:t xml:space="preserve">                                   </w:t>
      </w:r>
      <w:r>
        <w:rPr>
          <w:rFonts w:hint="eastAsia" w:asciiTheme="minorEastAsia" w:hAnsiTheme="minorEastAsia" w:eastAsiaTheme="minorEastAsia" w:cstheme="minorEastAsia"/>
          <w:b/>
          <w:sz w:val="24"/>
          <w:szCs w:val="24"/>
        </w:rPr>
        <w:t>二〇二</w:t>
      </w:r>
      <w:r>
        <w:rPr>
          <w:rFonts w:hint="eastAsia" w:asciiTheme="minorEastAsia" w:hAnsiTheme="minorEastAsia" w:eastAsiaTheme="minorEastAsia" w:cstheme="minorEastAsia"/>
          <w:b/>
          <w:sz w:val="24"/>
          <w:szCs w:val="24"/>
          <w:lang w:val="en-US" w:eastAsia="zh-CN"/>
        </w:rPr>
        <w:t>五</w:t>
      </w:r>
      <w:r>
        <w:rPr>
          <w:rFonts w:hint="eastAsia" w:asciiTheme="minorEastAsia" w:hAnsiTheme="minorEastAsia" w:eastAsiaTheme="minorEastAsia" w:cstheme="minorEastAsia"/>
          <w:b/>
          <w:sz w:val="24"/>
          <w:szCs w:val="24"/>
        </w:rPr>
        <w:t>年</w:t>
      </w:r>
      <w:r>
        <w:rPr>
          <w:rFonts w:hint="eastAsia" w:asciiTheme="minorEastAsia" w:hAnsiTheme="minorEastAsia" w:eastAsiaTheme="minorEastAsia" w:cstheme="minorEastAsia"/>
          <w:b/>
          <w:sz w:val="24"/>
          <w:szCs w:val="24"/>
          <w:lang w:val="en-US" w:eastAsia="zh-CN"/>
        </w:rPr>
        <w:t>十二</w:t>
      </w:r>
      <w:r>
        <w:rPr>
          <w:rFonts w:hint="eastAsia" w:asciiTheme="minorEastAsia" w:hAnsiTheme="minorEastAsia" w:eastAsiaTheme="minorEastAsia" w:cstheme="minorEastAsia"/>
          <w:b/>
          <w:sz w:val="24"/>
          <w:szCs w:val="24"/>
        </w:rPr>
        <w:t>月十</w:t>
      </w:r>
      <w:r>
        <w:rPr>
          <w:rFonts w:hint="eastAsia" w:asciiTheme="minorEastAsia" w:hAnsiTheme="minorEastAsia" w:eastAsiaTheme="minorEastAsia" w:cstheme="minorEastAsia"/>
          <w:b/>
          <w:sz w:val="24"/>
          <w:szCs w:val="24"/>
          <w:lang w:val="en-US" w:eastAsia="zh-CN"/>
        </w:rPr>
        <w:t>一</w:t>
      </w:r>
      <w:r>
        <w:rPr>
          <w:rFonts w:hint="eastAsia" w:asciiTheme="minorEastAsia" w:hAnsiTheme="minorEastAsia" w:eastAsiaTheme="minorEastAsia" w:cstheme="minorEastAsia"/>
          <w:b/>
          <w:sz w:val="24"/>
          <w:szCs w:val="24"/>
        </w:rPr>
        <w:t>日</w:t>
      </w:r>
    </w:p>
    <w:sectPr>
      <w:footerReference r:id="rId3" w:type="default"/>
      <w:pgSz w:w="11906" w:h="16838"/>
      <w:pgMar w:top="1474" w:right="1587"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06C87">
    <w:pPr>
      <w:pStyle w:val="6"/>
      <w:jc w:val="center"/>
    </w:pPr>
    <w:r>
      <w:fldChar w:fldCharType="begin"/>
    </w:r>
    <w:r>
      <w:instrText xml:space="preserve">PAGE   \* MERGEFORMAT</w:instrText>
    </w:r>
    <w:r>
      <w:fldChar w:fldCharType="separate"/>
    </w:r>
    <w:r>
      <w:rPr>
        <w:lang w:val="zh-CN"/>
      </w:rPr>
      <w:t>6</w:t>
    </w:r>
    <w:r>
      <w:fldChar w:fldCharType="end"/>
    </w:r>
  </w:p>
  <w:p w14:paraId="5726831F">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01E02D"/>
    <w:multiLevelType w:val="singleLevel"/>
    <w:tmpl w:val="ED01E02D"/>
    <w:lvl w:ilvl="0" w:tentative="0">
      <w:start w:val="2"/>
      <w:numFmt w:val="decimal"/>
      <w:lvlText w:val="%1."/>
      <w:lvlJc w:val="left"/>
      <w:pPr>
        <w:tabs>
          <w:tab w:val="left" w:pos="312"/>
        </w:tabs>
      </w:pPr>
    </w:lvl>
  </w:abstractNum>
  <w:abstractNum w:abstractNumId="1">
    <w:nsid w:val="00000007"/>
    <w:multiLevelType w:val="multilevel"/>
    <w:tmpl w:val="00000007"/>
    <w:lvl w:ilvl="0" w:tentative="0">
      <w:start w:val="1"/>
      <w:numFmt w:val="chineseCountingThousand"/>
      <w:pStyle w:val="2"/>
      <w:lvlText w:val="第%1条"/>
      <w:lvlJc w:val="left"/>
      <w:pPr>
        <w:tabs>
          <w:tab w:val="left" w:pos="2382"/>
        </w:tabs>
        <w:ind w:left="2382" w:hanging="680"/>
      </w:pPr>
      <w:rPr>
        <w:rFonts w:hint="eastAsia" w:ascii="宋体" w:hAnsi="Times New Roman" w:eastAsia="宋体" w:cs="Times New Roman"/>
        <w:b/>
        <w:i w:val="0"/>
        <w:sz w:val="24"/>
        <w:szCs w:val="24"/>
        <w:lang w:val="en-US"/>
      </w:rPr>
    </w:lvl>
    <w:lvl w:ilvl="1" w:tentative="0">
      <w:start w:val="1"/>
      <w:numFmt w:val="decimal"/>
      <w:pStyle w:val="3"/>
      <w:isLgl/>
      <w:lvlText w:val="%1.%2"/>
      <w:lvlJc w:val="left"/>
      <w:pPr>
        <w:tabs>
          <w:tab w:val="left" w:pos="-4630"/>
        </w:tabs>
        <w:ind w:left="-4630" w:hanging="510"/>
      </w:pPr>
      <w:rPr>
        <w:rFonts w:hint="default" w:ascii="Times New Roman" w:hAnsi="Times New Roman" w:eastAsia="宋体" w:cs="Times New Roman"/>
        <w:b/>
        <w:i w:val="0"/>
        <w:sz w:val="24"/>
        <w:szCs w:val="21"/>
      </w:rPr>
    </w:lvl>
    <w:lvl w:ilvl="2" w:tentative="0">
      <w:start w:val="1"/>
      <w:numFmt w:val="decimal"/>
      <w:pStyle w:val="27"/>
      <w:isLgl/>
      <w:lvlText w:val="%1.%2.%3"/>
      <w:lvlJc w:val="left"/>
      <w:pPr>
        <w:tabs>
          <w:tab w:val="left" w:pos="-4280"/>
        </w:tabs>
        <w:ind w:left="-4280" w:hanging="681"/>
      </w:pPr>
      <w:rPr>
        <w:rFonts w:hint="default" w:ascii="Times New Roman" w:hAnsi="Times New Roman" w:eastAsia="宋体" w:cs="Times New Roman"/>
        <w:b w:val="0"/>
        <w:i w:val="0"/>
        <w:sz w:val="24"/>
        <w:szCs w:val="21"/>
      </w:rPr>
    </w:lvl>
    <w:lvl w:ilvl="3" w:tentative="0">
      <w:start w:val="1"/>
      <w:numFmt w:val="decimal"/>
      <w:pStyle w:val="25"/>
      <w:lvlText w:val="（%4）"/>
      <w:lvlJc w:val="left"/>
      <w:pPr>
        <w:tabs>
          <w:tab w:val="left" w:pos="1531"/>
        </w:tabs>
        <w:ind w:left="1531" w:hanging="680"/>
      </w:pPr>
      <w:rPr>
        <w:rFonts w:hint="default" w:ascii="Times New Roman" w:hAnsi="Times New Roman" w:cs="Times New Roman"/>
        <w:b w:val="0"/>
        <w:i w:val="0"/>
        <w:sz w:val="24"/>
        <w:szCs w:val="21"/>
        <w:lang w:val="en-US"/>
      </w:rPr>
    </w:lvl>
    <w:lvl w:ilvl="4" w:tentative="0">
      <w:start w:val="1"/>
      <w:numFmt w:val="lowerLetter"/>
      <w:pStyle w:val="23"/>
      <w:lvlText w:val="(%5)"/>
      <w:lvlJc w:val="left"/>
      <w:pPr>
        <w:tabs>
          <w:tab w:val="left" w:pos="-2637"/>
        </w:tabs>
        <w:ind w:left="-2637" w:hanging="567"/>
      </w:pPr>
      <w:rPr>
        <w:rFonts w:hint="default" w:ascii="Times New Roman" w:hAnsi="Times New Roman" w:cs="Times New Roman"/>
        <w:sz w:val="24"/>
        <w:szCs w:val="24"/>
      </w:rPr>
    </w:lvl>
    <w:lvl w:ilvl="5" w:tentative="0">
      <w:start w:val="1"/>
      <w:numFmt w:val="upperRoman"/>
      <w:pStyle w:val="26"/>
      <w:lvlText w:val="(%6)"/>
      <w:lvlJc w:val="left"/>
      <w:pPr>
        <w:tabs>
          <w:tab w:val="left" w:pos="-1956"/>
        </w:tabs>
        <w:ind w:left="-1956" w:hanging="681"/>
      </w:pPr>
      <w:rPr>
        <w:rFonts w:hint="eastAsia" w:cs="Times New Roman"/>
        <w:sz w:val="21"/>
        <w:szCs w:val="21"/>
      </w:rPr>
    </w:lvl>
    <w:lvl w:ilvl="6" w:tentative="0">
      <w:start w:val="1"/>
      <w:numFmt w:val="none"/>
      <w:lvlText w:val=""/>
      <w:lvlJc w:val="left"/>
      <w:pPr>
        <w:tabs>
          <w:tab w:val="left" w:pos="-2005"/>
        </w:tabs>
        <w:ind w:left="-2005" w:hanging="1080"/>
      </w:pPr>
      <w:rPr>
        <w:rFonts w:hint="eastAsia" w:cs="Times New Roman"/>
      </w:rPr>
    </w:lvl>
    <w:lvl w:ilvl="7" w:tentative="0">
      <w:start w:val="1"/>
      <w:numFmt w:val="none"/>
      <w:lvlText w:val=""/>
      <w:lvlJc w:val="left"/>
      <w:pPr>
        <w:tabs>
          <w:tab w:val="left" w:pos="-1501"/>
        </w:tabs>
        <w:ind w:left="-1501" w:hanging="1224"/>
      </w:pPr>
      <w:rPr>
        <w:rFonts w:hint="eastAsia" w:cs="Times New Roman"/>
      </w:rPr>
    </w:lvl>
    <w:lvl w:ilvl="8" w:tentative="0">
      <w:start w:val="1"/>
      <w:numFmt w:val="none"/>
      <w:lvlText w:val=""/>
      <w:lvlJc w:val="left"/>
      <w:pPr>
        <w:tabs>
          <w:tab w:val="left" w:pos="-925"/>
        </w:tabs>
        <w:ind w:left="-925" w:hanging="1440"/>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OTZhZTVlY2FhMGQxMDExYmI4NWQ3OWJhMmNkMTJlNz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607DE7"/>
    <w:rsid w:val="00000127"/>
    <w:rsid w:val="00000EA0"/>
    <w:rsid w:val="0001008F"/>
    <w:rsid w:val="00016D3F"/>
    <w:rsid w:val="000170F2"/>
    <w:rsid w:val="00020DBA"/>
    <w:rsid w:val="00023C1C"/>
    <w:rsid w:val="000249C7"/>
    <w:rsid w:val="00030A99"/>
    <w:rsid w:val="00031E67"/>
    <w:rsid w:val="00032FA6"/>
    <w:rsid w:val="00034B41"/>
    <w:rsid w:val="000442E3"/>
    <w:rsid w:val="000470DA"/>
    <w:rsid w:val="00052CC2"/>
    <w:rsid w:val="00054409"/>
    <w:rsid w:val="00055CB3"/>
    <w:rsid w:val="00056230"/>
    <w:rsid w:val="00063DA9"/>
    <w:rsid w:val="00064C93"/>
    <w:rsid w:val="00064D49"/>
    <w:rsid w:val="00065C50"/>
    <w:rsid w:val="0006709F"/>
    <w:rsid w:val="00074251"/>
    <w:rsid w:val="00076B9D"/>
    <w:rsid w:val="00077415"/>
    <w:rsid w:val="00080ABC"/>
    <w:rsid w:val="0008324B"/>
    <w:rsid w:val="00083775"/>
    <w:rsid w:val="000838A3"/>
    <w:rsid w:val="00092163"/>
    <w:rsid w:val="00095BE2"/>
    <w:rsid w:val="000960E3"/>
    <w:rsid w:val="0009677E"/>
    <w:rsid w:val="000975C1"/>
    <w:rsid w:val="000A52A0"/>
    <w:rsid w:val="000A535D"/>
    <w:rsid w:val="000A54ED"/>
    <w:rsid w:val="000B00FB"/>
    <w:rsid w:val="000B2A0B"/>
    <w:rsid w:val="000C0AA6"/>
    <w:rsid w:val="000C2E0B"/>
    <w:rsid w:val="000C3E19"/>
    <w:rsid w:val="000E0FA1"/>
    <w:rsid w:val="000E128A"/>
    <w:rsid w:val="000E164E"/>
    <w:rsid w:val="000F127B"/>
    <w:rsid w:val="000F148A"/>
    <w:rsid w:val="000F3E3C"/>
    <w:rsid w:val="000F6274"/>
    <w:rsid w:val="000F72DD"/>
    <w:rsid w:val="00101BD2"/>
    <w:rsid w:val="00101F5D"/>
    <w:rsid w:val="00104B65"/>
    <w:rsid w:val="00112658"/>
    <w:rsid w:val="001126C2"/>
    <w:rsid w:val="00115D9C"/>
    <w:rsid w:val="001165F3"/>
    <w:rsid w:val="00123ACC"/>
    <w:rsid w:val="001253DF"/>
    <w:rsid w:val="00130B2C"/>
    <w:rsid w:val="00132A49"/>
    <w:rsid w:val="0014124E"/>
    <w:rsid w:val="00142839"/>
    <w:rsid w:val="00144156"/>
    <w:rsid w:val="0015115B"/>
    <w:rsid w:val="001543C8"/>
    <w:rsid w:val="001571F8"/>
    <w:rsid w:val="001603F0"/>
    <w:rsid w:val="00162D30"/>
    <w:rsid w:val="001637DD"/>
    <w:rsid w:val="00170131"/>
    <w:rsid w:val="0017371F"/>
    <w:rsid w:val="0018028A"/>
    <w:rsid w:val="00185B46"/>
    <w:rsid w:val="001866EE"/>
    <w:rsid w:val="001905DB"/>
    <w:rsid w:val="00193672"/>
    <w:rsid w:val="00193921"/>
    <w:rsid w:val="00193A14"/>
    <w:rsid w:val="00193FDA"/>
    <w:rsid w:val="00195574"/>
    <w:rsid w:val="00195E90"/>
    <w:rsid w:val="0019759C"/>
    <w:rsid w:val="001A289F"/>
    <w:rsid w:val="001A30CB"/>
    <w:rsid w:val="001A5FA9"/>
    <w:rsid w:val="001A7359"/>
    <w:rsid w:val="001B0802"/>
    <w:rsid w:val="001B0F25"/>
    <w:rsid w:val="001B2FA3"/>
    <w:rsid w:val="001B3DBA"/>
    <w:rsid w:val="001C369D"/>
    <w:rsid w:val="001C4905"/>
    <w:rsid w:val="001C588E"/>
    <w:rsid w:val="001D5824"/>
    <w:rsid w:val="001E0884"/>
    <w:rsid w:val="001E2350"/>
    <w:rsid w:val="001F72FA"/>
    <w:rsid w:val="002002A0"/>
    <w:rsid w:val="002043E3"/>
    <w:rsid w:val="00217FFE"/>
    <w:rsid w:val="0022114D"/>
    <w:rsid w:val="00226C36"/>
    <w:rsid w:val="00227DA7"/>
    <w:rsid w:val="002324EF"/>
    <w:rsid w:val="00237671"/>
    <w:rsid w:val="002415BD"/>
    <w:rsid w:val="002420A5"/>
    <w:rsid w:val="00243FF9"/>
    <w:rsid w:val="00250803"/>
    <w:rsid w:val="00253317"/>
    <w:rsid w:val="00254025"/>
    <w:rsid w:val="00261B69"/>
    <w:rsid w:val="00267DA7"/>
    <w:rsid w:val="0027119C"/>
    <w:rsid w:val="00276002"/>
    <w:rsid w:val="00276045"/>
    <w:rsid w:val="00286011"/>
    <w:rsid w:val="00286534"/>
    <w:rsid w:val="00286CDC"/>
    <w:rsid w:val="00287B42"/>
    <w:rsid w:val="00287DDF"/>
    <w:rsid w:val="00294C7D"/>
    <w:rsid w:val="00296286"/>
    <w:rsid w:val="002A0A39"/>
    <w:rsid w:val="002B5C2F"/>
    <w:rsid w:val="002B6FA8"/>
    <w:rsid w:val="002C64DA"/>
    <w:rsid w:val="002C682B"/>
    <w:rsid w:val="002C6B08"/>
    <w:rsid w:val="002D168F"/>
    <w:rsid w:val="002D1D93"/>
    <w:rsid w:val="002D242D"/>
    <w:rsid w:val="002D3AD4"/>
    <w:rsid w:val="002D3BA6"/>
    <w:rsid w:val="002D621B"/>
    <w:rsid w:val="002D7E7C"/>
    <w:rsid w:val="002E0E2E"/>
    <w:rsid w:val="002E1C01"/>
    <w:rsid w:val="002E317A"/>
    <w:rsid w:val="002E5B77"/>
    <w:rsid w:val="002E78ED"/>
    <w:rsid w:val="002F7FD2"/>
    <w:rsid w:val="00301592"/>
    <w:rsid w:val="003022EB"/>
    <w:rsid w:val="003106F2"/>
    <w:rsid w:val="00310C93"/>
    <w:rsid w:val="003122DA"/>
    <w:rsid w:val="0031719C"/>
    <w:rsid w:val="003219DE"/>
    <w:rsid w:val="00321BC3"/>
    <w:rsid w:val="00324445"/>
    <w:rsid w:val="003314AE"/>
    <w:rsid w:val="00331B25"/>
    <w:rsid w:val="00337E6F"/>
    <w:rsid w:val="0034388F"/>
    <w:rsid w:val="00344A37"/>
    <w:rsid w:val="00344CEB"/>
    <w:rsid w:val="0035047D"/>
    <w:rsid w:val="00352798"/>
    <w:rsid w:val="003532D7"/>
    <w:rsid w:val="00362A74"/>
    <w:rsid w:val="003649B9"/>
    <w:rsid w:val="00364D08"/>
    <w:rsid w:val="00370A3D"/>
    <w:rsid w:val="003743B8"/>
    <w:rsid w:val="0037526C"/>
    <w:rsid w:val="00376C8B"/>
    <w:rsid w:val="003938AA"/>
    <w:rsid w:val="00393EC5"/>
    <w:rsid w:val="003961FE"/>
    <w:rsid w:val="003A06E2"/>
    <w:rsid w:val="003A1827"/>
    <w:rsid w:val="003A2325"/>
    <w:rsid w:val="003A6370"/>
    <w:rsid w:val="003A668F"/>
    <w:rsid w:val="003A7114"/>
    <w:rsid w:val="003B2B0B"/>
    <w:rsid w:val="003B61F8"/>
    <w:rsid w:val="003B6F29"/>
    <w:rsid w:val="003C15F8"/>
    <w:rsid w:val="003C3781"/>
    <w:rsid w:val="003C4835"/>
    <w:rsid w:val="003C5A97"/>
    <w:rsid w:val="003D40CC"/>
    <w:rsid w:val="003D6109"/>
    <w:rsid w:val="003E19C4"/>
    <w:rsid w:val="003E288D"/>
    <w:rsid w:val="003F21F0"/>
    <w:rsid w:val="00402B9D"/>
    <w:rsid w:val="00403476"/>
    <w:rsid w:val="00404815"/>
    <w:rsid w:val="0040521A"/>
    <w:rsid w:val="004134BD"/>
    <w:rsid w:val="00414525"/>
    <w:rsid w:val="00414DF1"/>
    <w:rsid w:val="0041604A"/>
    <w:rsid w:val="00420F40"/>
    <w:rsid w:val="00422FC9"/>
    <w:rsid w:val="004257C5"/>
    <w:rsid w:val="00426059"/>
    <w:rsid w:val="0042663A"/>
    <w:rsid w:val="004334BB"/>
    <w:rsid w:val="00433A68"/>
    <w:rsid w:val="004404D8"/>
    <w:rsid w:val="004435BB"/>
    <w:rsid w:val="004533FE"/>
    <w:rsid w:val="00460249"/>
    <w:rsid w:val="00460ABE"/>
    <w:rsid w:val="00461D68"/>
    <w:rsid w:val="0046749F"/>
    <w:rsid w:val="00470266"/>
    <w:rsid w:val="00476514"/>
    <w:rsid w:val="004776D7"/>
    <w:rsid w:val="004815AF"/>
    <w:rsid w:val="004853F0"/>
    <w:rsid w:val="004872ED"/>
    <w:rsid w:val="004914F0"/>
    <w:rsid w:val="00491C32"/>
    <w:rsid w:val="00494272"/>
    <w:rsid w:val="004946C0"/>
    <w:rsid w:val="004958FC"/>
    <w:rsid w:val="00497A52"/>
    <w:rsid w:val="004B29ED"/>
    <w:rsid w:val="004B764A"/>
    <w:rsid w:val="004B78D1"/>
    <w:rsid w:val="004C4DCF"/>
    <w:rsid w:val="004C6625"/>
    <w:rsid w:val="004D0796"/>
    <w:rsid w:val="004D3494"/>
    <w:rsid w:val="004D3B07"/>
    <w:rsid w:val="004D6F3D"/>
    <w:rsid w:val="004E056A"/>
    <w:rsid w:val="004E2290"/>
    <w:rsid w:val="004E22E9"/>
    <w:rsid w:val="004E3071"/>
    <w:rsid w:val="004E386E"/>
    <w:rsid w:val="004E5272"/>
    <w:rsid w:val="004E59E2"/>
    <w:rsid w:val="004F0BAC"/>
    <w:rsid w:val="004F164D"/>
    <w:rsid w:val="004F29FD"/>
    <w:rsid w:val="004F30E3"/>
    <w:rsid w:val="00501F46"/>
    <w:rsid w:val="005035B2"/>
    <w:rsid w:val="00503C8C"/>
    <w:rsid w:val="00504487"/>
    <w:rsid w:val="00505F1A"/>
    <w:rsid w:val="005067D1"/>
    <w:rsid w:val="00506EEE"/>
    <w:rsid w:val="0050731F"/>
    <w:rsid w:val="00507A12"/>
    <w:rsid w:val="00510661"/>
    <w:rsid w:val="00512596"/>
    <w:rsid w:val="005149DD"/>
    <w:rsid w:val="00515A3C"/>
    <w:rsid w:val="00516AE2"/>
    <w:rsid w:val="00520F41"/>
    <w:rsid w:val="005226AF"/>
    <w:rsid w:val="00525BA7"/>
    <w:rsid w:val="005262AE"/>
    <w:rsid w:val="00533355"/>
    <w:rsid w:val="005340E0"/>
    <w:rsid w:val="00536334"/>
    <w:rsid w:val="00551859"/>
    <w:rsid w:val="00554C29"/>
    <w:rsid w:val="0055779C"/>
    <w:rsid w:val="005669E5"/>
    <w:rsid w:val="005702A9"/>
    <w:rsid w:val="0057270E"/>
    <w:rsid w:val="00572ECE"/>
    <w:rsid w:val="0057470B"/>
    <w:rsid w:val="005747D8"/>
    <w:rsid w:val="0057633E"/>
    <w:rsid w:val="00576855"/>
    <w:rsid w:val="00581C8E"/>
    <w:rsid w:val="005847B2"/>
    <w:rsid w:val="00591B90"/>
    <w:rsid w:val="0059515E"/>
    <w:rsid w:val="005B6378"/>
    <w:rsid w:val="005C0728"/>
    <w:rsid w:val="005C0AAA"/>
    <w:rsid w:val="005C2F46"/>
    <w:rsid w:val="005C3137"/>
    <w:rsid w:val="005C43B7"/>
    <w:rsid w:val="005C4D8E"/>
    <w:rsid w:val="005C5E4D"/>
    <w:rsid w:val="005C682B"/>
    <w:rsid w:val="005D080F"/>
    <w:rsid w:val="005D3A2E"/>
    <w:rsid w:val="005D4E55"/>
    <w:rsid w:val="005D4E92"/>
    <w:rsid w:val="005E3E21"/>
    <w:rsid w:val="005E4270"/>
    <w:rsid w:val="005F0337"/>
    <w:rsid w:val="005F1C2C"/>
    <w:rsid w:val="005F305C"/>
    <w:rsid w:val="00604F98"/>
    <w:rsid w:val="00610C75"/>
    <w:rsid w:val="006128F2"/>
    <w:rsid w:val="0062005F"/>
    <w:rsid w:val="006205BF"/>
    <w:rsid w:val="00622CBA"/>
    <w:rsid w:val="00624E83"/>
    <w:rsid w:val="00626313"/>
    <w:rsid w:val="00626D50"/>
    <w:rsid w:val="00631844"/>
    <w:rsid w:val="00634691"/>
    <w:rsid w:val="006375D9"/>
    <w:rsid w:val="00637FA7"/>
    <w:rsid w:val="00642539"/>
    <w:rsid w:val="00643C66"/>
    <w:rsid w:val="00651807"/>
    <w:rsid w:val="00651C37"/>
    <w:rsid w:val="00656B20"/>
    <w:rsid w:val="0066171A"/>
    <w:rsid w:val="00664FE5"/>
    <w:rsid w:val="0067043C"/>
    <w:rsid w:val="00674E47"/>
    <w:rsid w:val="00674EC1"/>
    <w:rsid w:val="00677E2A"/>
    <w:rsid w:val="00691AFB"/>
    <w:rsid w:val="00692AC1"/>
    <w:rsid w:val="00694D24"/>
    <w:rsid w:val="00695611"/>
    <w:rsid w:val="006972B9"/>
    <w:rsid w:val="006A04DA"/>
    <w:rsid w:val="006A1A67"/>
    <w:rsid w:val="006A246C"/>
    <w:rsid w:val="006A3C28"/>
    <w:rsid w:val="006A5146"/>
    <w:rsid w:val="006A5AB4"/>
    <w:rsid w:val="006A5CAA"/>
    <w:rsid w:val="006B1F86"/>
    <w:rsid w:val="006B4AE1"/>
    <w:rsid w:val="006B60A1"/>
    <w:rsid w:val="006B7E8B"/>
    <w:rsid w:val="006C1EA2"/>
    <w:rsid w:val="006C70C9"/>
    <w:rsid w:val="006D5CAB"/>
    <w:rsid w:val="006E1D3F"/>
    <w:rsid w:val="006F1923"/>
    <w:rsid w:val="006F1B72"/>
    <w:rsid w:val="006F2A0E"/>
    <w:rsid w:val="006F5423"/>
    <w:rsid w:val="00700C68"/>
    <w:rsid w:val="0070206E"/>
    <w:rsid w:val="007040CC"/>
    <w:rsid w:val="00705211"/>
    <w:rsid w:val="00705D62"/>
    <w:rsid w:val="00714721"/>
    <w:rsid w:val="00714BD6"/>
    <w:rsid w:val="007157C5"/>
    <w:rsid w:val="007170C4"/>
    <w:rsid w:val="00721FD2"/>
    <w:rsid w:val="007221E1"/>
    <w:rsid w:val="00723EED"/>
    <w:rsid w:val="00730D43"/>
    <w:rsid w:val="00735195"/>
    <w:rsid w:val="00736D9F"/>
    <w:rsid w:val="00740ACB"/>
    <w:rsid w:val="007420ED"/>
    <w:rsid w:val="00744D69"/>
    <w:rsid w:val="00750B22"/>
    <w:rsid w:val="007572E4"/>
    <w:rsid w:val="007628B6"/>
    <w:rsid w:val="007635F8"/>
    <w:rsid w:val="0076441E"/>
    <w:rsid w:val="00764871"/>
    <w:rsid w:val="00786A37"/>
    <w:rsid w:val="0079136A"/>
    <w:rsid w:val="00797A4D"/>
    <w:rsid w:val="007A3F6A"/>
    <w:rsid w:val="007B1BD9"/>
    <w:rsid w:val="007B2802"/>
    <w:rsid w:val="007B4E13"/>
    <w:rsid w:val="007B6ADD"/>
    <w:rsid w:val="007B77E0"/>
    <w:rsid w:val="007C084D"/>
    <w:rsid w:val="007C46D7"/>
    <w:rsid w:val="007C67EF"/>
    <w:rsid w:val="007C7C9A"/>
    <w:rsid w:val="007D5D10"/>
    <w:rsid w:val="007E19D6"/>
    <w:rsid w:val="007E36A9"/>
    <w:rsid w:val="007E5F0E"/>
    <w:rsid w:val="007E6363"/>
    <w:rsid w:val="007F11DC"/>
    <w:rsid w:val="007F16CA"/>
    <w:rsid w:val="00802BA3"/>
    <w:rsid w:val="008032E7"/>
    <w:rsid w:val="0080333F"/>
    <w:rsid w:val="0081021D"/>
    <w:rsid w:val="0081271F"/>
    <w:rsid w:val="00817BFD"/>
    <w:rsid w:val="00821480"/>
    <w:rsid w:val="00822D55"/>
    <w:rsid w:val="0082595B"/>
    <w:rsid w:val="008326DF"/>
    <w:rsid w:val="00832AA1"/>
    <w:rsid w:val="00836298"/>
    <w:rsid w:val="00846624"/>
    <w:rsid w:val="00850BCF"/>
    <w:rsid w:val="00852CC6"/>
    <w:rsid w:val="00862218"/>
    <w:rsid w:val="00863E69"/>
    <w:rsid w:val="008702D7"/>
    <w:rsid w:val="00870646"/>
    <w:rsid w:val="0087604A"/>
    <w:rsid w:val="00876595"/>
    <w:rsid w:val="00877AE1"/>
    <w:rsid w:val="00880678"/>
    <w:rsid w:val="00883EF1"/>
    <w:rsid w:val="00886A99"/>
    <w:rsid w:val="008946B2"/>
    <w:rsid w:val="00895788"/>
    <w:rsid w:val="0089701E"/>
    <w:rsid w:val="008A1231"/>
    <w:rsid w:val="008A5076"/>
    <w:rsid w:val="008B19D6"/>
    <w:rsid w:val="008B4DCE"/>
    <w:rsid w:val="008C2FDA"/>
    <w:rsid w:val="008C35C7"/>
    <w:rsid w:val="008C43A6"/>
    <w:rsid w:val="008C5079"/>
    <w:rsid w:val="008C51BE"/>
    <w:rsid w:val="008D0125"/>
    <w:rsid w:val="008D1511"/>
    <w:rsid w:val="008D4776"/>
    <w:rsid w:val="008D55C9"/>
    <w:rsid w:val="008D7EDC"/>
    <w:rsid w:val="008E10A5"/>
    <w:rsid w:val="008E63EC"/>
    <w:rsid w:val="008E79D4"/>
    <w:rsid w:val="008F0EA0"/>
    <w:rsid w:val="008F4071"/>
    <w:rsid w:val="0091056F"/>
    <w:rsid w:val="0091266A"/>
    <w:rsid w:val="009134FB"/>
    <w:rsid w:val="009207E2"/>
    <w:rsid w:val="00922483"/>
    <w:rsid w:val="00923898"/>
    <w:rsid w:val="009265CA"/>
    <w:rsid w:val="00941630"/>
    <w:rsid w:val="0094276A"/>
    <w:rsid w:val="00946EDE"/>
    <w:rsid w:val="00951BBB"/>
    <w:rsid w:val="00952785"/>
    <w:rsid w:val="00955B92"/>
    <w:rsid w:val="00956FF7"/>
    <w:rsid w:val="00960615"/>
    <w:rsid w:val="009676E1"/>
    <w:rsid w:val="00967E50"/>
    <w:rsid w:val="00972EC3"/>
    <w:rsid w:val="00973E01"/>
    <w:rsid w:val="00982DE3"/>
    <w:rsid w:val="00982FD0"/>
    <w:rsid w:val="009856DC"/>
    <w:rsid w:val="00985767"/>
    <w:rsid w:val="00991B22"/>
    <w:rsid w:val="00996B74"/>
    <w:rsid w:val="009A1F04"/>
    <w:rsid w:val="009A2FB7"/>
    <w:rsid w:val="009A7E8A"/>
    <w:rsid w:val="009B0FBE"/>
    <w:rsid w:val="009B22B0"/>
    <w:rsid w:val="009B2A5B"/>
    <w:rsid w:val="009B5EF5"/>
    <w:rsid w:val="009C17B3"/>
    <w:rsid w:val="009C70FD"/>
    <w:rsid w:val="009D029E"/>
    <w:rsid w:val="009E1827"/>
    <w:rsid w:val="009E2BD0"/>
    <w:rsid w:val="009E3CA6"/>
    <w:rsid w:val="009E4599"/>
    <w:rsid w:val="009F0A6D"/>
    <w:rsid w:val="009F2706"/>
    <w:rsid w:val="009F2A2F"/>
    <w:rsid w:val="009F5200"/>
    <w:rsid w:val="009F6A90"/>
    <w:rsid w:val="009F7FAB"/>
    <w:rsid w:val="00A001D1"/>
    <w:rsid w:val="00A007A7"/>
    <w:rsid w:val="00A149DE"/>
    <w:rsid w:val="00A16C68"/>
    <w:rsid w:val="00A21924"/>
    <w:rsid w:val="00A228F9"/>
    <w:rsid w:val="00A249C4"/>
    <w:rsid w:val="00A323D8"/>
    <w:rsid w:val="00A32EBC"/>
    <w:rsid w:val="00A349AB"/>
    <w:rsid w:val="00A353A0"/>
    <w:rsid w:val="00A353AF"/>
    <w:rsid w:val="00A37265"/>
    <w:rsid w:val="00A44386"/>
    <w:rsid w:val="00A5135F"/>
    <w:rsid w:val="00A51E9D"/>
    <w:rsid w:val="00A60A5E"/>
    <w:rsid w:val="00A62D50"/>
    <w:rsid w:val="00A649A4"/>
    <w:rsid w:val="00A707FD"/>
    <w:rsid w:val="00A7398A"/>
    <w:rsid w:val="00A81202"/>
    <w:rsid w:val="00A90FEC"/>
    <w:rsid w:val="00AA2D83"/>
    <w:rsid w:val="00AA7516"/>
    <w:rsid w:val="00AB1343"/>
    <w:rsid w:val="00AB7B31"/>
    <w:rsid w:val="00AC495A"/>
    <w:rsid w:val="00AC71A5"/>
    <w:rsid w:val="00AD352B"/>
    <w:rsid w:val="00AD466D"/>
    <w:rsid w:val="00AD49DF"/>
    <w:rsid w:val="00AD4BA7"/>
    <w:rsid w:val="00AE06F6"/>
    <w:rsid w:val="00AE66B7"/>
    <w:rsid w:val="00AE781C"/>
    <w:rsid w:val="00AF305C"/>
    <w:rsid w:val="00AF5374"/>
    <w:rsid w:val="00AF5559"/>
    <w:rsid w:val="00AF7750"/>
    <w:rsid w:val="00B01AD1"/>
    <w:rsid w:val="00B02DDA"/>
    <w:rsid w:val="00B037E1"/>
    <w:rsid w:val="00B040BD"/>
    <w:rsid w:val="00B05EF4"/>
    <w:rsid w:val="00B05F77"/>
    <w:rsid w:val="00B11F59"/>
    <w:rsid w:val="00B15410"/>
    <w:rsid w:val="00B3563E"/>
    <w:rsid w:val="00B379E9"/>
    <w:rsid w:val="00B40750"/>
    <w:rsid w:val="00B41AE2"/>
    <w:rsid w:val="00B45227"/>
    <w:rsid w:val="00B472DB"/>
    <w:rsid w:val="00B53658"/>
    <w:rsid w:val="00B618C5"/>
    <w:rsid w:val="00B64316"/>
    <w:rsid w:val="00B64F9E"/>
    <w:rsid w:val="00B667C7"/>
    <w:rsid w:val="00B67951"/>
    <w:rsid w:val="00B72B9A"/>
    <w:rsid w:val="00B76228"/>
    <w:rsid w:val="00B76826"/>
    <w:rsid w:val="00B824D2"/>
    <w:rsid w:val="00B9017B"/>
    <w:rsid w:val="00B92FC0"/>
    <w:rsid w:val="00B95395"/>
    <w:rsid w:val="00B96EBB"/>
    <w:rsid w:val="00B97076"/>
    <w:rsid w:val="00BA368D"/>
    <w:rsid w:val="00BA441D"/>
    <w:rsid w:val="00BA5829"/>
    <w:rsid w:val="00BB0603"/>
    <w:rsid w:val="00BB6146"/>
    <w:rsid w:val="00BB6C9B"/>
    <w:rsid w:val="00BB7CA4"/>
    <w:rsid w:val="00BC2046"/>
    <w:rsid w:val="00BC665A"/>
    <w:rsid w:val="00BD27D6"/>
    <w:rsid w:val="00BD5303"/>
    <w:rsid w:val="00BD5F0A"/>
    <w:rsid w:val="00BE49C4"/>
    <w:rsid w:val="00BF53D7"/>
    <w:rsid w:val="00BF5C8C"/>
    <w:rsid w:val="00BF6D17"/>
    <w:rsid w:val="00C00D42"/>
    <w:rsid w:val="00C04037"/>
    <w:rsid w:val="00C131E3"/>
    <w:rsid w:val="00C16F00"/>
    <w:rsid w:val="00C17505"/>
    <w:rsid w:val="00C176EB"/>
    <w:rsid w:val="00C22B59"/>
    <w:rsid w:val="00C33CD5"/>
    <w:rsid w:val="00C37509"/>
    <w:rsid w:val="00C400AD"/>
    <w:rsid w:val="00C4251A"/>
    <w:rsid w:val="00C554F8"/>
    <w:rsid w:val="00C56F7A"/>
    <w:rsid w:val="00C572B5"/>
    <w:rsid w:val="00C63D73"/>
    <w:rsid w:val="00C65A4F"/>
    <w:rsid w:val="00C66454"/>
    <w:rsid w:val="00C77544"/>
    <w:rsid w:val="00C77CA1"/>
    <w:rsid w:val="00C82762"/>
    <w:rsid w:val="00C82A9A"/>
    <w:rsid w:val="00C8429C"/>
    <w:rsid w:val="00C842BA"/>
    <w:rsid w:val="00C873F8"/>
    <w:rsid w:val="00C8773A"/>
    <w:rsid w:val="00C90F4B"/>
    <w:rsid w:val="00C94577"/>
    <w:rsid w:val="00CA12B5"/>
    <w:rsid w:val="00CA4424"/>
    <w:rsid w:val="00CA4756"/>
    <w:rsid w:val="00CA621A"/>
    <w:rsid w:val="00CA6299"/>
    <w:rsid w:val="00CA6917"/>
    <w:rsid w:val="00CB087E"/>
    <w:rsid w:val="00CB0A4F"/>
    <w:rsid w:val="00CC0EE2"/>
    <w:rsid w:val="00CC5023"/>
    <w:rsid w:val="00CC7162"/>
    <w:rsid w:val="00CD669D"/>
    <w:rsid w:val="00CE6382"/>
    <w:rsid w:val="00CF0FEB"/>
    <w:rsid w:val="00D01069"/>
    <w:rsid w:val="00D01331"/>
    <w:rsid w:val="00D065CC"/>
    <w:rsid w:val="00D154A1"/>
    <w:rsid w:val="00D2066B"/>
    <w:rsid w:val="00D2152D"/>
    <w:rsid w:val="00D244B3"/>
    <w:rsid w:val="00D25266"/>
    <w:rsid w:val="00D3212B"/>
    <w:rsid w:val="00D32796"/>
    <w:rsid w:val="00D35D5C"/>
    <w:rsid w:val="00D36DCF"/>
    <w:rsid w:val="00D422F8"/>
    <w:rsid w:val="00D4581D"/>
    <w:rsid w:val="00D5158E"/>
    <w:rsid w:val="00D62730"/>
    <w:rsid w:val="00D62A6E"/>
    <w:rsid w:val="00D635A9"/>
    <w:rsid w:val="00D64DFC"/>
    <w:rsid w:val="00D71A18"/>
    <w:rsid w:val="00D73CC1"/>
    <w:rsid w:val="00D7762A"/>
    <w:rsid w:val="00D77B8E"/>
    <w:rsid w:val="00D805A0"/>
    <w:rsid w:val="00D86D62"/>
    <w:rsid w:val="00D86FB2"/>
    <w:rsid w:val="00D9639A"/>
    <w:rsid w:val="00DB0B90"/>
    <w:rsid w:val="00DB1A9C"/>
    <w:rsid w:val="00DC036F"/>
    <w:rsid w:val="00DC3E3A"/>
    <w:rsid w:val="00DC40B9"/>
    <w:rsid w:val="00DC58DA"/>
    <w:rsid w:val="00DC687A"/>
    <w:rsid w:val="00DD09D2"/>
    <w:rsid w:val="00DD3C11"/>
    <w:rsid w:val="00DD4EBA"/>
    <w:rsid w:val="00DE13FC"/>
    <w:rsid w:val="00DE3CA6"/>
    <w:rsid w:val="00DE3E67"/>
    <w:rsid w:val="00DE52F2"/>
    <w:rsid w:val="00E07F02"/>
    <w:rsid w:val="00E103C8"/>
    <w:rsid w:val="00E116B2"/>
    <w:rsid w:val="00E1794C"/>
    <w:rsid w:val="00E23529"/>
    <w:rsid w:val="00E36853"/>
    <w:rsid w:val="00E438EE"/>
    <w:rsid w:val="00E47F1C"/>
    <w:rsid w:val="00E6273E"/>
    <w:rsid w:val="00E71DB1"/>
    <w:rsid w:val="00E72DF0"/>
    <w:rsid w:val="00E7666E"/>
    <w:rsid w:val="00E8249F"/>
    <w:rsid w:val="00E84671"/>
    <w:rsid w:val="00E86D0D"/>
    <w:rsid w:val="00E905E4"/>
    <w:rsid w:val="00E95EF3"/>
    <w:rsid w:val="00EA52DC"/>
    <w:rsid w:val="00EA5FA0"/>
    <w:rsid w:val="00EA711F"/>
    <w:rsid w:val="00EA7E16"/>
    <w:rsid w:val="00EA7FEE"/>
    <w:rsid w:val="00EB0F91"/>
    <w:rsid w:val="00EB2245"/>
    <w:rsid w:val="00EB3B50"/>
    <w:rsid w:val="00EB5F2F"/>
    <w:rsid w:val="00EC1018"/>
    <w:rsid w:val="00EC162C"/>
    <w:rsid w:val="00EC4B4C"/>
    <w:rsid w:val="00EC6709"/>
    <w:rsid w:val="00EC70CA"/>
    <w:rsid w:val="00ED00D0"/>
    <w:rsid w:val="00ED4971"/>
    <w:rsid w:val="00EE2A01"/>
    <w:rsid w:val="00EF1325"/>
    <w:rsid w:val="00EF2748"/>
    <w:rsid w:val="00EF2A31"/>
    <w:rsid w:val="00EF38C3"/>
    <w:rsid w:val="00EF3BF8"/>
    <w:rsid w:val="00EF432F"/>
    <w:rsid w:val="00F01B3B"/>
    <w:rsid w:val="00F01F96"/>
    <w:rsid w:val="00F0223C"/>
    <w:rsid w:val="00F04348"/>
    <w:rsid w:val="00F124F8"/>
    <w:rsid w:val="00F15E02"/>
    <w:rsid w:val="00F21310"/>
    <w:rsid w:val="00F213A3"/>
    <w:rsid w:val="00F257E7"/>
    <w:rsid w:val="00F3604B"/>
    <w:rsid w:val="00F427D6"/>
    <w:rsid w:val="00F44066"/>
    <w:rsid w:val="00F50087"/>
    <w:rsid w:val="00F52AE6"/>
    <w:rsid w:val="00F53D8E"/>
    <w:rsid w:val="00F559EB"/>
    <w:rsid w:val="00F56332"/>
    <w:rsid w:val="00F5637D"/>
    <w:rsid w:val="00F5644B"/>
    <w:rsid w:val="00F615FF"/>
    <w:rsid w:val="00F61613"/>
    <w:rsid w:val="00F752FE"/>
    <w:rsid w:val="00F76CFE"/>
    <w:rsid w:val="00F774F6"/>
    <w:rsid w:val="00F7775D"/>
    <w:rsid w:val="00F77835"/>
    <w:rsid w:val="00F8178E"/>
    <w:rsid w:val="00F8519F"/>
    <w:rsid w:val="00F86614"/>
    <w:rsid w:val="00F8672B"/>
    <w:rsid w:val="00F87663"/>
    <w:rsid w:val="00F90E9C"/>
    <w:rsid w:val="00F924F2"/>
    <w:rsid w:val="00F9767D"/>
    <w:rsid w:val="00FA2040"/>
    <w:rsid w:val="00FA3899"/>
    <w:rsid w:val="00FA77A2"/>
    <w:rsid w:val="00FB5714"/>
    <w:rsid w:val="00FC1CC2"/>
    <w:rsid w:val="00FD1289"/>
    <w:rsid w:val="00FD330C"/>
    <w:rsid w:val="00FE053A"/>
    <w:rsid w:val="00FF12D6"/>
    <w:rsid w:val="00FF1C86"/>
    <w:rsid w:val="00FF242F"/>
    <w:rsid w:val="00FF3152"/>
    <w:rsid w:val="00FF4FD1"/>
    <w:rsid w:val="00FF52AD"/>
    <w:rsid w:val="00FF6616"/>
    <w:rsid w:val="02D209DC"/>
    <w:rsid w:val="03741A3D"/>
    <w:rsid w:val="04562780"/>
    <w:rsid w:val="04631706"/>
    <w:rsid w:val="05AD3CE1"/>
    <w:rsid w:val="075D6AFD"/>
    <w:rsid w:val="080B4FD5"/>
    <w:rsid w:val="095A5B83"/>
    <w:rsid w:val="0B3A7A6C"/>
    <w:rsid w:val="0F2E49C5"/>
    <w:rsid w:val="0F9D4CFB"/>
    <w:rsid w:val="0FEC783A"/>
    <w:rsid w:val="125766CC"/>
    <w:rsid w:val="13793834"/>
    <w:rsid w:val="15592B10"/>
    <w:rsid w:val="157F1F37"/>
    <w:rsid w:val="15F83458"/>
    <w:rsid w:val="16195A82"/>
    <w:rsid w:val="16E12448"/>
    <w:rsid w:val="19406976"/>
    <w:rsid w:val="1A5D4114"/>
    <w:rsid w:val="1C013A52"/>
    <w:rsid w:val="1CDF0CCA"/>
    <w:rsid w:val="1DCD2363"/>
    <w:rsid w:val="20DF0A03"/>
    <w:rsid w:val="21332BF6"/>
    <w:rsid w:val="21F2776F"/>
    <w:rsid w:val="22E446C7"/>
    <w:rsid w:val="230C7A96"/>
    <w:rsid w:val="234B5ED9"/>
    <w:rsid w:val="257A2859"/>
    <w:rsid w:val="265103ED"/>
    <w:rsid w:val="274842BA"/>
    <w:rsid w:val="281F01DF"/>
    <w:rsid w:val="28571E8D"/>
    <w:rsid w:val="28AD571A"/>
    <w:rsid w:val="28F20611"/>
    <w:rsid w:val="29AC1B23"/>
    <w:rsid w:val="2A946CEF"/>
    <w:rsid w:val="2BBB4338"/>
    <w:rsid w:val="2C073710"/>
    <w:rsid w:val="2C8528BC"/>
    <w:rsid w:val="2CB6537C"/>
    <w:rsid w:val="2CC7008D"/>
    <w:rsid w:val="2CDC6D1B"/>
    <w:rsid w:val="304308BD"/>
    <w:rsid w:val="30AB4D93"/>
    <w:rsid w:val="3297715F"/>
    <w:rsid w:val="33087CA9"/>
    <w:rsid w:val="343C3F54"/>
    <w:rsid w:val="34480B4A"/>
    <w:rsid w:val="347A2C24"/>
    <w:rsid w:val="348F6792"/>
    <w:rsid w:val="3619454C"/>
    <w:rsid w:val="36A91754"/>
    <w:rsid w:val="3799783F"/>
    <w:rsid w:val="398366E0"/>
    <w:rsid w:val="3A74333E"/>
    <w:rsid w:val="3BE260E3"/>
    <w:rsid w:val="3C025D08"/>
    <w:rsid w:val="3D4346CC"/>
    <w:rsid w:val="3D6E487F"/>
    <w:rsid w:val="3E544BE2"/>
    <w:rsid w:val="3F165ACD"/>
    <w:rsid w:val="3F6533D5"/>
    <w:rsid w:val="3F982986"/>
    <w:rsid w:val="41A15875"/>
    <w:rsid w:val="45E15906"/>
    <w:rsid w:val="45E20EF9"/>
    <w:rsid w:val="46CB54C4"/>
    <w:rsid w:val="48BB76E5"/>
    <w:rsid w:val="49276B29"/>
    <w:rsid w:val="49702AA4"/>
    <w:rsid w:val="49EA3137"/>
    <w:rsid w:val="4B142CE4"/>
    <w:rsid w:val="4C0D555E"/>
    <w:rsid w:val="4D211B26"/>
    <w:rsid w:val="4E395334"/>
    <w:rsid w:val="4E805766"/>
    <w:rsid w:val="4F17300F"/>
    <w:rsid w:val="51F325DF"/>
    <w:rsid w:val="51FD0607"/>
    <w:rsid w:val="52037324"/>
    <w:rsid w:val="52350359"/>
    <w:rsid w:val="52C2463C"/>
    <w:rsid w:val="53BF633F"/>
    <w:rsid w:val="560B2A2F"/>
    <w:rsid w:val="567A2A17"/>
    <w:rsid w:val="56D56DB3"/>
    <w:rsid w:val="56FC70DF"/>
    <w:rsid w:val="57F97284"/>
    <w:rsid w:val="58861E93"/>
    <w:rsid w:val="58DA139F"/>
    <w:rsid w:val="59584C3B"/>
    <w:rsid w:val="597D0703"/>
    <w:rsid w:val="59E71D76"/>
    <w:rsid w:val="5ABE3C84"/>
    <w:rsid w:val="5B9451A8"/>
    <w:rsid w:val="5C5D3A96"/>
    <w:rsid w:val="5CE2128D"/>
    <w:rsid w:val="5EFA0B0F"/>
    <w:rsid w:val="5F127CC7"/>
    <w:rsid w:val="5F57491C"/>
    <w:rsid w:val="5F6B3C30"/>
    <w:rsid w:val="60DC27CF"/>
    <w:rsid w:val="60FD022D"/>
    <w:rsid w:val="61250330"/>
    <w:rsid w:val="61D25175"/>
    <w:rsid w:val="624F37F6"/>
    <w:rsid w:val="647719E5"/>
    <w:rsid w:val="647B5838"/>
    <w:rsid w:val="65E65A70"/>
    <w:rsid w:val="66333110"/>
    <w:rsid w:val="670C7632"/>
    <w:rsid w:val="68B718A5"/>
    <w:rsid w:val="6BDE1227"/>
    <w:rsid w:val="6C4A69D6"/>
    <w:rsid w:val="6E04380A"/>
    <w:rsid w:val="6FB10D76"/>
    <w:rsid w:val="705D7B19"/>
    <w:rsid w:val="710D5689"/>
    <w:rsid w:val="72E548DA"/>
    <w:rsid w:val="72EB0A43"/>
    <w:rsid w:val="777A5F53"/>
    <w:rsid w:val="77B115F5"/>
    <w:rsid w:val="788C3CC6"/>
    <w:rsid w:val="78E51D8A"/>
    <w:rsid w:val="793F4A83"/>
    <w:rsid w:val="794965F5"/>
    <w:rsid w:val="79713533"/>
    <w:rsid w:val="79820DE8"/>
    <w:rsid w:val="7C2418D3"/>
    <w:rsid w:val="7E5412E9"/>
    <w:rsid w:val="7E5B7A91"/>
    <w:rsid w:val="7E811E9F"/>
    <w:rsid w:val="7EEA0E80"/>
    <w:rsid w:val="7FC56178"/>
    <w:rsid w:val="7FDC1E3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15"/>
    <w:qFormat/>
    <w:uiPriority w:val="0"/>
    <w:pPr>
      <w:keepNext/>
      <w:keepLines/>
      <w:numPr>
        <w:ilvl w:val="0"/>
        <w:numId w:val="1"/>
      </w:numPr>
      <w:spacing w:before="340" w:after="330" w:line="576" w:lineRule="auto"/>
      <w:outlineLvl w:val="0"/>
    </w:pPr>
    <w:rPr>
      <w:b/>
      <w:bCs/>
      <w:kern w:val="44"/>
      <w:sz w:val="44"/>
      <w:szCs w:val="44"/>
    </w:rPr>
  </w:style>
  <w:style w:type="paragraph" w:styleId="3">
    <w:name w:val="heading 2"/>
    <w:basedOn w:val="1"/>
    <w:next w:val="1"/>
    <w:link w:val="16"/>
    <w:qFormat/>
    <w:uiPriority w:val="0"/>
    <w:pPr>
      <w:keepNext/>
      <w:keepLines/>
      <w:numPr>
        <w:ilvl w:val="1"/>
        <w:numId w:val="1"/>
      </w:numPr>
      <w:tabs>
        <w:tab w:val="left" w:pos="2382"/>
      </w:tabs>
      <w:spacing w:before="260" w:after="260" w:line="413" w:lineRule="auto"/>
      <w:outlineLvl w:val="1"/>
    </w:pPr>
    <w:rPr>
      <w:rFonts w:ascii="Cambria" w:hAnsi="Cambria"/>
      <w:b/>
      <w:bCs/>
      <w:sz w:val="32"/>
      <w:szCs w:val="32"/>
    </w:rPr>
  </w:style>
  <w:style w:type="character" w:default="1" w:styleId="12">
    <w:name w:val="Default Paragraph Font"/>
    <w:unhideWhenUsed/>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4">
    <w:name w:val="annotation text"/>
    <w:basedOn w:val="1"/>
    <w:link w:val="17"/>
    <w:unhideWhenUsed/>
    <w:qFormat/>
    <w:uiPriority w:val="99"/>
    <w:pPr>
      <w:jc w:val="left"/>
    </w:pPr>
  </w:style>
  <w:style w:type="paragraph" w:styleId="5">
    <w:name w:val="Balloon Text"/>
    <w:basedOn w:val="1"/>
    <w:link w:val="18"/>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21"/>
    <w:unhideWhenUsed/>
    <w:qFormat/>
    <w:uiPriority w:val="99"/>
    <w:rPr>
      <w:b/>
      <w:bCs/>
    </w:rPr>
  </w:style>
  <w:style w:type="table" w:styleId="11">
    <w:name w:val="Table Grid"/>
    <w:basedOn w:val="10"/>
    <w:qFormat/>
    <w:uiPriority w:val="39"/>
    <w:pPr>
      <w:widowControl w:val="0"/>
      <w:jc w:val="both"/>
    </w:pPr>
    <w:rPr>
      <w:rFonts w:ascii="Calibri" w:hAnsi="Calibri"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unhideWhenUsed/>
    <w:qFormat/>
    <w:uiPriority w:val="99"/>
    <w:rPr>
      <w:color w:val="0000FF"/>
      <w:u w:val="single"/>
    </w:rPr>
  </w:style>
  <w:style w:type="character" w:styleId="14">
    <w:name w:val="annotation reference"/>
    <w:unhideWhenUsed/>
    <w:qFormat/>
    <w:uiPriority w:val="99"/>
    <w:rPr>
      <w:sz w:val="21"/>
      <w:szCs w:val="21"/>
    </w:rPr>
  </w:style>
  <w:style w:type="character" w:customStyle="1" w:styleId="15">
    <w:name w:val="标题 1 Char"/>
    <w:link w:val="2"/>
    <w:qFormat/>
    <w:uiPriority w:val="0"/>
    <w:rPr>
      <w:b/>
      <w:bCs/>
      <w:kern w:val="44"/>
      <w:sz w:val="44"/>
      <w:szCs w:val="44"/>
    </w:rPr>
  </w:style>
  <w:style w:type="character" w:customStyle="1" w:styleId="16">
    <w:name w:val="标题 2 Char"/>
    <w:link w:val="3"/>
    <w:qFormat/>
    <w:uiPriority w:val="0"/>
    <w:rPr>
      <w:rFonts w:ascii="Cambria" w:hAnsi="Cambria"/>
      <w:b/>
      <w:bCs/>
      <w:kern w:val="2"/>
      <w:sz w:val="32"/>
      <w:szCs w:val="32"/>
    </w:rPr>
  </w:style>
  <w:style w:type="character" w:customStyle="1" w:styleId="17">
    <w:name w:val="批注文字 Char"/>
    <w:link w:val="4"/>
    <w:semiHidden/>
    <w:qFormat/>
    <w:uiPriority w:val="99"/>
    <w:rPr>
      <w:kern w:val="2"/>
      <w:sz w:val="21"/>
      <w:szCs w:val="22"/>
    </w:rPr>
  </w:style>
  <w:style w:type="character" w:customStyle="1" w:styleId="18">
    <w:name w:val="批注框文本 Char"/>
    <w:link w:val="5"/>
    <w:semiHidden/>
    <w:qFormat/>
    <w:uiPriority w:val="99"/>
    <w:rPr>
      <w:kern w:val="2"/>
      <w:sz w:val="18"/>
      <w:szCs w:val="18"/>
    </w:rPr>
  </w:style>
  <w:style w:type="character" w:customStyle="1" w:styleId="19">
    <w:name w:val="页脚 Char"/>
    <w:link w:val="6"/>
    <w:qFormat/>
    <w:uiPriority w:val="99"/>
    <w:rPr>
      <w:kern w:val="2"/>
      <w:sz w:val="18"/>
      <w:szCs w:val="18"/>
    </w:rPr>
  </w:style>
  <w:style w:type="character" w:customStyle="1" w:styleId="20">
    <w:name w:val="页眉 Char"/>
    <w:link w:val="7"/>
    <w:semiHidden/>
    <w:qFormat/>
    <w:uiPriority w:val="99"/>
    <w:rPr>
      <w:kern w:val="2"/>
      <w:sz w:val="18"/>
      <w:szCs w:val="18"/>
    </w:rPr>
  </w:style>
  <w:style w:type="character" w:customStyle="1" w:styleId="21">
    <w:name w:val="批注主题 Char"/>
    <w:link w:val="9"/>
    <w:semiHidden/>
    <w:qFormat/>
    <w:uiPriority w:val="99"/>
    <w:rPr>
      <w:b/>
      <w:bCs/>
      <w:kern w:val="2"/>
      <w:sz w:val="21"/>
      <w:szCs w:val="22"/>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Level 5"/>
    <w:basedOn w:val="1"/>
    <w:qFormat/>
    <w:uiPriority w:val="0"/>
    <w:pPr>
      <w:numPr>
        <w:ilvl w:val="4"/>
        <w:numId w:val="1"/>
      </w:numPr>
    </w:pPr>
  </w:style>
  <w:style w:type="paragraph" w:customStyle="1" w:styleId="24">
    <w:name w:val="列出段落1"/>
    <w:basedOn w:val="1"/>
    <w:qFormat/>
    <w:uiPriority w:val="0"/>
    <w:pPr>
      <w:ind w:firstLine="420" w:firstLineChars="200"/>
    </w:pPr>
    <w:rPr>
      <w:szCs w:val="21"/>
    </w:rPr>
  </w:style>
  <w:style w:type="paragraph" w:customStyle="1" w:styleId="25">
    <w:name w:val="Level 4"/>
    <w:basedOn w:val="1"/>
    <w:qFormat/>
    <w:uiPriority w:val="0"/>
    <w:pPr>
      <w:numPr>
        <w:ilvl w:val="3"/>
        <w:numId w:val="1"/>
      </w:numPr>
      <w:tabs>
        <w:tab w:val="left" w:pos="1815"/>
      </w:tabs>
    </w:pPr>
  </w:style>
  <w:style w:type="paragraph" w:customStyle="1" w:styleId="26">
    <w:name w:val="Level 6"/>
    <w:basedOn w:val="1"/>
    <w:qFormat/>
    <w:uiPriority w:val="0"/>
    <w:pPr>
      <w:numPr>
        <w:ilvl w:val="5"/>
        <w:numId w:val="1"/>
      </w:numPr>
    </w:pPr>
  </w:style>
  <w:style w:type="paragraph" w:customStyle="1" w:styleId="27">
    <w:name w:val="Level 3"/>
    <w:basedOn w:val="1"/>
    <w:qFormat/>
    <w:uiPriority w:val="0"/>
    <w:pPr>
      <w:numPr>
        <w:ilvl w:val="2"/>
        <w:numId w:val="1"/>
      </w:numPr>
      <w:tabs>
        <w:tab w:val="left" w:pos="2382"/>
      </w:tabs>
    </w:pPr>
  </w:style>
  <w:style w:type="character" w:customStyle="1" w:styleId="28">
    <w:name w:val="DocID"/>
    <w:qFormat/>
    <w:uiPriority w:val="0"/>
    <w:rPr>
      <w:rFonts w:ascii="Arial" w:hAnsi="Arial" w:cs="Arial"/>
      <w:color w:val="000000"/>
      <w:sz w:val="12"/>
      <w:u w:val="none"/>
    </w:rPr>
  </w:style>
  <w:style w:type="paragraph" w:styleId="29">
    <w:name w:val="List Paragraph"/>
    <w:basedOn w:val="1"/>
    <w:qFormat/>
    <w:uiPriority w:val="34"/>
    <w:pPr>
      <w:ind w:firstLine="420" w:firstLineChars="200"/>
    </w:pPr>
    <w:rPr>
      <w:rFonts w:ascii="Calibri" w:hAnsi="Calibri" w:eastAsia="宋体" w:cs="Times New Roman"/>
    </w:rPr>
  </w:style>
  <w:style w:type="paragraph" w:customStyle="1" w:styleId="30">
    <w:name w:val="Other|1"/>
    <w:basedOn w:val="1"/>
    <w:qFormat/>
    <w:uiPriority w:val="0"/>
    <w:pPr>
      <w:spacing w:line="437" w:lineRule="auto"/>
      <w:ind w:firstLine="400"/>
      <w:jc w:val="left"/>
    </w:pPr>
    <w:rPr>
      <w:rFonts w:ascii="宋体" w:hAnsi="宋体" w:cs="宋体"/>
      <w:color w:val="000000"/>
      <w:kern w:val="0"/>
      <w:sz w:val="28"/>
      <w:szCs w:val="28"/>
      <w:lang w:val="zh-TW" w:eastAsia="zh-TW" w:bidi="zh-TW"/>
    </w:rPr>
  </w:style>
  <w:style w:type="paragraph" w:customStyle="1" w:styleId="31">
    <w:name w:val="Table Text"/>
    <w:basedOn w:val="1"/>
    <w:semiHidden/>
    <w:qFormat/>
    <w:uiPriority w:val="0"/>
    <w:pPr>
      <w:widowControl/>
      <w:kinsoku w:val="0"/>
      <w:adjustRightInd w:val="0"/>
      <w:snapToGrid w:val="0"/>
      <w:spacing w:line="240" w:lineRule="auto"/>
      <w:ind w:firstLine="0" w:firstLineChars="0"/>
      <w:textAlignment w:val="baseline"/>
    </w:pPr>
    <w:rPr>
      <w:rFonts w:ascii="Times New Roman" w:hAnsi="Times New Roman" w:cs="Times New Roman"/>
      <w:color w:val="000000"/>
      <w:sz w:val="20"/>
      <w:szCs w:val="20"/>
      <w:lang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5238</Words>
  <Characters>6311</Characters>
  <Lines>25</Lines>
  <Paragraphs>7</Paragraphs>
  <TotalTime>218</TotalTime>
  <ScaleCrop>false</ScaleCrop>
  <LinksUpToDate>false</LinksUpToDate>
  <CharactersWithSpaces>6563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2022-01-12T08:59:00Z</dcterms:created>
  <dc:creator>LQ</dc:creator>
  <cp:lastModifiedBy>summer Q</cp:lastModifiedBy>
  <cp:lastPrinted>2022-01-11T06:09:00Z</cp:lastPrinted>
  <dcterms:modified xsi:type="dcterms:W3CDTF">2025-12-10T07:45:52Z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94F74C07E92944648DA99358916236D2_13</vt:lpwstr>
  </property>
  <property fmtid="{D5CDD505-2E9C-101B-9397-08002B2CF9AE}" pid="4" name="KSOTemplateDocerSaveRecord">
    <vt:lpwstr>eyJoZGlkIjoiMjBiM2RjZDQxMDBmNmI5ZjE2MTYzNTlmNzE4NGEzMTAiLCJ1c2VySWQiOiI1NjI1NjE2OTcifQ==</vt:lpwstr>
  </property>
</Properties>
</file>