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1AE7CF">
      <w:pPr>
        <w:adjustRightInd w:val="0"/>
        <w:snapToGrid w:val="0"/>
        <w:spacing w:line="360" w:lineRule="auto"/>
        <w:rPr>
          <w:lang w:val="en-US" w:eastAsia="zh-CN"/>
        </w:rPr>
      </w:pPr>
      <w:r>
        <w:rPr>
          <w:rFonts w:hint="eastAsia" w:ascii="宋体" w:hAnsi="宋体" w:cs="宋体"/>
          <w:b/>
          <w:color w:val="000000"/>
          <w:sz w:val="24"/>
          <w:lang w:eastAsia="zh-CN"/>
        </w:rPr>
        <w:t>股票代码：600377       股票简称：宁沪高速       编号：临</w:t>
      </w:r>
      <w:r>
        <w:rPr>
          <w:rFonts w:ascii="宋体" w:hAnsi="宋体" w:cs="宋体"/>
          <w:b/>
          <w:color w:val="000000"/>
          <w:sz w:val="24"/>
          <w:lang w:eastAsia="zh-CN"/>
        </w:rPr>
        <w:t>202</w:t>
      </w:r>
      <w:r>
        <w:rPr>
          <w:rFonts w:hint="eastAsia" w:ascii="宋体" w:hAnsi="宋体" w:cs="宋体"/>
          <w:b/>
          <w:color w:val="000000"/>
          <w:sz w:val="24"/>
          <w:lang w:val="en-US" w:eastAsia="zh-CN"/>
        </w:rPr>
        <w:t>5</w:t>
      </w:r>
      <w:r>
        <w:rPr>
          <w:rFonts w:ascii="宋体" w:hAnsi="宋体" w:cs="宋体"/>
          <w:b/>
          <w:color w:val="000000"/>
          <w:sz w:val="24"/>
          <w:lang w:eastAsia="zh-CN"/>
        </w:rPr>
        <w:t>-</w:t>
      </w:r>
      <w:r>
        <w:rPr>
          <w:rFonts w:hint="eastAsia" w:ascii="宋体" w:hAnsi="宋体" w:cs="宋体"/>
          <w:b/>
          <w:color w:val="000000"/>
          <w:sz w:val="24"/>
          <w:lang w:val="en-US" w:eastAsia="zh-CN"/>
        </w:rPr>
        <w:t>053</w:t>
      </w:r>
    </w:p>
    <w:p w14:paraId="003BA81A">
      <w:pPr>
        <w:widowControl w:val="0"/>
        <w:adjustRightInd w:val="0"/>
        <w:snapToGrid w:val="0"/>
        <w:spacing w:before="0" w:after="0" w:line="360" w:lineRule="auto"/>
        <w:jc w:val="center"/>
        <w:rPr>
          <w:rFonts w:ascii="Times New Roman" w:hAnsi="Times New Roman"/>
          <w:b/>
          <w:kern w:val="2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/>
          <w:kern w:val="2"/>
          <w:sz w:val="28"/>
          <w:szCs w:val="28"/>
          <w:lang w:val="en-US" w:eastAsia="zh-CN"/>
        </w:rPr>
        <w:t>江苏宁沪高速公路股份有限公司</w:t>
      </w:r>
    </w:p>
    <w:p w14:paraId="0BAC8DE5">
      <w:pPr>
        <w:widowControl w:val="0"/>
        <w:adjustRightInd w:val="0"/>
        <w:snapToGrid w:val="0"/>
        <w:spacing w:before="0" w:after="0" w:line="360" w:lineRule="auto"/>
        <w:jc w:val="center"/>
        <w:rPr>
          <w:rFonts w:ascii="Times New Roman" w:hAnsi="Times New Roman"/>
          <w:b/>
          <w:kern w:val="2"/>
          <w:sz w:val="28"/>
          <w:szCs w:val="28"/>
          <w:lang w:val="en-US" w:eastAsia="zh-CN"/>
        </w:rPr>
      </w:pPr>
      <w:r>
        <w:rPr>
          <w:rFonts w:ascii="Times New Roman" w:hAnsi="Times New Roman"/>
          <w:b/>
          <w:kern w:val="2"/>
          <w:sz w:val="28"/>
          <w:szCs w:val="28"/>
          <w:lang w:val="en-US" w:eastAsia="zh-CN"/>
        </w:rPr>
        <w:t>关于控</w:t>
      </w:r>
      <w:r>
        <w:rPr>
          <w:rFonts w:hint="eastAsia" w:ascii="Times New Roman" w:hAnsi="Times New Roman"/>
          <w:b/>
          <w:kern w:val="2"/>
          <w:sz w:val="28"/>
          <w:szCs w:val="28"/>
          <w:lang w:val="en-US" w:eastAsia="zh-CN"/>
        </w:rPr>
        <w:t>股股东及其一致行动人权益变动触及 5%整数倍</w:t>
      </w:r>
    </w:p>
    <w:p w14:paraId="75CC3BC0">
      <w:pPr>
        <w:widowControl w:val="0"/>
        <w:adjustRightInd w:val="0"/>
        <w:snapToGrid w:val="0"/>
        <w:spacing w:before="0" w:after="0" w:line="360" w:lineRule="auto"/>
        <w:jc w:val="center"/>
        <w:rPr>
          <w:rFonts w:ascii="Times New Roman" w:hAnsi="Times New Roman"/>
          <w:b/>
          <w:kern w:val="2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/>
          <w:kern w:val="2"/>
          <w:sz w:val="28"/>
          <w:szCs w:val="28"/>
          <w:lang w:val="en-US" w:eastAsia="zh-CN"/>
        </w:rPr>
        <w:t>的提示性公告</w:t>
      </w:r>
    </w:p>
    <w:p w14:paraId="371D39F9">
      <w:pPr>
        <w:widowControl w:val="0"/>
        <w:adjustRightInd w:val="0"/>
        <w:snapToGrid w:val="0"/>
        <w:spacing w:before="0" w:after="0" w:line="360" w:lineRule="auto"/>
        <w:jc w:val="center"/>
        <w:rPr>
          <w:rFonts w:ascii="Times New Roman" w:hAnsi="Times New Roman"/>
          <w:b/>
          <w:kern w:val="2"/>
          <w:sz w:val="28"/>
          <w:szCs w:val="28"/>
          <w:lang w:val="en-US" w:eastAsia="zh-CN"/>
        </w:rPr>
      </w:pPr>
    </w:p>
    <w:tbl>
      <w:tblPr>
        <w:tblStyle w:val="15"/>
        <w:tblpPr w:leftFromText="180" w:rightFromText="180" w:vertAnchor="text" w:horzAnchor="margin" w:tblpY="97"/>
        <w:tblW w:w="862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3"/>
      </w:tblGrid>
      <w:tr w14:paraId="4E5ABA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8623" w:type="dxa"/>
          </w:tcPr>
          <w:p w14:paraId="7745DDCB">
            <w:pPr>
              <w:autoSpaceDE w:val="0"/>
              <w:autoSpaceDN w:val="0"/>
              <w:adjustRightInd w:val="0"/>
              <w:snapToGrid w:val="0"/>
              <w:spacing w:before="100" w:beforeAutospacing="1" w:after="100" w:afterAutospacing="1" w:line="360" w:lineRule="auto"/>
              <w:rPr>
                <w:rFonts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lang w:eastAsia="zh-CN"/>
              </w:rPr>
              <w:t>本公司董事会及全体董事保证本公告内容不存在任何虚假记载、误导性陈述或者重大遗漏，并对其内容的真实性、准确性和完整性承担法律责任。</w:t>
            </w:r>
          </w:p>
        </w:tc>
      </w:tr>
    </w:tbl>
    <w:p w14:paraId="09BFB5E3">
      <w:pPr>
        <w:spacing w:after="120" w:line="360" w:lineRule="auto"/>
        <w:contextualSpacing/>
        <w:rPr>
          <w:rFonts w:ascii="宋体" w:hAnsi="宋体" w:cs="宋体"/>
          <w:b/>
          <w:bCs/>
          <w:sz w:val="24"/>
          <w:szCs w:val="24"/>
          <w:lang w:val="en-US" w:eastAsia="zh-CN"/>
        </w:rPr>
      </w:pPr>
      <w:bookmarkStart w:id="0" w:name="BBIPBLSTA"/>
      <w:bookmarkEnd w:id="0"/>
      <w:bookmarkStart w:id="1" w:name="BondName2"/>
      <w:bookmarkEnd w:id="1"/>
    </w:p>
    <w:p w14:paraId="1AB173C6">
      <w:pPr>
        <w:tabs>
          <w:tab w:val="left" w:pos="0"/>
        </w:tabs>
        <w:autoSpaceDE w:val="0"/>
        <w:autoSpaceDN w:val="0"/>
        <w:adjustRightInd w:val="0"/>
        <w:snapToGrid w:val="0"/>
        <w:spacing w:line="560" w:lineRule="exact"/>
        <w:ind w:firstLine="602" w:firstLineChars="200"/>
        <w:rPr>
          <w:rFonts w:ascii="FangSong_GB2312" w:hAnsi="FangSong_GB2312" w:eastAsia="FangSong_GB2312" w:cs="FangSong_GB2312"/>
          <w:b/>
          <w:color w:val="000000"/>
          <w:sz w:val="30"/>
          <w:szCs w:val="30"/>
        </w:rPr>
      </w:pPr>
      <w:bookmarkStart w:id="2" w:name="_Toc6944"/>
      <w:r>
        <w:rPr>
          <w:rFonts w:hint="eastAsia" w:ascii="FangSong_GB2312" w:hAnsi="FangSong_GB2312" w:eastAsia="FangSong_GB2312" w:cs="FangSong_GB2312"/>
          <w:b/>
          <w:color w:val="000000"/>
          <w:sz w:val="30"/>
          <w:szCs w:val="30"/>
        </w:rPr>
        <w:t>重要内容提示：</w:t>
      </w:r>
      <w:bookmarkEnd w:id="2"/>
    </w:p>
    <w:p w14:paraId="24B33026">
      <w:pPr>
        <w:numPr>
          <w:ilvl w:val="1"/>
          <w:numId w:val="1"/>
        </w:numPr>
        <w:adjustRightInd w:val="0"/>
        <w:snapToGrid w:val="0"/>
        <w:spacing w:before="0" w:after="0" w:line="360" w:lineRule="auto"/>
        <w:ind w:left="0" w:firstLine="480" w:firstLineChars="200"/>
        <w:rPr>
          <w:rFonts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本次权益变动属于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控股股东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增持，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本次增持主体为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4"/>
          <w:szCs w:val="24"/>
          <w:lang w:val="en-US" w:eastAsia="zh-CN"/>
        </w:rPr>
        <w:t>江苏宁沪高速公路股份有限公司（以下简称“本公司”或“公司”）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控股股东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江苏交通控股有限公司（以下简称“江苏交控”）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之一致行动人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江苏云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杉资本管理有限公司</w:t>
      </w:r>
      <w:bookmarkStart w:id="3" w:name="_Hlk213233321"/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（</w:t>
      </w:r>
      <w:bookmarkEnd w:id="3"/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以下简称“云杉资本”），本次交易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未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触及要约收购；</w:t>
      </w:r>
    </w:p>
    <w:p w14:paraId="406CBE06">
      <w:pPr>
        <w:numPr>
          <w:ilvl w:val="1"/>
          <w:numId w:val="1"/>
        </w:numPr>
        <w:adjustRightInd w:val="0"/>
        <w:snapToGrid w:val="0"/>
        <w:spacing w:before="0" w:after="0" w:line="360" w:lineRule="auto"/>
        <w:ind w:left="0" w:firstLine="480" w:firstLineChars="200"/>
        <w:rPr>
          <w:rFonts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本次权益变动后，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江苏交控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及其一致行动人暨控股子公司江苏云杉资本管理有限公司、</w:t>
      </w:r>
      <w:bookmarkStart w:id="4" w:name="_Hlk213233349"/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江苏扬子大桥股份有限公司</w:t>
      </w:r>
      <w:bookmarkEnd w:id="4"/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（以下简称“扬子大桥公司”）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、</w:t>
      </w:r>
      <w:bookmarkStart w:id="5" w:name="_Hlk213233478"/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江苏交控资产管理有限公司</w:t>
      </w:r>
      <w:bookmarkEnd w:id="5"/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（以下简称“资管公司”）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、</w:t>
      </w:r>
      <w:bookmarkStart w:id="6" w:name="_Hlk213233614"/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苏州金陵南林饭店有限责任公司</w:t>
      </w:r>
      <w:bookmarkEnd w:id="6"/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（以下简称“南林饭店公司”）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（以上合称“信息披露义务人”）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合计持有公司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2,770,760,825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股股份，占公司股份总数的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55.00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%；</w:t>
      </w:r>
    </w:p>
    <w:p w14:paraId="19324252">
      <w:pPr>
        <w:numPr>
          <w:ilvl w:val="1"/>
          <w:numId w:val="2"/>
        </w:numPr>
        <w:tabs>
          <w:tab w:val="clear" w:pos="1320"/>
        </w:tabs>
        <w:adjustRightInd w:val="0"/>
        <w:snapToGrid w:val="0"/>
        <w:spacing w:before="0" w:after="0" w:line="360" w:lineRule="auto"/>
        <w:ind w:left="0" w:firstLine="480" w:firstLineChars="200"/>
        <w:rPr>
          <w:rFonts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本次权益变动不会导致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本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公司控股股东、实际控制人发生变更，不会对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本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公司日常生产经营产生重大影响。</w:t>
      </w:r>
    </w:p>
    <w:p w14:paraId="3826F5FE">
      <w:pPr>
        <w:numPr>
          <w:ilvl w:val="255"/>
          <w:numId w:val="0"/>
        </w:numPr>
        <w:adjustRightInd w:val="0"/>
        <w:snapToGrid w:val="0"/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</w:p>
    <w:p w14:paraId="49B7DF93">
      <w:pPr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sz w:val="24"/>
          <w:szCs w:val="24"/>
          <w:lang w:val="en-US" w:eastAsia="zh-CN"/>
        </w:rPr>
        <w:t>2025年11月4日本公司收到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信息披露义务人出具的《关于权益变动的告知函》《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简式权益变动报告书》，现将有关权益变动情况公告如下：</w:t>
      </w:r>
    </w:p>
    <w:p w14:paraId="2E08DD20">
      <w:pPr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</w:pPr>
    </w:p>
    <w:p w14:paraId="2517DC7C">
      <w:pPr>
        <w:spacing w:before="0" w:after="0" w:line="360" w:lineRule="auto"/>
        <w:ind w:firstLine="482" w:firstLineChars="200"/>
        <w:rPr>
          <w:rFonts w:asciiTheme="minorEastAsia" w:hAnsiTheme="minorEastAsia" w:eastAsiaTheme="minorEastAsia" w:cstheme="minorEastAsia"/>
          <w:b/>
          <w:color w:val="000000"/>
          <w:sz w:val="24"/>
          <w:szCs w:val="24"/>
          <w:lang w:eastAsia="zh-CN"/>
        </w:rPr>
      </w:pPr>
      <w:bookmarkStart w:id="7" w:name="_Toc13378"/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lang w:eastAsia="zh-CN"/>
        </w:rPr>
        <w:t>一、本次权益变动基本情况</w:t>
      </w:r>
      <w:bookmarkEnd w:id="7"/>
    </w:p>
    <w:p w14:paraId="1F723BF1">
      <w:pPr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本次权益变动中，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本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公司控股股东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江苏交控全资子公司云杉资本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2025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日至202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日，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自有资金，通过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上海证券交易所港股通交易系统</w:t>
      </w:r>
      <w:r>
        <w:rPr>
          <w:rFonts w:hint="eastAsia"/>
          <w:sz w:val="24"/>
          <w:szCs w:val="24"/>
          <w:lang w:eastAsia="zh-CN"/>
        </w:rPr>
        <w:t>参与香港联合交易所有限公司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集中竞价交易方式增持本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H股股份</w:t>
      </w:r>
      <w:r>
        <w:rPr>
          <w:rFonts w:asciiTheme="minorEastAsia" w:hAnsiTheme="minorEastAsia" w:eastAsiaTheme="minorEastAsia" w:cstheme="minorEastAsia"/>
          <w:kern w:val="2"/>
          <w:sz w:val="24"/>
          <w:szCs w:val="24"/>
          <w:shd w:val="clear" w:color="auto" w:fill="FFFFFF"/>
          <w:lang w:val="en-US" w:eastAsia="zh-CN"/>
        </w:rPr>
        <w:t>27,652,000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股，增持比例占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本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公司总股份的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0.5489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%。增持后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,江苏交控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及其一致行动人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合计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持有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本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公司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2,770,760,825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股，持股比例由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54.4511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%增加至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55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.00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00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%，权益变动触及5%整数倍。</w:t>
      </w:r>
    </w:p>
    <w:p w14:paraId="7C725D8B">
      <w:pPr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本次权益变动前，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云杉资本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未持有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本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公司股份，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江苏交控直接及间接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合计持有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本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54.4511%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的股份。本次权益变动后，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江苏交控直接及间接合计持有本公司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55.0000%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的股份。</w:t>
      </w:r>
    </w:p>
    <w:p w14:paraId="4A7BAB43">
      <w:pPr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本次权益变动前后，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本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控股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股东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及其一致行动人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持股比例变动情况具体如下：</w:t>
      </w:r>
    </w:p>
    <w:tbl>
      <w:tblPr>
        <w:tblStyle w:val="15"/>
        <w:tblW w:w="0" w:type="auto"/>
        <w:tblInd w:w="-45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536"/>
        <w:gridCol w:w="1305"/>
        <w:gridCol w:w="1139"/>
        <w:gridCol w:w="1521"/>
        <w:gridCol w:w="1206"/>
        <w:gridCol w:w="1151"/>
      </w:tblGrid>
      <w:tr w14:paraId="334B58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123" w:type="dxa"/>
            <w:vMerge w:val="restart"/>
            <w:vAlign w:val="center"/>
          </w:tcPr>
          <w:p w14:paraId="0565F64C">
            <w:pPr>
              <w:spacing w:line="360" w:lineRule="auto"/>
              <w:jc w:val="center"/>
              <w:rPr>
                <w:b/>
                <w:bCs/>
              </w:rPr>
            </w:pPr>
            <w:bookmarkStart w:id="8" w:name="_Hlk213234303"/>
            <w:r>
              <w:rPr>
                <w:rFonts w:hint="eastAsia"/>
                <w:b/>
                <w:bCs/>
              </w:rPr>
              <w:t>股东名称</w:t>
            </w:r>
          </w:p>
        </w:tc>
        <w:tc>
          <w:tcPr>
            <w:tcW w:w="3980" w:type="dxa"/>
            <w:gridSpan w:val="3"/>
            <w:vAlign w:val="center"/>
          </w:tcPr>
          <w:p w14:paraId="33A663A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本次权益变动前</w:t>
            </w:r>
          </w:p>
        </w:tc>
        <w:tc>
          <w:tcPr>
            <w:tcW w:w="3878" w:type="dxa"/>
            <w:gridSpan w:val="3"/>
            <w:vAlign w:val="center"/>
          </w:tcPr>
          <w:p w14:paraId="1148DCCD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本次权益变动后</w:t>
            </w:r>
          </w:p>
        </w:tc>
      </w:tr>
      <w:tr w14:paraId="037CDA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vMerge w:val="continue"/>
            <w:vAlign w:val="center"/>
          </w:tcPr>
          <w:p w14:paraId="6C93B5C8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841" w:type="dxa"/>
            <w:gridSpan w:val="2"/>
            <w:vAlign w:val="center"/>
          </w:tcPr>
          <w:p w14:paraId="79B1BAAE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数量（股）</w:t>
            </w:r>
          </w:p>
        </w:tc>
        <w:tc>
          <w:tcPr>
            <w:tcW w:w="1139" w:type="dxa"/>
            <w:vMerge w:val="restart"/>
            <w:vAlign w:val="center"/>
          </w:tcPr>
          <w:p w14:paraId="32539D52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占总股本比例</w:t>
            </w:r>
          </w:p>
        </w:tc>
        <w:tc>
          <w:tcPr>
            <w:tcW w:w="2727" w:type="dxa"/>
            <w:gridSpan w:val="2"/>
            <w:vAlign w:val="center"/>
          </w:tcPr>
          <w:p w14:paraId="4CC73339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数量（股）</w:t>
            </w:r>
          </w:p>
        </w:tc>
        <w:tc>
          <w:tcPr>
            <w:tcW w:w="1151" w:type="dxa"/>
            <w:vMerge w:val="restart"/>
            <w:vAlign w:val="center"/>
          </w:tcPr>
          <w:p w14:paraId="1104E2C8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占总股本比例</w:t>
            </w:r>
          </w:p>
        </w:tc>
      </w:tr>
      <w:tr w14:paraId="79F004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23" w:type="dxa"/>
            <w:vMerge w:val="continue"/>
            <w:vAlign w:val="center"/>
          </w:tcPr>
          <w:p w14:paraId="67DD7496">
            <w:pPr>
              <w:spacing w:line="360" w:lineRule="auto"/>
              <w:jc w:val="center"/>
            </w:pPr>
          </w:p>
        </w:tc>
        <w:tc>
          <w:tcPr>
            <w:tcW w:w="1536" w:type="dxa"/>
            <w:vAlign w:val="center"/>
          </w:tcPr>
          <w:p w14:paraId="35CE8D9D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hint="eastAsia" w:eastAsia="等线"/>
                <w:color w:val="000000"/>
              </w:rPr>
              <w:t>A股</w:t>
            </w:r>
          </w:p>
        </w:tc>
        <w:tc>
          <w:tcPr>
            <w:tcW w:w="1305" w:type="dxa"/>
            <w:vAlign w:val="center"/>
          </w:tcPr>
          <w:p w14:paraId="501B81D2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hint="eastAsia" w:eastAsia="等线"/>
                <w:color w:val="000000"/>
              </w:rPr>
              <w:t>H股</w:t>
            </w:r>
          </w:p>
        </w:tc>
        <w:tc>
          <w:tcPr>
            <w:tcW w:w="1139" w:type="dxa"/>
            <w:vMerge w:val="continue"/>
            <w:vAlign w:val="center"/>
          </w:tcPr>
          <w:p w14:paraId="4A50418F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521" w:type="dxa"/>
            <w:vAlign w:val="center"/>
          </w:tcPr>
          <w:p w14:paraId="03EFF6DA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hint="eastAsia" w:eastAsia="等线"/>
                <w:color w:val="000000"/>
              </w:rPr>
              <w:t>A股</w:t>
            </w:r>
          </w:p>
        </w:tc>
        <w:tc>
          <w:tcPr>
            <w:tcW w:w="1206" w:type="dxa"/>
            <w:vAlign w:val="center"/>
          </w:tcPr>
          <w:p w14:paraId="27DDABE4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hint="eastAsia" w:eastAsia="等线"/>
                <w:color w:val="000000"/>
              </w:rPr>
              <w:t>H股</w:t>
            </w:r>
          </w:p>
        </w:tc>
        <w:tc>
          <w:tcPr>
            <w:tcW w:w="1151" w:type="dxa"/>
            <w:vMerge w:val="continue"/>
            <w:vAlign w:val="center"/>
          </w:tcPr>
          <w:p w14:paraId="7E18011F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</w:p>
        </w:tc>
      </w:tr>
      <w:tr w14:paraId="220AF8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8981" w:type="dxa"/>
            <w:gridSpan w:val="7"/>
            <w:vAlign w:val="center"/>
          </w:tcPr>
          <w:p w14:paraId="07E61D9E">
            <w:pPr>
              <w:spacing w:line="360" w:lineRule="auto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发生直接持股变动的主体：</w:t>
            </w:r>
          </w:p>
        </w:tc>
      </w:tr>
      <w:tr w14:paraId="733C3B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123" w:type="dxa"/>
            <w:vAlign w:val="center"/>
          </w:tcPr>
          <w:p w14:paraId="19E8AEF6">
            <w:pPr>
              <w:spacing w:line="360" w:lineRule="auto"/>
              <w:jc w:val="center"/>
            </w:pPr>
            <w:r>
              <w:rPr>
                <w:rFonts w:hint="eastAsia"/>
              </w:rPr>
              <w:t>云杉资本</w:t>
            </w:r>
          </w:p>
        </w:tc>
        <w:tc>
          <w:tcPr>
            <w:tcW w:w="1536" w:type="dxa"/>
            <w:vAlign w:val="center"/>
          </w:tcPr>
          <w:p w14:paraId="0E8CCC8A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hint="eastAsia" w:eastAsia="等线"/>
                <w:color w:val="000000"/>
              </w:rPr>
              <w:t>0</w:t>
            </w:r>
          </w:p>
        </w:tc>
        <w:tc>
          <w:tcPr>
            <w:tcW w:w="1305" w:type="dxa"/>
            <w:vAlign w:val="center"/>
          </w:tcPr>
          <w:p w14:paraId="4A8F9450">
            <w:pPr>
              <w:spacing w:line="360" w:lineRule="auto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139" w:type="dxa"/>
            <w:vAlign w:val="center"/>
          </w:tcPr>
          <w:p w14:paraId="0139942A">
            <w:pPr>
              <w:spacing w:line="360" w:lineRule="auto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521" w:type="dxa"/>
            <w:vAlign w:val="center"/>
          </w:tcPr>
          <w:p w14:paraId="18F5AD3B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hint="eastAsia" w:eastAsia="等线"/>
                <w:color w:val="000000"/>
              </w:rPr>
              <w:t>0</w:t>
            </w:r>
          </w:p>
        </w:tc>
        <w:tc>
          <w:tcPr>
            <w:tcW w:w="1206" w:type="dxa"/>
            <w:vAlign w:val="center"/>
          </w:tcPr>
          <w:p w14:paraId="24037D17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27</w:t>
            </w:r>
            <w:r>
              <w:rPr>
                <w:rFonts w:hint="eastAsia" w:eastAsia="等线"/>
                <w:color w:val="000000"/>
              </w:rPr>
              <w:t>,</w:t>
            </w:r>
            <w:r>
              <w:rPr>
                <w:rFonts w:eastAsia="等线"/>
                <w:color w:val="000000"/>
              </w:rPr>
              <w:t>652</w:t>
            </w:r>
            <w:r>
              <w:rPr>
                <w:rFonts w:hint="eastAsia" w:eastAsia="等线"/>
                <w:color w:val="000000"/>
              </w:rPr>
              <w:t>,</w:t>
            </w:r>
            <w:r>
              <w:rPr>
                <w:rFonts w:eastAsia="等线"/>
                <w:color w:val="000000"/>
              </w:rPr>
              <w:t>000</w:t>
            </w:r>
          </w:p>
        </w:tc>
        <w:tc>
          <w:tcPr>
            <w:tcW w:w="1151" w:type="dxa"/>
            <w:vAlign w:val="center"/>
          </w:tcPr>
          <w:p w14:paraId="34E2935E">
            <w:pPr>
              <w:spacing w:line="360" w:lineRule="auto"/>
              <w:jc w:val="center"/>
            </w:pPr>
            <w:r>
              <w:t>0.5489%</w:t>
            </w:r>
          </w:p>
        </w:tc>
      </w:tr>
      <w:tr w14:paraId="1B4862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8981" w:type="dxa"/>
            <w:gridSpan w:val="7"/>
            <w:vAlign w:val="center"/>
          </w:tcPr>
          <w:p w14:paraId="68B8F97F">
            <w:pPr>
              <w:spacing w:line="360" w:lineRule="auto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未发生直接持股变动的主体：</w:t>
            </w:r>
          </w:p>
        </w:tc>
      </w:tr>
      <w:tr w14:paraId="388B41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" w:hRule="atLeast"/>
        </w:trPr>
        <w:tc>
          <w:tcPr>
            <w:tcW w:w="1123" w:type="dxa"/>
            <w:vAlign w:val="center"/>
          </w:tcPr>
          <w:p w14:paraId="42E6F35A">
            <w:pPr>
              <w:spacing w:line="360" w:lineRule="auto"/>
              <w:jc w:val="center"/>
            </w:pPr>
            <w:r>
              <w:rPr>
                <w:rFonts w:hint="eastAsia"/>
              </w:rPr>
              <w:t>江苏交控</w:t>
            </w:r>
          </w:p>
        </w:tc>
        <w:tc>
          <w:tcPr>
            <w:tcW w:w="1536" w:type="dxa"/>
            <w:vAlign w:val="center"/>
          </w:tcPr>
          <w:p w14:paraId="3112A0FB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2</w:t>
            </w:r>
            <w:r>
              <w:rPr>
                <w:rFonts w:hint="eastAsia" w:eastAsia="等线"/>
                <w:color w:val="000000"/>
              </w:rPr>
              <w:t>,</w:t>
            </w:r>
            <w:r>
              <w:rPr>
                <w:rFonts w:eastAsia="等线"/>
                <w:color w:val="000000"/>
              </w:rPr>
              <w:t>742</w:t>
            </w:r>
            <w:r>
              <w:rPr>
                <w:rFonts w:hint="eastAsia" w:eastAsia="等线"/>
                <w:color w:val="000000"/>
              </w:rPr>
              <w:t>,</w:t>
            </w:r>
            <w:r>
              <w:rPr>
                <w:rFonts w:eastAsia="等线"/>
                <w:color w:val="000000"/>
              </w:rPr>
              <w:t>578</w:t>
            </w:r>
            <w:r>
              <w:rPr>
                <w:rFonts w:hint="eastAsia" w:eastAsia="等线"/>
                <w:color w:val="000000"/>
              </w:rPr>
              <w:t>,</w:t>
            </w:r>
            <w:r>
              <w:rPr>
                <w:rFonts w:eastAsia="等线"/>
                <w:color w:val="000000"/>
              </w:rPr>
              <w:t>825</w:t>
            </w:r>
          </w:p>
        </w:tc>
        <w:tc>
          <w:tcPr>
            <w:tcW w:w="1305" w:type="dxa"/>
            <w:vAlign w:val="center"/>
          </w:tcPr>
          <w:p w14:paraId="32B69C7E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hint="eastAsia" w:eastAsia="等线"/>
                <w:color w:val="000000"/>
              </w:rPr>
              <w:t>0</w:t>
            </w:r>
          </w:p>
        </w:tc>
        <w:tc>
          <w:tcPr>
            <w:tcW w:w="1139" w:type="dxa"/>
            <w:vAlign w:val="center"/>
          </w:tcPr>
          <w:p w14:paraId="229E696A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54.4406%</w:t>
            </w:r>
          </w:p>
        </w:tc>
        <w:tc>
          <w:tcPr>
            <w:tcW w:w="1521" w:type="dxa"/>
            <w:vAlign w:val="center"/>
          </w:tcPr>
          <w:p w14:paraId="323EC09B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2</w:t>
            </w:r>
            <w:r>
              <w:rPr>
                <w:rFonts w:hint="eastAsia" w:eastAsia="等线"/>
                <w:color w:val="000000"/>
              </w:rPr>
              <w:t>,</w:t>
            </w:r>
            <w:r>
              <w:rPr>
                <w:rFonts w:eastAsia="等线"/>
                <w:color w:val="000000"/>
              </w:rPr>
              <w:t>742</w:t>
            </w:r>
            <w:r>
              <w:rPr>
                <w:rFonts w:hint="eastAsia" w:eastAsia="等线"/>
                <w:color w:val="000000"/>
              </w:rPr>
              <w:t>,</w:t>
            </w:r>
            <w:r>
              <w:rPr>
                <w:rFonts w:eastAsia="等线"/>
                <w:color w:val="000000"/>
              </w:rPr>
              <w:t>578</w:t>
            </w:r>
            <w:r>
              <w:rPr>
                <w:rFonts w:hint="eastAsia" w:eastAsia="等线"/>
                <w:color w:val="000000"/>
              </w:rPr>
              <w:t>,</w:t>
            </w:r>
            <w:r>
              <w:rPr>
                <w:rFonts w:eastAsia="等线"/>
                <w:color w:val="000000"/>
              </w:rPr>
              <w:t>825</w:t>
            </w:r>
          </w:p>
        </w:tc>
        <w:tc>
          <w:tcPr>
            <w:tcW w:w="1206" w:type="dxa"/>
            <w:vAlign w:val="center"/>
          </w:tcPr>
          <w:p w14:paraId="2C6FBD85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hint="eastAsia" w:eastAsia="等线"/>
                <w:color w:val="000000"/>
              </w:rPr>
              <w:t>0</w:t>
            </w:r>
          </w:p>
        </w:tc>
        <w:tc>
          <w:tcPr>
            <w:tcW w:w="1151" w:type="dxa"/>
            <w:vAlign w:val="center"/>
          </w:tcPr>
          <w:p w14:paraId="55C66E88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54.4406%</w:t>
            </w:r>
          </w:p>
        </w:tc>
      </w:tr>
      <w:tr w14:paraId="1EDE60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vAlign w:val="center"/>
          </w:tcPr>
          <w:p w14:paraId="5165731B">
            <w:pPr>
              <w:spacing w:line="360" w:lineRule="auto"/>
              <w:jc w:val="center"/>
              <w:rPr>
                <w:lang w:val="en-US" w:eastAsia="zh-CN"/>
              </w:rPr>
            </w:pPr>
            <w:r>
              <w:rPr>
                <w:rFonts w:hint="eastAsia"/>
              </w:rPr>
              <w:t>扬子大桥</w:t>
            </w:r>
            <w:r>
              <w:rPr>
                <w:rFonts w:hint="eastAsia"/>
                <w:lang w:val="en-US" w:eastAsia="zh-CN"/>
              </w:rPr>
              <w:t>公司</w:t>
            </w:r>
          </w:p>
        </w:tc>
        <w:tc>
          <w:tcPr>
            <w:tcW w:w="1536" w:type="dxa"/>
            <w:vAlign w:val="center"/>
          </w:tcPr>
          <w:p w14:paraId="3BFDBA49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500</w:t>
            </w:r>
            <w:r>
              <w:rPr>
                <w:rFonts w:hint="eastAsia" w:eastAsia="等线"/>
                <w:color w:val="000000"/>
              </w:rPr>
              <w:t>,</w:t>
            </w:r>
            <w:r>
              <w:rPr>
                <w:rFonts w:eastAsia="等线"/>
                <w:color w:val="000000"/>
              </w:rPr>
              <w:t>000</w:t>
            </w:r>
          </w:p>
        </w:tc>
        <w:tc>
          <w:tcPr>
            <w:tcW w:w="1305" w:type="dxa"/>
            <w:vAlign w:val="center"/>
          </w:tcPr>
          <w:p w14:paraId="0FE05671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hint="eastAsia" w:eastAsia="等线"/>
                <w:color w:val="000000"/>
              </w:rPr>
              <w:t>0</w:t>
            </w:r>
          </w:p>
        </w:tc>
        <w:tc>
          <w:tcPr>
            <w:tcW w:w="1139" w:type="dxa"/>
            <w:vAlign w:val="center"/>
          </w:tcPr>
          <w:p w14:paraId="2C60F150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0.0099%</w:t>
            </w:r>
          </w:p>
        </w:tc>
        <w:tc>
          <w:tcPr>
            <w:tcW w:w="1521" w:type="dxa"/>
            <w:vAlign w:val="center"/>
          </w:tcPr>
          <w:p w14:paraId="1E164FC0">
            <w:pPr>
              <w:spacing w:line="360" w:lineRule="auto"/>
              <w:jc w:val="center"/>
            </w:pPr>
            <w:r>
              <w:rPr>
                <w:rFonts w:eastAsia="等线"/>
                <w:color w:val="000000"/>
              </w:rPr>
              <w:t>500</w:t>
            </w:r>
            <w:r>
              <w:rPr>
                <w:rFonts w:hint="eastAsia" w:eastAsia="等线"/>
                <w:color w:val="000000"/>
              </w:rPr>
              <w:t>,</w:t>
            </w:r>
            <w:r>
              <w:rPr>
                <w:rFonts w:eastAsia="等线"/>
                <w:color w:val="000000"/>
              </w:rPr>
              <w:t>000</w:t>
            </w:r>
          </w:p>
        </w:tc>
        <w:tc>
          <w:tcPr>
            <w:tcW w:w="1206" w:type="dxa"/>
            <w:vAlign w:val="center"/>
          </w:tcPr>
          <w:p w14:paraId="58FE2961">
            <w:pPr>
              <w:spacing w:line="360" w:lineRule="auto"/>
              <w:jc w:val="center"/>
            </w:pPr>
            <w:r>
              <w:rPr>
                <w:rFonts w:hint="eastAsia" w:eastAsia="等线"/>
                <w:color w:val="000000"/>
              </w:rPr>
              <w:t>0</w:t>
            </w:r>
          </w:p>
        </w:tc>
        <w:tc>
          <w:tcPr>
            <w:tcW w:w="1151" w:type="dxa"/>
            <w:vAlign w:val="center"/>
          </w:tcPr>
          <w:p w14:paraId="298643A9">
            <w:pPr>
              <w:spacing w:line="360" w:lineRule="auto"/>
              <w:jc w:val="center"/>
            </w:pPr>
            <w:r>
              <w:rPr>
                <w:rFonts w:eastAsia="等线"/>
                <w:color w:val="000000"/>
              </w:rPr>
              <w:t>0.0099%</w:t>
            </w:r>
          </w:p>
        </w:tc>
      </w:tr>
      <w:tr w14:paraId="0AFB96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vAlign w:val="center"/>
          </w:tcPr>
          <w:p w14:paraId="542B8107">
            <w:pPr>
              <w:spacing w:line="360" w:lineRule="auto"/>
              <w:jc w:val="center"/>
              <w:rPr>
                <w:lang w:val="en-US" w:eastAsia="zh-CN"/>
              </w:rPr>
            </w:pPr>
            <w:r>
              <w:rPr>
                <w:rFonts w:hint="eastAsia"/>
              </w:rPr>
              <w:t>资管</w:t>
            </w:r>
            <w:r>
              <w:rPr>
                <w:rFonts w:hint="eastAsia"/>
                <w:lang w:val="en-US" w:eastAsia="zh-CN"/>
              </w:rPr>
              <w:t>公司</w:t>
            </w:r>
          </w:p>
        </w:tc>
        <w:tc>
          <w:tcPr>
            <w:tcW w:w="1536" w:type="dxa"/>
            <w:vAlign w:val="center"/>
          </w:tcPr>
          <w:p w14:paraId="2401C808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20,000</w:t>
            </w:r>
          </w:p>
        </w:tc>
        <w:tc>
          <w:tcPr>
            <w:tcW w:w="1305" w:type="dxa"/>
            <w:vAlign w:val="center"/>
          </w:tcPr>
          <w:p w14:paraId="73639041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hint="eastAsia" w:eastAsia="等线"/>
                <w:color w:val="000000"/>
              </w:rPr>
              <w:t>0</w:t>
            </w:r>
          </w:p>
        </w:tc>
        <w:tc>
          <w:tcPr>
            <w:tcW w:w="1139" w:type="dxa"/>
            <w:vAlign w:val="center"/>
          </w:tcPr>
          <w:p w14:paraId="4DA1F40A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0.0004%</w:t>
            </w:r>
          </w:p>
        </w:tc>
        <w:tc>
          <w:tcPr>
            <w:tcW w:w="1521" w:type="dxa"/>
            <w:vAlign w:val="center"/>
          </w:tcPr>
          <w:p w14:paraId="591C0929">
            <w:pPr>
              <w:spacing w:line="360" w:lineRule="auto"/>
              <w:jc w:val="center"/>
            </w:pPr>
            <w:r>
              <w:rPr>
                <w:rFonts w:eastAsia="等线"/>
                <w:color w:val="000000"/>
              </w:rPr>
              <w:t>20,000</w:t>
            </w:r>
          </w:p>
        </w:tc>
        <w:tc>
          <w:tcPr>
            <w:tcW w:w="1206" w:type="dxa"/>
            <w:vAlign w:val="center"/>
          </w:tcPr>
          <w:p w14:paraId="23984875">
            <w:pPr>
              <w:spacing w:line="360" w:lineRule="auto"/>
              <w:jc w:val="center"/>
            </w:pPr>
            <w:r>
              <w:rPr>
                <w:rFonts w:hint="eastAsia" w:eastAsia="等线"/>
                <w:color w:val="000000"/>
              </w:rPr>
              <w:t>0</w:t>
            </w:r>
          </w:p>
        </w:tc>
        <w:tc>
          <w:tcPr>
            <w:tcW w:w="1151" w:type="dxa"/>
            <w:vAlign w:val="center"/>
          </w:tcPr>
          <w:p w14:paraId="24206CD3">
            <w:pPr>
              <w:spacing w:line="360" w:lineRule="auto"/>
              <w:jc w:val="center"/>
            </w:pPr>
            <w:r>
              <w:rPr>
                <w:rFonts w:eastAsia="等线"/>
                <w:color w:val="000000"/>
              </w:rPr>
              <w:t>0.0004%</w:t>
            </w:r>
          </w:p>
        </w:tc>
      </w:tr>
      <w:tr w14:paraId="5071F4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3" w:type="dxa"/>
            <w:vAlign w:val="center"/>
          </w:tcPr>
          <w:p w14:paraId="70CD2B0B">
            <w:pPr>
              <w:spacing w:line="360" w:lineRule="auto"/>
              <w:jc w:val="center"/>
              <w:rPr>
                <w:lang w:val="en-US" w:eastAsia="zh-CN"/>
              </w:rPr>
            </w:pPr>
            <w:r>
              <w:rPr>
                <w:rFonts w:hint="eastAsia"/>
              </w:rPr>
              <w:t>南林饭店</w:t>
            </w:r>
            <w:r>
              <w:rPr>
                <w:rFonts w:hint="eastAsia"/>
                <w:lang w:val="en-US" w:eastAsia="zh-CN"/>
              </w:rPr>
              <w:t>公司</w:t>
            </w:r>
          </w:p>
        </w:tc>
        <w:tc>
          <w:tcPr>
            <w:tcW w:w="1536" w:type="dxa"/>
            <w:vAlign w:val="center"/>
          </w:tcPr>
          <w:p w14:paraId="09F93F6F">
            <w:pPr>
              <w:spacing w:line="360" w:lineRule="auto"/>
              <w:jc w:val="center"/>
            </w:pPr>
            <w:r>
              <w:rPr>
                <w:rFonts w:hint="eastAsia"/>
              </w:rPr>
              <w:t>10,000</w:t>
            </w:r>
          </w:p>
        </w:tc>
        <w:tc>
          <w:tcPr>
            <w:tcW w:w="1305" w:type="dxa"/>
            <w:vAlign w:val="center"/>
          </w:tcPr>
          <w:p w14:paraId="3A03314F">
            <w:pPr>
              <w:spacing w:line="360" w:lineRule="auto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139" w:type="dxa"/>
            <w:vAlign w:val="center"/>
          </w:tcPr>
          <w:p w14:paraId="27876F14">
            <w:pPr>
              <w:spacing w:line="360" w:lineRule="auto"/>
              <w:jc w:val="center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0.0002%</w:t>
            </w:r>
          </w:p>
        </w:tc>
        <w:tc>
          <w:tcPr>
            <w:tcW w:w="1521" w:type="dxa"/>
            <w:vAlign w:val="center"/>
          </w:tcPr>
          <w:p w14:paraId="11BD21C5">
            <w:pPr>
              <w:spacing w:line="360" w:lineRule="auto"/>
              <w:jc w:val="center"/>
            </w:pPr>
            <w:r>
              <w:rPr>
                <w:rFonts w:hint="eastAsia"/>
              </w:rPr>
              <w:t>10,000</w:t>
            </w:r>
          </w:p>
        </w:tc>
        <w:tc>
          <w:tcPr>
            <w:tcW w:w="1206" w:type="dxa"/>
            <w:vAlign w:val="center"/>
          </w:tcPr>
          <w:p w14:paraId="1FC52B54">
            <w:pPr>
              <w:spacing w:line="360" w:lineRule="auto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151" w:type="dxa"/>
            <w:vAlign w:val="center"/>
          </w:tcPr>
          <w:p w14:paraId="6A1C0829">
            <w:pPr>
              <w:spacing w:line="360" w:lineRule="auto"/>
              <w:jc w:val="center"/>
            </w:pPr>
            <w:r>
              <w:rPr>
                <w:rFonts w:eastAsia="等线"/>
                <w:color w:val="000000"/>
              </w:rPr>
              <w:t>0.0002%</w:t>
            </w:r>
          </w:p>
        </w:tc>
      </w:tr>
      <w:tr w14:paraId="24AC2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vAlign w:val="center"/>
          </w:tcPr>
          <w:p w14:paraId="3EB014D2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合计</w:t>
            </w:r>
          </w:p>
        </w:tc>
        <w:tc>
          <w:tcPr>
            <w:tcW w:w="1536" w:type="dxa"/>
            <w:vAlign w:val="center"/>
          </w:tcPr>
          <w:p w14:paraId="041B8CEA">
            <w:pPr>
              <w:spacing w:line="360" w:lineRule="auto"/>
              <w:jc w:val="center"/>
              <w:rPr>
                <w:rFonts w:eastAsia="等线"/>
                <w:b/>
                <w:bCs/>
                <w:color w:val="000000"/>
              </w:rPr>
            </w:pPr>
            <w:r>
              <w:rPr>
                <w:rFonts w:eastAsia="等线"/>
                <w:b/>
                <w:bCs/>
                <w:color w:val="000000"/>
              </w:rPr>
              <w:t>2,743,108,825</w:t>
            </w:r>
          </w:p>
        </w:tc>
        <w:tc>
          <w:tcPr>
            <w:tcW w:w="1305" w:type="dxa"/>
            <w:vAlign w:val="center"/>
          </w:tcPr>
          <w:p w14:paraId="2FF9B192">
            <w:pPr>
              <w:spacing w:line="360" w:lineRule="auto"/>
              <w:jc w:val="center"/>
              <w:rPr>
                <w:rFonts w:eastAsia="等线"/>
                <w:b/>
                <w:bCs/>
                <w:color w:val="000000"/>
              </w:rPr>
            </w:pPr>
            <w:r>
              <w:rPr>
                <w:rFonts w:hint="eastAsia" w:eastAsia="等线"/>
                <w:b/>
                <w:bCs/>
                <w:color w:val="000000"/>
              </w:rPr>
              <w:t>0</w:t>
            </w:r>
          </w:p>
        </w:tc>
        <w:tc>
          <w:tcPr>
            <w:tcW w:w="1139" w:type="dxa"/>
            <w:vAlign w:val="center"/>
          </w:tcPr>
          <w:p w14:paraId="191DE93C">
            <w:pPr>
              <w:spacing w:line="360" w:lineRule="auto"/>
              <w:jc w:val="center"/>
              <w:rPr>
                <w:rFonts w:eastAsia="等线"/>
                <w:b/>
                <w:bCs/>
                <w:color w:val="000000"/>
              </w:rPr>
            </w:pPr>
            <w:r>
              <w:rPr>
                <w:rFonts w:eastAsia="等线"/>
                <w:b/>
                <w:bCs/>
                <w:color w:val="000000"/>
              </w:rPr>
              <w:t>54.4511%</w:t>
            </w:r>
          </w:p>
        </w:tc>
        <w:tc>
          <w:tcPr>
            <w:tcW w:w="1521" w:type="dxa"/>
            <w:vAlign w:val="center"/>
          </w:tcPr>
          <w:p w14:paraId="2B89694E">
            <w:pPr>
              <w:spacing w:line="360" w:lineRule="auto"/>
              <w:jc w:val="center"/>
              <w:rPr>
                <w:rFonts w:eastAsia="等线"/>
                <w:b/>
                <w:bCs/>
                <w:color w:val="000000"/>
              </w:rPr>
            </w:pPr>
            <w:r>
              <w:rPr>
                <w:rFonts w:eastAsia="等线"/>
                <w:b/>
                <w:bCs/>
                <w:color w:val="000000"/>
              </w:rPr>
              <w:t>2,743,108,825</w:t>
            </w:r>
          </w:p>
        </w:tc>
        <w:tc>
          <w:tcPr>
            <w:tcW w:w="1206" w:type="dxa"/>
            <w:vAlign w:val="center"/>
          </w:tcPr>
          <w:p w14:paraId="5199AC41">
            <w:pPr>
              <w:spacing w:line="360" w:lineRule="auto"/>
              <w:jc w:val="center"/>
              <w:rPr>
                <w:rFonts w:eastAsia="等线"/>
                <w:b/>
                <w:bCs/>
                <w:color w:val="000000"/>
              </w:rPr>
            </w:pPr>
            <w:r>
              <w:rPr>
                <w:rFonts w:eastAsia="等线"/>
                <w:b/>
                <w:bCs/>
                <w:color w:val="000000"/>
              </w:rPr>
              <w:t>27</w:t>
            </w:r>
            <w:r>
              <w:rPr>
                <w:rFonts w:hint="eastAsia" w:eastAsia="等线"/>
                <w:b/>
                <w:bCs/>
                <w:color w:val="000000"/>
              </w:rPr>
              <w:t>,</w:t>
            </w:r>
            <w:r>
              <w:rPr>
                <w:rFonts w:eastAsia="等线"/>
                <w:b/>
                <w:bCs/>
                <w:color w:val="000000"/>
              </w:rPr>
              <w:t>652</w:t>
            </w:r>
            <w:r>
              <w:rPr>
                <w:rFonts w:hint="eastAsia" w:eastAsia="等线"/>
                <w:b/>
                <w:bCs/>
                <w:color w:val="000000"/>
              </w:rPr>
              <w:t>,</w:t>
            </w:r>
            <w:r>
              <w:rPr>
                <w:rFonts w:eastAsia="等线"/>
                <w:b/>
                <w:bCs/>
                <w:color w:val="000000"/>
              </w:rPr>
              <w:t>000</w:t>
            </w:r>
          </w:p>
        </w:tc>
        <w:tc>
          <w:tcPr>
            <w:tcW w:w="1151" w:type="dxa"/>
            <w:vAlign w:val="center"/>
          </w:tcPr>
          <w:p w14:paraId="0F72081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55.0000%</w:t>
            </w:r>
          </w:p>
        </w:tc>
      </w:tr>
      <w:bookmarkEnd w:id="8"/>
    </w:tbl>
    <w:p w14:paraId="7C7F9791">
      <w:pPr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</w:pPr>
    </w:p>
    <w:p w14:paraId="2DFAB6AD">
      <w:pPr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本公告日，本公司已发行股本总计</w:t>
      </w:r>
      <w:r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5,037,747,500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股，包括</w:t>
      </w:r>
      <w:r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3,815,747,500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A股和</w:t>
      </w:r>
      <w:r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1,222,000,000H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股。</w:t>
      </w:r>
    </w:p>
    <w:p w14:paraId="45E69E0C">
      <w:pPr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本次交易前后，公司控股股东为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江苏交控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实际控制人江苏省国有资产监督管理委员会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，本次权益变动不会导致公司控股股东、实际控制人变更。</w:t>
      </w:r>
    </w:p>
    <w:p w14:paraId="3B49FC50">
      <w:pPr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</w:pPr>
    </w:p>
    <w:p w14:paraId="20616D9E">
      <w:pPr>
        <w:numPr>
          <w:ilvl w:val="0"/>
          <w:numId w:val="3"/>
        </w:numPr>
        <w:spacing w:before="0" w:after="0" w:line="360" w:lineRule="auto"/>
        <w:ind w:firstLine="482" w:firstLineChars="200"/>
        <w:outlineLvl w:val="0"/>
        <w:rPr>
          <w:rFonts w:asciiTheme="minorEastAsia" w:hAnsiTheme="minorEastAsia" w:eastAsiaTheme="minorEastAsia" w:cstheme="minorEastAsia"/>
          <w:b/>
          <w:bCs/>
          <w:sz w:val="24"/>
          <w:szCs w:val="24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shd w:val="clear" w:color="auto" w:fill="FFFFFF"/>
          <w:lang w:eastAsia="zh-CN"/>
        </w:rPr>
        <w:t>信息披露义务人基本情况</w:t>
      </w:r>
    </w:p>
    <w:p w14:paraId="54B71718">
      <w:pPr>
        <w:numPr>
          <w:ilvl w:val="255"/>
          <w:numId w:val="0"/>
        </w:numPr>
        <w:spacing w:before="0" w:after="0" w:line="360" w:lineRule="auto"/>
        <w:outlineLvl w:val="0"/>
        <w:rPr>
          <w:rFonts w:asciiTheme="minorEastAsia" w:hAnsiTheme="minorEastAsia" w:eastAsiaTheme="minorEastAsia" w:cstheme="minorEastAsia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shd w:val="clear" w:color="auto" w:fill="FFFFFF"/>
          <w:lang w:val="en-US" w:eastAsia="zh-CN"/>
        </w:rPr>
        <w:t>信息披露义务人1</w:t>
      </w:r>
    </w:p>
    <w:tbl>
      <w:tblPr>
        <w:tblStyle w:val="15"/>
        <w:tblW w:w="4741" w:type="pct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5387"/>
      </w:tblGrid>
      <w:tr w14:paraId="6AD94C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67" w:type="pct"/>
            <w:vAlign w:val="center"/>
          </w:tcPr>
          <w:p w14:paraId="0EFDE59D">
            <w:pPr>
              <w:spacing w:line="300" w:lineRule="auto"/>
            </w:pPr>
            <w:bookmarkStart w:id="9" w:name="_Hlk213234923"/>
            <w:r>
              <w:rPr>
                <w:rFonts w:hint="eastAsia"/>
              </w:rPr>
              <w:t>公司名称</w:t>
            </w:r>
          </w:p>
        </w:tc>
        <w:tc>
          <w:tcPr>
            <w:tcW w:w="3333" w:type="pct"/>
            <w:vAlign w:val="center"/>
          </w:tcPr>
          <w:p w14:paraId="3D5E6F1C">
            <w:pPr>
              <w:spacing w:line="30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江苏交通控股有限公司</w:t>
            </w:r>
          </w:p>
        </w:tc>
      </w:tr>
      <w:tr w14:paraId="6FB70B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67" w:type="pct"/>
            <w:vAlign w:val="center"/>
          </w:tcPr>
          <w:p w14:paraId="2D47887C">
            <w:pPr>
              <w:spacing w:line="300" w:lineRule="auto"/>
            </w:pPr>
            <w:r>
              <w:rPr>
                <w:rFonts w:hint="eastAsia"/>
              </w:rPr>
              <w:t>企业性质</w:t>
            </w:r>
          </w:p>
        </w:tc>
        <w:tc>
          <w:tcPr>
            <w:tcW w:w="3333" w:type="pct"/>
            <w:vAlign w:val="center"/>
          </w:tcPr>
          <w:p w14:paraId="2C4BB6F8">
            <w:pPr>
              <w:spacing w:line="300" w:lineRule="auto"/>
            </w:pPr>
            <w:r>
              <w:rPr>
                <w:rFonts w:hint="eastAsia"/>
              </w:rPr>
              <w:t>有限责任公司</w:t>
            </w:r>
          </w:p>
        </w:tc>
      </w:tr>
      <w:tr w14:paraId="5BF08F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67" w:type="pct"/>
            <w:vAlign w:val="center"/>
          </w:tcPr>
          <w:p w14:paraId="5C36A6AE">
            <w:pPr>
              <w:spacing w:line="300" w:lineRule="auto"/>
            </w:pPr>
            <w:r>
              <w:rPr>
                <w:rFonts w:hint="eastAsia"/>
              </w:rPr>
              <w:t>成立日期</w:t>
            </w:r>
          </w:p>
        </w:tc>
        <w:tc>
          <w:tcPr>
            <w:tcW w:w="3333" w:type="pct"/>
            <w:vAlign w:val="center"/>
          </w:tcPr>
          <w:p w14:paraId="37A54FBB">
            <w:pPr>
              <w:spacing w:line="300" w:lineRule="auto"/>
            </w:pPr>
            <w:r>
              <w:rPr>
                <w:rFonts w:hint="eastAsia"/>
              </w:rPr>
              <w:t>1993年3月5日</w:t>
            </w:r>
          </w:p>
        </w:tc>
      </w:tr>
      <w:tr w14:paraId="4E83F1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67" w:type="pct"/>
            <w:vAlign w:val="center"/>
          </w:tcPr>
          <w:p w14:paraId="36C5ACE8">
            <w:pPr>
              <w:spacing w:line="300" w:lineRule="auto"/>
            </w:pPr>
            <w:r>
              <w:rPr>
                <w:rFonts w:hint="eastAsia"/>
              </w:rPr>
              <w:t>营业期限</w:t>
            </w:r>
          </w:p>
        </w:tc>
        <w:tc>
          <w:tcPr>
            <w:tcW w:w="3333" w:type="pct"/>
            <w:vAlign w:val="center"/>
          </w:tcPr>
          <w:p w14:paraId="588702D1">
            <w:pPr>
              <w:spacing w:line="300" w:lineRule="auto"/>
            </w:pPr>
            <w:r>
              <w:rPr>
                <w:rFonts w:hint="eastAsia"/>
              </w:rPr>
              <w:t>长期</w:t>
            </w:r>
          </w:p>
        </w:tc>
      </w:tr>
      <w:tr w14:paraId="701D77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67" w:type="pct"/>
            <w:vAlign w:val="center"/>
          </w:tcPr>
          <w:p w14:paraId="36C74E38">
            <w:pPr>
              <w:spacing w:line="300" w:lineRule="auto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3333" w:type="pct"/>
            <w:vAlign w:val="center"/>
          </w:tcPr>
          <w:p w14:paraId="17108726">
            <w:pPr>
              <w:spacing w:line="30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江苏省南京市中山东路291号</w:t>
            </w:r>
          </w:p>
        </w:tc>
      </w:tr>
      <w:tr w14:paraId="248CAF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67" w:type="pct"/>
            <w:vAlign w:val="center"/>
          </w:tcPr>
          <w:p w14:paraId="35749FCD">
            <w:pPr>
              <w:spacing w:line="300" w:lineRule="auto"/>
            </w:pPr>
            <w:r>
              <w:rPr>
                <w:rFonts w:hint="eastAsia"/>
              </w:rPr>
              <w:t>主要办公地址</w:t>
            </w:r>
          </w:p>
        </w:tc>
        <w:tc>
          <w:tcPr>
            <w:tcW w:w="3333" w:type="pct"/>
            <w:vAlign w:val="center"/>
          </w:tcPr>
          <w:p w14:paraId="56235550">
            <w:pPr>
              <w:spacing w:line="30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江苏省南京市建邺区江东中路399号江苏交控大厦</w:t>
            </w:r>
          </w:p>
        </w:tc>
      </w:tr>
      <w:tr w14:paraId="7C8025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67" w:type="pct"/>
            <w:vAlign w:val="center"/>
          </w:tcPr>
          <w:p w14:paraId="443E98B0">
            <w:pPr>
              <w:spacing w:line="300" w:lineRule="auto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3333" w:type="pct"/>
            <w:vAlign w:val="center"/>
          </w:tcPr>
          <w:p w14:paraId="3074662A">
            <w:pPr>
              <w:spacing w:line="300" w:lineRule="auto"/>
            </w:pPr>
            <w:r>
              <w:rPr>
                <w:rFonts w:hint="eastAsia"/>
              </w:rPr>
              <w:t>邓东升</w:t>
            </w:r>
          </w:p>
        </w:tc>
      </w:tr>
      <w:tr w14:paraId="4A2F9C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67" w:type="pct"/>
            <w:vAlign w:val="center"/>
          </w:tcPr>
          <w:p w14:paraId="5B18B011">
            <w:pPr>
              <w:spacing w:line="300" w:lineRule="auto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3333" w:type="pct"/>
            <w:vAlign w:val="center"/>
          </w:tcPr>
          <w:p w14:paraId="5D275D35">
            <w:pPr>
              <w:spacing w:line="300" w:lineRule="auto"/>
            </w:pPr>
            <w:r>
              <w:rPr>
                <w:rFonts w:hint="eastAsia"/>
              </w:rPr>
              <w:t>1,680,000万元</w:t>
            </w:r>
          </w:p>
        </w:tc>
      </w:tr>
      <w:tr w14:paraId="1FDDE7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67" w:type="pct"/>
            <w:vAlign w:val="center"/>
          </w:tcPr>
          <w:p w14:paraId="1F9BBF85">
            <w:pPr>
              <w:spacing w:line="300" w:lineRule="auto"/>
            </w:pPr>
            <w:r>
              <w:rPr>
                <w:rFonts w:hint="eastAsia"/>
              </w:rPr>
              <w:t>统一社会信用代码</w:t>
            </w:r>
          </w:p>
        </w:tc>
        <w:tc>
          <w:tcPr>
            <w:tcW w:w="3333" w:type="pct"/>
            <w:vAlign w:val="center"/>
          </w:tcPr>
          <w:p w14:paraId="350F1D25">
            <w:pPr>
              <w:spacing w:line="300" w:lineRule="auto"/>
            </w:pPr>
            <w:r>
              <w:t>91320000134767063W</w:t>
            </w:r>
          </w:p>
        </w:tc>
      </w:tr>
      <w:tr w14:paraId="3A9569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403" w:hRule="atLeast"/>
        </w:trPr>
        <w:tc>
          <w:tcPr>
            <w:tcW w:w="1667" w:type="pct"/>
            <w:vAlign w:val="center"/>
          </w:tcPr>
          <w:p w14:paraId="1F029DBA">
            <w:pPr>
              <w:spacing w:line="300" w:lineRule="auto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3333" w:type="pct"/>
            <w:vAlign w:val="center"/>
          </w:tcPr>
          <w:p w14:paraId="4269BD77">
            <w:pPr>
              <w:spacing w:line="30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许可项目：公路管理与养护（依法须经批准的项目，经相关部门批准后方可开展经营活动，具体经营项目以审批结果为准）</w:t>
            </w:r>
          </w:p>
          <w:p w14:paraId="6D965059">
            <w:pPr>
              <w:spacing w:line="30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一般项目：企业总部管理；以自有资金从事投资活动；自有资金投资的资产管理服务；技术服务、技术开发、技术咨询、技术交流、技术转让、技术推广；科技推广和应用服务；人力资源服务（不含职业中介活动、劳务派遣服务）；互联网数据服务；住房租赁（除依法须经批准的项目外，凭营业执照依法自主开展经营活动）</w:t>
            </w:r>
          </w:p>
        </w:tc>
      </w:tr>
      <w:bookmarkEnd w:id="9"/>
    </w:tbl>
    <w:p w14:paraId="10FE6259">
      <w:pPr>
        <w:numPr>
          <w:ilvl w:val="255"/>
          <w:numId w:val="0"/>
        </w:numPr>
        <w:spacing w:before="0" w:after="0" w:line="360" w:lineRule="auto"/>
        <w:outlineLvl w:val="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信息披露义务人2</w:t>
      </w:r>
    </w:p>
    <w:tbl>
      <w:tblPr>
        <w:tblStyle w:val="15"/>
        <w:tblW w:w="4907" w:type="pct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6378"/>
      </w:tblGrid>
      <w:tr w14:paraId="0A9C1A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0A0F9EF1">
            <w:pPr>
              <w:spacing w:line="360" w:lineRule="exact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3813" w:type="pct"/>
            <w:vAlign w:val="center"/>
          </w:tcPr>
          <w:p w14:paraId="14513648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江苏云杉资本管理有限公司</w:t>
            </w:r>
          </w:p>
        </w:tc>
      </w:tr>
      <w:tr w14:paraId="2DDDA2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21B1C977">
            <w:pPr>
              <w:spacing w:line="360" w:lineRule="exact"/>
            </w:pPr>
            <w:r>
              <w:rPr>
                <w:rFonts w:hint="eastAsia"/>
              </w:rPr>
              <w:t>企业性质</w:t>
            </w:r>
          </w:p>
        </w:tc>
        <w:tc>
          <w:tcPr>
            <w:tcW w:w="3813" w:type="pct"/>
            <w:vAlign w:val="center"/>
          </w:tcPr>
          <w:p w14:paraId="3C8AA4B6">
            <w:pPr>
              <w:spacing w:line="360" w:lineRule="exact"/>
            </w:pPr>
            <w:r>
              <w:rPr>
                <w:rFonts w:hint="eastAsia"/>
              </w:rPr>
              <w:t>有限责任公司</w:t>
            </w:r>
          </w:p>
        </w:tc>
      </w:tr>
      <w:tr w14:paraId="487818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2AB86D6C">
            <w:pPr>
              <w:spacing w:line="360" w:lineRule="exact"/>
            </w:pPr>
            <w:r>
              <w:rPr>
                <w:rFonts w:hint="eastAsia"/>
              </w:rPr>
              <w:t>成立日期</w:t>
            </w:r>
          </w:p>
        </w:tc>
        <w:tc>
          <w:tcPr>
            <w:tcW w:w="3813" w:type="pct"/>
            <w:vAlign w:val="center"/>
          </w:tcPr>
          <w:p w14:paraId="004A9664">
            <w:pPr>
              <w:spacing w:line="360" w:lineRule="exact"/>
            </w:pPr>
            <w:r>
              <w:rPr>
                <w:rFonts w:hint="eastAsia"/>
              </w:rPr>
              <w:t>2015年7月9日</w:t>
            </w:r>
          </w:p>
        </w:tc>
      </w:tr>
      <w:tr w14:paraId="707CEE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425A4DDA">
            <w:pPr>
              <w:spacing w:line="360" w:lineRule="exact"/>
            </w:pPr>
            <w:r>
              <w:rPr>
                <w:rFonts w:hint="eastAsia"/>
              </w:rPr>
              <w:t>营业期限</w:t>
            </w:r>
          </w:p>
        </w:tc>
        <w:tc>
          <w:tcPr>
            <w:tcW w:w="3813" w:type="pct"/>
            <w:vAlign w:val="center"/>
          </w:tcPr>
          <w:p w14:paraId="1D696CBA">
            <w:pPr>
              <w:spacing w:line="360" w:lineRule="exact"/>
            </w:pPr>
            <w:r>
              <w:rPr>
                <w:rFonts w:hint="eastAsia"/>
              </w:rPr>
              <w:t>长期</w:t>
            </w:r>
          </w:p>
        </w:tc>
      </w:tr>
      <w:tr w14:paraId="37AD3C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03E29A33">
            <w:pPr>
              <w:spacing w:line="360" w:lineRule="exact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3813" w:type="pct"/>
            <w:vAlign w:val="center"/>
          </w:tcPr>
          <w:p w14:paraId="27425B17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江苏省南京市中山东路291号101室</w:t>
            </w:r>
          </w:p>
        </w:tc>
      </w:tr>
      <w:tr w14:paraId="1918F0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0BF8B3BC">
            <w:pPr>
              <w:spacing w:line="360" w:lineRule="exact"/>
            </w:pPr>
            <w:r>
              <w:rPr>
                <w:rFonts w:hint="eastAsia"/>
              </w:rPr>
              <w:t>主要办公地址</w:t>
            </w:r>
          </w:p>
        </w:tc>
        <w:tc>
          <w:tcPr>
            <w:tcW w:w="3813" w:type="pct"/>
            <w:vAlign w:val="center"/>
          </w:tcPr>
          <w:p w14:paraId="5F13E3D9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江苏省南京市建邺区江东中路399号江苏交控大厦</w:t>
            </w:r>
          </w:p>
        </w:tc>
      </w:tr>
      <w:tr w14:paraId="0AAC91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6CD4CA99">
            <w:pPr>
              <w:spacing w:line="360" w:lineRule="exact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3813" w:type="pct"/>
            <w:vAlign w:val="center"/>
          </w:tcPr>
          <w:p w14:paraId="3A6D358F">
            <w:pPr>
              <w:spacing w:line="360" w:lineRule="exact"/>
            </w:pPr>
            <w:r>
              <w:rPr>
                <w:rFonts w:hint="eastAsia"/>
              </w:rPr>
              <w:t>何华伟</w:t>
            </w:r>
          </w:p>
        </w:tc>
      </w:tr>
      <w:tr w14:paraId="77B22D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1944B0D5">
            <w:pPr>
              <w:spacing w:line="360" w:lineRule="exact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3813" w:type="pct"/>
            <w:vAlign w:val="center"/>
          </w:tcPr>
          <w:p w14:paraId="7B409572">
            <w:pPr>
              <w:spacing w:line="360" w:lineRule="exact"/>
            </w:pPr>
            <w:r>
              <w:rPr>
                <w:rFonts w:hint="eastAsia"/>
              </w:rPr>
              <w:t>1</w:t>
            </w:r>
            <w:r>
              <w:t>,</w:t>
            </w:r>
            <w:r>
              <w:rPr>
                <w:rFonts w:hint="eastAsia"/>
              </w:rPr>
              <w:t>370</w:t>
            </w:r>
            <w:r>
              <w:t>,</w:t>
            </w:r>
            <w:r>
              <w:rPr>
                <w:rFonts w:hint="eastAsia"/>
              </w:rPr>
              <w:t>000万元</w:t>
            </w:r>
          </w:p>
        </w:tc>
      </w:tr>
      <w:tr w14:paraId="2E3CC8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0995CC5B">
            <w:pPr>
              <w:spacing w:line="360" w:lineRule="exact"/>
            </w:pPr>
            <w:r>
              <w:rPr>
                <w:rFonts w:hint="eastAsia"/>
              </w:rPr>
              <w:t>统一社会信用代码</w:t>
            </w:r>
          </w:p>
        </w:tc>
        <w:tc>
          <w:tcPr>
            <w:tcW w:w="3813" w:type="pct"/>
            <w:vAlign w:val="center"/>
          </w:tcPr>
          <w:p w14:paraId="52CD6F89">
            <w:pPr>
              <w:spacing w:line="360" w:lineRule="exact"/>
            </w:pPr>
            <w:r>
              <w:t>91320000MA1MJJMW6K</w:t>
            </w:r>
          </w:p>
        </w:tc>
      </w:tr>
      <w:tr w14:paraId="47A248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87" w:type="pct"/>
            <w:vAlign w:val="center"/>
          </w:tcPr>
          <w:p w14:paraId="6CE913D0">
            <w:pPr>
              <w:spacing w:line="360" w:lineRule="exact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3813" w:type="pct"/>
            <w:vAlign w:val="center"/>
          </w:tcPr>
          <w:p w14:paraId="44A9F82A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股权投资，产业投资、证券及其衍生产品投资，资产管理，股权管理，投资管理，受托资产管理，投资基金管理，财务顾问，投资咨询，企业管理咨询，企业重组并购咨询服务。（依法须经批准的项目，经相关部门批准后方可开展经营活动）</w:t>
            </w:r>
          </w:p>
        </w:tc>
      </w:tr>
      <w:tr w14:paraId="062FD4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87" w:type="pct"/>
            <w:vAlign w:val="center"/>
          </w:tcPr>
          <w:p w14:paraId="37CF2594">
            <w:pPr>
              <w:spacing w:line="360" w:lineRule="exact"/>
            </w:pPr>
            <w:r>
              <w:rPr>
                <w:rFonts w:hint="eastAsia"/>
              </w:rPr>
              <w:t>股东情况</w:t>
            </w:r>
          </w:p>
        </w:tc>
        <w:tc>
          <w:tcPr>
            <w:tcW w:w="3813" w:type="pct"/>
            <w:vAlign w:val="center"/>
          </w:tcPr>
          <w:p w14:paraId="20E18173">
            <w:pPr>
              <w:spacing w:line="360" w:lineRule="exact"/>
            </w:pPr>
            <w:r>
              <w:rPr>
                <w:rFonts w:hint="eastAsia"/>
              </w:rPr>
              <w:t>江苏交控持股100%</w:t>
            </w:r>
          </w:p>
        </w:tc>
      </w:tr>
    </w:tbl>
    <w:p w14:paraId="74007CAB">
      <w:pPr>
        <w:numPr>
          <w:ilvl w:val="255"/>
          <w:numId w:val="0"/>
        </w:numPr>
        <w:spacing w:before="0" w:after="0" w:line="360" w:lineRule="auto"/>
        <w:outlineLvl w:val="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信息披露义务人3</w:t>
      </w:r>
    </w:p>
    <w:tbl>
      <w:tblPr>
        <w:tblStyle w:val="15"/>
        <w:tblW w:w="4907" w:type="pct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6378"/>
      </w:tblGrid>
      <w:tr w14:paraId="162D07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51BBA68E">
            <w:pPr>
              <w:spacing w:line="360" w:lineRule="exact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3813" w:type="pct"/>
            <w:vAlign w:val="center"/>
          </w:tcPr>
          <w:p w14:paraId="26F167EF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江苏扬子大桥股份有限公司</w:t>
            </w:r>
          </w:p>
        </w:tc>
      </w:tr>
      <w:tr w14:paraId="54910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187" w:type="pct"/>
            <w:vAlign w:val="center"/>
          </w:tcPr>
          <w:p w14:paraId="587A2563">
            <w:pPr>
              <w:spacing w:line="360" w:lineRule="exact"/>
            </w:pPr>
            <w:r>
              <w:rPr>
                <w:rFonts w:hint="eastAsia"/>
              </w:rPr>
              <w:t>企业性质</w:t>
            </w:r>
          </w:p>
        </w:tc>
        <w:tc>
          <w:tcPr>
            <w:tcW w:w="3813" w:type="pct"/>
            <w:vAlign w:val="center"/>
          </w:tcPr>
          <w:p w14:paraId="60F93C73">
            <w:pPr>
              <w:spacing w:line="360" w:lineRule="exact"/>
            </w:pPr>
            <w:r>
              <w:rPr>
                <w:rFonts w:hint="eastAsia"/>
              </w:rPr>
              <w:t>股份有限公司</w:t>
            </w:r>
          </w:p>
        </w:tc>
      </w:tr>
      <w:tr w14:paraId="668168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59D80645">
            <w:pPr>
              <w:spacing w:line="360" w:lineRule="exact"/>
            </w:pPr>
            <w:r>
              <w:rPr>
                <w:rFonts w:hint="eastAsia"/>
              </w:rPr>
              <w:t>成立日期</w:t>
            </w:r>
          </w:p>
        </w:tc>
        <w:tc>
          <w:tcPr>
            <w:tcW w:w="3813" w:type="pct"/>
            <w:vAlign w:val="center"/>
          </w:tcPr>
          <w:p w14:paraId="4F756A72">
            <w:pPr>
              <w:spacing w:line="360" w:lineRule="exact"/>
            </w:pPr>
            <w:r>
              <w:t>1992</w:t>
            </w:r>
            <w:r>
              <w:rPr>
                <w:rFonts w:hint="eastAsia"/>
              </w:rPr>
              <w:t>年</w:t>
            </w:r>
            <w:r>
              <w:t>12</w:t>
            </w:r>
            <w:r>
              <w:rPr>
                <w:rFonts w:hint="eastAsia"/>
              </w:rPr>
              <w:t>月</w:t>
            </w:r>
            <w:r>
              <w:t>31</w:t>
            </w:r>
            <w:r>
              <w:rPr>
                <w:rFonts w:hint="eastAsia"/>
              </w:rPr>
              <w:t>日</w:t>
            </w:r>
          </w:p>
        </w:tc>
      </w:tr>
      <w:tr w14:paraId="4617B0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0D810C32">
            <w:pPr>
              <w:spacing w:line="360" w:lineRule="exact"/>
            </w:pPr>
            <w:r>
              <w:rPr>
                <w:rFonts w:hint="eastAsia"/>
              </w:rPr>
              <w:t>营业期限</w:t>
            </w:r>
          </w:p>
        </w:tc>
        <w:tc>
          <w:tcPr>
            <w:tcW w:w="3813" w:type="pct"/>
            <w:vAlign w:val="center"/>
          </w:tcPr>
          <w:p w14:paraId="2ABD955C">
            <w:pPr>
              <w:spacing w:line="360" w:lineRule="exact"/>
            </w:pPr>
            <w:r>
              <w:rPr>
                <w:rFonts w:hint="eastAsia"/>
              </w:rPr>
              <w:t>长期</w:t>
            </w:r>
          </w:p>
        </w:tc>
      </w:tr>
      <w:tr w14:paraId="5A4894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15EB7161">
            <w:pPr>
              <w:spacing w:line="360" w:lineRule="exact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3813" w:type="pct"/>
            <w:vAlign w:val="center"/>
          </w:tcPr>
          <w:p w14:paraId="046964B1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江苏省南京市中山东路291号301室</w:t>
            </w:r>
          </w:p>
        </w:tc>
      </w:tr>
      <w:tr w14:paraId="2380FA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2D797133">
            <w:pPr>
              <w:spacing w:line="360" w:lineRule="exact"/>
            </w:pPr>
            <w:r>
              <w:rPr>
                <w:rFonts w:hint="eastAsia"/>
              </w:rPr>
              <w:t>主要办公地址</w:t>
            </w:r>
          </w:p>
        </w:tc>
        <w:tc>
          <w:tcPr>
            <w:tcW w:w="3813" w:type="pct"/>
            <w:vAlign w:val="center"/>
          </w:tcPr>
          <w:p w14:paraId="26F86D2C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江苏省江阴市公园路168号</w:t>
            </w:r>
          </w:p>
        </w:tc>
      </w:tr>
      <w:tr w14:paraId="6CDDDE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2627ADBE">
            <w:pPr>
              <w:spacing w:line="360" w:lineRule="exact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3813" w:type="pct"/>
            <w:vAlign w:val="center"/>
          </w:tcPr>
          <w:p w14:paraId="5B4122B8">
            <w:pPr>
              <w:spacing w:line="360" w:lineRule="exact"/>
            </w:pPr>
            <w:r>
              <w:rPr>
                <w:rFonts w:hint="eastAsia"/>
              </w:rPr>
              <w:t>吴尚岗</w:t>
            </w:r>
          </w:p>
        </w:tc>
      </w:tr>
      <w:tr w14:paraId="52AB45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16B6AFBC">
            <w:pPr>
              <w:spacing w:line="360" w:lineRule="exact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3813" w:type="pct"/>
            <w:vAlign w:val="center"/>
          </w:tcPr>
          <w:p w14:paraId="79808640">
            <w:pPr>
              <w:spacing w:line="360" w:lineRule="exact"/>
            </w:pPr>
            <w:r>
              <w:rPr>
                <w:rFonts w:hint="eastAsia"/>
              </w:rPr>
              <w:t>213,724.80万元</w:t>
            </w:r>
          </w:p>
        </w:tc>
      </w:tr>
      <w:tr w14:paraId="64073C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0FA8640F">
            <w:pPr>
              <w:spacing w:line="360" w:lineRule="exact"/>
            </w:pPr>
            <w:r>
              <w:rPr>
                <w:rFonts w:hint="eastAsia"/>
              </w:rPr>
              <w:t>统一社会信用代码</w:t>
            </w:r>
          </w:p>
        </w:tc>
        <w:tc>
          <w:tcPr>
            <w:tcW w:w="3813" w:type="pct"/>
            <w:vAlign w:val="center"/>
          </w:tcPr>
          <w:p w14:paraId="4A135DED">
            <w:pPr>
              <w:spacing w:line="360" w:lineRule="exact"/>
            </w:pPr>
            <w:r>
              <w:t>91320000134765092E</w:t>
            </w:r>
          </w:p>
        </w:tc>
      </w:tr>
      <w:tr w14:paraId="6058F4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87" w:type="pct"/>
            <w:vAlign w:val="center"/>
          </w:tcPr>
          <w:p w14:paraId="04983265">
            <w:pPr>
              <w:spacing w:line="360" w:lineRule="exact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3813" w:type="pct"/>
            <w:vAlign w:val="center"/>
          </w:tcPr>
          <w:p w14:paraId="5DD1F47A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阴长江公路大桥及其它交通基础设施的维护管理和经营，与大桥建设相关的原辅材料和设备销售，实用新技术开发，技术咨询，货物仓储，普通机械租赁，国内贸易（国家有专项规定的，办理审批手续后经营），设计、制作、发布、代理户外、印刷品广告。以下经营范围限分支机构经营：住宿，石油制品零售，制售中餐，各类定型包装食品零售，烟草制品零售，书报刊零售。（依法须经批准的项目，经相关部门批准后方可开展经营活动）</w:t>
            </w:r>
          </w:p>
          <w:p w14:paraId="5A9CD777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许可项目：餐饮服务（依法须经批准的项目，经相关部门批准后方可开展经营活动，具体经营项目以审批结果为准）</w:t>
            </w:r>
          </w:p>
          <w:p w14:paraId="4E02E6B1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一般项目：广告发布（非广播电台、电视台、报刊出版单位）；机动车修理和维护；物业管理；非居住房地产租赁（除依法须经批准的项目外，凭营业执照依法自主开展经营活动）</w:t>
            </w:r>
          </w:p>
        </w:tc>
      </w:tr>
      <w:tr w14:paraId="4F29E4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87" w:type="pct"/>
            <w:vAlign w:val="center"/>
          </w:tcPr>
          <w:p w14:paraId="4FB4813D">
            <w:pPr>
              <w:spacing w:line="360" w:lineRule="exact"/>
            </w:pPr>
            <w:r>
              <w:rPr>
                <w:rFonts w:hint="eastAsia"/>
              </w:rPr>
              <w:t>股东情况</w:t>
            </w:r>
          </w:p>
        </w:tc>
        <w:tc>
          <w:tcPr>
            <w:tcW w:w="3813" w:type="pct"/>
            <w:vAlign w:val="center"/>
          </w:tcPr>
          <w:p w14:paraId="5ACEEB68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江苏交控持股64.3989%、招商局公路网络科技控股股份有限公司持股21.6435%、上海民图投资控股有限公司持股7.0001%、国家开发投资集团有限公司持股6.6300%、靖江经济技术开发总公司持股0.3275%。</w:t>
            </w:r>
          </w:p>
        </w:tc>
      </w:tr>
    </w:tbl>
    <w:p w14:paraId="152A15EF">
      <w:pPr>
        <w:numPr>
          <w:ilvl w:val="255"/>
          <w:numId w:val="0"/>
        </w:numPr>
        <w:spacing w:before="0" w:after="0" w:line="360" w:lineRule="auto"/>
        <w:outlineLvl w:val="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信息披露义务人4</w:t>
      </w:r>
    </w:p>
    <w:tbl>
      <w:tblPr>
        <w:tblStyle w:val="15"/>
        <w:tblW w:w="4907" w:type="pct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6378"/>
      </w:tblGrid>
      <w:tr w14:paraId="212BF0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0A981F02">
            <w:pPr>
              <w:spacing w:line="360" w:lineRule="exact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3813" w:type="pct"/>
            <w:vAlign w:val="center"/>
          </w:tcPr>
          <w:p w14:paraId="08EA5783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江苏交控资产管理有限公司</w:t>
            </w:r>
          </w:p>
        </w:tc>
      </w:tr>
      <w:tr w14:paraId="0D6315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2DB6CD13">
            <w:pPr>
              <w:spacing w:line="360" w:lineRule="exact"/>
            </w:pPr>
            <w:r>
              <w:rPr>
                <w:rFonts w:hint="eastAsia"/>
              </w:rPr>
              <w:t>企业性质</w:t>
            </w:r>
          </w:p>
        </w:tc>
        <w:tc>
          <w:tcPr>
            <w:tcW w:w="3813" w:type="pct"/>
            <w:vAlign w:val="center"/>
          </w:tcPr>
          <w:p w14:paraId="58E61290">
            <w:pPr>
              <w:spacing w:line="360" w:lineRule="exact"/>
            </w:pPr>
            <w:r>
              <w:rPr>
                <w:rFonts w:hint="eastAsia"/>
              </w:rPr>
              <w:t>有限责任公司</w:t>
            </w:r>
          </w:p>
        </w:tc>
      </w:tr>
      <w:tr w14:paraId="437CCA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2D2F2FCB">
            <w:pPr>
              <w:spacing w:line="360" w:lineRule="exact"/>
            </w:pPr>
            <w:r>
              <w:rPr>
                <w:rFonts w:hint="eastAsia"/>
              </w:rPr>
              <w:t>成立日期</w:t>
            </w:r>
          </w:p>
        </w:tc>
        <w:tc>
          <w:tcPr>
            <w:tcW w:w="3813" w:type="pct"/>
            <w:vAlign w:val="center"/>
          </w:tcPr>
          <w:p w14:paraId="0649422F">
            <w:pPr>
              <w:spacing w:line="360" w:lineRule="exact"/>
            </w:pPr>
            <w:r>
              <w:t>1993</w:t>
            </w:r>
            <w:r>
              <w:rPr>
                <w:rFonts w:hint="eastAsia"/>
              </w:rPr>
              <w:t>年</w:t>
            </w:r>
            <w:r>
              <w:t>2</w:t>
            </w:r>
            <w:r>
              <w:rPr>
                <w:rFonts w:hint="eastAsia"/>
              </w:rPr>
              <w:t>月</w:t>
            </w:r>
            <w:r>
              <w:t>26</w:t>
            </w:r>
            <w:r>
              <w:rPr>
                <w:rFonts w:hint="eastAsia"/>
              </w:rPr>
              <w:t>日</w:t>
            </w:r>
          </w:p>
        </w:tc>
      </w:tr>
      <w:tr w14:paraId="74BE6F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257E2B57">
            <w:pPr>
              <w:spacing w:line="360" w:lineRule="exact"/>
            </w:pPr>
            <w:r>
              <w:rPr>
                <w:rFonts w:hint="eastAsia"/>
              </w:rPr>
              <w:t>营业期限</w:t>
            </w:r>
          </w:p>
        </w:tc>
        <w:tc>
          <w:tcPr>
            <w:tcW w:w="3813" w:type="pct"/>
            <w:vAlign w:val="center"/>
          </w:tcPr>
          <w:p w14:paraId="745179E6">
            <w:pPr>
              <w:spacing w:line="360" w:lineRule="exact"/>
            </w:pPr>
            <w:r>
              <w:rPr>
                <w:rFonts w:hint="eastAsia"/>
              </w:rPr>
              <w:t>长期</w:t>
            </w:r>
          </w:p>
        </w:tc>
      </w:tr>
      <w:tr w14:paraId="25FEA3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48D4FAD9">
            <w:pPr>
              <w:spacing w:line="360" w:lineRule="exact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3813" w:type="pct"/>
            <w:vAlign w:val="center"/>
          </w:tcPr>
          <w:p w14:paraId="2DA820CA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江苏省南京市建邺区庐山路242号金融城1期2号楼32F</w:t>
            </w:r>
          </w:p>
        </w:tc>
      </w:tr>
      <w:tr w14:paraId="2086E4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34D60F1A">
            <w:pPr>
              <w:spacing w:line="360" w:lineRule="exact"/>
            </w:pPr>
            <w:r>
              <w:rPr>
                <w:rFonts w:hint="eastAsia"/>
              </w:rPr>
              <w:t>主要办公地址</w:t>
            </w:r>
          </w:p>
        </w:tc>
        <w:tc>
          <w:tcPr>
            <w:tcW w:w="3813" w:type="pct"/>
            <w:vAlign w:val="center"/>
          </w:tcPr>
          <w:p w14:paraId="130E23FA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江苏省南京市建邺区庐山路242号金融城1期2号楼32F</w:t>
            </w:r>
          </w:p>
        </w:tc>
      </w:tr>
      <w:tr w14:paraId="38C60B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7207EC12">
            <w:pPr>
              <w:spacing w:line="360" w:lineRule="exact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3813" w:type="pct"/>
            <w:vAlign w:val="center"/>
          </w:tcPr>
          <w:p w14:paraId="34F8684C">
            <w:pPr>
              <w:spacing w:line="360" w:lineRule="exact"/>
            </w:pPr>
            <w:r>
              <w:rPr>
                <w:rFonts w:hint="eastAsia"/>
              </w:rPr>
              <w:t>卞传山</w:t>
            </w:r>
          </w:p>
        </w:tc>
      </w:tr>
      <w:tr w14:paraId="23B920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20C31354">
            <w:pPr>
              <w:spacing w:line="360" w:lineRule="exact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3813" w:type="pct"/>
            <w:vAlign w:val="center"/>
          </w:tcPr>
          <w:p w14:paraId="76C94DC3">
            <w:pPr>
              <w:spacing w:line="360" w:lineRule="exact"/>
            </w:pPr>
            <w:r>
              <w:rPr>
                <w:rFonts w:hint="eastAsia"/>
              </w:rPr>
              <w:t>9,218.021571万元 </w:t>
            </w:r>
          </w:p>
        </w:tc>
      </w:tr>
      <w:tr w14:paraId="49DB61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10186079">
            <w:pPr>
              <w:spacing w:line="360" w:lineRule="exact"/>
            </w:pPr>
            <w:r>
              <w:rPr>
                <w:rFonts w:hint="eastAsia"/>
              </w:rPr>
              <w:t>统一社会信用代码</w:t>
            </w:r>
          </w:p>
        </w:tc>
        <w:tc>
          <w:tcPr>
            <w:tcW w:w="3813" w:type="pct"/>
            <w:vAlign w:val="center"/>
          </w:tcPr>
          <w:p w14:paraId="1239AE2B">
            <w:pPr>
              <w:spacing w:line="360" w:lineRule="exact"/>
            </w:pPr>
            <w:r>
              <w:t>91320000134766810L</w:t>
            </w:r>
          </w:p>
        </w:tc>
      </w:tr>
      <w:tr w14:paraId="2FB925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87" w:type="pct"/>
            <w:vAlign w:val="center"/>
          </w:tcPr>
          <w:p w14:paraId="0039D4A3">
            <w:pPr>
              <w:spacing w:line="360" w:lineRule="exact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3813" w:type="pct"/>
            <w:vAlign w:val="center"/>
          </w:tcPr>
          <w:p w14:paraId="459F1B1A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许可项目：公募基金管理业务（依法须经批准的项目，经相关部门批准后方可开展经营活动，具体经营项目以审批结果为准）</w:t>
            </w:r>
          </w:p>
          <w:p w14:paraId="03DF7C88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一般项目：资产评估；自有资金投资的资产管理服务；土地调查评估服务；股权投资；以自有资金从事投资活动；企业管理；企业管理咨询；财务咨询；住房租赁；非居住房地产租赁；租赁服务（不含许可类租赁服务）；物业管理；再生资源销售；贸易经纪；专用化学产品销售（不含危险化学品）（除依法须经批准的项目外，凭营业执照依法自主开展经营活动）</w:t>
            </w:r>
          </w:p>
        </w:tc>
      </w:tr>
      <w:tr w14:paraId="580B9B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87" w:type="pct"/>
            <w:vAlign w:val="center"/>
          </w:tcPr>
          <w:p w14:paraId="6CD60845">
            <w:pPr>
              <w:spacing w:line="360" w:lineRule="exact"/>
            </w:pPr>
            <w:r>
              <w:rPr>
                <w:rFonts w:hint="eastAsia"/>
              </w:rPr>
              <w:t>股东情况</w:t>
            </w:r>
          </w:p>
        </w:tc>
        <w:tc>
          <w:tcPr>
            <w:tcW w:w="3813" w:type="pct"/>
            <w:vAlign w:val="center"/>
          </w:tcPr>
          <w:p w14:paraId="6A0835FA">
            <w:pPr>
              <w:spacing w:line="360" w:lineRule="exact"/>
            </w:pPr>
            <w:r>
              <w:rPr>
                <w:rFonts w:hint="eastAsia"/>
              </w:rPr>
              <w:t>江苏交控持股100%</w:t>
            </w:r>
          </w:p>
        </w:tc>
      </w:tr>
    </w:tbl>
    <w:p w14:paraId="5066C07A">
      <w:pPr>
        <w:numPr>
          <w:ilvl w:val="255"/>
          <w:numId w:val="0"/>
        </w:numPr>
        <w:spacing w:before="0" w:after="0" w:line="360" w:lineRule="auto"/>
        <w:outlineLvl w:val="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</w:pPr>
    </w:p>
    <w:p w14:paraId="10F2F0B3">
      <w:pPr>
        <w:numPr>
          <w:ilvl w:val="255"/>
          <w:numId w:val="0"/>
        </w:numPr>
        <w:spacing w:before="0" w:after="0" w:line="360" w:lineRule="auto"/>
        <w:outlineLvl w:val="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信息披露义务人5</w:t>
      </w:r>
    </w:p>
    <w:tbl>
      <w:tblPr>
        <w:tblStyle w:val="15"/>
        <w:tblW w:w="4907" w:type="pct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6378"/>
      </w:tblGrid>
      <w:tr w14:paraId="3F3B75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5308B77A">
            <w:pPr>
              <w:spacing w:line="360" w:lineRule="exact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3813" w:type="pct"/>
            <w:vAlign w:val="center"/>
          </w:tcPr>
          <w:p w14:paraId="1073A2DB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苏州金陵南林饭店有限责任公司</w:t>
            </w:r>
          </w:p>
        </w:tc>
      </w:tr>
      <w:tr w14:paraId="1C530C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6720A6C1">
            <w:pPr>
              <w:spacing w:line="360" w:lineRule="exact"/>
            </w:pPr>
            <w:r>
              <w:rPr>
                <w:rFonts w:hint="eastAsia"/>
              </w:rPr>
              <w:t>企业性质</w:t>
            </w:r>
          </w:p>
        </w:tc>
        <w:tc>
          <w:tcPr>
            <w:tcW w:w="3813" w:type="pct"/>
            <w:vAlign w:val="center"/>
          </w:tcPr>
          <w:p w14:paraId="6AAA24CF">
            <w:pPr>
              <w:spacing w:line="360" w:lineRule="exact"/>
            </w:pPr>
            <w:r>
              <w:rPr>
                <w:rFonts w:hint="eastAsia"/>
              </w:rPr>
              <w:t>有限责任公司</w:t>
            </w:r>
          </w:p>
        </w:tc>
      </w:tr>
      <w:tr w14:paraId="4F130E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39086CDA">
            <w:pPr>
              <w:spacing w:line="360" w:lineRule="exact"/>
            </w:pPr>
            <w:r>
              <w:rPr>
                <w:rFonts w:hint="eastAsia"/>
              </w:rPr>
              <w:t>成立日期</w:t>
            </w:r>
          </w:p>
        </w:tc>
        <w:tc>
          <w:tcPr>
            <w:tcW w:w="3813" w:type="pct"/>
            <w:vAlign w:val="center"/>
          </w:tcPr>
          <w:p w14:paraId="1344BCFE">
            <w:pPr>
              <w:spacing w:line="360" w:lineRule="exact"/>
            </w:pPr>
            <w:r>
              <w:t>1982</w:t>
            </w:r>
            <w:r>
              <w:rPr>
                <w:rFonts w:hint="eastAsia"/>
              </w:rPr>
              <w:t>年8月30日</w:t>
            </w:r>
          </w:p>
        </w:tc>
      </w:tr>
      <w:tr w14:paraId="1CD318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29306BD9">
            <w:pPr>
              <w:spacing w:line="360" w:lineRule="exact"/>
            </w:pPr>
            <w:r>
              <w:rPr>
                <w:rFonts w:hint="eastAsia"/>
              </w:rPr>
              <w:t>营业期限</w:t>
            </w:r>
          </w:p>
        </w:tc>
        <w:tc>
          <w:tcPr>
            <w:tcW w:w="3813" w:type="pct"/>
            <w:vAlign w:val="center"/>
          </w:tcPr>
          <w:p w14:paraId="41A61DD4">
            <w:pPr>
              <w:spacing w:line="360" w:lineRule="exact"/>
            </w:pPr>
            <w:r>
              <w:rPr>
                <w:rFonts w:hint="eastAsia"/>
              </w:rPr>
              <w:t>长期</w:t>
            </w:r>
          </w:p>
        </w:tc>
      </w:tr>
      <w:tr w14:paraId="465750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69512963">
            <w:pPr>
              <w:spacing w:line="360" w:lineRule="exact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3813" w:type="pct"/>
            <w:vAlign w:val="center"/>
          </w:tcPr>
          <w:p w14:paraId="69ADA9C8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江苏省苏州市滚绣坊20号</w:t>
            </w:r>
          </w:p>
        </w:tc>
      </w:tr>
      <w:tr w14:paraId="4E953C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1EB04A01">
            <w:pPr>
              <w:spacing w:line="360" w:lineRule="exact"/>
            </w:pPr>
            <w:r>
              <w:rPr>
                <w:rFonts w:hint="eastAsia"/>
              </w:rPr>
              <w:t>主要办公地址</w:t>
            </w:r>
          </w:p>
        </w:tc>
        <w:tc>
          <w:tcPr>
            <w:tcW w:w="3813" w:type="pct"/>
            <w:vAlign w:val="center"/>
          </w:tcPr>
          <w:p w14:paraId="6C13CC65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江苏省苏州市滚绣坊20号</w:t>
            </w:r>
          </w:p>
        </w:tc>
      </w:tr>
      <w:tr w14:paraId="028480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4E332D98">
            <w:pPr>
              <w:spacing w:line="360" w:lineRule="exact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3813" w:type="pct"/>
            <w:vAlign w:val="center"/>
          </w:tcPr>
          <w:p w14:paraId="1C68FB7C">
            <w:pPr>
              <w:spacing w:line="360" w:lineRule="exact"/>
            </w:pPr>
            <w:r>
              <w:rPr>
                <w:rFonts w:hint="eastAsia"/>
              </w:rPr>
              <w:t>周骞</w:t>
            </w:r>
          </w:p>
        </w:tc>
      </w:tr>
      <w:tr w14:paraId="3DF490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3048D193">
            <w:pPr>
              <w:spacing w:line="360" w:lineRule="exact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3813" w:type="pct"/>
            <w:vAlign w:val="center"/>
          </w:tcPr>
          <w:p w14:paraId="749CC9BF">
            <w:pPr>
              <w:spacing w:line="360" w:lineRule="exact"/>
            </w:pPr>
            <w:r>
              <w:rPr>
                <w:rFonts w:hint="eastAsia"/>
              </w:rPr>
              <w:t>22,771.5968万元 </w:t>
            </w:r>
          </w:p>
        </w:tc>
      </w:tr>
      <w:tr w14:paraId="772BBF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pct"/>
            <w:vAlign w:val="center"/>
          </w:tcPr>
          <w:p w14:paraId="6A69E87C">
            <w:pPr>
              <w:spacing w:line="360" w:lineRule="exact"/>
            </w:pPr>
            <w:r>
              <w:rPr>
                <w:rFonts w:hint="eastAsia"/>
              </w:rPr>
              <w:t>统一社会信用代码</w:t>
            </w:r>
          </w:p>
        </w:tc>
        <w:tc>
          <w:tcPr>
            <w:tcW w:w="3813" w:type="pct"/>
            <w:vAlign w:val="center"/>
          </w:tcPr>
          <w:p w14:paraId="7C08C2F2">
            <w:pPr>
              <w:spacing w:line="360" w:lineRule="exact"/>
            </w:pPr>
            <w:r>
              <w:t>91320508137735585U</w:t>
            </w:r>
          </w:p>
        </w:tc>
      </w:tr>
      <w:tr w14:paraId="1457AF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87" w:type="pct"/>
            <w:vAlign w:val="center"/>
          </w:tcPr>
          <w:p w14:paraId="64575493">
            <w:pPr>
              <w:spacing w:line="360" w:lineRule="exact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3813" w:type="pct"/>
            <w:vAlign w:val="center"/>
          </w:tcPr>
          <w:p w14:paraId="055476A1">
            <w:pPr>
              <w:spacing w:line="36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住宿、饮食服务；理发；附设酒吧、提供卡拉OK娱乐服务。桑拿、美容、健身服务。以下限分支机构：食品、卷烟。洗涤；销售：丝绸服装、针纺织品、工艺美术品（金银饰品零售）家用电器；停车场服务。（依法须经批准的项目，经相关部门批准后方可开展经营活动）一般项目：食用农产品零售（除依法须经批准的项目外，凭营业执照依法自主开展经营活动）</w:t>
            </w:r>
          </w:p>
        </w:tc>
      </w:tr>
      <w:tr w14:paraId="077A15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87" w:type="pct"/>
            <w:vAlign w:val="center"/>
          </w:tcPr>
          <w:p w14:paraId="02E8C731">
            <w:pPr>
              <w:spacing w:line="360" w:lineRule="exact"/>
            </w:pPr>
            <w:r>
              <w:rPr>
                <w:rFonts w:hint="eastAsia"/>
              </w:rPr>
              <w:t>股东情况</w:t>
            </w:r>
          </w:p>
        </w:tc>
        <w:tc>
          <w:tcPr>
            <w:tcW w:w="3813" w:type="pct"/>
            <w:vAlign w:val="center"/>
          </w:tcPr>
          <w:p w14:paraId="49AEA7C5">
            <w:pPr>
              <w:spacing w:line="360" w:lineRule="exact"/>
              <w:rPr>
                <w:lang w:val="en-US" w:eastAsia="zh-CN"/>
              </w:rPr>
            </w:pPr>
            <w:r>
              <w:rPr>
                <w:rFonts w:hint="eastAsia"/>
                <w:lang w:eastAsia="zh-CN"/>
              </w:rPr>
              <w:t>南京金陵饭店集团有限公司持股38.9959%、江苏广靖锡澄高速公路有限责任公司持股34.9098%</w:t>
            </w:r>
            <w:r>
              <w:rPr>
                <w:lang w:val="en-US" w:eastAsia="zh-CN"/>
              </w:rPr>
              <w:t>*</w:t>
            </w:r>
            <w:r>
              <w:rPr>
                <w:rFonts w:hint="eastAsia"/>
                <w:lang w:eastAsia="zh-CN"/>
              </w:rPr>
              <w:t>、江苏苏通大桥有限责任公司持股16.3453%、江苏沿江高速公路有限公司持股9.7490%。（江苏交控合计间接持股比例：61.0041%</w:t>
            </w:r>
            <w:r>
              <w:rPr>
                <w:rFonts w:hint="eastAsia"/>
                <w:lang w:val="en-US" w:eastAsia="zh-CN"/>
              </w:rPr>
              <w:t>）</w:t>
            </w:r>
          </w:p>
          <w:p w14:paraId="372E54DB">
            <w:pPr>
              <w:spacing w:line="360" w:lineRule="exact"/>
              <w:rPr>
                <w:lang w:eastAsia="zh-CN"/>
              </w:rPr>
            </w:pPr>
            <w:r>
              <w:rPr>
                <w:lang w:val="en-US" w:eastAsia="zh-CN"/>
              </w:rPr>
              <w:t>*</w:t>
            </w:r>
            <w:r>
              <w:rPr>
                <w:rFonts w:hint="eastAsia"/>
                <w:lang w:val="en-US" w:eastAsia="zh-CN"/>
              </w:rPr>
              <w:t>本公司的持股85%的子公司。</w:t>
            </w:r>
          </w:p>
        </w:tc>
      </w:tr>
    </w:tbl>
    <w:p w14:paraId="71A7F0B3">
      <w:pPr>
        <w:numPr>
          <w:ilvl w:val="255"/>
          <w:numId w:val="0"/>
        </w:numPr>
        <w:spacing w:before="0" w:after="0" w:line="360" w:lineRule="auto"/>
        <w:outlineLvl w:val="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val="ru-RU" w:eastAsia="zh-CN"/>
        </w:rPr>
      </w:pPr>
    </w:p>
    <w:p w14:paraId="52C9E76E">
      <w:pPr>
        <w:spacing w:before="0" w:after="0" w:line="360" w:lineRule="auto"/>
        <w:ind w:firstLine="482" w:firstLineChars="200"/>
        <w:rPr>
          <w:rFonts w:asciiTheme="minorEastAsia" w:hAnsiTheme="minorEastAsia" w:eastAsiaTheme="minorEastAsia" w:cstheme="minorEastAsia"/>
          <w:b/>
          <w:color w:val="000000"/>
          <w:sz w:val="24"/>
          <w:szCs w:val="24"/>
          <w:lang w:eastAsia="zh-CN"/>
        </w:rPr>
      </w:pPr>
      <w:bookmarkStart w:id="10" w:name="_Toc14251"/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lang w:val="en-US" w:eastAsia="zh-CN"/>
        </w:rPr>
        <w:t>三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lang w:eastAsia="zh-CN"/>
        </w:rPr>
        <w:t>、</w:t>
      </w:r>
      <w:bookmarkEnd w:id="10"/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lang w:val="en-US" w:eastAsia="zh-CN"/>
        </w:rPr>
        <w:t>其他说明</w:t>
      </w:r>
    </w:p>
    <w:p w14:paraId="26C05016">
      <w:pPr>
        <w:snapToGrid w:val="0"/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本次交易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未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触及要约收购，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本次权益变动不会导致控股股东、实际控制人的变化。</w:t>
      </w:r>
    </w:p>
    <w:p w14:paraId="3ACD2FC3">
      <w:pPr>
        <w:snapToGrid w:val="0"/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2、根据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《关于权益变动的告知函》《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eastAsia="zh-CN"/>
        </w:rPr>
        <w:t>简式权益变动报告书》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  <w:lang w:val="en-US" w:eastAsia="zh-CN"/>
        </w:rPr>
        <w:t>说明，本次控股股东江苏交控的增持行为，是基于对本公司内在价值高度认可和对未来持续稳定发展的信心，江苏交控及其一致行动人将在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  <w:t>符合相关法律法规的前提下，继续增持本公司H股股份；同时，江苏交控也将根据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  <w:t>相关要求之引导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  <w:t>，依法依规实施上市公司市值管理，践行控股股东责任，与上市公司产业发展形成有效协同，继续通过多种措施帮助宁沪高速做好市值管理相关工作。</w:t>
      </w:r>
    </w:p>
    <w:p w14:paraId="705590F7">
      <w:pPr>
        <w:snapToGrid w:val="0"/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eastAsia="zh-CN"/>
        </w:rPr>
        <w:t>、根据《中华人民共和国证券法》和《上市公司收购管理办法》等相关规定，本次权益变动相关信息披露义务人将按规定履行信息披露义务；</w:t>
      </w:r>
      <w:bookmarkStart w:id="11" w:name="_GoBack"/>
      <w:bookmarkEnd w:id="11"/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t>具体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eastAsia="zh-CN"/>
        </w:rPr>
        <w:t>信息详见本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t>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eastAsia="zh-CN"/>
        </w:rPr>
        <w:t>同日在《中国证券报》《证券时报》《上海证券报》及上海证券交易所网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t>站（</w:t>
      </w:r>
      <w:r>
        <w:rPr>
          <w:rFonts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instrText xml:space="preserve">HYPERLINK "http://www.sse.com.cn"</w:instrText>
      </w:r>
      <w:r>
        <w:rPr>
          <w:rFonts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t>www.sse.com.cn</w:t>
      </w:r>
      <w:r>
        <w:rPr>
          <w:rFonts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t>）</w:t>
      </w:r>
      <w:r>
        <w:rPr>
          <w:rFonts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t>,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t>香港联合交易所有限公司网站（</w:t>
      </w:r>
      <w:r>
        <w:rPr>
          <w:rFonts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instrText xml:space="preserve">HYPERLINK "http://www.hkexnews.com）及本公司"</w:instrText>
      </w:r>
      <w:r>
        <w:rPr>
          <w:rFonts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t>www.hkexnews.com）及本公司</w:t>
      </w:r>
      <w:r>
        <w:rPr>
          <w:rFonts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t>网站</w:t>
      </w:r>
      <w:r>
        <w:rPr>
          <w:rFonts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t>(www.jsexpressway.com)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eastAsia="zh-CN"/>
        </w:rPr>
        <w:t>披露的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t>信息披露义务人出具的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eastAsia="zh-CN"/>
        </w:rPr>
        <w:t>《简式权益变动报告书》。</w:t>
      </w:r>
    </w:p>
    <w:p w14:paraId="1DA75057">
      <w:pPr>
        <w:snapToGrid w:val="0"/>
        <w:spacing w:before="0" w:after="0" w:line="360" w:lineRule="auto"/>
        <w:ind w:firstLine="480" w:firstLineChars="200"/>
        <w:rPr>
          <w:rFonts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shd w:val="clear" w:color="auto" w:fill="FFFFFF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  <w:t>、本公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"/>
        </w:rPr>
        <w:t>司将持续关注信息披露义务人权益变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  <w:t>动情况，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  <w:t>督促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"/>
        </w:rPr>
        <w:t>其严格遵守相关法律法规的要求及时履行信息披露义务。</w:t>
      </w:r>
    </w:p>
    <w:p w14:paraId="36C1CFC8">
      <w:pPr>
        <w:spacing w:before="0" w:after="0" w:line="360" w:lineRule="auto"/>
        <w:ind w:firstLine="482" w:firstLineChars="200"/>
        <w:rPr>
          <w:rFonts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  <w:lang w:eastAsia="zh-CN"/>
        </w:rPr>
        <w:t>特此公告。</w:t>
      </w:r>
    </w:p>
    <w:p w14:paraId="444CEBA5">
      <w:pPr>
        <w:pStyle w:val="7"/>
        <w:spacing w:line="360" w:lineRule="auto"/>
        <w:ind w:firstLineChars="175"/>
        <w:jc w:val="left"/>
        <w:rPr>
          <w:rFonts w:cs="宋体" w:asciiTheme="minorEastAsia" w:hAnsiTheme="minorEastAsia" w:eastAsiaTheme="minorEastAsia"/>
          <w:sz w:val="24"/>
          <w:szCs w:val="24"/>
          <w:lang w:eastAsia="zh-CN"/>
        </w:rPr>
      </w:pPr>
    </w:p>
    <w:p w14:paraId="55F8F76D">
      <w:pPr>
        <w:adjustRightInd w:val="0"/>
        <w:spacing w:line="360" w:lineRule="auto"/>
        <w:ind w:firstLine="4096" w:firstLineChars="1700"/>
        <w:jc w:val="left"/>
        <w:rPr>
          <w:rFonts w:cs="宋体" w:asciiTheme="minorEastAsia" w:hAnsiTheme="minorEastAsia" w:eastAsiaTheme="minorEastAsia"/>
          <w:b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b/>
          <w:sz w:val="24"/>
          <w:lang w:eastAsia="zh-CN"/>
        </w:rPr>
        <w:t>江苏宁沪高速公路股份有限公司董事会</w:t>
      </w:r>
    </w:p>
    <w:p w14:paraId="4B38EC4F">
      <w:pPr>
        <w:spacing w:line="360" w:lineRule="auto"/>
        <w:ind w:firstLine="5301" w:firstLineChars="2200"/>
        <w:jc w:val="left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cs="宋体" w:asciiTheme="minorEastAsia" w:hAnsiTheme="minorEastAsia" w:eastAsiaTheme="minorEastAsia"/>
          <w:b/>
          <w:sz w:val="24"/>
          <w:lang w:eastAsia="zh-CN"/>
        </w:rPr>
        <w:t>二〇二</w:t>
      </w:r>
      <w:r>
        <w:rPr>
          <w:rFonts w:hint="eastAsia" w:cs="宋体" w:asciiTheme="minorEastAsia" w:hAnsiTheme="minorEastAsia" w:eastAsiaTheme="minorEastAsia"/>
          <w:b/>
          <w:sz w:val="24"/>
          <w:lang w:val="en-US" w:eastAsia="zh-CN"/>
        </w:rPr>
        <w:t>五</w:t>
      </w:r>
      <w:r>
        <w:rPr>
          <w:rFonts w:hint="eastAsia" w:cs="宋体" w:asciiTheme="minorEastAsia" w:hAnsiTheme="minorEastAsia" w:eastAsiaTheme="minorEastAsia"/>
          <w:b/>
          <w:sz w:val="24"/>
          <w:lang w:eastAsia="zh-CN"/>
        </w:rPr>
        <w:t>年</w:t>
      </w:r>
      <w:r>
        <w:rPr>
          <w:rFonts w:hint="eastAsia" w:cs="宋体" w:asciiTheme="minorEastAsia" w:hAnsiTheme="minorEastAsia" w:eastAsiaTheme="minorEastAsia"/>
          <w:b/>
          <w:sz w:val="24"/>
          <w:lang w:val="en-US" w:eastAsia="zh-CN"/>
        </w:rPr>
        <w:t>十一</w:t>
      </w:r>
      <w:r>
        <w:rPr>
          <w:rFonts w:hint="eastAsia" w:cs="宋体" w:asciiTheme="minorEastAsia" w:hAnsiTheme="minorEastAsia" w:eastAsiaTheme="minorEastAsia"/>
          <w:b/>
          <w:sz w:val="24"/>
          <w:lang w:eastAsia="zh-CN"/>
        </w:rPr>
        <w:t>月</w:t>
      </w:r>
      <w:r>
        <w:rPr>
          <w:rFonts w:hint="eastAsia" w:cs="宋体" w:asciiTheme="minorEastAsia" w:hAnsiTheme="minorEastAsia" w:eastAsiaTheme="minorEastAsia"/>
          <w:b/>
          <w:sz w:val="24"/>
          <w:lang w:val="en-US" w:eastAsia="zh-CN"/>
        </w:rPr>
        <w:t>六</w:t>
      </w:r>
      <w:r>
        <w:rPr>
          <w:rFonts w:hint="eastAsia" w:cs="宋体" w:asciiTheme="minorEastAsia" w:hAnsiTheme="minorEastAsia" w:eastAsiaTheme="minorEastAsia"/>
          <w:b/>
          <w:sz w:val="24"/>
          <w:lang w:eastAsia="zh-CN"/>
        </w:rPr>
        <w:t>日</w:t>
      </w:r>
    </w:p>
    <w:p w14:paraId="61CE7920">
      <w:pPr>
        <w:pStyle w:val="9"/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22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EBF944">
    <w:pPr>
      <w:pStyle w:val="11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F709D1">
    <w:pPr>
      <w:pStyle w:val="11"/>
    </w:pPr>
  </w:p>
  <w:p w14:paraId="31407CC1">
    <w:pPr>
      <w:pStyle w:val="1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D1FD41">
    <w:pPr>
      <w:pStyle w:val="1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744A65">
    <w:pPr>
      <w:pStyle w:val="1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30AF3">
    <w:pPr>
      <w:pStyle w:val="1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F61B7C"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B83878"/>
    <w:multiLevelType w:val="singleLevel"/>
    <w:tmpl w:val="BBB8387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8030EAA"/>
    <w:multiLevelType w:val="multilevel"/>
    <w:tmpl w:val="38030EAA"/>
    <w:lvl w:ilvl="0" w:tentative="0">
      <w:start w:val="1"/>
      <w:numFmt w:val="bullet"/>
      <w:lvlText w:val=""/>
      <w:lvlJc w:val="left"/>
      <w:pPr>
        <w:tabs>
          <w:tab w:val="left" w:pos="900"/>
        </w:tabs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"/>
      <w:lvlJc w:val="left"/>
      <w:pPr>
        <w:tabs>
          <w:tab w:val="left" w:pos="132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2">
    <w:nsid w:val="39385A0C"/>
    <w:multiLevelType w:val="multilevel"/>
    <w:tmpl w:val="39385A0C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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hideSpellingErrors/>
  <w:documentProtection w:enforcement="0"/>
  <w:defaultTabStop w:val="420"/>
  <w:drawingGridHorizontalSpacing w:val="110"/>
  <w:drawingGridVerticalSpacing w:val="156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iZjJiZjZlOGJkMTlkOWQ4NzU5NTVjMGI5YTZlMDkifQ=="/>
    <w:docVar w:name="KSO_WPS_MARK_KEY" w:val="b062f1d3-7ae3-420c-baa0-422f8db1127f"/>
  </w:docVars>
  <w:rsids>
    <w:rsidRoot w:val="00172A27"/>
    <w:rsid w:val="0000142F"/>
    <w:rsid w:val="00005228"/>
    <w:rsid w:val="00006A8F"/>
    <w:rsid w:val="0001205F"/>
    <w:rsid w:val="00014452"/>
    <w:rsid w:val="000256FB"/>
    <w:rsid w:val="00031231"/>
    <w:rsid w:val="000321A6"/>
    <w:rsid w:val="00040F6B"/>
    <w:rsid w:val="00041CC7"/>
    <w:rsid w:val="000456EA"/>
    <w:rsid w:val="0004586F"/>
    <w:rsid w:val="00047B58"/>
    <w:rsid w:val="0005162C"/>
    <w:rsid w:val="00051976"/>
    <w:rsid w:val="00060795"/>
    <w:rsid w:val="00061BC9"/>
    <w:rsid w:val="00061C55"/>
    <w:rsid w:val="0006753A"/>
    <w:rsid w:val="00071697"/>
    <w:rsid w:val="00071AE0"/>
    <w:rsid w:val="00075E3F"/>
    <w:rsid w:val="000764D6"/>
    <w:rsid w:val="0008232A"/>
    <w:rsid w:val="0008534D"/>
    <w:rsid w:val="0008538D"/>
    <w:rsid w:val="00086E34"/>
    <w:rsid w:val="0008765B"/>
    <w:rsid w:val="00087B34"/>
    <w:rsid w:val="000922D3"/>
    <w:rsid w:val="000A2DF7"/>
    <w:rsid w:val="000B258A"/>
    <w:rsid w:val="000B4240"/>
    <w:rsid w:val="000B5920"/>
    <w:rsid w:val="000B75D0"/>
    <w:rsid w:val="000C08F4"/>
    <w:rsid w:val="000C18D0"/>
    <w:rsid w:val="000C43B9"/>
    <w:rsid w:val="000D64FC"/>
    <w:rsid w:val="000E69E8"/>
    <w:rsid w:val="000F039B"/>
    <w:rsid w:val="000F507F"/>
    <w:rsid w:val="000F57E7"/>
    <w:rsid w:val="00101BF2"/>
    <w:rsid w:val="0010708C"/>
    <w:rsid w:val="001131C5"/>
    <w:rsid w:val="001143DD"/>
    <w:rsid w:val="00123F81"/>
    <w:rsid w:val="001240DF"/>
    <w:rsid w:val="00125B0A"/>
    <w:rsid w:val="00125E2D"/>
    <w:rsid w:val="00130CAB"/>
    <w:rsid w:val="00140A0C"/>
    <w:rsid w:val="00141D5A"/>
    <w:rsid w:val="0014226F"/>
    <w:rsid w:val="00142E74"/>
    <w:rsid w:val="00147D97"/>
    <w:rsid w:val="00150841"/>
    <w:rsid w:val="00160926"/>
    <w:rsid w:val="00165622"/>
    <w:rsid w:val="00172A27"/>
    <w:rsid w:val="00172FA7"/>
    <w:rsid w:val="00180713"/>
    <w:rsid w:val="00180B84"/>
    <w:rsid w:val="00181D5C"/>
    <w:rsid w:val="0018519E"/>
    <w:rsid w:val="0018584B"/>
    <w:rsid w:val="001858F9"/>
    <w:rsid w:val="00187220"/>
    <w:rsid w:val="0019127B"/>
    <w:rsid w:val="001958ED"/>
    <w:rsid w:val="00196609"/>
    <w:rsid w:val="001A0232"/>
    <w:rsid w:val="001A2260"/>
    <w:rsid w:val="001A2869"/>
    <w:rsid w:val="001A600F"/>
    <w:rsid w:val="001B2BA4"/>
    <w:rsid w:val="001C1EC1"/>
    <w:rsid w:val="001C4445"/>
    <w:rsid w:val="001C5386"/>
    <w:rsid w:val="001C5C81"/>
    <w:rsid w:val="001C6950"/>
    <w:rsid w:val="001D3F70"/>
    <w:rsid w:val="001D450C"/>
    <w:rsid w:val="001D55EB"/>
    <w:rsid w:val="001D785A"/>
    <w:rsid w:val="001E1663"/>
    <w:rsid w:val="001E5AEE"/>
    <w:rsid w:val="001F25FE"/>
    <w:rsid w:val="001F4633"/>
    <w:rsid w:val="001F6D40"/>
    <w:rsid w:val="002101FF"/>
    <w:rsid w:val="00212246"/>
    <w:rsid w:val="00212B97"/>
    <w:rsid w:val="00212FA8"/>
    <w:rsid w:val="00216FF1"/>
    <w:rsid w:val="002239ED"/>
    <w:rsid w:val="00224915"/>
    <w:rsid w:val="00224C25"/>
    <w:rsid w:val="0022589C"/>
    <w:rsid w:val="002308D0"/>
    <w:rsid w:val="00241F62"/>
    <w:rsid w:val="00247251"/>
    <w:rsid w:val="00247BAC"/>
    <w:rsid w:val="00251F68"/>
    <w:rsid w:val="002564A8"/>
    <w:rsid w:val="00256ADE"/>
    <w:rsid w:val="00257A56"/>
    <w:rsid w:val="002607DB"/>
    <w:rsid w:val="00260E7D"/>
    <w:rsid w:val="0026141E"/>
    <w:rsid w:val="002627A4"/>
    <w:rsid w:val="00263393"/>
    <w:rsid w:val="00264DA9"/>
    <w:rsid w:val="00266E3B"/>
    <w:rsid w:val="002748C8"/>
    <w:rsid w:val="00275E93"/>
    <w:rsid w:val="002763B6"/>
    <w:rsid w:val="002774DB"/>
    <w:rsid w:val="0028017F"/>
    <w:rsid w:val="00280264"/>
    <w:rsid w:val="00283FC3"/>
    <w:rsid w:val="00284065"/>
    <w:rsid w:val="002864BA"/>
    <w:rsid w:val="002905FA"/>
    <w:rsid w:val="00290D19"/>
    <w:rsid w:val="002A2533"/>
    <w:rsid w:val="002A25A1"/>
    <w:rsid w:val="002A5425"/>
    <w:rsid w:val="002A6CC9"/>
    <w:rsid w:val="002B278D"/>
    <w:rsid w:val="002C04E1"/>
    <w:rsid w:val="002C0DBA"/>
    <w:rsid w:val="002C6D0C"/>
    <w:rsid w:val="002D12D3"/>
    <w:rsid w:val="002D282B"/>
    <w:rsid w:val="002D594E"/>
    <w:rsid w:val="002F2AF7"/>
    <w:rsid w:val="002F7825"/>
    <w:rsid w:val="00305E76"/>
    <w:rsid w:val="003069B6"/>
    <w:rsid w:val="00313A7D"/>
    <w:rsid w:val="00315BB3"/>
    <w:rsid w:val="00322A8F"/>
    <w:rsid w:val="0032350A"/>
    <w:rsid w:val="0033226A"/>
    <w:rsid w:val="00332F84"/>
    <w:rsid w:val="003362BA"/>
    <w:rsid w:val="00336663"/>
    <w:rsid w:val="003367B1"/>
    <w:rsid w:val="003371F0"/>
    <w:rsid w:val="0034005F"/>
    <w:rsid w:val="0034172D"/>
    <w:rsid w:val="003441D7"/>
    <w:rsid w:val="00345975"/>
    <w:rsid w:val="00346908"/>
    <w:rsid w:val="00346DE7"/>
    <w:rsid w:val="00347C76"/>
    <w:rsid w:val="00347D42"/>
    <w:rsid w:val="003502B8"/>
    <w:rsid w:val="0035052E"/>
    <w:rsid w:val="0035127E"/>
    <w:rsid w:val="00352161"/>
    <w:rsid w:val="00355749"/>
    <w:rsid w:val="00355F48"/>
    <w:rsid w:val="003624B3"/>
    <w:rsid w:val="003629F2"/>
    <w:rsid w:val="00367AFA"/>
    <w:rsid w:val="0037024B"/>
    <w:rsid w:val="00371107"/>
    <w:rsid w:val="00372250"/>
    <w:rsid w:val="00372DF8"/>
    <w:rsid w:val="00373554"/>
    <w:rsid w:val="00373827"/>
    <w:rsid w:val="003777A7"/>
    <w:rsid w:val="003828CC"/>
    <w:rsid w:val="00384ACD"/>
    <w:rsid w:val="003861EA"/>
    <w:rsid w:val="00393891"/>
    <w:rsid w:val="003A1151"/>
    <w:rsid w:val="003A37BA"/>
    <w:rsid w:val="003A4713"/>
    <w:rsid w:val="003A597D"/>
    <w:rsid w:val="003B11B9"/>
    <w:rsid w:val="003B1890"/>
    <w:rsid w:val="003B1C9D"/>
    <w:rsid w:val="003C1396"/>
    <w:rsid w:val="003C543D"/>
    <w:rsid w:val="003D11D1"/>
    <w:rsid w:val="003D55AB"/>
    <w:rsid w:val="003D7C6B"/>
    <w:rsid w:val="003D7EBF"/>
    <w:rsid w:val="003E015F"/>
    <w:rsid w:val="003E2195"/>
    <w:rsid w:val="003E2449"/>
    <w:rsid w:val="003E3A98"/>
    <w:rsid w:val="003E4DC6"/>
    <w:rsid w:val="003F2145"/>
    <w:rsid w:val="003F622D"/>
    <w:rsid w:val="00400111"/>
    <w:rsid w:val="00401922"/>
    <w:rsid w:val="00407182"/>
    <w:rsid w:val="00414C60"/>
    <w:rsid w:val="00420B49"/>
    <w:rsid w:val="004219E3"/>
    <w:rsid w:val="00425CA4"/>
    <w:rsid w:val="00440C27"/>
    <w:rsid w:val="00442314"/>
    <w:rsid w:val="00442F0F"/>
    <w:rsid w:val="004516BC"/>
    <w:rsid w:val="0045364B"/>
    <w:rsid w:val="00453C0E"/>
    <w:rsid w:val="004552FB"/>
    <w:rsid w:val="0045575C"/>
    <w:rsid w:val="004565B8"/>
    <w:rsid w:val="004611F3"/>
    <w:rsid w:val="004613A6"/>
    <w:rsid w:val="0047429C"/>
    <w:rsid w:val="00483AA7"/>
    <w:rsid w:val="00484488"/>
    <w:rsid w:val="00486DE4"/>
    <w:rsid w:val="004875FE"/>
    <w:rsid w:val="00496733"/>
    <w:rsid w:val="00496F68"/>
    <w:rsid w:val="004A4FDE"/>
    <w:rsid w:val="004A5402"/>
    <w:rsid w:val="004A54DB"/>
    <w:rsid w:val="004A566E"/>
    <w:rsid w:val="004A6522"/>
    <w:rsid w:val="004B27A6"/>
    <w:rsid w:val="004B39EA"/>
    <w:rsid w:val="004B6F96"/>
    <w:rsid w:val="004B6FA4"/>
    <w:rsid w:val="004C2502"/>
    <w:rsid w:val="004C4803"/>
    <w:rsid w:val="004C4890"/>
    <w:rsid w:val="004C6AA0"/>
    <w:rsid w:val="004D1A87"/>
    <w:rsid w:val="004E00CB"/>
    <w:rsid w:val="004E1DAF"/>
    <w:rsid w:val="004E25A1"/>
    <w:rsid w:val="004E25DA"/>
    <w:rsid w:val="004E58E2"/>
    <w:rsid w:val="004E76A5"/>
    <w:rsid w:val="004F012E"/>
    <w:rsid w:val="004F32F8"/>
    <w:rsid w:val="004F69E0"/>
    <w:rsid w:val="004F7135"/>
    <w:rsid w:val="0050161E"/>
    <w:rsid w:val="005016AD"/>
    <w:rsid w:val="005033CF"/>
    <w:rsid w:val="0050464D"/>
    <w:rsid w:val="00505E53"/>
    <w:rsid w:val="005071B8"/>
    <w:rsid w:val="00517130"/>
    <w:rsid w:val="00520D56"/>
    <w:rsid w:val="00523375"/>
    <w:rsid w:val="005251F8"/>
    <w:rsid w:val="00530343"/>
    <w:rsid w:val="00530AF8"/>
    <w:rsid w:val="005357E4"/>
    <w:rsid w:val="005363DF"/>
    <w:rsid w:val="00540136"/>
    <w:rsid w:val="005423FA"/>
    <w:rsid w:val="00547B79"/>
    <w:rsid w:val="00552EFB"/>
    <w:rsid w:val="00553D03"/>
    <w:rsid w:val="005545CC"/>
    <w:rsid w:val="005604EF"/>
    <w:rsid w:val="00565836"/>
    <w:rsid w:val="00566940"/>
    <w:rsid w:val="0056770C"/>
    <w:rsid w:val="00571CE0"/>
    <w:rsid w:val="00572162"/>
    <w:rsid w:val="005726D1"/>
    <w:rsid w:val="00573E1B"/>
    <w:rsid w:val="00574755"/>
    <w:rsid w:val="0057783C"/>
    <w:rsid w:val="00580503"/>
    <w:rsid w:val="005865E6"/>
    <w:rsid w:val="0058723F"/>
    <w:rsid w:val="00591F9E"/>
    <w:rsid w:val="005922C3"/>
    <w:rsid w:val="00595DBA"/>
    <w:rsid w:val="00596526"/>
    <w:rsid w:val="005A59AB"/>
    <w:rsid w:val="005B12A1"/>
    <w:rsid w:val="005B1686"/>
    <w:rsid w:val="005B5F1E"/>
    <w:rsid w:val="005B6814"/>
    <w:rsid w:val="005C2494"/>
    <w:rsid w:val="005C50AF"/>
    <w:rsid w:val="005C6B28"/>
    <w:rsid w:val="005D1C3E"/>
    <w:rsid w:val="005E0304"/>
    <w:rsid w:val="005E1586"/>
    <w:rsid w:val="005E4F44"/>
    <w:rsid w:val="005F0C6C"/>
    <w:rsid w:val="005F6EAB"/>
    <w:rsid w:val="005F708F"/>
    <w:rsid w:val="00605568"/>
    <w:rsid w:val="0061320E"/>
    <w:rsid w:val="00621638"/>
    <w:rsid w:val="006254F4"/>
    <w:rsid w:val="00633D46"/>
    <w:rsid w:val="00634FC6"/>
    <w:rsid w:val="00637159"/>
    <w:rsid w:val="00640448"/>
    <w:rsid w:val="00645D27"/>
    <w:rsid w:val="006477F8"/>
    <w:rsid w:val="006539F6"/>
    <w:rsid w:val="00653CE2"/>
    <w:rsid w:val="00654EEA"/>
    <w:rsid w:val="00656928"/>
    <w:rsid w:val="00657944"/>
    <w:rsid w:val="00660ADB"/>
    <w:rsid w:val="00662882"/>
    <w:rsid w:val="006658A1"/>
    <w:rsid w:val="00666D96"/>
    <w:rsid w:val="006677BA"/>
    <w:rsid w:val="00672639"/>
    <w:rsid w:val="00673EF6"/>
    <w:rsid w:val="0067442E"/>
    <w:rsid w:val="0067481E"/>
    <w:rsid w:val="00676ADD"/>
    <w:rsid w:val="00677669"/>
    <w:rsid w:val="006806F7"/>
    <w:rsid w:val="00680EF4"/>
    <w:rsid w:val="00687843"/>
    <w:rsid w:val="00690536"/>
    <w:rsid w:val="00692F47"/>
    <w:rsid w:val="00695B63"/>
    <w:rsid w:val="00696724"/>
    <w:rsid w:val="006A50AE"/>
    <w:rsid w:val="006A7E5C"/>
    <w:rsid w:val="006B2A1E"/>
    <w:rsid w:val="006B2E49"/>
    <w:rsid w:val="006B5F32"/>
    <w:rsid w:val="006C017C"/>
    <w:rsid w:val="006C1D5E"/>
    <w:rsid w:val="006C65E8"/>
    <w:rsid w:val="006D0E3B"/>
    <w:rsid w:val="006D269B"/>
    <w:rsid w:val="006D597F"/>
    <w:rsid w:val="006D7C5B"/>
    <w:rsid w:val="006E6B85"/>
    <w:rsid w:val="006F0333"/>
    <w:rsid w:val="006F15A9"/>
    <w:rsid w:val="006F2803"/>
    <w:rsid w:val="006F3638"/>
    <w:rsid w:val="006F6AFF"/>
    <w:rsid w:val="00700B9F"/>
    <w:rsid w:val="007058EC"/>
    <w:rsid w:val="00707355"/>
    <w:rsid w:val="00717872"/>
    <w:rsid w:val="00717C13"/>
    <w:rsid w:val="00720C59"/>
    <w:rsid w:val="00722313"/>
    <w:rsid w:val="00722A2F"/>
    <w:rsid w:val="00732DBB"/>
    <w:rsid w:val="007350D3"/>
    <w:rsid w:val="007451F9"/>
    <w:rsid w:val="00751D31"/>
    <w:rsid w:val="0075494C"/>
    <w:rsid w:val="00756B4E"/>
    <w:rsid w:val="00757B7F"/>
    <w:rsid w:val="00757C45"/>
    <w:rsid w:val="00760034"/>
    <w:rsid w:val="00761AC7"/>
    <w:rsid w:val="0076231C"/>
    <w:rsid w:val="0076291C"/>
    <w:rsid w:val="007641F9"/>
    <w:rsid w:val="0077115A"/>
    <w:rsid w:val="00774B5E"/>
    <w:rsid w:val="0077747D"/>
    <w:rsid w:val="007779E1"/>
    <w:rsid w:val="00781989"/>
    <w:rsid w:val="007824CB"/>
    <w:rsid w:val="00782BC1"/>
    <w:rsid w:val="007842EA"/>
    <w:rsid w:val="00784B62"/>
    <w:rsid w:val="00784CAC"/>
    <w:rsid w:val="007856EE"/>
    <w:rsid w:val="00787847"/>
    <w:rsid w:val="00791F71"/>
    <w:rsid w:val="00792F54"/>
    <w:rsid w:val="007936FE"/>
    <w:rsid w:val="00793BE0"/>
    <w:rsid w:val="00793F6A"/>
    <w:rsid w:val="00795636"/>
    <w:rsid w:val="00795952"/>
    <w:rsid w:val="007974C0"/>
    <w:rsid w:val="00797A9A"/>
    <w:rsid w:val="007A3C32"/>
    <w:rsid w:val="007A4A10"/>
    <w:rsid w:val="007A5E7F"/>
    <w:rsid w:val="007B09D8"/>
    <w:rsid w:val="007B0FBC"/>
    <w:rsid w:val="007B1FC8"/>
    <w:rsid w:val="007B24A4"/>
    <w:rsid w:val="007B39B3"/>
    <w:rsid w:val="007B60AD"/>
    <w:rsid w:val="007C248E"/>
    <w:rsid w:val="007C3471"/>
    <w:rsid w:val="007C6593"/>
    <w:rsid w:val="007D0468"/>
    <w:rsid w:val="007D2616"/>
    <w:rsid w:val="007D2D1F"/>
    <w:rsid w:val="007D4579"/>
    <w:rsid w:val="007D6211"/>
    <w:rsid w:val="007E0F9E"/>
    <w:rsid w:val="007E14EB"/>
    <w:rsid w:val="007E49B1"/>
    <w:rsid w:val="007F11FB"/>
    <w:rsid w:val="00804F59"/>
    <w:rsid w:val="00806FA9"/>
    <w:rsid w:val="00815006"/>
    <w:rsid w:val="008210D6"/>
    <w:rsid w:val="008232AD"/>
    <w:rsid w:val="00825733"/>
    <w:rsid w:val="00825A76"/>
    <w:rsid w:val="00825C8E"/>
    <w:rsid w:val="00831CDB"/>
    <w:rsid w:val="00832D1E"/>
    <w:rsid w:val="0083374B"/>
    <w:rsid w:val="00834E8E"/>
    <w:rsid w:val="00836DB7"/>
    <w:rsid w:val="008415BC"/>
    <w:rsid w:val="0084246A"/>
    <w:rsid w:val="0084646C"/>
    <w:rsid w:val="00853047"/>
    <w:rsid w:val="00854040"/>
    <w:rsid w:val="0085601A"/>
    <w:rsid w:val="00860FEC"/>
    <w:rsid w:val="00861AB0"/>
    <w:rsid w:val="008632CA"/>
    <w:rsid w:val="00881F55"/>
    <w:rsid w:val="00882001"/>
    <w:rsid w:val="00883245"/>
    <w:rsid w:val="008867F1"/>
    <w:rsid w:val="008A56AB"/>
    <w:rsid w:val="008B3312"/>
    <w:rsid w:val="008B6088"/>
    <w:rsid w:val="008B6E25"/>
    <w:rsid w:val="008D3E77"/>
    <w:rsid w:val="008D59BF"/>
    <w:rsid w:val="008E2103"/>
    <w:rsid w:val="008E2214"/>
    <w:rsid w:val="008E3323"/>
    <w:rsid w:val="008E340B"/>
    <w:rsid w:val="008E49EE"/>
    <w:rsid w:val="008E535D"/>
    <w:rsid w:val="008F2011"/>
    <w:rsid w:val="008F2A9B"/>
    <w:rsid w:val="008F55B2"/>
    <w:rsid w:val="008F55BB"/>
    <w:rsid w:val="00904701"/>
    <w:rsid w:val="00907480"/>
    <w:rsid w:val="009113E1"/>
    <w:rsid w:val="00911641"/>
    <w:rsid w:val="00911A9B"/>
    <w:rsid w:val="00921362"/>
    <w:rsid w:val="009217B4"/>
    <w:rsid w:val="00923534"/>
    <w:rsid w:val="00924668"/>
    <w:rsid w:val="00924E19"/>
    <w:rsid w:val="00931354"/>
    <w:rsid w:val="00932447"/>
    <w:rsid w:val="009331DE"/>
    <w:rsid w:val="009369AA"/>
    <w:rsid w:val="00937831"/>
    <w:rsid w:val="00937C76"/>
    <w:rsid w:val="00941AAE"/>
    <w:rsid w:val="009432C8"/>
    <w:rsid w:val="00946B81"/>
    <w:rsid w:val="00950232"/>
    <w:rsid w:val="009505C5"/>
    <w:rsid w:val="0095646A"/>
    <w:rsid w:val="00957332"/>
    <w:rsid w:val="009609F7"/>
    <w:rsid w:val="00962675"/>
    <w:rsid w:val="0096373F"/>
    <w:rsid w:val="00964EA5"/>
    <w:rsid w:val="00974E86"/>
    <w:rsid w:val="009760F0"/>
    <w:rsid w:val="009767E0"/>
    <w:rsid w:val="00977F19"/>
    <w:rsid w:val="00984B0A"/>
    <w:rsid w:val="00987168"/>
    <w:rsid w:val="00992344"/>
    <w:rsid w:val="0099457C"/>
    <w:rsid w:val="00994C9B"/>
    <w:rsid w:val="009962EF"/>
    <w:rsid w:val="009974A2"/>
    <w:rsid w:val="00997C95"/>
    <w:rsid w:val="009A0F28"/>
    <w:rsid w:val="009A112F"/>
    <w:rsid w:val="009A280E"/>
    <w:rsid w:val="009A2C40"/>
    <w:rsid w:val="009A535E"/>
    <w:rsid w:val="009B5C08"/>
    <w:rsid w:val="009B6569"/>
    <w:rsid w:val="009B6BCA"/>
    <w:rsid w:val="009B70B7"/>
    <w:rsid w:val="009C0138"/>
    <w:rsid w:val="009C1D58"/>
    <w:rsid w:val="009C2CE8"/>
    <w:rsid w:val="009D2841"/>
    <w:rsid w:val="009D53EA"/>
    <w:rsid w:val="009E3836"/>
    <w:rsid w:val="009E5913"/>
    <w:rsid w:val="009F1198"/>
    <w:rsid w:val="00A0053E"/>
    <w:rsid w:val="00A014DB"/>
    <w:rsid w:val="00A01B4A"/>
    <w:rsid w:val="00A132F5"/>
    <w:rsid w:val="00A16086"/>
    <w:rsid w:val="00A176C4"/>
    <w:rsid w:val="00A17A3D"/>
    <w:rsid w:val="00A24A59"/>
    <w:rsid w:val="00A25816"/>
    <w:rsid w:val="00A304F2"/>
    <w:rsid w:val="00A32102"/>
    <w:rsid w:val="00A35D08"/>
    <w:rsid w:val="00A372F9"/>
    <w:rsid w:val="00A43B40"/>
    <w:rsid w:val="00A44C17"/>
    <w:rsid w:val="00A51E49"/>
    <w:rsid w:val="00A52423"/>
    <w:rsid w:val="00A54224"/>
    <w:rsid w:val="00A54972"/>
    <w:rsid w:val="00A71D85"/>
    <w:rsid w:val="00A729E4"/>
    <w:rsid w:val="00A74245"/>
    <w:rsid w:val="00A75209"/>
    <w:rsid w:val="00A83068"/>
    <w:rsid w:val="00A83586"/>
    <w:rsid w:val="00A83F29"/>
    <w:rsid w:val="00A85727"/>
    <w:rsid w:val="00A85877"/>
    <w:rsid w:val="00A90E23"/>
    <w:rsid w:val="00A93616"/>
    <w:rsid w:val="00A95624"/>
    <w:rsid w:val="00A96C4A"/>
    <w:rsid w:val="00AA0E25"/>
    <w:rsid w:val="00AA1781"/>
    <w:rsid w:val="00AA2163"/>
    <w:rsid w:val="00AA38D1"/>
    <w:rsid w:val="00AA7E36"/>
    <w:rsid w:val="00AB117B"/>
    <w:rsid w:val="00AB28B2"/>
    <w:rsid w:val="00AB30C2"/>
    <w:rsid w:val="00AC16C8"/>
    <w:rsid w:val="00AC1C87"/>
    <w:rsid w:val="00AC41CA"/>
    <w:rsid w:val="00AD1E6F"/>
    <w:rsid w:val="00AD3744"/>
    <w:rsid w:val="00AE5330"/>
    <w:rsid w:val="00AE5FF5"/>
    <w:rsid w:val="00AE6A5B"/>
    <w:rsid w:val="00AF148B"/>
    <w:rsid w:val="00AF2BBB"/>
    <w:rsid w:val="00AF577C"/>
    <w:rsid w:val="00AF67D1"/>
    <w:rsid w:val="00B00C08"/>
    <w:rsid w:val="00B02B37"/>
    <w:rsid w:val="00B03BE0"/>
    <w:rsid w:val="00B041F4"/>
    <w:rsid w:val="00B07B55"/>
    <w:rsid w:val="00B10ABA"/>
    <w:rsid w:val="00B11A21"/>
    <w:rsid w:val="00B12093"/>
    <w:rsid w:val="00B16E42"/>
    <w:rsid w:val="00B20A97"/>
    <w:rsid w:val="00B26D3B"/>
    <w:rsid w:val="00B27989"/>
    <w:rsid w:val="00B31004"/>
    <w:rsid w:val="00B34EB5"/>
    <w:rsid w:val="00B37207"/>
    <w:rsid w:val="00B42645"/>
    <w:rsid w:val="00B462FE"/>
    <w:rsid w:val="00B47E3F"/>
    <w:rsid w:val="00B50483"/>
    <w:rsid w:val="00B527CD"/>
    <w:rsid w:val="00B5456C"/>
    <w:rsid w:val="00B55FDF"/>
    <w:rsid w:val="00B601BD"/>
    <w:rsid w:val="00B615EF"/>
    <w:rsid w:val="00B625F3"/>
    <w:rsid w:val="00B62DF3"/>
    <w:rsid w:val="00B70ED5"/>
    <w:rsid w:val="00B7332E"/>
    <w:rsid w:val="00B74537"/>
    <w:rsid w:val="00B775B0"/>
    <w:rsid w:val="00B77DA3"/>
    <w:rsid w:val="00B77EBC"/>
    <w:rsid w:val="00B81A44"/>
    <w:rsid w:val="00B84819"/>
    <w:rsid w:val="00B85965"/>
    <w:rsid w:val="00B86A7A"/>
    <w:rsid w:val="00B90868"/>
    <w:rsid w:val="00B959B5"/>
    <w:rsid w:val="00B97A68"/>
    <w:rsid w:val="00BA0CC9"/>
    <w:rsid w:val="00BA41B2"/>
    <w:rsid w:val="00BA5F04"/>
    <w:rsid w:val="00BA5FF8"/>
    <w:rsid w:val="00BB1E4B"/>
    <w:rsid w:val="00BB390D"/>
    <w:rsid w:val="00BB6CB6"/>
    <w:rsid w:val="00BC01E3"/>
    <w:rsid w:val="00BC0F72"/>
    <w:rsid w:val="00BC6D70"/>
    <w:rsid w:val="00BC6E50"/>
    <w:rsid w:val="00BD0453"/>
    <w:rsid w:val="00BD055D"/>
    <w:rsid w:val="00BD17E3"/>
    <w:rsid w:val="00BD400A"/>
    <w:rsid w:val="00BE3B24"/>
    <w:rsid w:val="00BE5734"/>
    <w:rsid w:val="00BE7EF1"/>
    <w:rsid w:val="00BF0AEC"/>
    <w:rsid w:val="00BF15D3"/>
    <w:rsid w:val="00BF6A7A"/>
    <w:rsid w:val="00C0337B"/>
    <w:rsid w:val="00C03D84"/>
    <w:rsid w:val="00C0588A"/>
    <w:rsid w:val="00C126D7"/>
    <w:rsid w:val="00C2059A"/>
    <w:rsid w:val="00C223BC"/>
    <w:rsid w:val="00C250CD"/>
    <w:rsid w:val="00C31D5D"/>
    <w:rsid w:val="00C348A2"/>
    <w:rsid w:val="00C35759"/>
    <w:rsid w:val="00C36207"/>
    <w:rsid w:val="00C3674B"/>
    <w:rsid w:val="00C4126F"/>
    <w:rsid w:val="00C45760"/>
    <w:rsid w:val="00C46069"/>
    <w:rsid w:val="00C500FB"/>
    <w:rsid w:val="00C501C5"/>
    <w:rsid w:val="00C54986"/>
    <w:rsid w:val="00C56CC5"/>
    <w:rsid w:val="00C57B01"/>
    <w:rsid w:val="00C57F3E"/>
    <w:rsid w:val="00C60CBE"/>
    <w:rsid w:val="00C63D72"/>
    <w:rsid w:val="00C64A1C"/>
    <w:rsid w:val="00C67566"/>
    <w:rsid w:val="00C73E19"/>
    <w:rsid w:val="00C7513A"/>
    <w:rsid w:val="00C8268C"/>
    <w:rsid w:val="00C83AD3"/>
    <w:rsid w:val="00C83E27"/>
    <w:rsid w:val="00C849BD"/>
    <w:rsid w:val="00C8674C"/>
    <w:rsid w:val="00C86BDF"/>
    <w:rsid w:val="00C91794"/>
    <w:rsid w:val="00C91CC1"/>
    <w:rsid w:val="00C9287C"/>
    <w:rsid w:val="00C92A28"/>
    <w:rsid w:val="00C92D2F"/>
    <w:rsid w:val="00C95CC2"/>
    <w:rsid w:val="00CA0A3E"/>
    <w:rsid w:val="00CA754E"/>
    <w:rsid w:val="00CB0173"/>
    <w:rsid w:val="00CB4CE0"/>
    <w:rsid w:val="00CC1214"/>
    <w:rsid w:val="00CC3198"/>
    <w:rsid w:val="00CC3A2D"/>
    <w:rsid w:val="00CC3AF4"/>
    <w:rsid w:val="00CC4CF9"/>
    <w:rsid w:val="00CD6EAF"/>
    <w:rsid w:val="00CE1BBE"/>
    <w:rsid w:val="00CE2E77"/>
    <w:rsid w:val="00CF0E56"/>
    <w:rsid w:val="00CF4EDD"/>
    <w:rsid w:val="00CF59E8"/>
    <w:rsid w:val="00CF6245"/>
    <w:rsid w:val="00D005F6"/>
    <w:rsid w:val="00D029F7"/>
    <w:rsid w:val="00D03F23"/>
    <w:rsid w:val="00D04F59"/>
    <w:rsid w:val="00D07126"/>
    <w:rsid w:val="00D13831"/>
    <w:rsid w:val="00D13C42"/>
    <w:rsid w:val="00D162AB"/>
    <w:rsid w:val="00D22250"/>
    <w:rsid w:val="00D24EE2"/>
    <w:rsid w:val="00D262B6"/>
    <w:rsid w:val="00D26397"/>
    <w:rsid w:val="00D27F48"/>
    <w:rsid w:val="00D308ED"/>
    <w:rsid w:val="00D30C73"/>
    <w:rsid w:val="00D3170B"/>
    <w:rsid w:val="00D338FC"/>
    <w:rsid w:val="00D41E4A"/>
    <w:rsid w:val="00D508E9"/>
    <w:rsid w:val="00D534A7"/>
    <w:rsid w:val="00D55425"/>
    <w:rsid w:val="00D5572E"/>
    <w:rsid w:val="00D564E2"/>
    <w:rsid w:val="00D57954"/>
    <w:rsid w:val="00D624D3"/>
    <w:rsid w:val="00D62ED1"/>
    <w:rsid w:val="00D639E4"/>
    <w:rsid w:val="00D6498A"/>
    <w:rsid w:val="00D64C91"/>
    <w:rsid w:val="00D71D1F"/>
    <w:rsid w:val="00D7402E"/>
    <w:rsid w:val="00D74C69"/>
    <w:rsid w:val="00D766A8"/>
    <w:rsid w:val="00D84CFC"/>
    <w:rsid w:val="00D90700"/>
    <w:rsid w:val="00D90A48"/>
    <w:rsid w:val="00D912CB"/>
    <w:rsid w:val="00D95570"/>
    <w:rsid w:val="00DC383F"/>
    <w:rsid w:val="00DC3D39"/>
    <w:rsid w:val="00DC3F08"/>
    <w:rsid w:val="00DC40F8"/>
    <w:rsid w:val="00DC41E6"/>
    <w:rsid w:val="00DC48DC"/>
    <w:rsid w:val="00DD4105"/>
    <w:rsid w:val="00DE3585"/>
    <w:rsid w:val="00DF2709"/>
    <w:rsid w:val="00DF75D2"/>
    <w:rsid w:val="00DF7BF2"/>
    <w:rsid w:val="00E042E1"/>
    <w:rsid w:val="00E0431B"/>
    <w:rsid w:val="00E12A87"/>
    <w:rsid w:val="00E15B82"/>
    <w:rsid w:val="00E16F94"/>
    <w:rsid w:val="00E20B9D"/>
    <w:rsid w:val="00E30536"/>
    <w:rsid w:val="00E30A77"/>
    <w:rsid w:val="00E32963"/>
    <w:rsid w:val="00E3407C"/>
    <w:rsid w:val="00E41F90"/>
    <w:rsid w:val="00E4215A"/>
    <w:rsid w:val="00E4714F"/>
    <w:rsid w:val="00E479CD"/>
    <w:rsid w:val="00E47B60"/>
    <w:rsid w:val="00E507B6"/>
    <w:rsid w:val="00E508CA"/>
    <w:rsid w:val="00E51B60"/>
    <w:rsid w:val="00E56EAF"/>
    <w:rsid w:val="00E609A0"/>
    <w:rsid w:val="00E60BA6"/>
    <w:rsid w:val="00E6497E"/>
    <w:rsid w:val="00E65C7E"/>
    <w:rsid w:val="00E72A03"/>
    <w:rsid w:val="00E83227"/>
    <w:rsid w:val="00E8421A"/>
    <w:rsid w:val="00E908C8"/>
    <w:rsid w:val="00E94F73"/>
    <w:rsid w:val="00E95EBE"/>
    <w:rsid w:val="00E964F7"/>
    <w:rsid w:val="00E96559"/>
    <w:rsid w:val="00E9681B"/>
    <w:rsid w:val="00E96E82"/>
    <w:rsid w:val="00E97872"/>
    <w:rsid w:val="00EA5A2C"/>
    <w:rsid w:val="00EB17A3"/>
    <w:rsid w:val="00EB7A4E"/>
    <w:rsid w:val="00EC054B"/>
    <w:rsid w:val="00EC075B"/>
    <w:rsid w:val="00EC2153"/>
    <w:rsid w:val="00EC2FB7"/>
    <w:rsid w:val="00EC40D0"/>
    <w:rsid w:val="00ED1859"/>
    <w:rsid w:val="00ED2132"/>
    <w:rsid w:val="00ED3746"/>
    <w:rsid w:val="00EE3A45"/>
    <w:rsid w:val="00EF4F2A"/>
    <w:rsid w:val="00F00C41"/>
    <w:rsid w:val="00F014EB"/>
    <w:rsid w:val="00F0296F"/>
    <w:rsid w:val="00F054AC"/>
    <w:rsid w:val="00F10AEA"/>
    <w:rsid w:val="00F24680"/>
    <w:rsid w:val="00F24B96"/>
    <w:rsid w:val="00F25283"/>
    <w:rsid w:val="00F25344"/>
    <w:rsid w:val="00F255B3"/>
    <w:rsid w:val="00F258EB"/>
    <w:rsid w:val="00F3204D"/>
    <w:rsid w:val="00F33721"/>
    <w:rsid w:val="00F33B06"/>
    <w:rsid w:val="00F36E9B"/>
    <w:rsid w:val="00F40CC8"/>
    <w:rsid w:val="00F40F96"/>
    <w:rsid w:val="00F43BC1"/>
    <w:rsid w:val="00F440A7"/>
    <w:rsid w:val="00F45AA3"/>
    <w:rsid w:val="00F46D1B"/>
    <w:rsid w:val="00F50072"/>
    <w:rsid w:val="00F51068"/>
    <w:rsid w:val="00F541C6"/>
    <w:rsid w:val="00F573B3"/>
    <w:rsid w:val="00F5751A"/>
    <w:rsid w:val="00F57524"/>
    <w:rsid w:val="00F6210A"/>
    <w:rsid w:val="00F62A4F"/>
    <w:rsid w:val="00F632AB"/>
    <w:rsid w:val="00F71D90"/>
    <w:rsid w:val="00F7250F"/>
    <w:rsid w:val="00F72EA6"/>
    <w:rsid w:val="00F765FB"/>
    <w:rsid w:val="00F772C0"/>
    <w:rsid w:val="00F809EE"/>
    <w:rsid w:val="00F8247C"/>
    <w:rsid w:val="00F8463A"/>
    <w:rsid w:val="00F85193"/>
    <w:rsid w:val="00F86BF3"/>
    <w:rsid w:val="00FA56F7"/>
    <w:rsid w:val="00FB0BED"/>
    <w:rsid w:val="00FB17BF"/>
    <w:rsid w:val="00FB34B2"/>
    <w:rsid w:val="00FC2047"/>
    <w:rsid w:val="00FC7761"/>
    <w:rsid w:val="00FC7A03"/>
    <w:rsid w:val="00FC7FD6"/>
    <w:rsid w:val="00FD556F"/>
    <w:rsid w:val="00FE1447"/>
    <w:rsid w:val="00FE1AA8"/>
    <w:rsid w:val="00FE1BB6"/>
    <w:rsid w:val="00FE1C11"/>
    <w:rsid w:val="00FE5232"/>
    <w:rsid w:val="00FE7432"/>
    <w:rsid w:val="00FF4CD9"/>
    <w:rsid w:val="00FF4F7B"/>
    <w:rsid w:val="01011432"/>
    <w:rsid w:val="01D807EF"/>
    <w:rsid w:val="03E5503B"/>
    <w:rsid w:val="040E6BEC"/>
    <w:rsid w:val="044B4BE7"/>
    <w:rsid w:val="045C5616"/>
    <w:rsid w:val="04B073F7"/>
    <w:rsid w:val="053022E6"/>
    <w:rsid w:val="05B60993"/>
    <w:rsid w:val="05F93DC6"/>
    <w:rsid w:val="06065952"/>
    <w:rsid w:val="067C6C7C"/>
    <w:rsid w:val="06FF01A6"/>
    <w:rsid w:val="07627E79"/>
    <w:rsid w:val="07666CB3"/>
    <w:rsid w:val="079C700D"/>
    <w:rsid w:val="0950000A"/>
    <w:rsid w:val="09524819"/>
    <w:rsid w:val="096F02A0"/>
    <w:rsid w:val="09850EC4"/>
    <w:rsid w:val="09B66C11"/>
    <w:rsid w:val="09F61D50"/>
    <w:rsid w:val="0A93759F"/>
    <w:rsid w:val="0AC04AB2"/>
    <w:rsid w:val="0B043FF8"/>
    <w:rsid w:val="0B5D195B"/>
    <w:rsid w:val="0BD31DCC"/>
    <w:rsid w:val="0C121409"/>
    <w:rsid w:val="0C1A7C26"/>
    <w:rsid w:val="0C9055EC"/>
    <w:rsid w:val="0CEF7ECF"/>
    <w:rsid w:val="0D020A0B"/>
    <w:rsid w:val="0D0C3638"/>
    <w:rsid w:val="0D4A2113"/>
    <w:rsid w:val="0DC95DFA"/>
    <w:rsid w:val="0E0407B3"/>
    <w:rsid w:val="0E0D496A"/>
    <w:rsid w:val="0E101D52"/>
    <w:rsid w:val="0E4E71E7"/>
    <w:rsid w:val="0E82203D"/>
    <w:rsid w:val="0F783207"/>
    <w:rsid w:val="0FCF0BA1"/>
    <w:rsid w:val="10471EE0"/>
    <w:rsid w:val="10CB7366"/>
    <w:rsid w:val="11253617"/>
    <w:rsid w:val="112D1C7D"/>
    <w:rsid w:val="115353AC"/>
    <w:rsid w:val="1261638A"/>
    <w:rsid w:val="12A75AC3"/>
    <w:rsid w:val="12D55574"/>
    <w:rsid w:val="12F63207"/>
    <w:rsid w:val="13373E3D"/>
    <w:rsid w:val="13AF2F6F"/>
    <w:rsid w:val="14665D24"/>
    <w:rsid w:val="147075E2"/>
    <w:rsid w:val="14C41C81"/>
    <w:rsid w:val="14F61195"/>
    <w:rsid w:val="153D0030"/>
    <w:rsid w:val="156A6D57"/>
    <w:rsid w:val="158069A6"/>
    <w:rsid w:val="15A16E28"/>
    <w:rsid w:val="15FA02A7"/>
    <w:rsid w:val="16351280"/>
    <w:rsid w:val="168B1A72"/>
    <w:rsid w:val="16E76F5E"/>
    <w:rsid w:val="16F2652B"/>
    <w:rsid w:val="174B3737"/>
    <w:rsid w:val="18383533"/>
    <w:rsid w:val="183C4CD8"/>
    <w:rsid w:val="188F5EAC"/>
    <w:rsid w:val="18C774BA"/>
    <w:rsid w:val="18D16E71"/>
    <w:rsid w:val="1918273C"/>
    <w:rsid w:val="19193365"/>
    <w:rsid w:val="19EA0124"/>
    <w:rsid w:val="1A7B1DFD"/>
    <w:rsid w:val="1A856A8F"/>
    <w:rsid w:val="1A926C85"/>
    <w:rsid w:val="1B100797"/>
    <w:rsid w:val="1B4D19EC"/>
    <w:rsid w:val="1BE21B0B"/>
    <w:rsid w:val="1C2C3ED9"/>
    <w:rsid w:val="1C80402C"/>
    <w:rsid w:val="1DD737EE"/>
    <w:rsid w:val="1E3C4007"/>
    <w:rsid w:val="1EAB451D"/>
    <w:rsid w:val="1F34787E"/>
    <w:rsid w:val="1F6115C2"/>
    <w:rsid w:val="20184F85"/>
    <w:rsid w:val="20304BC9"/>
    <w:rsid w:val="214747E7"/>
    <w:rsid w:val="2148345E"/>
    <w:rsid w:val="216A599B"/>
    <w:rsid w:val="2181419D"/>
    <w:rsid w:val="21970A05"/>
    <w:rsid w:val="21E6671C"/>
    <w:rsid w:val="21F92E01"/>
    <w:rsid w:val="22143896"/>
    <w:rsid w:val="22543660"/>
    <w:rsid w:val="22693159"/>
    <w:rsid w:val="22FB04DD"/>
    <w:rsid w:val="253C44E1"/>
    <w:rsid w:val="255547C8"/>
    <w:rsid w:val="25BC57A4"/>
    <w:rsid w:val="26CE6972"/>
    <w:rsid w:val="26E86A6C"/>
    <w:rsid w:val="27196C26"/>
    <w:rsid w:val="274B7E0A"/>
    <w:rsid w:val="274C0DA9"/>
    <w:rsid w:val="274C2B57"/>
    <w:rsid w:val="274D09F9"/>
    <w:rsid w:val="297E2AE5"/>
    <w:rsid w:val="298D6CF2"/>
    <w:rsid w:val="2A4D3F2F"/>
    <w:rsid w:val="2A541123"/>
    <w:rsid w:val="2A6D3510"/>
    <w:rsid w:val="2A704DAF"/>
    <w:rsid w:val="2A9B706F"/>
    <w:rsid w:val="2ABE66BE"/>
    <w:rsid w:val="2B667F60"/>
    <w:rsid w:val="2B711B93"/>
    <w:rsid w:val="2B9176D3"/>
    <w:rsid w:val="2C283CE8"/>
    <w:rsid w:val="2CD80C4A"/>
    <w:rsid w:val="2CED6C30"/>
    <w:rsid w:val="2D7E7FA9"/>
    <w:rsid w:val="2DD3092A"/>
    <w:rsid w:val="2DE96D89"/>
    <w:rsid w:val="2E444588"/>
    <w:rsid w:val="2EA94D33"/>
    <w:rsid w:val="2EB65786"/>
    <w:rsid w:val="2ED3590C"/>
    <w:rsid w:val="2F8F217B"/>
    <w:rsid w:val="2FA704BD"/>
    <w:rsid w:val="303D3421"/>
    <w:rsid w:val="30F42C13"/>
    <w:rsid w:val="310B1A9B"/>
    <w:rsid w:val="316533B6"/>
    <w:rsid w:val="322E56F3"/>
    <w:rsid w:val="329C2BEC"/>
    <w:rsid w:val="32D16607"/>
    <w:rsid w:val="32F71915"/>
    <w:rsid w:val="33576B0C"/>
    <w:rsid w:val="33BF6080"/>
    <w:rsid w:val="33FC252F"/>
    <w:rsid w:val="346A1F14"/>
    <w:rsid w:val="347A74E4"/>
    <w:rsid w:val="35356692"/>
    <w:rsid w:val="35636439"/>
    <w:rsid w:val="36406EFC"/>
    <w:rsid w:val="36FD79CA"/>
    <w:rsid w:val="37092813"/>
    <w:rsid w:val="372907BF"/>
    <w:rsid w:val="377A473A"/>
    <w:rsid w:val="37853A8B"/>
    <w:rsid w:val="38167235"/>
    <w:rsid w:val="385E6B8E"/>
    <w:rsid w:val="39972AA2"/>
    <w:rsid w:val="39CC6FF1"/>
    <w:rsid w:val="39EE1DE6"/>
    <w:rsid w:val="3AE12DB5"/>
    <w:rsid w:val="3B8E745C"/>
    <w:rsid w:val="3C0815AA"/>
    <w:rsid w:val="3CB4779C"/>
    <w:rsid w:val="3CBF5A23"/>
    <w:rsid w:val="3D080DB7"/>
    <w:rsid w:val="3D410748"/>
    <w:rsid w:val="3E1D0952"/>
    <w:rsid w:val="3E6842CD"/>
    <w:rsid w:val="3E6F38A3"/>
    <w:rsid w:val="3E964F64"/>
    <w:rsid w:val="3E9B54C2"/>
    <w:rsid w:val="3F7B4F99"/>
    <w:rsid w:val="4062277F"/>
    <w:rsid w:val="40A43B77"/>
    <w:rsid w:val="40D12A83"/>
    <w:rsid w:val="418574BB"/>
    <w:rsid w:val="423E2F4F"/>
    <w:rsid w:val="43401FB6"/>
    <w:rsid w:val="44496945"/>
    <w:rsid w:val="44A9420C"/>
    <w:rsid w:val="45AD3FAA"/>
    <w:rsid w:val="477E06B3"/>
    <w:rsid w:val="4799729B"/>
    <w:rsid w:val="47D81C6D"/>
    <w:rsid w:val="48B55687"/>
    <w:rsid w:val="48DC2D1D"/>
    <w:rsid w:val="493A4322"/>
    <w:rsid w:val="497726F9"/>
    <w:rsid w:val="499E503D"/>
    <w:rsid w:val="4A776D78"/>
    <w:rsid w:val="4AAE148F"/>
    <w:rsid w:val="4AF81172"/>
    <w:rsid w:val="4B645E12"/>
    <w:rsid w:val="4B6969B6"/>
    <w:rsid w:val="4BF76C86"/>
    <w:rsid w:val="4C08108C"/>
    <w:rsid w:val="4C325EEB"/>
    <w:rsid w:val="4C3B586B"/>
    <w:rsid w:val="4C672BF1"/>
    <w:rsid w:val="4CFE0FFB"/>
    <w:rsid w:val="4D313C7E"/>
    <w:rsid w:val="4D313EF3"/>
    <w:rsid w:val="4EDE5EDB"/>
    <w:rsid w:val="4F624621"/>
    <w:rsid w:val="4FC60E49"/>
    <w:rsid w:val="4FEC63D6"/>
    <w:rsid w:val="4FFE473E"/>
    <w:rsid w:val="50AF6949"/>
    <w:rsid w:val="50DB0924"/>
    <w:rsid w:val="50DD00FE"/>
    <w:rsid w:val="5189650B"/>
    <w:rsid w:val="52173BDE"/>
    <w:rsid w:val="525B7B04"/>
    <w:rsid w:val="52AA10AF"/>
    <w:rsid w:val="53095B97"/>
    <w:rsid w:val="53CF578C"/>
    <w:rsid w:val="53F8359B"/>
    <w:rsid w:val="540E24C8"/>
    <w:rsid w:val="54121FB6"/>
    <w:rsid w:val="54306AE6"/>
    <w:rsid w:val="545C23B9"/>
    <w:rsid w:val="54777CC4"/>
    <w:rsid w:val="54BD2C3B"/>
    <w:rsid w:val="54DE4E87"/>
    <w:rsid w:val="55147BA8"/>
    <w:rsid w:val="556963E6"/>
    <w:rsid w:val="558277AF"/>
    <w:rsid w:val="561A3C9D"/>
    <w:rsid w:val="566E3FE9"/>
    <w:rsid w:val="5699760F"/>
    <w:rsid w:val="56A1327E"/>
    <w:rsid w:val="573E39BB"/>
    <w:rsid w:val="57632B2F"/>
    <w:rsid w:val="577D3138"/>
    <w:rsid w:val="57933824"/>
    <w:rsid w:val="57BC7A93"/>
    <w:rsid w:val="58006EC2"/>
    <w:rsid w:val="58D85A7B"/>
    <w:rsid w:val="59967677"/>
    <w:rsid w:val="5AD4278B"/>
    <w:rsid w:val="5B062A42"/>
    <w:rsid w:val="5C366C9F"/>
    <w:rsid w:val="5CA73DB1"/>
    <w:rsid w:val="5CDB19C4"/>
    <w:rsid w:val="5D6F2B20"/>
    <w:rsid w:val="5E9529FD"/>
    <w:rsid w:val="5ECE1194"/>
    <w:rsid w:val="5FCD1D80"/>
    <w:rsid w:val="60BE7581"/>
    <w:rsid w:val="61402D41"/>
    <w:rsid w:val="61A04DAD"/>
    <w:rsid w:val="620500A2"/>
    <w:rsid w:val="62465E1A"/>
    <w:rsid w:val="625959CB"/>
    <w:rsid w:val="63A27715"/>
    <w:rsid w:val="647F37C0"/>
    <w:rsid w:val="64DC75B4"/>
    <w:rsid w:val="658A4B8B"/>
    <w:rsid w:val="65EF3D27"/>
    <w:rsid w:val="669C730B"/>
    <w:rsid w:val="66A97F15"/>
    <w:rsid w:val="677D1976"/>
    <w:rsid w:val="67BA708E"/>
    <w:rsid w:val="683961C9"/>
    <w:rsid w:val="685748DD"/>
    <w:rsid w:val="688C0BFD"/>
    <w:rsid w:val="68941F02"/>
    <w:rsid w:val="68DE2B67"/>
    <w:rsid w:val="69F07869"/>
    <w:rsid w:val="6A5C4C73"/>
    <w:rsid w:val="6AD7131F"/>
    <w:rsid w:val="6B882FFF"/>
    <w:rsid w:val="6BF75BEB"/>
    <w:rsid w:val="6C276CBC"/>
    <w:rsid w:val="6CB247D7"/>
    <w:rsid w:val="6CD02EB0"/>
    <w:rsid w:val="6DB9234E"/>
    <w:rsid w:val="6E074EC2"/>
    <w:rsid w:val="6E385E25"/>
    <w:rsid w:val="6E836A43"/>
    <w:rsid w:val="6F061D18"/>
    <w:rsid w:val="6F2A71DD"/>
    <w:rsid w:val="6F9401C4"/>
    <w:rsid w:val="6FA964C7"/>
    <w:rsid w:val="6FC30AAA"/>
    <w:rsid w:val="6FFD045F"/>
    <w:rsid w:val="700F68DA"/>
    <w:rsid w:val="70EE0E8C"/>
    <w:rsid w:val="70F84783"/>
    <w:rsid w:val="721E638F"/>
    <w:rsid w:val="72E74324"/>
    <w:rsid w:val="736D76AA"/>
    <w:rsid w:val="73BB00CF"/>
    <w:rsid w:val="73D94D40"/>
    <w:rsid w:val="73DC65DE"/>
    <w:rsid w:val="74896269"/>
    <w:rsid w:val="75710A95"/>
    <w:rsid w:val="763A339C"/>
    <w:rsid w:val="76F729D8"/>
    <w:rsid w:val="771B741D"/>
    <w:rsid w:val="78822D12"/>
    <w:rsid w:val="78B43685"/>
    <w:rsid w:val="78D67AA0"/>
    <w:rsid w:val="78E91F0A"/>
    <w:rsid w:val="78EC22A5"/>
    <w:rsid w:val="78F61EF0"/>
    <w:rsid w:val="79A25E80"/>
    <w:rsid w:val="7B3079D1"/>
    <w:rsid w:val="7B86675E"/>
    <w:rsid w:val="7B945E88"/>
    <w:rsid w:val="7CCD2F68"/>
    <w:rsid w:val="7D356246"/>
    <w:rsid w:val="7D67447D"/>
    <w:rsid w:val="7E4953C9"/>
    <w:rsid w:val="7E974D76"/>
    <w:rsid w:val="7EC2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iPriority="99" w:semiHidden="0" w:name="Normal Indent"/>
    <w:lsdException w:uiPriority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  <w:jc w:val="both"/>
    </w:pPr>
    <w:rPr>
      <w:rFonts w:ascii="Palatino Linotype" w:hAnsi="Palatino Linotype" w:eastAsia="宋体" w:cs="Times New Roman"/>
      <w:sz w:val="22"/>
      <w:szCs w:val="22"/>
      <w:lang w:val="ru-RU" w:eastAsia="en-US" w:bidi="ar-SA"/>
    </w:rPr>
  </w:style>
  <w:style w:type="paragraph" w:styleId="2">
    <w:name w:val="heading 1"/>
    <w:basedOn w:val="3"/>
    <w:next w:val="1"/>
    <w:link w:val="32"/>
    <w:qFormat/>
    <w:uiPriority w:val="0"/>
    <w:pPr>
      <w:adjustRightInd w:val="0"/>
      <w:snapToGrid w:val="0"/>
      <w:spacing w:before="156" w:beforeLines="50" w:after="156" w:afterLines="50" w:line="360" w:lineRule="auto"/>
      <w:ind w:firstLine="482"/>
      <w:jc w:val="left"/>
      <w:outlineLvl w:val="0"/>
    </w:pPr>
    <w:rPr>
      <w:rFonts w:ascii="宋体" w:hAnsi="宋体" w:cs="宋体"/>
      <w:b/>
      <w:bCs/>
      <w:sz w:val="24"/>
      <w:szCs w:val="24"/>
      <w:lang w:val="en-US" w:eastAsia="zh-CN"/>
    </w:rPr>
  </w:style>
  <w:style w:type="paragraph" w:styleId="4">
    <w:name w:val="heading 2"/>
    <w:basedOn w:val="3"/>
    <w:next w:val="1"/>
    <w:link w:val="33"/>
    <w:unhideWhenUsed/>
    <w:qFormat/>
    <w:uiPriority w:val="0"/>
    <w:pPr>
      <w:spacing w:line="360" w:lineRule="auto"/>
      <w:ind w:firstLine="480"/>
      <w:outlineLvl w:val="1"/>
    </w:pPr>
    <w:rPr>
      <w:rFonts w:cs="宋体" w:asciiTheme="minorEastAsia" w:hAnsiTheme="minorEastAsia" w:eastAsiaTheme="minorEastAsia"/>
      <w:sz w:val="24"/>
      <w:szCs w:val="24"/>
      <w:lang w:val="en-US" w:eastAsia="zh-CN"/>
    </w:rPr>
  </w:style>
  <w:style w:type="paragraph" w:styleId="5">
    <w:name w:val="heading 3"/>
    <w:basedOn w:val="3"/>
    <w:next w:val="1"/>
    <w:link w:val="36"/>
    <w:unhideWhenUsed/>
    <w:qFormat/>
    <w:uiPriority w:val="0"/>
    <w:pPr>
      <w:spacing w:line="360" w:lineRule="auto"/>
      <w:ind w:firstLine="480"/>
      <w:outlineLvl w:val="2"/>
    </w:pPr>
    <w:rPr>
      <w:rFonts w:cs="宋体" w:asciiTheme="minorEastAsia" w:hAnsiTheme="minorEastAsia" w:eastAsiaTheme="minorEastAsia"/>
      <w:sz w:val="24"/>
      <w:szCs w:val="24"/>
      <w:shd w:val="clear" w:color="auto" w:fill="FFFFFF"/>
      <w:lang w:val="en-US" w:eastAsia="zh-CN"/>
    </w:rPr>
  </w:style>
  <w:style w:type="paragraph" w:styleId="6">
    <w:name w:val="heading 4"/>
    <w:basedOn w:val="1"/>
    <w:next w:val="1"/>
    <w:link w:val="37"/>
    <w:unhideWhenUsed/>
    <w:qFormat/>
    <w:uiPriority w:val="0"/>
    <w:pPr>
      <w:autoSpaceDE w:val="0"/>
      <w:autoSpaceDN w:val="0"/>
      <w:adjustRightInd w:val="0"/>
      <w:spacing w:line="360" w:lineRule="auto"/>
      <w:ind w:firstLine="440" w:firstLineChars="200"/>
      <w:outlineLvl w:val="3"/>
    </w:pPr>
    <w:rPr>
      <w:lang w:eastAsia="zh-CN"/>
    </w:rPr>
  </w:style>
  <w:style w:type="character" w:default="1" w:styleId="18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unhideWhenUsed/>
    <w:qFormat/>
    <w:uiPriority w:val="34"/>
    <w:pPr>
      <w:ind w:firstLine="420" w:firstLineChars="200"/>
    </w:pPr>
  </w:style>
  <w:style w:type="paragraph" w:styleId="7">
    <w:name w:val="Normal Indent"/>
    <w:basedOn w:val="1"/>
    <w:unhideWhenUsed/>
    <w:qFormat/>
    <w:uiPriority w:val="99"/>
    <w:pPr>
      <w:spacing w:line="590" w:lineRule="atLeast"/>
      <w:ind w:firstLine="420" w:firstLineChars="200"/>
    </w:pPr>
    <w:rPr>
      <w:rFonts w:ascii="Calibri" w:hAnsi="Calibri" w:cs="Calibri"/>
      <w:szCs w:val="21"/>
    </w:rPr>
  </w:style>
  <w:style w:type="paragraph" w:styleId="8">
    <w:name w:val="annotation text"/>
    <w:basedOn w:val="1"/>
    <w:link w:val="29"/>
    <w:qFormat/>
    <w:uiPriority w:val="99"/>
    <w:pPr>
      <w:jc w:val="left"/>
    </w:pPr>
  </w:style>
  <w:style w:type="paragraph" w:styleId="9">
    <w:name w:val="Body Text"/>
    <w:basedOn w:val="1"/>
    <w:link w:val="27"/>
    <w:qFormat/>
    <w:uiPriority w:val="99"/>
    <w:pPr>
      <w:spacing w:before="102" w:line="360" w:lineRule="auto"/>
      <w:ind w:left="112" w:firstLine="480" w:firstLineChars="200"/>
      <w:contextualSpacing/>
    </w:pPr>
    <w:rPr>
      <w:rFonts w:cs="宋体" w:asciiTheme="minorEastAsia" w:hAnsiTheme="minorEastAsia" w:eastAsiaTheme="minorEastAsia"/>
      <w:sz w:val="24"/>
      <w:szCs w:val="24"/>
      <w:lang w:val="en-US" w:eastAsia="zh-CN"/>
    </w:rPr>
  </w:style>
  <w:style w:type="paragraph" w:styleId="10">
    <w:name w:val="Balloon Text"/>
    <w:basedOn w:val="1"/>
    <w:link w:val="25"/>
    <w:qFormat/>
    <w:uiPriority w:val="0"/>
    <w:pPr>
      <w:spacing w:before="0" w:after="0"/>
    </w:pPr>
    <w:rPr>
      <w:sz w:val="18"/>
      <w:szCs w:val="18"/>
    </w:rPr>
  </w:style>
  <w:style w:type="paragraph" w:styleId="11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sz w:val="24"/>
    </w:rPr>
  </w:style>
  <w:style w:type="paragraph" w:styleId="14">
    <w:name w:val="annotation subject"/>
    <w:basedOn w:val="8"/>
    <w:next w:val="8"/>
    <w:link w:val="30"/>
    <w:qFormat/>
    <w:uiPriority w:val="0"/>
    <w:rPr>
      <w:b/>
      <w:bCs/>
    </w:rPr>
  </w:style>
  <w:style w:type="table" w:styleId="16">
    <w:name w:val="Table Grid"/>
    <w:basedOn w:val="15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7">
    <w:name w:val="Light Shading Accent 1"/>
    <w:basedOn w:val="15"/>
    <w:qFormat/>
    <w:uiPriority w:val="60"/>
    <w:rPr>
      <w:rFonts w:asciiTheme="minorHAnsi" w:hAnsiTheme="minorHAnsi" w:eastAsiaTheme="minorEastAsia" w:cstheme="minorBidi"/>
      <w:color w:val="2E75B6" w:themeColor="accent1" w:themeShade="BF"/>
      <w:sz w:val="22"/>
      <w:szCs w:val="22"/>
      <w:lang w:eastAsia="en-US"/>
    </w:rPr>
    <w:tblPr>
      <w:tblBorders>
        <w:top w:val="single" w:color="5B9BD5" w:themeColor="accent1" w:sz="8" w:space="0"/>
        <w:bottom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character" w:styleId="19">
    <w:name w:val="page number"/>
    <w:basedOn w:val="18"/>
    <w:qFormat/>
    <w:uiPriority w:val="0"/>
  </w:style>
  <w:style w:type="character" w:styleId="20">
    <w:name w:val="Hyperlink"/>
    <w:basedOn w:val="18"/>
    <w:unhideWhenUsed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1">
    <w:name w:val="annotation reference"/>
    <w:basedOn w:val="18"/>
    <w:qFormat/>
    <w:uiPriority w:val="0"/>
    <w:rPr>
      <w:sz w:val="21"/>
      <w:szCs w:val="21"/>
    </w:rPr>
  </w:style>
  <w:style w:type="character" w:customStyle="1" w:styleId="22">
    <w:name w:val="Header Char"/>
    <w:basedOn w:val="18"/>
    <w:link w:val="12"/>
    <w:qFormat/>
    <w:uiPriority w:val="0"/>
    <w:rPr>
      <w:rFonts w:ascii="Palatino Linotype" w:hAnsi="Palatino Linotype" w:eastAsia="宋体" w:cs="Times New Roman"/>
      <w:sz w:val="18"/>
      <w:szCs w:val="18"/>
      <w:lang w:val="ru-RU" w:eastAsia="en-US"/>
    </w:rPr>
  </w:style>
  <w:style w:type="character" w:customStyle="1" w:styleId="23">
    <w:name w:val="Footer Char"/>
    <w:basedOn w:val="18"/>
    <w:link w:val="11"/>
    <w:qFormat/>
    <w:uiPriority w:val="99"/>
    <w:rPr>
      <w:rFonts w:ascii="Palatino Linotype" w:hAnsi="Palatino Linotype" w:eastAsia="宋体" w:cs="Times New Roman"/>
      <w:sz w:val="18"/>
      <w:szCs w:val="18"/>
      <w:lang w:val="ru-RU" w:eastAsia="en-US"/>
    </w:rPr>
  </w:style>
  <w:style w:type="paragraph" w:customStyle="1" w:styleId="2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5">
    <w:name w:val="Balloon Text Char"/>
    <w:basedOn w:val="18"/>
    <w:link w:val="10"/>
    <w:qFormat/>
    <w:uiPriority w:val="0"/>
    <w:rPr>
      <w:rFonts w:ascii="Palatino Linotype" w:hAnsi="Palatino Linotype" w:eastAsia="宋体" w:cs="Times New Roman"/>
      <w:sz w:val="18"/>
      <w:szCs w:val="18"/>
      <w:lang w:val="ru-RU" w:eastAsia="en-US"/>
    </w:rPr>
  </w:style>
  <w:style w:type="character" w:customStyle="1" w:styleId="26">
    <w:name w:val="font51"/>
    <w:basedOn w:val="18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27">
    <w:name w:val="Body Text Char"/>
    <w:basedOn w:val="18"/>
    <w:link w:val="9"/>
    <w:qFormat/>
    <w:uiPriority w:val="99"/>
    <w:rPr>
      <w:rFonts w:cs="宋体" w:asciiTheme="minorEastAsia" w:hAnsiTheme="minorEastAsia" w:eastAsiaTheme="minorEastAsia"/>
      <w:sz w:val="24"/>
      <w:szCs w:val="24"/>
    </w:rPr>
  </w:style>
  <w:style w:type="paragraph" w:customStyle="1" w:styleId="28">
    <w:name w:val="修订1"/>
    <w:hidden/>
    <w:semiHidden/>
    <w:qFormat/>
    <w:uiPriority w:val="99"/>
    <w:rPr>
      <w:rFonts w:ascii="Palatino Linotype" w:hAnsi="Palatino Linotype" w:eastAsia="宋体" w:cs="Times New Roman"/>
      <w:sz w:val="22"/>
      <w:szCs w:val="22"/>
      <w:lang w:val="ru-RU" w:eastAsia="en-US" w:bidi="ar-SA"/>
    </w:rPr>
  </w:style>
  <w:style w:type="character" w:customStyle="1" w:styleId="29">
    <w:name w:val="Comment Text Char"/>
    <w:basedOn w:val="18"/>
    <w:link w:val="8"/>
    <w:qFormat/>
    <w:uiPriority w:val="99"/>
    <w:rPr>
      <w:rFonts w:ascii="Palatino Linotype" w:hAnsi="Palatino Linotype"/>
      <w:sz w:val="22"/>
      <w:szCs w:val="22"/>
      <w:lang w:val="ru-RU" w:eastAsia="en-US"/>
    </w:rPr>
  </w:style>
  <w:style w:type="character" w:customStyle="1" w:styleId="30">
    <w:name w:val="Comment Subject Char"/>
    <w:basedOn w:val="29"/>
    <w:link w:val="14"/>
    <w:qFormat/>
    <w:uiPriority w:val="0"/>
    <w:rPr>
      <w:rFonts w:ascii="Palatino Linotype" w:hAnsi="Palatino Linotype"/>
      <w:b/>
      <w:bCs/>
      <w:sz w:val="22"/>
      <w:szCs w:val="22"/>
      <w:lang w:val="ru-RU" w:eastAsia="en-US"/>
    </w:rPr>
  </w:style>
  <w:style w:type="paragraph" w:customStyle="1" w:styleId="31">
    <w:name w:val="修订2"/>
    <w:hidden/>
    <w:semiHidden/>
    <w:qFormat/>
    <w:uiPriority w:val="99"/>
    <w:rPr>
      <w:rFonts w:ascii="Palatino Linotype" w:hAnsi="Palatino Linotype" w:eastAsia="宋体" w:cs="Times New Roman"/>
      <w:sz w:val="22"/>
      <w:szCs w:val="22"/>
      <w:lang w:val="ru-RU" w:eastAsia="en-US" w:bidi="ar-SA"/>
    </w:rPr>
  </w:style>
  <w:style w:type="character" w:customStyle="1" w:styleId="32">
    <w:name w:val="Heading 1 Char"/>
    <w:basedOn w:val="18"/>
    <w:link w:val="2"/>
    <w:qFormat/>
    <w:uiPriority w:val="0"/>
    <w:rPr>
      <w:rFonts w:ascii="宋体" w:hAnsi="宋体" w:cs="宋体"/>
      <w:b/>
      <w:bCs/>
      <w:sz w:val="24"/>
      <w:szCs w:val="24"/>
    </w:rPr>
  </w:style>
  <w:style w:type="character" w:customStyle="1" w:styleId="33">
    <w:name w:val="Heading 2 Char"/>
    <w:basedOn w:val="18"/>
    <w:link w:val="4"/>
    <w:qFormat/>
    <w:uiPriority w:val="0"/>
    <w:rPr>
      <w:rFonts w:cs="宋体" w:asciiTheme="minorEastAsia" w:hAnsiTheme="minorEastAsia" w:eastAsiaTheme="minorEastAsia"/>
      <w:sz w:val="24"/>
      <w:szCs w:val="24"/>
    </w:rPr>
  </w:style>
  <w:style w:type="paragraph" w:customStyle="1" w:styleId="34">
    <w:name w:val="RS Body Text"/>
    <w:basedOn w:val="1"/>
    <w:link w:val="35"/>
    <w:qFormat/>
    <w:uiPriority w:val="0"/>
    <w:pPr>
      <w:spacing w:before="0"/>
      <w:jc w:val="left"/>
    </w:pPr>
    <w:rPr>
      <w:rFonts w:ascii="Times New Roman" w:hAnsi="Times New Roman" w:eastAsia="PMingLiU" w:cstheme="minorBidi"/>
      <w:sz w:val="24"/>
      <w:szCs w:val="24"/>
      <w:lang w:val="en-US"/>
    </w:rPr>
  </w:style>
  <w:style w:type="character" w:customStyle="1" w:styleId="35">
    <w:name w:val="RS Body Text Char"/>
    <w:basedOn w:val="18"/>
    <w:link w:val="34"/>
    <w:qFormat/>
    <w:uiPriority w:val="0"/>
    <w:rPr>
      <w:rFonts w:eastAsia="PMingLiU" w:cstheme="minorBidi"/>
      <w:sz w:val="24"/>
      <w:szCs w:val="24"/>
      <w:lang w:eastAsia="en-US"/>
    </w:rPr>
  </w:style>
  <w:style w:type="character" w:customStyle="1" w:styleId="36">
    <w:name w:val="Heading 3 Char"/>
    <w:basedOn w:val="18"/>
    <w:link w:val="5"/>
    <w:qFormat/>
    <w:uiPriority w:val="0"/>
    <w:rPr>
      <w:rFonts w:cs="宋体" w:asciiTheme="minorEastAsia" w:hAnsiTheme="minorEastAsia" w:eastAsiaTheme="minorEastAsia"/>
      <w:sz w:val="24"/>
      <w:szCs w:val="24"/>
    </w:rPr>
  </w:style>
  <w:style w:type="character" w:customStyle="1" w:styleId="37">
    <w:name w:val="Heading 4 Char"/>
    <w:basedOn w:val="18"/>
    <w:link w:val="6"/>
    <w:qFormat/>
    <w:uiPriority w:val="0"/>
    <w:rPr>
      <w:rFonts w:ascii="Palatino Linotype" w:hAnsi="Palatino Linotype"/>
      <w:sz w:val="22"/>
      <w:szCs w:val="22"/>
      <w:lang w:val="ru-RU"/>
    </w:rPr>
  </w:style>
  <w:style w:type="paragraph" w:customStyle="1" w:styleId="38">
    <w:name w:val="Decimal Aligned"/>
    <w:basedOn w:val="1"/>
    <w:qFormat/>
    <w:uiPriority w:val="40"/>
    <w:pPr>
      <w:tabs>
        <w:tab w:val="decimal" w:pos="360"/>
      </w:tabs>
      <w:spacing w:before="0" w:after="200" w:line="276" w:lineRule="auto"/>
      <w:jc w:val="left"/>
    </w:pPr>
    <w:rPr>
      <w:rFonts w:asciiTheme="minorHAnsi" w:hAnsiTheme="minorHAnsi" w:eastAsiaTheme="minorEastAsia"/>
      <w:lang w:val="en-US"/>
    </w:rPr>
  </w:style>
  <w:style w:type="character" w:customStyle="1" w:styleId="39">
    <w:name w:val="不明显强调1"/>
    <w:basedOn w:val="18"/>
    <w:qFormat/>
    <w:uiPriority w:val="19"/>
    <w:rPr>
      <w:i/>
      <w:iCs/>
    </w:rPr>
  </w:style>
  <w:style w:type="paragraph" w:customStyle="1" w:styleId="40">
    <w:name w:val="修订3"/>
    <w:hidden/>
    <w:unhideWhenUsed/>
    <w:qFormat/>
    <w:uiPriority w:val="99"/>
    <w:rPr>
      <w:rFonts w:ascii="Palatino Linotype" w:hAnsi="Palatino Linotype" w:eastAsia="宋体" w:cs="Times New Roman"/>
      <w:sz w:val="22"/>
      <w:szCs w:val="22"/>
      <w:lang w:val="ru-RU" w:eastAsia="en-US" w:bidi="ar-SA"/>
    </w:rPr>
  </w:style>
  <w:style w:type="paragraph" w:customStyle="1" w:styleId="41">
    <w:name w:val="Revision"/>
    <w:hidden/>
    <w:semiHidden/>
    <w:uiPriority w:val="99"/>
    <w:rPr>
      <w:rFonts w:ascii="Palatino Linotype" w:hAnsi="Palatino Linotype" w:eastAsia="宋体" w:cs="Times New Roman"/>
      <w:sz w:val="22"/>
      <w:szCs w:val="22"/>
      <w:lang w:val="ru-RU" w:eastAsia="en-US" w:bidi="ar-SA"/>
    </w:rPr>
  </w:style>
  <w:style w:type="character" w:customStyle="1" w:styleId="42">
    <w:name w:val="Unresolved Mention"/>
    <w:basedOn w:val="1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94AD0-6C86-4D71-A089-EFCA25A1F7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1068</Words>
  <Characters>1371</Characters>
  <Lines>586</Lines>
  <Paragraphs>540</Paragraphs>
  <TotalTime>48</TotalTime>
  <ScaleCrop>false</ScaleCrop>
  <LinksUpToDate>false</LinksUpToDate>
  <CharactersWithSpaces>1390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2025-11-05T04:40:00Z</dcterms:created>
  <dc:creator>NH-222</dc:creator>
  <cp:lastModifiedBy>卢柯言</cp:lastModifiedBy>
  <cp:lastPrinted>2025-07-24T00:55:00Z</cp:lastPrinted>
  <dcterms:modified xsi:type="dcterms:W3CDTF">2025-11-05T07:36:05Z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034A895CF7EE4873932AD695F758A996_13</vt:lpwstr>
  </property>
  <property fmtid="{D5CDD505-2E9C-101B-9397-08002B2CF9AE}" pid="4" name="KSOTemplateDocerSaveRecord">
    <vt:lpwstr>eyJoZGlkIjoiM2NmMmIwMWIxYzAyZmZiMWZlOTY3NTcxZmU2NzhhZTEiLCJ1c2VySWQiOiIxNjcyMzMwMzQ3In0=</vt:lpwstr>
  </property>
</Properties>
</file>