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DA210F">
      <w:pPr>
        <w:adjustRightInd w:val="0"/>
        <w:snapToGrid w:val="0"/>
        <w:spacing w:line="360" w:lineRule="auto"/>
        <w:rPr>
          <w:rFonts w:hint="default" w:asciiTheme="minorEastAsia" w:hAnsiTheme="minorEastAsia" w:eastAsiaTheme="minorEastAsia" w:cstheme="minorEastAsia"/>
          <w:b/>
          <w:sz w:val="24"/>
          <w:lang w:val="en-US" w:eastAsia="zh-CN"/>
        </w:rPr>
      </w:pPr>
      <w:r>
        <w:rPr>
          <w:rFonts w:hint="eastAsia" w:asciiTheme="minorEastAsia" w:hAnsiTheme="minorEastAsia" w:eastAsiaTheme="minorEastAsia" w:cstheme="minorEastAsia"/>
          <w:b/>
          <w:sz w:val="24"/>
        </w:rPr>
        <w:t>股票简称：宁沪高速          股票代码：600377           编号：临2025-0</w:t>
      </w:r>
      <w:r>
        <w:rPr>
          <w:rFonts w:hint="default" w:asciiTheme="minorEastAsia" w:hAnsiTheme="minorEastAsia" w:eastAsiaTheme="minorEastAsia" w:cstheme="minorEastAsia"/>
          <w:b/>
          <w:sz w:val="24"/>
          <w:lang w:val="en-US" w:eastAsia="zh-CN"/>
        </w:rPr>
        <w:t>48</w:t>
      </w:r>
    </w:p>
    <w:p w14:paraId="54330FFE">
      <w:pPr>
        <w:adjustRightInd w:val="0"/>
        <w:snapToGrid w:val="0"/>
        <w:spacing w:line="312" w:lineRule="auto"/>
        <w:jc w:val="center"/>
        <w:rPr>
          <w:b/>
          <w:sz w:val="24"/>
        </w:rPr>
      </w:pPr>
    </w:p>
    <w:p w14:paraId="45F9716B">
      <w:pPr>
        <w:adjustRightInd w:val="0"/>
        <w:snapToGrid w:val="0"/>
        <w:spacing w:line="360" w:lineRule="auto"/>
        <w:jc w:val="center"/>
        <w:rPr>
          <w:b/>
          <w:sz w:val="28"/>
          <w:szCs w:val="28"/>
        </w:rPr>
      </w:pPr>
      <w:r>
        <w:rPr>
          <w:b/>
          <w:sz w:val="28"/>
          <w:szCs w:val="28"/>
        </w:rPr>
        <w:t>江苏宁沪高速公路股份有限公司</w:t>
      </w:r>
    </w:p>
    <w:p w14:paraId="0D80F02A">
      <w:pPr>
        <w:adjustRightInd w:val="0"/>
        <w:snapToGrid w:val="0"/>
        <w:spacing w:line="360" w:lineRule="auto"/>
        <w:jc w:val="center"/>
        <w:rPr>
          <w:b/>
          <w:bCs/>
          <w:sz w:val="28"/>
          <w:szCs w:val="28"/>
        </w:rPr>
      </w:pPr>
      <w:r>
        <w:rPr>
          <w:b/>
          <w:sz w:val="28"/>
          <w:szCs w:val="28"/>
        </w:rPr>
        <w:t>第十一届董事会第</w:t>
      </w:r>
      <w:r>
        <w:rPr>
          <w:rFonts w:hint="eastAsia"/>
          <w:b/>
          <w:sz w:val="28"/>
          <w:szCs w:val="28"/>
        </w:rPr>
        <w:t>十</w:t>
      </w:r>
      <w:r>
        <w:rPr>
          <w:rFonts w:hint="eastAsia"/>
          <w:b/>
          <w:sz w:val="28"/>
          <w:szCs w:val="28"/>
          <w:lang w:val="en-US" w:eastAsia="zh-CN"/>
        </w:rPr>
        <w:t>六</w:t>
      </w:r>
      <w:r>
        <w:rPr>
          <w:b/>
          <w:sz w:val="28"/>
          <w:szCs w:val="28"/>
        </w:rPr>
        <w:t>次会议决议</w:t>
      </w:r>
      <w:r>
        <w:rPr>
          <w:b/>
          <w:bCs/>
          <w:sz w:val="28"/>
          <w:szCs w:val="28"/>
        </w:rPr>
        <w:t>公告</w:t>
      </w:r>
    </w:p>
    <w:p w14:paraId="268A2A04">
      <w:pPr>
        <w:pStyle w:val="22"/>
        <w:snapToGrid w:val="0"/>
        <w:spacing w:line="360" w:lineRule="auto"/>
      </w:pPr>
      <w:r>
        <w:rPr>
          <w:lang w:val="en-US"/>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147320</wp:posOffset>
                </wp:positionV>
                <wp:extent cx="5734050" cy="632460"/>
                <wp:effectExtent l="4445" t="5080" r="14605" b="10160"/>
                <wp:wrapNone/>
                <wp:docPr id="3" name="矩形 3"/>
                <wp:cNvGraphicFramePr/>
                <a:graphic xmlns:a="http://schemas.openxmlformats.org/drawingml/2006/main">
                  <a:graphicData uri="http://schemas.microsoft.com/office/word/2010/wordprocessingShape">
                    <wps:wsp>
                      <wps:cNvSpPr/>
                      <wps:spPr>
                        <a:xfrm>
                          <a:off x="0" y="0"/>
                          <a:ext cx="5734050" cy="632460"/>
                        </a:xfrm>
                        <a:prstGeom prst="rect">
                          <a:avLst/>
                        </a:prstGeom>
                        <a:solidFill>
                          <a:srgbClr val="FFFFFF"/>
                        </a:solidFill>
                        <a:ln w="9525">
                          <a:solidFill>
                            <a:srgbClr val="000000"/>
                          </a:solidFill>
                          <a:prstDash val="solid"/>
                          <a:miter lim="0"/>
                        </a:ln>
                      </wps:spPr>
                      <wps:txbx>
                        <w:txbxContent>
                          <w:p w14:paraId="095222C9">
                            <w:pPr>
                              <w:spacing w:line="360" w:lineRule="auto"/>
                              <w:rPr>
                                <w:rFonts w:hint="eastAsia"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wps:txbx>
                      <wps:bodyPr upright="1"/>
                    </wps:wsp>
                  </a:graphicData>
                </a:graphic>
              </wp:anchor>
            </w:drawing>
          </mc:Choice>
          <mc:Fallback>
            <w:pict>
              <v:rect id="_x0000_s1026" o:spid="_x0000_s1026" o:spt="1" style="position:absolute;left:0pt;margin-left:0pt;margin-top:11.6pt;height:49.8pt;width:451.5pt;z-index:251659264;mso-width-relative:page;mso-height-relative:page;" fillcolor="#FFFFFF" filled="t" stroked="t" coordsize="21600,21600" o:gfxdata="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QVNtp1wAAAAcBAAAPAAAAAAAA&#10;AAEAIAAAACIAAABkcnMvZG93bnJldi54bWxQSwECFAAUAAAACACHTuJA1LqSNNoBAADHAwAADgAA&#10;AAAAAAABACAAAAAmAQAAZHJzL2Uyb0RvYy54bWxQSwUGAAAAAAYABgBZAQAAcgUAAAAA&#10;">
                <v:fill on="t" focussize="0,0"/>
                <v:stroke color="#000000" miterlimit="0" joinstyle="miter"/>
                <v:imagedata o:title=""/>
                <o:lock v:ext="edit" aspectratio="f"/>
                <v:textbox>
                  <w:txbxContent>
                    <w:p w14:paraId="095222C9">
                      <w:pPr>
                        <w:spacing w:line="360" w:lineRule="auto"/>
                        <w:rPr>
                          <w:rFonts w:hint="eastAsia"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v:textbox>
              </v:rect>
            </w:pict>
          </mc:Fallback>
        </mc:AlternateContent>
      </w:r>
    </w:p>
    <w:p w14:paraId="1D7A9C1E">
      <w:pPr>
        <w:pStyle w:val="22"/>
        <w:snapToGrid w:val="0"/>
        <w:spacing w:line="360" w:lineRule="auto"/>
      </w:pPr>
    </w:p>
    <w:p w14:paraId="03C3FB60">
      <w:pPr>
        <w:pStyle w:val="22"/>
        <w:snapToGrid w:val="0"/>
        <w:spacing w:line="360" w:lineRule="auto"/>
      </w:pPr>
    </w:p>
    <w:p w14:paraId="108F4880">
      <w:pPr>
        <w:autoSpaceDE w:val="0"/>
        <w:autoSpaceDN w:val="0"/>
        <w:adjustRightInd w:val="0"/>
        <w:spacing w:line="360" w:lineRule="auto"/>
        <w:ind w:firstLine="482" w:firstLineChars="200"/>
        <w:jc w:val="left"/>
        <w:rPr>
          <w:rFonts w:hint="eastAsia" w:asciiTheme="minorEastAsia" w:hAnsiTheme="minorEastAsia" w:eastAsiaTheme="minorEastAsia"/>
          <w:b/>
          <w:sz w:val="24"/>
        </w:rPr>
      </w:pPr>
      <w:r>
        <w:rPr>
          <w:rFonts w:asciiTheme="minorEastAsia" w:hAnsiTheme="minorEastAsia" w:eastAsiaTheme="minorEastAsia"/>
          <w:b/>
          <w:sz w:val="24"/>
        </w:rPr>
        <w:t xml:space="preserve">一、会议召开情况 </w:t>
      </w:r>
    </w:p>
    <w:p w14:paraId="63DD19EF">
      <w:pPr>
        <w:pStyle w:val="27"/>
        <w:autoSpaceDE w:val="0"/>
        <w:autoSpaceDN w:val="0"/>
        <w:adjustRightInd w:val="0"/>
        <w:spacing w:line="360" w:lineRule="auto"/>
        <w:ind w:firstLine="480"/>
        <w:rPr>
          <w:rFonts w:hint="eastAsia" w:cs="宋体" w:asciiTheme="minorEastAsia" w:hAnsiTheme="minorEastAsia" w:eastAsiaTheme="minorEastAsia"/>
          <w:sz w:val="24"/>
        </w:rPr>
      </w:pPr>
      <w:r>
        <w:rPr>
          <w:rFonts w:hint="eastAsia" w:cs="宋体" w:asciiTheme="minorEastAsia" w:hAnsiTheme="minorEastAsia" w:eastAsiaTheme="minorEastAsia"/>
          <w:sz w:val="24"/>
        </w:rPr>
        <w:t>（一）江苏宁沪高速公路股份有限公司（以下简称“本公司”）第十一届董事会第十</w:t>
      </w:r>
      <w:r>
        <w:rPr>
          <w:rFonts w:hint="eastAsia" w:cs="宋体" w:asciiTheme="minorEastAsia" w:hAnsiTheme="minorEastAsia" w:eastAsiaTheme="minorEastAsia"/>
          <w:sz w:val="24"/>
          <w:lang w:val="en-US" w:eastAsia="zh-CN"/>
        </w:rPr>
        <w:t>六</w:t>
      </w:r>
      <w:r>
        <w:rPr>
          <w:rFonts w:hint="eastAsia" w:cs="宋体" w:asciiTheme="minorEastAsia" w:hAnsiTheme="minorEastAsia" w:eastAsiaTheme="minorEastAsia"/>
          <w:sz w:val="24"/>
        </w:rPr>
        <w:t>次会议（以下简称“会议”）于2025年</w:t>
      </w:r>
      <w:r>
        <w:rPr>
          <w:rFonts w:hint="eastAsia" w:cs="宋体" w:asciiTheme="minorEastAsia" w:hAnsiTheme="minorEastAsia" w:eastAsiaTheme="minorEastAsia"/>
          <w:sz w:val="24"/>
          <w:lang w:val="en-US" w:eastAsia="zh-CN"/>
        </w:rPr>
        <w:t>10</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29</w:t>
      </w:r>
      <w:r>
        <w:rPr>
          <w:rFonts w:hint="eastAsia" w:cs="宋体" w:asciiTheme="minorEastAsia" w:hAnsiTheme="minorEastAsia" w:eastAsiaTheme="minorEastAsia"/>
          <w:sz w:val="24"/>
        </w:rPr>
        <w:t>日以现场会议及视频会议相结合的方式召开。</w:t>
      </w:r>
    </w:p>
    <w:p w14:paraId="3438D1F2">
      <w:pPr>
        <w:pStyle w:val="27"/>
        <w:autoSpaceDE w:val="0"/>
        <w:autoSpaceDN w:val="0"/>
        <w:adjustRightInd w:val="0"/>
        <w:spacing w:line="360" w:lineRule="auto"/>
        <w:ind w:firstLine="480"/>
        <w:rPr>
          <w:rFonts w:hint="eastAsia" w:cs="宋体" w:asciiTheme="minorEastAsia" w:hAnsiTheme="minorEastAsia" w:eastAsiaTheme="minorEastAsia"/>
          <w:sz w:val="24"/>
        </w:rPr>
      </w:pPr>
      <w:r>
        <w:rPr>
          <w:rFonts w:hint="eastAsia" w:cs="宋体" w:asciiTheme="minorEastAsia" w:hAnsiTheme="minorEastAsia" w:eastAsiaTheme="minorEastAsia"/>
          <w:sz w:val="24"/>
        </w:rPr>
        <w:t>（二）会议通知以邮件</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传真</w:t>
      </w:r>
      <w:r>
        <w:rPr>
          <w:rFonts w:hint="eastAsia" w:cs="宋体" w:asciiTheme="minorEastAsia" w:hAnsiTheme="minorEastAsia" w:eastAsiaTheme="minorEastAsia"/>
          <w:sz w:val="24"/>
        </w:rPr>
        <w:t>的方式向董事会全体成员发出。</w:t>
      </w:r>
    </w:p>
    <w:p w14:paraId="02DB0EE1">
      <w:pPr>
        <w:pStyle w:val="27"/>
        <w:autoSpaceDE w:val="0"/>
        <w:autoSpaceDN w:val="0"/>
        <w:adjustRightInd w:val="0"/>
        <w:spacing w:line="360" w:lineRule="auto"/>
        <w:ind w:firstLine="480"/>
        <w:rPr>
          <w:rFonts w:hint="eastAsia" w:cs="宋体" w:asciiTheme="minorEastAsia" w:hAnsiTheme="minorEastAsia" w:eastAsiaTheme="minorEastAsia"/>
          <w:sz w:val="24"/>
        </w:rPr>
      </w:pPr>
      <w:r>
        <w:rPr>
          <w:rFonts w:hint="eastAsia" w:cs="宋体" w:asciiTheme="minorEastAsia" w:hAnsiTheme="minorEastAsia" w:eastAsiaTheme="minorEastAsia"/>
          <w:sz w:val="24"/>
        </w:rPr>
        <w:t>（三）会议应</w:t>
      </w:r>
      <w:r>
        <w:rPr>
          <w:rFonts w:hint="eastAsia" w:cs="宋体" w:asciiTheme="minorEastAsia" w:hAnsiTheme="minorEastAsia" w:eastAsiaTheme="minorEastAsia"/>
          <w:sz w:val="24"/>
          <w:lang w:val="en-US" w:eastAsia="zh-CN"/>
        </w:rPr>
        <w:t>到</w:t>
      </w:r>
      <w:r>
        <w:rPr>
          <w:rFonts w:hint="eastAsia" w:cs="宋体" w:asciiTheme="minorEastAsia" w:hAnsiTheme="minorEastAsia" w:eastAsiaTheme="minorEastAsia"/>
          <w:sz w:val="24"/>
        </w:rPr>
        <w:t>董事13人，会议出席董事13人。</w:t>
      </w:r>
    </w:p>
    <w:p w14:paraId="28D678AD">
      <w:pPr>
        <w:pStyle w:val="27"/>
        <w:autoSpaceDE w:val="0"/>
        <w:autoSpaceDN w:val="0"/>
        <w:adjustRightInd w:val="0"/>
        <w:spacing w:line="360" w:lineRule="auto"/>
        <w:ind w:firstLine="480"/>
        <w:rPr>
          <w:rFonts w:hint="eastAsia" w:cs="宋体" w:asciiTheme="minorEastAsia" w:hAnsiTheme="minorEastAsia" w:eastAsiaTheme="minorEastAsia"/>
          <w:sz w:val="24"/>
        </w:rPr>
      </w:pPr>
      <w:r>
        <w:rPr>
          <w:rFonts w:hint="eastAsia" w:cs="宋体" w:asciiTheme="minorEastAsia" w:hAnsiTheme="minorEastAsia" w:eastAsiaTheme="minorEastAsia"/>
          <w:sz w:val="24"/>
        </w:rPr>
        <w:t>（四）会议的召开符合《公司法》及本公司《章程》的有关规定，会议决议为有效决议。</w:t>
      </w:r>
    </w:p>
    <w:p w14:paraId="46E03B66">
      <w:pPr>
        <w:pStyle w:val="27"/>
        <w:autoSpaceDE w:val="0"/>
        <w:autoSpaceDN w:val="0"/>
        <w:adjustRightInd w:val="0"/>
        <w:spacing w:line="360" w:lineRule="auto"/>
        <w:ind w:firstLine="480"/>
        <w:rPr>
          <w:rFonts w:hint="eastAsia" w:cs="宋体" w:asciiTheme="minorEastAsia" w:hAnsiTheme="minorEastAsia" w:eastAsiaTheme="minorEastAsia"/>
          <w:sz w:val="24"/>
        </w:rPr>
      </w:pPr>
    </w:p>
    <w:p w14:paraId="23538B87">
      <w:pPr>
        <w:pStyle w:val="27"/>
        <w:autoSpaceDE w:val="0"/>
        <w:autoSpaceDN w:val="0"/>
        <w:adjustRightInd w:val="0"/>
        <w:spacing w:line="360" w:lineRule="auto"/>
        <w:ind w:firstLine="482"/>
        <w:jc w:val="left"/>
        <w:rPr>
          <w:rFonts w:hint="eastAsia" w:cs="宋体" w:asciiTheme="minorEastAsia" w:hAnsiTheme="minorEastAsia" w:eastAsiaTheme="minorEastAsia"/>
          <w:b/>
          <w:sz w:val="24"/>
        </w:rPr>
      </w:pPr>
      <w:r>
        <w:rPr>
          <w:rFonts w:hint="eastAsia" w:cs="宋体" w:asciiTheme="minorEastAsia" w:hAnsiTheme="minorEastAsia" w:eastAsiaTheme="minorEastAsia"/>
          <w:b/>
          <w:sz w:val="24"/>
        </w:rPr>
        <w:t>二、会议审议情况</w:t>
      </w:r>
    </w:p>
    <w:p w14:paraId="571C7ADB">
      <w:pPr>
        <w:pStyle w:val="27"/>
        <w:keepNext w:val="0"/>
        <w:keepLines w:val="0"/>
        <w:pageBreakBefore w:val="0"/>
        <w:kinsoku/>
        <w:wordWrap/>
        <w:overflowPunct/>
        <w:topLinePunct w:val="0"/>
        <w:autoSpaceDE w:val="0"/>
        <w:autoSpaceDN w:val="0"/>
        <w:bidi w:val="0"/>
        <w:adjustRightInd w:val="0"/>
        <w:snapToGrid/>
        <w:spacing w:line="360" w:lineRule="auto"/>
        <w:ind w:left="0" w:firstLine="480" w:firstLineChars="200"/>
        <w:jc w:val="left"/>
        <w:textAlignment w:val="auto"/>
        <w:outlineLvl w:val="9"/>
        <w:rPr>
          <w:rFonts w:hint="eastAsia" w:cs="宋体" w:asciiTheme="minorEastAsia" w:hAnsiTheme="minorEastAsia" w:eastAsiaTheme="minorEastAsia"/>
          <w:sz w:val="24"/>
        </w:rPr>
      </w:pPr>
      <w:r>
        <w:rPr>
          <w:rFonts w:hint="eastAsia" w:cs="宋体" w:asciiTheme="minorEastAsia" w:hAnsiTheme="minorEastAsia" w:eastAsiaTheme="minorEastAsia"/>
          <w:sz w:val="24"/>
        </w:rPr>
        <w:t>本次会议审议并通过如下议案：</w:t>
      </w:r>
    </w:p>
    <w:p w14:paraId="4DC3B593">
      <w:pPr>
        <w:keepLines w:val="0"/>
        <w:pageBreakBefore w:val="0"/>
        <w:numPr>
          <w:ilvl w:val="0"/>
          <w:numId w:val="1"/>
        </w:numPr>
        <w:kinsoku/>
        <w:wordWrap/>
        <w:overflowPunct/>
        <w:topLinePunct w:val="0"/>
        <w:autoSpaceDE/>
        <w:autoSpaceDN/>
        <w:bidi w:val="0"/>
        <w:adjustRightInd w:val="0"/>
        <w:snapToGrid/>
        <w:spacing w:line="360" w:lineRule="auto"/>
        <w:ind w:left="0" w:firstLine="480" w:firstLineChars="200"/>
        <w:contextualSpacing/>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审议并批准《本公司2025年第三季度报告》。</w:t>
      </w:r>
    </w:p>
    <w:p w14:paraId="54070F78">
      <w:pPr>
        <w:keepLines w:val="0"/>
        <w:pageBreakBefore w:val="0"/>
        <w:kinsoku/>
        <w:wordWrap/>
        <w:overflowPunct/>
        <w:topLinePunct w:val="0"/>
        <w:autoSpaceDE/>
        <w:autoSpaceDN/>
        <w:bidi w:val="0"/>
        <w:adjustRightInd w:val="0"/>
        <w:snapToGrid/>
        <w:spacing w:line="360" w:lineRule="auto"/>
        <w:ind w:lef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同意本公司2025年第三季度报告，批准以中文在中国证券报、证券时报、上海证券报及上海证券交易所网站www.sse.com.cn刊登，以中英文在香港联合交易所有限公司网站www.hkexnews.hk及本公司网站www.jsexpressway.com刊登。</w:t>
      </w:r>
    </w:p>
    <w:p w14:paraId="5CE57DA9">
      <w:pPr>
        <w:keepLines w:val="0"/>
        <w:pageBreakBefore w:val="0"/>
        <w:kinsoku/>
        <w:wordWrap/>
        <w:overflowPunct/>
        <w:topLinePunct w:val="0"/>
        <w:autoSpaceDE/>
        <w:autoSpaceDN/>
        <w:bidi w:val="0"/>
        <w:adjustRightInd w:val="0"/>
        <w:snapToGrid/>
        <w:spacing w:line="360" w:lineRule="auto"/>
        <w:ind w:lef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本议案已经本公司董事会审计委员会审议通过，并同意提交董事会审议。</w:t>
      </w:r>
    </w:p>
    <w:p w14:paraId="7CEC75A0">
      <w:pPr>
        <w:keepLines w:val="0"/>
        <w:pageBreakBefore w:val="0"/>
        <w:kinsoku/>
        <w:wordWrap/>
        <w:overflowPunct/>
        <w:topLinePunct w:val="0"/>
        <w:autoSpaceDE/>
        <w:autoSpaceDN/>
        <w:bidi w:val="0"/>
        <w:adjustRightInd w:val="0"/>
        <w:snapToGrid/>
        <w:spacing w:line="360" w:lineRule="auto"/>
        <w:ind w:left="0" w:firstLine="482" w:firstLineChars="200"/>
        <w:jc w:val="both"/>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表决结果：同意13票；反对0票；弃权0票。</w:t>
      </w:r>
    </w:p>
    <w:p w14:paraId="6BA870E2">
      <w:pPr>
        <w:keepLines w:val="0"/>
        <w:pageBreakBefore w:val="0"/>
        <w:kinsoku/>
        <w:wordWrap/>
        <w:overflowPunct/>
        <w:topLinePunct w:val="0"/>
        <w:autoSpaceDE/>
        <w:autoSpaceDN/>
        <w:bidi w:val="0"/>
        <w:adjustRightInd w:val="0"/>
        <w:snapToGrid/>
        <w:spacing w:line="360" w:lineRule="auto"/>
        <w:ind w:left="0" w:firstLine="482" w:firstLineChars="200"/>
        <w:jc w:val="both"/>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1938F0BE">
      <w:pPr>
        <w:keepLines w:val="0"/>
        <w:pageBreakBefore w:val="0"/>
        <w:kinsoku/>
        <w:wordWrap/>
        <w:overflowPunct/>
        <w:topLinePunct w:val="0"/>
        <w:autoSpaceDE/>
        <w:autoSpaceDN/>
        <w:bidi w:val="0"/>
        <w:adjustRightInd w:val="0"/>
        <w:snapToGrid/>
        <w:spacing w:line="360" w:lineRule="auto"/>
        <w:ind w:left="0" w:firstLine="482" w:firstLineChars="200"/>
        <w:jc w:val="both"/>
        <w:textAlignment w:val="auto"/>
        <w:rPr>
          <w:rFonts w:hint="eastAsia" w:asciiTheme="minorEastAsia" w:hAnsiTheme="minorEastAsia" w:eastAsiaTheme="minorEastAsia" w:cstheme="minorEastAsia"/>
          <w:b/>
          <w:sz w:val="24"/>
          <w:szCs w:val="24"/>
        </w:rPr>
      </w:pPr>
    </w:p>
    <w:p w14:paraId="5203594D">
      <w:pPr>
        <w:keepLines w:val="0"/>
        <w:pageBreakBefore w:val="0"/>
        <w:numPr>
          <w:ilvl w:val="0"/>
          <w:numId w:val="1"/>
        </w:numPr>
        <w:kinsoku/>
        <w:wordWrap/>
        <w:overflowPunct/>
        <w:topLinePunct w:val="0"/>
        <w:autoSpaceDE/>
        <w:autoSpaceDN/>
        <w:bidi w:val="0"/>
        <w:adjustRightInd w:val="0"/>
        <w:snapToGrid/>
        <w:spacing w:line="360" w:lineRule="auto"/>
        <w:ind w:left="0" w:firstLine="480" w:firstLineChars="200"/>
        <w:contextualSpacing/>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审议并批准《本公司2025年度第三季度总经理工作报告》。</w:t>
      </w:r>
    </w:p>
    <w:p w14:paraId="098A96C9">
      <w:pPr>
        <w:keepLines w:val="0"/>
        <w:pageBreakBefore w:val="0"/>
        <w:kinsoku/>
        <w:wordWrap/>
        <w:overflowPunct/>
        <w:topLinePunct w:val="0"/>
        <w:autoSpaceDE/>
        <w:autoSpaceDN/>
        <w:bidi w:val="0"/>
        <w:snapToGrid/>
        <w:spacing w:line="360" w:lineRule="auto"/>
        <w:ind w:left="0" w:firstLine="482" w:firstLineChars="200"/>
        <w:jc w:val="both"/>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表决结果：同意13票；反对0票；弃权0票。</w:t>
      </w:r>
    </w:p>
    <w:p w14:paraId="16577FD1">
      <w:pPr>
        <w:keepLines w:val="0"/>
        <w:pageBreakBefore w:val="0"/>
        <w:kinsoku/>
        <w:wordWrap/>
        <w:overflowPunct/>
        <w:topLinePunct w:val="0"/>
        <w:autoSpaceDE/>
        <w:autoSpaceDN/>
        <w:bidi w:val="0"/>
        <w:snapToGrid/>
        <w:spacing w:line="360" w:lineRule="auto"/>
        <w:ind w:left="0" w:firstLine="482" w:firstLineChars="200"/>
        <w:jc w:val="both"/>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48E10D08">
      <w:pPr>
        <w:pStyle w:val="6"/>
        <w:keepLines w:val="0"/>
        <w:pageBreakBefore w:val="0"/>
        <w:kinsoku/>
        <w:wordWrap/>
        <w:overflowPunct/>
        <w:topLinePunct w:val="0"/>
        <w:autoSpaceDE/>
        <w:autoSpaceDN/>
        <w:bidi w:val="0"/>
        <w:snapToGrid/>
        <w:spacing w:before="0" w:line="360" w:lineRule="auto"/>
        <w:ind w:left="0" w:firstLine="480" w:firstLineChars="200"/>
        <w:jc w:val="both"/>
        <w:textAlignment w:val="auto"/>
        <w:rPr>
          <w:rFonts w:hint="eastAsia" w:asciiTheme="minorEastAsia" w:hAnsiTheme="minorEastAsia" w:eastAsiaTheme="minorEastAsia" w:cstheme="minorEastAsia"/>
          <w:sz w:val="24"/>
          <w:szCs w:val="24"/>
        </w:rPr>
      </w:pPr>
    </w:p>
    <w:p w14:paraId="548449F2">
      <w:pPr>
        <w:keepLines w:val="0"/>
        <w:pageBreakBefore w:val="0"/>
        <w:numPr>
          <w:ilvl w:val="0"/>
          <w:numId w:val="1"/>
        </w:numPr>
        <w:kinsoku/>
        <w:wordWrap/>
        <w:overflowPunct/>
        <w:topLinePunct w:val="0"/>
        <w:autoSpaceDE/>
        <w:autoSpaceDN/>
        <w:bidi w:val="0"/>
        <w:adjustRightInd w:val="0"/>
        <w:snapToGrid/>
        <w:spacing w:line="360" w:lineRule="auto"/>
        <w:ind w:left="0" w:firstLine="480" w:firstLineChars="200"/>
        <w:contextualSpacing/>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审议并批准《关于本公司向控股子公司江苏丹金高速公路有限公司（以下简称“丹金公司”）增资的议案》</w:t>
      </w:r>
      <w:bookmarkStart w:id="0" w:name="_Hlk209605523"/>
      <w:r>
        <w:rPr>
          <w:rFonts w:hint="eastAsia" w:asciiTheme="minorEastAsia" w:hAnsiTheme="minorEastAsia" w:eastAsiaTheme="minorEastAsia" w:cstheme="minorEastAsia"/>
          <w:sz w:val="24"/>
          <w:szCs w:val="24"/>
        </w:rPr>
        <w:t>。</w:t>
      </w:r>
    </w:p>
    <w:bookmarkEnd w:id="0"/>
    <w:p w14:paraId="104D099F">
      <w:pPr>
        <w:keepLines w:val="0"/>
        <w:pageBreakBefore w:val="0"/>
        <w:kinsoku/>
        <w:wordWrap/>
        <w:overflowPunct/>
        <w:topLinePunct w:val="0"/>
        <w:autoSpaceDE/>
        <w:autoSpaceDN/>
        <w:bidi w:val="0"/>
        <w:adjustRightInd w:val="0"/>
        <w:snapToGrid/>
        <w:spacing w:line="360" w:lineRule="auto"/>
        <w:ind w:left="0" w:firstLine="480" w:firstLineChars="200"/>
        <w:jc w:val="both"/>
        <w:textAlignment w:val="auto"/>
        <w:rPr>
          <w:rFonts w:hint="eastAsia" w:asciiTheme="minorEastAsia" w:hAnsiTheme="minorEastAsia" w:eastAsiaTheme="minorEastAsia" w:cstheme="minorEastAsia"/>
          <w:sz w:val="24"/>
          <w:szCs w:val="24"/>
        </w:rPr>
      </w:pPr>
      <w:bookmarkStart w:id="1" w:name="_Hlk209605540"/>
      <w:r>
        <w:rPr>
          <w:rFonts w:hint="eastAsia" w:asciiTheme="minorEastAsia" w:hAnsiTheme="minorEastAsia" w:eastAsiaTheme="minorEastAsia" w:cstheme="minorEastAsia"/>
          <w:sz w:val="24"/>
          <w:szCs w:val="24"/>
        </w:rPr>
        <w:t>同意本公司与</w:t>
      </w:r>
      <w:r>
        <w:rPr>
          <w:rFonts w:hint="eastAsia" w:asciiTheme="minorEastAsia" w:hAnsiTheme="minorEastAsia" w:eastAsiaTheme="minorEastAsia" w:cstheme="minorEastAsia"/>
          <w:sz w:val="24"/>
          <w:szCs w:val="24"/>
          <w:lang w:val="en-US" w:eastAsia="zh-CN"/>
        </w:rPr>
        <w:t>丹金公司</w:t>
      </w:r>
      <w:r>
        <w:rPr>
          <w:rFonts w:hint="eastAsia" w:asciiTheme="minorEastAsia" w:hAnsiTheme="minorEastAsia" w:eastAsiaTheme="minorEastAsia" w:cstheme="minorEastAsia"/>
          <w:sz w:val="24"/>
          <w:szCs w:val="24"/>
        </w:rPr>
        <w:t>现有股东按持股比例</w:t>
      </w:r>
      <w:r>
        <w:rPr>
          <w:rFonts w:hint="eastAsia" w:asciiTheme="minorEastAsia" w:hAnsiTheme="minorEastAsia" w:eastAsiaTheme="minorEastAsia" w:cstheme="minorEastAsia"/>
          <w:sz w:val="24"/>
          <w:szCs w:val="24"/>
          <w:lang w:val="en-US" w:eastAsia="zh-CN"/>
        </w:rPr>
        <w:t>向丹金公司提供</w:t>
      </w:r>
      <w:r>
        <w:rPr>
          <w:rFonts w:hint="eastAsia" w:asciiTheme="minorEastAsia" w:hAnsiTheme="minorEastAsia" w:eastAsiaTheme="minorEastAsia" w:cstheme="minorEastAsia"/>
          <w:sz w:val="24"/>
          <w:szCs w:val="24"/>
        </w:rPr>
        <w:t>同比例增资</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并修订公司章程。本次增资金额共计</w:t>
      </w:r>
      <w:r>
        <w:rPr>
          <w:rFonts w:hint="eastAsia" w:asciiTheme="minorEastAsia" w:hAnsiTheme="minorEastAsia" w:eastAsiaTheme="minorEastAsia" w:cstheme="minorEastAsia"/>
          <w:sz w:val="24"/>
          <w:szCs w:val="24"/>
        </w:rPr>
        <w:t>人民币353,426.5840万元，其中，本公司向丹金公司提供现金增资金额人民币263,655.5840万元，增资完成后，丹金公司注册资本由初期的人民币170,400.00万元增加至人民币523,826.5840万元</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同时，</w:t>
      </w:r>
      <w:r>
        <w:rPr>
          <w:rFonts w:hint="eastAsia" w:asciiTheme="minorEastAsia" w:hAnsiTheme="minorEastAsia" w:eastAsiaTheme="minorEastAsia" w:cstheme="minorEastAsia"/>
          <w:sz w:val="24"/>
          <w:szCs w:val="24"/>
        </w:rPr>
        <w:t>授权本公司执行董事处理后续相关事宜，包括但不限于签署增资协议，并授权本公司执行董事于协议签订后予以公告。</w:t>
      </w:r>
    </w:p>
    <w:p w14:paraId="4DF46E83">
      <w:pPr>
        <w:keepLines w:val="0"/>
        <w:pageBreakBefore w:val="0"/>
        <w:kinsoku/>
        <w:wordWrap/>
        <w:overflowPunct/>
        <w:topLinePunct w:val="0"/>
        <w:autoSpaceDE/>
        <w:autoSpaceDN/>
        <w:bidi w:val="0"/>
        <w:adjustRightInd w:val="0"/>
        <w:snapToGrid/>
        <w:spacing w:line="360" w:lineRule="auto"/>
        <w:ind w:lef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本议案已经本公司董事会战略委员会审议通过，并同意提交董事会审议。</w:t>
      </w:r>
    </w:p>
    <w:p w14:paraId="3FE27F35">
      <w:pPr>
        <w:keepLines w:val="0"/>
        <w:pageBreakBefore w:val="0"/>
        <w:kinsoku/>
        <w:wordWrap/>
        <w:overflowPunct/>
        <w:topLinePunct w:val="0"/>
        <w:autoSpaceDE/>
        <w:autoSpaceDN/>
        <w:bidi w:val="0"/>
        <w:adjustRightInd w:val="0"/>
        <w:snapToGrid/>
        <w:spacing w:line="360" w:lineRule="auto"/>
        <w:ind w:left="0" w:firstLine="482" w:firstLineChars="200"/>
        <w:jc w:val="both"/>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所有董事(包括独立非执行董事)</w:t>
      </w:r>
      <w:r>
        <w:rPr>
          <w:rFonts w:hint="eastAsia" w:asciiTheme="minorEastAsia" w:hAnsiTheme="minorEastAsia" w:eastAsiaTheme="minorEastAsia" w:cstheme="minorEastAsia"/>
          <w:b/>
          <w:bCs/>
          <w:sz w:val="24"/>
          <w:szCs w:val="24"/>
          <w:lang w:val="en-US" w:eastAsia="zh-CN"/>
        </w:rPr>
        <w:t>确认</w:t>
      </w:r>
      <w:r>
        <w:rPr>
          <w:rFonts w:hint="eastAsia" w:asciiTheme="minorEastAsia" w:hAnsiTheme="minorEastAsia" w:eastAsiaTheme="minorEastAsia" w:cstheme="minorEastAsia"/>
          <w:b/>
          <w:bCs/>
          <w:sz w:val="24"/>
          <w:szCs w:val="24"/>
        </w:rPr>
        <w:t>上述交易事项交易条款公平合理，交易按一般商业条款或更佳条款进行，且符合本公司及其股</w:t>
      </w:r>
      <w:r>
        <w:rPr>
          <w:rFonts w:hint="eastAsia" w:asciiTheme="minorEastAsia" w:hAnsiTheme="minorEastAsia" w:eastAsiaTheme="minorEastAsia" w:cstheme="minorEastAsia"/>
          <w:b/>
          <w:bCs/>
          <w:sz w:val="24"/>
          <w:szCs w:val="24"/>
          <w:lang w:val="en-US" w:eastAsia="zh-CN"/>
        </w:rPr>
        <w:t>东的</w:t>
      </w:r>
      <w:r>
        <w:rPr>
          <w:rFonts w:hint="eastAsia" w:asciiTheme="minorEastAsia" w:hAnsiTheme="minorEastAsia" w:eastAsiaTheme="minorEastAsia" w:cstheme="minorEastAsia"/>
          <w:b/>
          <w:bCs/>
          <w:sz w:val="24"/>
          <w:szCs w:val="24"/>
        </w:rPr>
        <w:t>整体利益。</w:t>
      </w:r>
    </w:p>
    <w:p w14:paraId="74F41CA6">
      <w:pPr>
        <w:keepLines w:val="0"/>
        <w:pageBreakBefore w:val="0"/>
        <w:kinsoku/>
        <w:wordWrap/>
        <w:overflowPunct/>
        <w:topLinePunct w:val="0"/>
        <w:autoSpaceDE/>
        <w:autoSpaceDN/>
        <w:bidi w:val="0"/>
        <w:adjustRightInd w:val="0"/>
        <w:snapToGrid/>
        <w:spacing w:line="360" w:lineRule="auto"/>
        <w:ind w:left="0" w:firstLine="482"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表决结果：同意13票；反对0票；弃权0票。</w:t>
      </w:r>
    </w:p>
    <w:p w14:paraId="17783EB6">
      <w:pPr>
        <w:keepLines w:val="0"/>
        <w:pageBreakBefore w:val="0"/>
        <w:kinsoku/>
        <w:wordWrap/>
        <w:overflowPunct/>
        <w:topLinePunct w:val="0"/>
        <w:autoSpaceDE/>
        <w:autoSpaceDN/>
        <w:bidi w:val="0"/>
        <w:adjustRightInd w:val="0"/>
        <w:snapToGrid/>
        <w:spacing w:line="360" w:lineRule="auto"/>
        <w:ind w:left="0" w:firstLine="482" w:firstLineChars="200"/>
        <w:jc w:val="both"/>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bookmarkEnd w:id="1"/>
    </w:p>
    <w:p w14:paraId="7D5DBB9E">
      <w:pPr>
        <w:pStyle w:val="6"/>
        <w:keepLines w:val="0"/>
        <w:pageBreakBefore w:val="0"/>
        <w:kinsoku/>
        <w:wordWrap/>
        <w:overflowPunct/>
        <w:topLinePunct w:val="0"/>
        <w:autoSpaceDE/>
        <w:autoSpaceDN/>
        <w:bidi w:val="0"/>
        <w:snapToGrid/>
        <w:spacing w:before="0" w:line="360" w:lineRule="auto"/>
        <w:ind w:left="0" w:firstLine="480" w:firstLineChars="200"/>
        <w:jc w:val="both"/>
        <w:textAlignment w:val="auto"/>
        <w:rPr>
          <w:rFonts w:hint="eastAsia" w:asciiTheme="minorEastAsia" w:hAnsiTheme="minorEastAsia" w:eastAsiaTheme="minorEastAsia" w:cstheme="minorEastAsia"/>
          <w:sz w:val="24"/>
          <w:szCs w:val="24"/>
        </w:rPr>
      </w:pPr>
    </w:p>
    <w:p w14:paraId="16B30494">
      <w:pPr>
        <w:keepLines w:val="0"/>
        <w:pageBreakBefore w:val="0"/>
        <w:numPr>
          <w:ilvl w:val="0"/>
          <w:numId w:val="1"/>
        </w:numPr>
        <w:kinsoku/>
        <w:wordWrap/>
        <w:overflowPunct/>
        <w:topLinePunct w:val="0"/>
        <w:autoSpaceDE/>
        <w:autoSpaceDN/>
        <w:bidi w:val="0"/>
        <w:adjustRightInd w:val="0"/>
        <w:snapToGrid/>
        <w:spacing w:line="360" w:lineRule="auto"/>
        <w:ind w:left="0" w:firstLine="480" w:firstLineChars="200"/>
        <w:contextualSpacing/>
        <w:jc w:val="both"/>
        <w:textAlignment w:val="auto"/>
        <w:rPr>
          <w:rFonts w:hint="eastAsia" w:asciiTheme="minorEastAsia" w:hAnsiTheme="minorEastAsia" w:eastAsiaTheme="minorEastAsia" w:cstheme="minorEastAsia"/>
          <w:sz w:val="24"/>
          <w:szCs w:val="24"/>
        </w:rPr>
      </w:pPr>
      <w:bookmarkStart w:id="2" w:name="OLE_LINK6"/>
      <w:r>
        <w:rPr>
          <w:rFonts w:hint="eastAsia" w:asciiTheme="minorEastAsia" w:hAnsiTheme="minorEastAsia" w:eastAsiaTheme="minorEastAsia" w:cstheme="minorEastAsia"/>
          <w:sz w:val="24"/>
          <w:szCs w:val="24"/>
        </w:rPr>
        <w:t>审议并批准《关于取消监事会</w:t>
      </w:r>
      <w:r>
        <w:rPr>
          <w:rFonts w:hint="eastAsia" w:asciiTheme="minorEastAsia" w:hAnsiTheme="minorEastAsia" w:eastAsiaTheme="minorEastAsia" w:cstheme="minorEastAsia"/>
          <w:sz w:val="24"/>
          <w:szCs w:val="24"/>
          <w:lang w:val="en-US" w:eastAsia="zh-CN"/>
        </w:rPr>
        <w:t>暨</w:t>
      </w:r>
      <w:r>
        <w:rPr>
          <w:rFonts w:hint="eastAsia" w:asciiTheme="minorEastAsia" w:hAnsiTheme="minorEastAsia" w:eastAsiaTheme="minorEastAsia" w:cstheme="minorEastAsia"/>
          <w:sz w:val="24"/>
          <w:szCs w:val="24"/>
        </w:rPr>
        <w:t>修订</w:t>
      </w:r>
      <w:r>
        <w:rPr>
          <w:rFonts w:hint="eastAsia" w:asciiTheme="minorEastAsia" w:hAnsiTheme="minorEastAsia" w:eastAsiaTheme="minorEastAsia" w:cstheme="minorEastAsia"/>
          <w:sz w:val="24"/>
          <w:szCs w:val="24"/>
          <w:lang w:val="en-US" w:eastAsia="zh-CN"/>
        </w:rPr>
        <w:t>&lt;</w:t>
      </w:r>
      <w:r>
        <w:rPr>
          <w:rFonts w:hint="eastAsia" w:asciiTheme="minorEastAsia" w:hAnsiTheme="minorEastAsia" w:eastAsiaTheme="minorEastAsia" w:cstheme="minorEastAsia"/>
          <w:sz w:val="24"/>
          <w:szCs w:val="24"/>
        </w:rPr>
        <w:t>公司章程</w:t>
      </w:r>
      <w:r>
        <w:rPr>
          <w:rFonts w:hint="eastAsia" w:asciiTheme="minorEastAsia" w:hAnsiTheme="minorEastAsia" w:eastAsiaTheme="minorEastAsia" w:cstheme="minorEastAsia"/>
          <w:sz w:val="24"/>
          <w:szCs w:val="24"/>
          <w:lang w:val="en-US" w:eastAsia="zh-CN"/>
        </w:rPr>
        <w:t>&gt;</w:t>
      </w:r>
      <w:r>
        <w:rPr>
          <w:rFonts w:hint="eastAsia" w:asciiTheme="minorEastAsia" w:hAnsiTheme="minorEastAsia" w:eastAsiaTheme="minorEastAsia" w:cstheme="minorEastAsia"/>
          <w:sz w:val="24"/>
          <w:szCs w:val="24"/>
        </w:rPr>
        <w:t>等制度的议案》。</w:t>
      </w:r>
    </w:p>
    <w:p w14:paraId="3126EFBA">
      <w:pPr>
        <w:keepLines w:val="0"/>
        <w:pageBreakBefore w:val="0"/>
        <w:kinsoku/>
        <w:wordWrap/>
        <w:overflowPunct/>
        <w:topLinePunct w:val="0"/>
        <w:autoSpaceDE/>
        <w:autoSpaceDN/>
        <w:bidi w:val="0"/>
        <w:adjustRightInd w:val="0"/>
        <w:snapToGrid/>
        <w:spacing w:line="360" w:lineRule="auto"/>
        <w:ind w:lef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根据《中华人民共和国公司法》《上市公司章程指引》《关于新&lt;公司法&gt;配套制度规则实施相关过渡期安排》等法律法规、规范性文件的规定，结合</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公司实际情况，</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公司将不再设置监事会及监事，由董事会审计委员会行使《中华人民共和国公司法》规定的监事会职权。结合上述情况，</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w:t>
      </w:r>
      <w:r>
        <w:rPr>
          <w:rFonts w:hint="eastAsia" w:asciiTheme="minorEastAsia" w:hAnsiTheme="minorEastAsia" w:eastAsiaTheme="minorEastAsia" w:cstheme="minorEastAsia"/>
          <w:sz w:val="24"/>
          <w:szCs w:val="24"/>
          <w:lang w:val="en-US" w:eastAsia="zh-CN"/>
        </w:rPr>
        <w:t>拟</w:t>
      </w:r>
      <w:r>
        <w:rPr>
          <w:rFonts w:hint="eastAsia" w:asciiTheme="minorEastAsia" w:hAnsiTheme="minorEastAsia" w:eastAsiaTheme="minorEastAsia" w:cstheme="minorEastAsia"/>
          <w:sz w:val="24"/>
          <w:szCs w:val="24"/>
        </w:rPr>
        <w:t>对《公司章程》</w:t>
      </w:r>
      <w:r>
        <w:rPr>
          <w:rFonts w:hint="eastAsia" w:asciiTheme="minorEastAsia" w:hAnsiTheme="minorEastAsia" w:eastAsiaTheme="minorEastAsia" w:cstheme="minorEastAsia"/>
          <w:sz w:val="24"/>
          <w:szCs w:val="24"/>
          <w:lang w:val="en-US" w:eastAsia="zh-CN"/>
        </w:rPr>
        <w:t>等制度</w:t>
      </w:r>
      <w:r>
        <w:rPr>
          <w:rFonts w:hint="eastAsia" w:asciiTheme="minorEastAsia" w:hAnsiTheme="minorEastAsia" w:eastAsiaTheme="minorEastAsia" w:cstheme="minorEastAsia"/>
          <w:sz w:val="24"/>
          <w:szCs w:val="24"/>
        </w:rPr>
        <w:t>进行全面修订</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并同步废止《监事会议事规则》</w:t>
      </w:r>
      <w:r>
        <w:rPr>
          <w:rFonts w:hint="eastAsia" w:asciiTheme="minorEastAsia" w:hAnsiTheme="minorEastAsia" w:eastAsiaTheme="minorEastAsia" w:cstheme="minorEastAsia"/>
          <w:sz w:val="24"/>
          <w:szCs w:val="24"/>
        </w:rPr>
        <w:t>。</w:t>
      </w:r>
    </w:p>
    <w:p w14:paraId="7A477EA4">
      <w:pPr>
        <w:pStyle w:val="4"/>
        <w:keepLines w:val="0"/>
        <w:pageBreakBefore w:val="0"/>
        <w:kinsoku/>
        <w:wordWrap/>
        <w:overflowPunct/>
        <w:topLinePunct w:val="0"/>
        <w:autoSpaceDE/>
        <w:autoSpaceDN/>
        <w:bidi w:val="0"/>
        <w:snapToGrid/>
        <w:spacing w:line="360" w:lineRule="auto"/>
        <w:ind w:lef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同意对《公司章程》第1.1条、第1.2条、第1.6条、第1.6条后新增一条、第1.8条、第1.10条、第1.12条、第1.13条、第3.1条、第3.2条、第3.5条、第3.12条、第3.13条、第5.3条后新增一条、第6.1条、第6.2条、第6.3条、第7.2条、第7.3条、第7.4条、第7.7条、第8.1条、第8.2条、第8.3条、第8.4条、第8.4条后新增一条、第8.5条、第9.1条、第9.2条、第9.3条、第9.4条、第9.5条、第10.1条、第10.2条、第10.3条、第10.4条、第10.5条、第10.6条、第10.7条、第10.8条、第10.9条、第10.10条、第10.12条、第10.15条、第10.17条、第10.18条、第10.19条、第10.23条、第10.24条、第10.27条、第10.31条、第10.32条、第10.33条、第10.34条、第10.35条、第10.36条、第10.37条、第10.43条、第11.1条、第11.4条、第11.6条、第12.1条、第12.3条、第12.4条、第12.5条、第12.11条、第12.12条、第12.14条、第12.19条、第12.21条、第12.22条、第12.27条、第13.1条、第13.3条、第13.7条、第13.9条、第14.3条、第15.2条、第15.4条、第15.6条、第15.7条、第15.8条、第十六章、第17.1至17.8条、第17.8条后新增一条、第18.1至18.13条、第18.13条后新增四条、第19.1至19.10条、第20.1至20.8条、第21.1至21.5条、第22.1至22.6条、第22.6条后新增三条、第23.1至23.12条、第23.12条后新增两条、第24.1至24.4条、第25.1至25.10条、第26.1至第26.3条相关内容作出修订。删除“监事”“监事会”相关描述，“监事会”由“审计委员会”代替。原章程条款中“股东大会”修订为“股东会”。《公司章程》修订内容详见“关于</w:t>
      </w:r>
      <w:r>
        <w:rPr>
          <w:rFonts w:hint="eastAsia" w:asciiTheme="minorEastAsia" w:hAnsiTheme="minorEastAsia" w:eastAsiaTheme="minorEastAsia" w:cstheme="minorEastAsia"/>
          <w:sz w:val="24"/>
          <w:szCs w:val="24"/>
          <w:lang w:val="en-US" w:eastAsia="zh-CN"/>
        </w:rPr>
        <w:t>取消监事会暨</w:t>
      </w:r>
      <w:r>
        <w:rPr>
          <w:rFonts w:hint="eastAsia" w:asciiTheme="minorEastAsia" w:hAnsiTheme="minorEastAsia" w:eastAsiaTheme="minorEastAsia" w:cstheme="minorEastAsia"/>
          <w:sz w:val="24"/>
          <w:szCs w:val="24"/>
        </w:rPr>
        <w:t>修订《公司章程》的公告”，并将此修订提交股东大会审议。</w:t>
      </w:r>
    </w:p>
    <w:p w14:paraId="612ADC88">
      <w:pPr>
        <w:pStyle w:val="4"/>
        <w:keepLines w:val="0"/>
        <w:pageBreakBefore w:val="0"/>
        <w:kinsoku/>
        <w:wordWrap/>
        <w:overflowPunct/>
        <w:topLinePunct w:val="0"/>
        <w:autoSpaceDE/>
        <w:autoSpaceDN/>
        <w:bidi w:val="0"/>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2.同意对</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股东大会议事规则》标题、第1.2条、第1.3条、第2.1.1条、第2.1.3条、第2.1.4条、第2.2.1条、第3.1条、第3.2条、第3.3条、第3.4条、第4.1.1条、第4.1.2条、第4.2.3条、第4.2.4条、第4.2.5至4.2.10条、第4.2.8条、第4.3.2条、第4.3.4条、第4.3.5条、第4.3.6至4.3.7条、第4.4.1条、第4.5.4条、第4.5.8条、第4.5.10条、第4.5.12条、第4.6.1条、第4.6.5条、第4.6.7条、第4.7.2条、第4.7.3至4.7.6条、第4.8.7条、第五章标题、第5.2条、第5.3条、第5.4条、第5.5条、第5.6条、第6.1条、第6.3条、第6.4条相关内容作出修订。删除“监事”“监事会”相关描述，“监事会”由“审计委员会”代替，原条款中“股东大会”修订为“股东会”，并将此修订提交股东大会审议。</w:t>
      </w:r>
    </w:p>
    <w:p w14:paraId="30D98EA0">
      <w:pPr>
        <w:pStyle w:val="4"/>
        <w:keepLines w:val="0"/>
        <w:pageBreakBefore w:val="0"/>
        <w:kinsoku/>
        <w:wordWrap/>
        <w:overflowPunct/>
        <w:topLinePunct w:val="0"/>
        <w:autoSpaceDE/>
        <w:autoSpaceDN/>
        <w:bidi w:val="0"/>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3.同意对</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董事会议事规则》第1.1条、第1.3条、第2.1.1条、第2.1.3条、第2.1.4条、第2.1.8条、第2.1.9条、第2.1.10条、第2.1.11条、第2.2.2条、第2.2.3条、第2.2.6条、第2.3.3条、第3.3条、第4.1条、第4.3条、第5.1条、第6.1.1条、第6.1.2条、第6.2.1条、第6.2.3条、第6.3.2条、第6.4.2条、第6.4.3条、第6.4.7条相关内容作出修订。删除“监事”“监事会”相关描述，“监事会”由“审计委员会”代替，原条款中“股东大会”修订为“股东会”，并将此修订提交股东大会审议。</w:t>
      </w:r>
    </w:p>
    <w:p w14:paraId="5DDE6FE1">
      <w:pPr>
        <w:pStyle w:val="4"/>
        <w:keepLines w:val="0"/>
        <w:pageBreakBefore w:val="0"/>
        <w:kinsoku/>
        <w:wordWrap/>
        <w:overflowPunct/>
        <w:topLinePunct w:val="0"/>
        <w:autoSpaceDE/>
        <w:autoSpaceDN/>
        <w:bidi w:val="0"/>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4.同意对</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独立董事工作细则》第2.1条、第3.2条、第4.1条、第4.7条、第4.9条、第6.8条、第8.1条、第8.2条相关内容作出修订，删除“监事”“监事会”相关描述，“监事会”由“审计委员会”代替，原条款中“股东大会”修订为“股东会”，并将此修订提交股东大会审议。</w:t>
      </w:r>
    </w:p>
    <w:p w14:paraId="04B69B20">
      <w:pPr>
        <w:pStyle w:val="4"/>
        <w:keepLines w:val="0"/>
        <w:pageBreakBefore w:val="0"/>
        <w:kinsoku/>
        <w:wordWrap/>
        <w:overflowPunct/>
        <w:topLinePunct w:val="0"/>
        <w:autoSpaceDE/>
        <w:autoSpaceDN/>
        <w:bidi w:val="0"/>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5.同意对</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股东提名董事细则》第2.1.1条、第2.1.2条、第2.1.3条、第2.1.4条、第2.2条、第2.3条、第2.4条、第2.4.3条、第2.5条、第2.6条、第2.7条、第2.8条、第2.9条、第2.11条、第2.12条、第3.1条、第3.3条相关内容作出修订。删除“监事会”相关描述，由“审计委员会”代替，原条款中“股东大会”修订为“股东会”。</w:t>
      </w:r>
    </w:p>
    <w:p w14:paraId="5FEA2B62">
      <w:pPr>
        <w:pStyle w:val="4"/>
        <w:keepLines w:val="0"/>
        <w:pageBreakBefore w:val="0"/>
        <w:kinsoku/>
        <w:wordWrap/>
        <w:overflowPunct/>
        <w:topLinePunct w:val="0"/>
        <w:autoSpaceDE/>
        <w:autoSpaceDN/>
        <w:bidi w:val="0"/>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6.同意对</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公司《战略委员会工作细则》第1.1条、第2.5条、第5.4条、第5.6条、第6.2条相关内容作出修订。删除“监事”相关描述。原条款中“股东大会”修订为“股东会”。删除本细则中的条款引用。</w:t>
      </w:r>
    </w:p>
    <w:p w14:paraId="0418073C">
      <w:pPr>
        <w:pStyle w:val="4"/>
        <w:keepLines w:val="0"/>
        <w:pageBreakBefore w:val="0"/>
        <w:kinsoku/>
        <w:wordWrap/>
        <w:overflowPunct/>
        <w:topLinePunct w:val="0"/>
        <w:autoSpaceDE/>
        <w:autoSpaceDN/>
        <w:bidi w:val="0"/>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7.同意对</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公司《提名委员会工作细则》第1.1条、第2.1条、第3.3.2条、第3.3.7条、第3.3.7条后新增一条、第3.4条、第4.5条、第4.10条、第5.1条相关内容作出修订，原条款中“股东大会”修订为“股东会”，删除条款引用。</w:t>
      </w:r>
    </w:p>
    <w:p w14:paraId="337BE272">
      <w:pPr>
        <w:pStyle w:val="4"/>
        <w:keepLines w:val="0"/>
        <w:pageBreakBefore w:val="0"/>
        <w:kinsoku/>
        <w:wordWrap/>
        <w:overflowPunct/>
        <w:topLinePunct w:val="0"/>
        <w:autoSpaceDE/>
        <w:autoSpaceDN/>
        <w:bidi w:val="0"/>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8.同意对</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审计委员会工作细则》第1.2条、第2.1条、第2.2条、第4.2.1条、第4.2.6条、第4.2.10条后新增一条、第4.3条、第4.3.5条、第4.3.6条、第4.3.7条后新增一条、第4.4条、第4.5条、第4.7条、第4.8.1条、第4.10条、第4.10.1条、第4.10.2条、第4.13条后新增一条、第5.1条、第5.8.1条、第5.8.4条、第5.8.4条后新增一条、第5.8.5条、第5.9条、第6.1条、第6.2条相关内容作出修订，删除“监事会”相关描述，删除条款引用。</w:t>
      </w:r>
    </w:p>
    <w:p w14:paraId="53861229">
      <w:pPr>
        <w:pStyle w:val="4"/>
        <w:keepLines w:val="0"/>
        <w:pageBreakBefore w:val="0"/>
        <w:kinsoku/>
        <w:wordWrap/>
        <w:overflowPunct/>
        <w:topLinePunct w:val="0"/>
        <w:autoSpaceDE/>
        <w:autoSpaceDN/>
        <w:bidi w:val="0"/>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9.同意对</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总经理工作细则》第1条、第7条、第11条、第13条、第14条、第15条、第17条、第18条、第19条、第22条、第23条、第26条、第29条、第33条、第55条、第56条、第57条、第58条、第59条、第61条、第63条、第64条、第65条、第66条、第68条、第69条、第70条相关内容作出修订，删除“监事”“监事会”相关描述。原条款中“股东大会”修订为“股东会”。</w:t>
      </w:r>
    </w:p>
    <w:p w14:paraId="5D010670">
      <w:pPr>
        <w:pStyle w:val="4"/>
        <w:keepLines w:val="0"/>
        <w:pageBreakBefore w:val="0"/>
        <w:kinsoku/>
        <w:wordWrap/>
        <w:overflowPunct/>
        <w:topLinePunct w:val="0"/>
        <w:autoSpaceDE/>
        <w:autoSpaceDN/>
        <w:bidi w:val="0"/>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10.同意对</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公司《董事会秘书工作细则》第4条、第12条、第14条相关内容作出修订，删除“监事”“监事会”相关描述，“监事会”由“审计委员会”代替。原条款中“股东大会”修订为“股东会”。</w:t>
      </w:r>
    </w:p>
    <w:p w14:paraId="465F75D8">
      <w:pPr>
        <w:pStyle w:val="4"/>
        <w:keepLines w:val="0"/>
        <w:pageBreakBefore w:val="0"/>
        <w:kinsoku/>
        <w:wordWrap/>
        <w:overflowPunct/>
        <w:topLinePunct w:val="0"/>
        <w:autoSpaceDE/>
        <w:autoSpaceDN/>
        <w:bidi w:val="0"/>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11.同意对</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投资者关系管理制度》第一条、第二条、第三条、第四条、第五条、第六条、第七条、第八条、第九条、第十条、第十一条、第十二条、第十三条、第十五条、第十七条、第四章标题、第二十一条、第二十二条、第二十三条、第五章标题、第二十四条、第二十五条、第二十六条、第二十七条、第二十九条相关内容作出修订，删除“监事”相关描述，原条款中“股东大会”修订为“股东会”。</w:t>
      </w:r>
    </w:p>
    <w:p w14:paraId="726A5EC3">
      <w:pPr>
        <w:pStyle w:val="4"/>
        <w:keepLines w:val="0"/>
        <w:pageBreakBefore w:val="0"/>
        <w:kinsoku/>
        <w:wordWrap/>
        <w:overflowPunct/>
        <w:topLinePunct w:val="0"/>
        <w:autoSpaceDE/>
        <w:autoSpaceDN/>
        <w:bidi w:val="0"/>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12.同意对</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内幕消息知情人管理制度》第一条、第三条、第四条、第七条、第八条、第十二条、第十四条、第十六条、第十八条、第十九条后新增一条等相关内容作出修订，删除“监事会”相关描述，“监事会”由“审计委员会”代替。原条款中“股东大会”修订为“股东会”。</w:t>
      </w:r>
    </w:p>
    <w:p w14:paraId="5F7599C1">
      <w:pPr>
        <w:pStyle w:val="4"/>
        <w:keepLines w:val="0"/>
        <w:pageBreakBefore w:val="0"/>
        <w:kinsoku/>
        <w:wordWrap/>
        <w:overflowPunct/>
        <w:topLinePunct w:val="0"/>
        <w:autoSpaceDE/>
        <w:autoSpaceDN/>
        <w:bidi w:val="0"/>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13.同意对</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公司《外部信息使用人管理制度》第一条、第四条、第十二条、附件保密提示函相关内容作出修订，删除“监事”相关描述。</w:t>
      </w:r>
    </w:p>
    <w:p w14:paraId="6A38EBEE">
      <w:pPr>
        <w:pStyle w:val="4"/>
        <w:keepLines w:val="0"/>
        <w:pageBreakBefore w:val="0"/>
        <w:kinsoku/>
        <w:wordWrap/>
        <w:overflowPunct/>
        <w:topLinePunct w:val="0"/>
        <w:autoSpaceDE/>
        <w:autoSpaceDN/>
        <w:bidi w:val="0"/>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14.同意对</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公司《年报信息披露重大差错责任追究制度》第三条、第六条、第六条后新增两条、第七至十二条相关内容作出修订，删除“监事”相关描述。</w:t>
      </w:r>
    </w:p>
    <w:p w14:paraId="3D5D40B9">
      <w:pPr>
        <w:pStyle w:val="4"/>
        <w:keepLines w:val="0"/>
        <w:pageBreakBefore w:val="0"/>
        <w:kinsoku/>
        <w:wordWrap/>
        <w:overflowPunct/>
        <w:topLinePunct w:val="0"/>
        <w:autoSpaceDE/>
        <w:autoSpaceDN/>
        <w:bidi w:val="0"/>
        <w:snapToGrid/>
        <w:spacing w:line="360" w:lineRule="auto"/>
        <w:ind w:lef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15.同意对</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关联交易管理制度》第1.5条、第3.4条、第4.1条、第4.2.3条、第4.3条、第5.3条、第5.13条、第5.15条、第6.2条、第6.4条、第6.5条相关内容作出修订，删除“监事”“监事会”相关描述，“监事会”由“审计委员会”代替。原条款中“股东大会”修订为“股东会”。</w:t>
      </w:r>
    </w:p>
    <w:p w14:paraId="1F60028A">
      <w:pPr>
        <w:pStyle w:val="4"/>
        <w:keepLines w:val="0"/>
        <w:pageBreakBefore w:val="0"/>
        <w:kinsoku/>
        <w:wordWrap/>
        <w:overflowPunct/>
        <w:topLinePunct w:val="0"/>
        <w:autoSpaceDE/>
        <w:autoSpaceDN/>
        <w:bidi w:val="0"/>
        <w:snapToGrid/>
        <w:spacing w:line="360" w:lineRule="auto"/>
        <w:ind w:lef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16.同意对</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信息披露管理制度》第1.4.3条、第1.4.4至1.4.7条、第2.2条、第2.4条、第2.4条后新增两条、第3.1条、第3.2.5条、第3.2.7条、第3.2.8条后新增两条、第3.3.1条、第3.4.16条、第3.4.17条、第3.4.18条、第3.4.19条、第3.5.1条、第3.5.3条、第3.7条后新增一条、第4条、第5条、第5.4.3条、第5.5条、第5.6条、第5.8条、第5.10条后新增两条、第6条、第6.2.7条、第6.2.8条、第6.3.4条后新增八条、第7条、第7.1条、第7.2条、第7.5条后新增一条、第8条、第8.3条、第9条、第9.1条、第9.2条、新增附件3项等相关内容作出修订，删除“监事”“监事会”相关描述，“监事会”由“审计委员会”代替。原条款中“股东大会”修订为“股东会”。</w:t>
      </w:r>
    </w:p>
    <w:p w14:paraId="1C37204D">
      <w:pPr>
        <w:pStyle w:val="4"/>
        <w:keepLines w:val="0"/>
        <w:pageBreakBefore w:val="0"/>
        <w:kinsoku/>
        <w:wordWrap/>
        <w:overflowPunct/>
        <w:topLinePunct w:val="0"/>
        <w:autoSpaceDE/>
        <w:autoSpaceDN/>
        <w:bidi w:val="0"/>
        <w:snapToGrid/>
        <w:spacing w:line="360" w:lineRule="auto"/>
        <w:ind w:lef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17.同意对</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公司《证券投资管理办法》第六条、第九条、第十六条、第十七条、第二十条相关内容作出修订，删除“监事”相关描述，将“监事会”调整为“审计委员会”。</w:t>
      </w:r>
    </w:p>
    <w:p w14:paraId="24EB5B1C">
      <w:pPr>
        <w:pStyle w:val="4"/>
        <w:keepLines w:val="0"/>
        <w:pageBreakBefore w:val="0"/>
        <w:kinsoku/>
        <w:wordWrap/>
        <w:overflowPunct/>
        <w:topLinePunct w:val="0"/>
        <w:autoSpaceDE/>
        <w:autoSpaceDN/>
        <w:bidi w:val="0"/>
        <w:snapToGrid/>
        <w:spacing w:line="360" w:lineRule="auto"/>
        <w:ind w:lef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18.同意对</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公司《债务融资工具信息披露管理事务管理制度》第1.1条、第1.3条、第2.4条、第2.7.4条、第2.7.17条、第2.8.1条、第2.8.3条、第3.4条、第3.6条、第3.7至3.19条相关内容作出修订，删除“监事”“监事会”相关描述。</w:t>
      </w:r>
    </w:p>
    <w:bookmarkEnd w:id="2"/>
    <w:p w14:paraId="63B4982F">
      <w:pPr>
        <w:pStyle w:val="27"/>
        <w:keepLines w:val="0"/>
        <w:pageBreakBefore w:val="0"/>
        <w:kinsoku/>
        <w:wordWrap/>
        <w:overflowPunct/>
        <w:topLinePunct w:val="0"/>
        <w:autoSpaceDE/>
        <w:autoSpaceDN/>
        <w:bidi w:val="0"/>
        <w:adjustRightInd w:val="0"/>
        <w:snapToGrid/>
        <w:spacing w:line="360" w:lineRule="auto"/>
        <w:ind w:left="0" w:leftChars="0" w:firstLine="482"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表决结果：同意13票；反对0票；弃权0票。</w:t>
      </w:r>
    </w:p>
    <w:p w14:paraId="53F35CE0">
      <w:pPr>
        <w:pStyle w:val="27"/>
        <w:keepLines w:val="0"/>
        <w:pageBreakBefore w:val="0"/>
        <w:kinsoku/>
        <w:wordWrap/>
        <w:overflowPunct/>
        <w:topLinePunct w:val="0"/>
        <w:autoSpaceDE/>
        <w:autoSpaceDN/>
        <w:bidi w:val="0"/>
        <w:adjustRightInd w:val="0"/>
        <w:snapToGrid/>
        <w:spacing w:line="360" w:lineRule="auto"/>
        <w:ind w:left="0" w:leftChars="0" w:firstLine="482" w:firstLineChars="200"/>
        <w:jc w:val="both"/>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6E9693A9">
      <w:pPr>
        <w:pStyle w:val="27"/>
        <w:keepLines w:val="0"/>
        <w:pageBreakBefore w:val="0"/>
        <w:kinsoku/>
        <w:wordWrap/>
        <w:overflowPunct/>
        <w:topLinePunct w:val="0"/>
        <w:autoSpaceDE/>
        <w:autoSpaceDN/>
        <w:bidi w:val="0"/>
        <w:adjustRightInd w:val="0"/>
        <w:snapToGrid/>
        <w:spacing w:line="360" w:lineRule="auto"/>
        <w:ind w:left="0" w:leftChars="0" w:firstLine="482" w:firstLineChars="200"/>
        <w:jc w:val="both"/>
        <w:textAlignment w:val="auto"/>
        <w:rPr>
          <w:rFonts w:hint="eastAsia" w:asciiTheme="minorEastAsia" w:hAnsiTheme="minorEastAsia" w:eastAsiaTheme="minorEastAsia" w:cstheme="minorEastAsia"/>
          <w:b/>
          <w:sz w:val="24"/>
          <w:szCs w:val="24"/>
        </w:rPr>
      </w:pPr>
    </w:p>
    <w:p w14:paraId="352C270B">
      <w:pPr>
        <w:keepLines w:val="0"/>
        <w:pageBreakBefore w:val="0"/>
        <w:numPr>
          <w:ilvl w:val="0"/>
          <w:numId w:val="1"/>
        </w:numPr>
        <w:kinsoku/>
        <w:wordWrap/>
        <w:overflowPunct/>
        <w:topLinePunct w:val="0"/>
        <w:autoSpaceDE/>
        <w:autoSpaceDN/>
        <w:bidi w:val="0"/>
        <w:adjustRightInd w:val="0"/>
        <w:snapToGrid/>
        <w:spacing w:line="360" w:lineRule="auto"/>
        <w:ind w:left="0" w:firstLine="480" w:firstLineChars="200"/>
        <w:contextualSpacing/>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审议并批准《关于本公司与南京感动科技有限公司（以下简称“感动科技公司”）</w:t>
      </w:r>
      <w:r>
        <w:rPr>
          <w:rFonts w:hint="eastAsia" w:asciiTheme="minorEastAsia" w:hAnsiTheme="minorEastAsia" w:eastAsiaTheme="minorEastAsia" w:cstheme="minorEastAsia"/>
          <w:sz w:val="24"/>
          <w:szCs w:val="24"/>
          <w:lang w:val="en-US" w:eastAsia="zh-CN"/>
        </w:rPr>
        <w:t>及其全资子公司</w:t>
      </w:r>
      <w:r>
        <w:rPr>
          <w:rFonts w:hint="eastAsia" w:asciiTheme="minorEastAsia" w:hAnsiTheme="minorEastAsia" w:eastAsiaTheme="minorEastAsia" w:cstheme="minorEastAsia"/>
          <w:sz w:val="24"/>
          <w:szCs w:val="24"/>
        </w:rPr>
        <w:t>江苏元创交通工程技术有限公司（以下简称“元创</w:t>
      </w:r>
      <w:r>
        <w:rPr>
          <w:rFonts w:hint="eastAsia" w:asciiTheme="minorEastAsia" w:hAnsiTheme="minorEastAsia" w:eastAsiaTheme="minorEastAsia" w:cstheme="minorEastAsia"/>
          <w:sz w:val="24"/>
          <w:szCs w:val="24"/>
          <w:lang w:val="en-US" w:eastAsia="zh-CN"/>
        </w:rPr>
        <w:t>公司</w:t>
      </w:r>
      <w:r>
        <w:rPr>
          <w:rFonts w:hint="eastAsia" w:asciiTheme="minorEastAsia" w:hAnsiTheme="minorEastAsia" w:eastAsiaTheme="minorEastAsia" w:cstheme="minorEastAsia"/>
          <w:sz w:val="24"/>
          <w:szCs w:val="24"/>
        </w:rPr>
        <w:t>”）签署</w:t>
      </w:r>
      <w:r>
        <w:rPr>
          <w:rFonts w:hint="eastAsia" w:asciiTheme="minorEastAsia" w:hAnsiTheme="minorEastAsia" w:eastAsiaTheme="minorEastAsia" w:cstheme="minorEastAsia"/>
          <w:sz w:val="24"/>
          <w:szCs w:val="24"/>
          <w:lang w:val="en-US" w:eastAsia="zh-CN"/>
        </w:rPr>
        <w:t>沪宁高速</w:t>
      </w:r>
      <w:r>
        <w:rPr>
          <w:rFonts w:hint="eastAsia" w:asciiTheme="minorEastAsia" w:hAnsiTheme="minorEastAsia" w:eastAsiaTheme="minorEastAsia" w:cstheme="minorEastAsia"/>
          <w:sz w:val="24"/>
          <w:szCs w:val="24"/>
        </w:rPr>
        <w:t>南京站</w:t>
      </w:r>
      <w:r>
        <w:rPr>
          <w:rFonts w:hint="eastAsia" w:asciiTheme="minorEastAsia" w:hAnsiTheme="minorEastAsia" w:eastAsiaTheme="minorEastAsia" w:cstheme="minorEastAsia"/>
          <w:sz w:val="24"/>
          <w:szCs w:val="24"/>
          <w:lang w:eastAsia="zh-CN"/>
        </w:rPr>
        <w:t>数字化转型项目</w:t>
      </w:r>
      <w:r>
        <w:rPr>
          <w:rFonts w:hint="eastAsia" w:asciiTheme="minorEastAsia" w:hAnsiTheme="minorEastAsia" w:eastAsiaTheme="minorEastAsia" w:cstheme="minorEastAsia"/>
          <w:sz w:val="24"/>
          <w:szCs w:val="24"/>
        </w:rPr>
        <w:t>关联交易</w:t>
      </w:r>
      <w:r>
        <w:rPr>
          <w:rFonts w:hint="eastAsia" w:asciiTheme="minorEastAsia" w:hAnsiTheme="minorEastAsia" w:eastAsiaTheme="minorEastAsia" w:cstheme="minorEastAsia"/>
          <w:sz w:val="24"/>
          <w:szCs w:val="24"/>
          <w:lang w:val="en-US" w:eastAsia="zh-CN"/>
        </w:rPr>
        <w:t>协议</w:t>
      </w:r>
      <w:r>
        <w:rPr>
          <w:rFonts w:hint="eastAsia" w:asciiTheme="minorEastAsia" w:hAnsiTheme="minorEastAsia" w:eastAsiaTheme="minorEastAsia" w:cstheme="minorEastAsia"/>
          <w:sz w:val="24"/>
          <w:szCs w:val="24"/>
        </w:rPr>
        <w:t>的议案》</w:t>
      </w:r>
      <w:r>
        <w:rPr>
          <w:rFonts w:hint="eastAsia" w:asciiTheme="minorEastAsia" w:hAnsiTheme="minorEastAsia" w:eastAsiaTheme="minorEastAsia" w:cstheme="minorEastAsia"/>
          <w:sz w:val="24"/>
          <w:szCs w:val="24"/>
          <w:lang w:eastAsia="zh-CN"/>
        </w:rPr>
        <w:t>。</w:t>
      </w:r>
    </w:p>
    <w:p w14:paraId="24795B2B">
      <w:pPr>
        <w:pStyle w:val="6"/>
        <w:keepLines w:val="0"/>
        <w:pageBreakBefore w:val="0"/>
        <w:kinsoku/>
        <w:wordWrap/>
        <w:overflowPunct/>
        <w:topLinePunct w:val="0"/>
        <w:autoSpaceDE/>
        <w:autoSpaceDN/>
        <w:bidi w:val="0"/>
        <w:snapToGrid/>
        <w:spacing w:before="0" w:line="360" w:lineRule="auto"/>
        <w:ind w:lef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同意本公司与感动科技公司</w:t>
      </w:r>
      <w:r>
        <w:rPr>
          <w:rFonts w:hint="eastAsia" w:asciiTheme="minorEastAsia" w:hAnsiTheme="minorEastAsia" w:eastAsiaTheme="minorEastAsia" w:cstheme="minorEastAsia"/>
          <w:sz w:val="24"/>
          <w:szCs w:val="24"/>
          <w:lang w:val="en-US" w:eastAsia="zh-CN"/>
        </w:rPr>
        <w:t>及其全资子公司</w:t>
      </w:r>
      <w:r>
        <w:rPr>
          <w:rFonts w:hint="eastAsia" w:asciiTheme="minorEastAsia" w:hAnsiTheme="minorEastAsia" w:eastAsiaTheme="minorEastAsia" w:cstheme="minorEastAsia"/>
          <w:sz w:val="24"/>
          <w:szCs w:val="24"/>
        </w:rPr>
        <w:t>元创</w:t>
      </w:r>
      <w:r>
        <w:rPr>
          <w:rFonts w:hint="eastAsia" w:asciiTheme="minorEastAsia" w:hAnsiTheme="minorEastAsia" w:eastAsiaTheme="minorEastAsia" w:cstheme="minorEastAsia"/>
          <w:sz w:val="24"/>
          <w:szCs w:val="24"/>
          <w:lang w:val="en-US" w:eastAsia="zh-CN"/>
        </w:rPr>
        <w:t>公司</w:t>
      </w:r>
      <w:r>
        <w:rPr>
          <w:rFonts w:hint="eastAsia" w:asciiTheme="minorEastAsia" w:hAnsiTheme="minorEastAsia" w:eastAsiaTheme="minorEastAsia" w:cstheme="minorEastAsia"/>
          <w:sz w:val="24"/>
          <w:szCs w:val="24"/>
        </w:rPr>
        <w:t>签署</w:t>
      </w:r>
      <w:r>
        <w:rPr>
          <w:rFonts w:hint="eastAsia" w:asciiTheme="minorEastAsia" w:hAnsiTheme="minorEastAsia" w:eastAsiaTheme="minorEastAsia" w:cstheme="minorEastAsia"/>
          <w:sz w:val="24"/>
          <w:szCs w:val="24"/>
          <w:lang w:val="en-US" w:eastAsia="zh-CN"/>
        </w:rPr>
        <w:t>沪宁高速</w:t>
      </w:r>
      <w:r>
        <w:rPr>
          <w:rFonts w:hint="eastAsia" w:asciiTheme="minorEastAsia" w:hAnsiTheme="minorEastAsia" w:eastAsiaTheme="minorEastAsia" w:cstheme="minorEastAsia"/>
          <w:sz w:val="24"/>
          <w:szCs w:val="24"/>
        </w:rPr>
        <w:t>南京站</w:t>
      </w:r>
      <w:r>
        <w:rPr>
          <w:rFonts w:hint="eastAsia" w:asciiTheme="minorEastAsia" w:hAnsiTheme="minorEastAsia" w:eastAsiaTheme="minorEastAsia" w:cstheme="minorEastAsia"/>
          <w:sz w:val="24"/>
          <w:szCs w:val="24"/>
          <w:lang w:eastAsia="zh-CN"/>
        </w:rPr>
        <w:t>数字化转型项目</w:t>
      </w:r>
      <w:r>
        <w:rPr>
          <w:rFonts w:hint="eastAsia" w:asciiTheme="minorEastAsia" w:hAnsiTheme="minorEastAsia" w:eastAsiaTheme="minorEastAsia" w:cstheme="minorEastAsia"/>
          <w:sz w:val="24"/>
          <w:szCs w:val="24"/>
        </w:rPr>
        <w:t>协议，委托元创</w:t>
      </w:r>
      <w:r>
        <w:rPr>
          <w:rFonts w:hint="eastAsia" w:asciiTheme="minorEastAsia" w:hAnsiTheme="minorEastAsia" w:eastAsiaTheme="minorEastAsia" w:cstheme="minorEastAsia"/>
          <w:sz w:val="24"/>
          <w:szCs w:val="24"/>
          <w:lang w:val="en-US" w:eastAsia="zh-CN"/>
        </w:rPr>
        <w:t>公司</w:t>
      </w:r>
      <w:r>
        <w:rPr>
          <w:rFonts w:hint="eastAsia" w:asciiTheme="minorEastAsia" w:hAnsiTheme="minorEastAsia" w:eastAsiaTheme="minorEastAsia" w:cstheme="minorEastAsia"/>
          <w:sz w:val="24"/>
          <w:szCs w:val="24"/>
        </w:rPr>
        <w:t>、感动科技公司对南京站</w:t>
      </w:r>
      <w:r>
        <w:rPr>
          <w:rFonts w:hint="eastAsia" w:asciiTheme="minorEastAsia" w:hAnsiTheme="minorEastAsia" w:eastAsiaTheme="minorEastAsia" w:cstheme="minorEastAsia"/>
          <w:sz w:val="24"/>
          <w:szCs w:val="24"/>
          <w:lang w:val="en-US" w:eastAsia="zh-CN"/>
        </w:rPr>
        <w:t>信息</w:t>
      </w:r>
      <w:r>
        <w:rPr>
          <w:rFonts w:hint="eastAsia" w:asciiTheme="minorEastAsia" w:hAnsiTheme="minorEastAsia" w:eastAsiaTheme="minorEastAsia" w:cstheme="minorEastAsia"/>
          <w:sz w:val="24"/>
          <w:szCs w:val="24"/>
        </w:rPr>
        <w:t>系统进行提升改造，协议期限自2025年11月10日至2025年12月31日，协议金额不超过人民币1</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210万元，其中元创</w:t>
      </w:r>
      <w:r>
        <w:rPr>
          <w:rFonts w:hint="eastAsia" w:asciiTheme="minorEastAsia" w:hAnsiTheme="minorEastAsia" w:eastAsiaTheme="minorEastAsia" w:cstheme="minorEastAsia"/>
          <w:sz w:val="24"/>
          <w:szCs w:val="24"/>
          <w:lang w:val="en-US" w:eastAsia="zh-CN"/>
        </w:rPr>
        <w:t>公司</w:t>
      </w:r>
      <w:r>
        <w:rPr>
          <w:rFonts w:hint="eastAsia" w:asciiTheme="minorEastAsia" w:hAnsiTheme="minorEastAsia" w:eastAsiaTheme="minorEastAsia" w:cstheme="minorEastAsia"/>
          <w:sz w:val="24"/>
          <w:szCs w:val="24"/>
        </w:rPr>
        <w:t>不超过人民币1</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000万元，感动科技</w:t>
      </w:r>
      <w:r>
        <w:rPr>
          <w:rFonts w:hint="eastAsia" w:asciiTheme="minorEastAsia" w:hAnsiTheme="minorEastAsia" w:eastAsiaTheme="minorEastAsia" w:cstheme="minorEastAsia"/>
          <w:sz w:val="24"/>
          <w:szCs w:val="24"/>
          <w:lang w:val="en-US" w:eastAsia="zh-CN"/>
        </w:rPr>
        <w:t>公司</w:t>
      </w:r>
      <w:r>
        <w:rPr>
          <w:rFonts w:hint="eastAsia" w:asciiTheme="minorEastAsia" w:hAnsiTheme="minorEastAsia" w:eastAsiaTheme="minorEastAsia" w:cstheme="minorEastAsia"/>
          <w:sz w:val="24"/>
          <w:szCs w:val="24"/>
        </w:rPr>
        <w:t>不超过人民币210万元</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并授权执行董事于协议签订后予以公告。</w:t>
      </w:r>
    </w:p>
    <w:p w14:paraId="189004A7">
      <w:pPr>
        <w:pStyle w:val="6"/>
        <w:keepLines w:val="0"/>
        <w:pageBreakBefore w:val="0"/>
        <w:kinsoku/>
        <w:wordWrap/>
        <w:overflowPunct/>
        <w:topLinePunct w:val="0"/>
        <w:autoSpaceDE/>
        <w:autoSpaceDN/>
        <w:bidi w:val="0"/>
        <w:snapToGrid/>
        <w:spacing w:before="0" w:line="360" w:lineRule="auto"/>
        <w:ind w:lef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本议案已经本公司董事会审计委员会、独立董事专门会议审议通过，并同意提交董事会审议。</w:t>
      </w:r>
    </w:p>
    <w:p w14:paraId="176BDD28">
      <w:pPr>
        <w:pStyle w:val="27"/>
        <w:keepLines w:val="0"/>
        <w:pageBreakBefore w:val="0"/>
        <w:kinsoku/>
        <w:wordWrap/>
        <w:overflowPunct/>
        <w:topLinePunct w:val="0"/>
        <w:autoSpaceDE/>
        <w:autoSpaceDN/>
        <w:bidi w:val="0"/>
        <w:adjustRightInd w:val="0"/>
        <w:snapToGrid/>
        <w:spacing w:line="360" w:lineRule="auto"/>
        <w:ind w:left="0" w:firstLine="482" w:firstLineChars="200"/>
        <w:jc w:val="both"/>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表决结果：同意10票；反对0票；弃权0票。</w:t>
      </w:r>
    </w:p>
    <w:p w14:paraId="6E3DADB4">
      <w:pPr>
        <w:pStyle w:val="27"/>
        <w:keepLines w:val="0"/>
        <w:pageBreakBefore w:val="0"/>
        <w:kinsoku/>
        <w:wordWrap/>
        <w:overflowPunct/>
        <w:topLinePunct w:val="0"/>
        <w:autoSpaceDE/>
        <w:autoSpaceDN/>
        <w:bidi w:val="0"/>
        <w:adjustRightInd w:val="0"/>
        <w:snapToGrid/>
        <w:spacing w:line="360" w:lineRule="auto"/>
        <w:ind w:left="0" w:firstLine="482" w:firstLineChars="200"/>
        <w:jc w:val="both"/>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76F7BFE9">
      <w:pPr>
        <w:pStyle w:val="27"/>
        <w:keepLines w:val="0"/>
        <w:pageBreakBefore w:val="0"/>
        <w:kinsoku/>
        <w:wordWrap/>
        <w:overflowPunct/>
        <w:topLinePunct w:val="0"/>
        <w:autoSpaceDE/>
        <w:autoSpaceDN/>
        <w:bidi w:val="0"/>
        <w:adjustRightInd w:val="0"/>
        <w:snapToGrid/>
        <w:spacing w:line="360" w:lineRule="auto"/>
        <w:ind w:left="0" w:firstLine="482" w:firstLineChars="200"/>
        <w:jc w:val="both"/>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上述关联交易/持续关连交易事项中，关联/关连董事陈云江先生、王颖健先生、谢蒙萌女士回避表决，其余各董事均可投票。</w:t>
      </w:r>
    </w:p>
    <w:p w14:paraId="561B9F1C">
      <w:pPr>
        <w:pStyle w:val="27"/>
        <w:keepLines w:val="0"/>
        <w:pageBreakBefore w:val="0"/>
        <w:kinsoku/>
        <w:wordWrap/>
        <w:overflowPunct/>
        <w:topLinePunct w:val="0"/>
        <w:autoSpaceDE/>
        <w:autoSpaceDN/>
        <w:bidi w:val="0"/>
        <w:adjustRightInd w:val="0"/>
        <w:snapToGrid/>
        <w:spacing w:line="360" w:lineRule="auto"/>
        <w:ind w:left="0" w:firstLine="482" w:firstLineChars="200"/>
        <w:jc w:val="both"/>
        <w:textAlignment w:val="auto"/>
        <w:rPr>
          <w:rFonts w:hint="eastAsia" w:asciiTheme="minorEastAsia" w:hAnsiTheme="minorEastAsia" w:eastAsiaTheme="minorEastAsia" w:cstheme="minorEastAsia"/>
          <w:b/>
          <w:sz w:val="24"/>
          <w:szCs w:val="24"/>
          <w:lang w:val="en-US" w:eastAsia="zh-CN"/>
        </w:rPr>
      </w:pPr>
      <w:r>
        <w:rPr>
          <w:rFonts w:hint="eastAsia" w:asciiTheme="minorEastAsia" w:hAnsiTheme="minorEastAsia" w:eastAsiaTheme="minorEastAsia" w:cstheme="minorEastAsia"/>
          <w:b/>
          <w:sz w:val="24"/>
          <w:szCs w:val="24"/>
        </w:rPr>
        <w:t>所有董事（包</w:t>
      </w:r>
      <w:r>
        <w:rPr>
          <w:rFonts w:hint="eastAsia" w:asciiTheme="minorEastAsia" w:hAnsiTheme="minorEastAsia" w:eastAsiaTheme="minorEastAsia" w:cstheme="minorEastAsia"/>
          <w:b/>
          <w:sz w:val="24"/>
          <w:szCs w:val="24"/>
          <w:lang w:val="en-US" w:eastAsia="zh-CN"/>
        </w:rPr>
        <w:t>括独立非执行董事）认为上述日常关联交易/持续关连交易事项交易条款公平合理，属一般商业条款，不会损害本公司及非关联股东利益，尤其是中小股东的利益，</w:t>
      </w:r>
      <w:bookmarkStart w:id="3" w:name="_GoBack"/>
      <w:bookmarkEnd w:id="3"/>
      <w:r>
        <w:rPr>
          <w:rFonts w:hint="eastAsia" w:asciiTheme="minorEastAsia" w:hAnsiTheme="minorEastAsia" w:eastAsiaTheme="minorEastAsia" w:cstheme="minorEastAsia"/>
          <w:b/>
          <w:sz w:val="24"/>
          <w:szCs w:val="24"/>
          <w:lang w:val="en-US" w:eastAsia="zh-CN"/>
        </w:rPr>
        <w:t>且符合本公司及其股东的整体利益。</w:t>
      </w:r>
    </w:p>
    <w:p w14:paraId="37864151">
      <w:pPr>
        <w:pStyle w:val="27"/>
        <w:keepLines w:val="0"/>
        <w:pageBreakBefore w:val="0"/>
        <w:kinsoku/>
        <w:wordWrap/>
        <w:overflowPunct/>
        <w:topLinePunct w:val="0"/>
        <w:autoSpaceDE/>
        <w:autoSpaceDN/>
        <w:bidi w:val="0"/>
        <w:adjustRightInd w:val="0"/>
        <w:snapToGrid/>
        <w:spacing w:line="360" w:lineRule="auto"/>
        <w:ind w:left="0" w:firstLine="482" w:firstLineChars="200"/>
        <w:jc w:val="both"/>
        <w:textAlignment w:val="auto"/>
        <w:rPr>
          <w:rFonts w:hint="eastAsia" w:asciiTheme="minorEastAsia" w:hAnsiTheme="minorEastAsia" w:eastAsiaTheme="minorEastAsia" w:cstheme="minorEastAsia"/>
          <w:b/>
          <w:sz w:val="24"/>
          <w:lang w:val="en-US" w:eastAsia="zh-CN"/>
        </w:rPr>
      </w:pPr>
      <w:r>
        <w:rPr>
          <w:rFonts w:hint="eastAsia" w:asciiTheme="minorEastAsia" w:hAnsiTheme="minorEastAsia" w:eastAsiaTheme="minorEastAsia" w:cstheme="minorEastAsia"/>
          <w:b/>
          <w:sz w:val="24"/>
          <w:szCs w:val="24"/>
          <w:lang w:val="en-US" w:eastAsia="zh-CN"/>
        </w:rPr>
        <w:t>根据上海证券交易所</w:t>
      </w:r>
      <w:r>
        <w:rPr>
          <w:rFonts w:hint="eastAsia" w:asciiTheme="minorEastAsia" w:hAnsiTheme="minorEastAsia" w:eastAsiaTheme="minorEastAsia" w:cstheme="minorEastAsia"/>
          <w:b/>
          <w:sz w:val="24"/>
          <w:szCs w:val="24"/>
        </w:rPr>
        <w:t>《股票上市规则》</w:t>
      </w:r>
      <w:r>
        <w:rPr>
          <w:rFonts w:hint="eastAsia" w:asciiTheme="minorEastAsia" w:hAnsiTheme="minorEastAsia" w:eastAsiaTheme="minorEastAsia" w:cstheme="minorEastAsia"/>
          <w:b/>
          <w:sz w:val="24"/>
          <w:szCs w:val="24"/>
          <w:lang w:val="en-US" w:eastAsia="zh-CN"/>
        </w:rPr>
        <w:t>第6.3.18条</w:t>
      </w: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b/>
          <w:sz w:val="24"/>
          <w:szCs w:val="24"/>
          <w:lang w:val="en-US" w:eastAsia="zh-CN"/>
        </w:rPr>
        <w:t>本</w:t>
      </w:r>
      <w:r>
        <w:rPr>
          <w:rFonts w:hint="eastAsia" w:asciiTheme="minorEastAsia" w:hAnsiTheme="minorEastAsia" w:eastAsiaTheme="minorEastAsia" w:cstheme="minorEastAsia"/>
          <w:b/>
          <w:sz w:val="24"/>
          <w:szCs w:val="24"/>
        </w:rPr>
        <w:t>关联交易由于关联方是通过公开招标确定的实施单位，可免于按照关联交易的</w:t>
      </w:r>
      <w:r>
        <w:rPr>
          <w:rFonts w:hint="eastAsia" w:asciiTheme="minorEastAsia" w:hAnsiTheme="minorEastAsia" w:eastAsiaTheme="minorEastAsia" w:cstheme="minorEastAsia"/>
          <w:b/>
          <w:sz w:val="24"/>
        </w:rPr>
        <w:t>方式审议披露</w:t>
      </w:r>
      <w:r>
        <w:rPr>
          <w:rFonts w:hint="eastAsia" w:asciiTheme="minorEastAsia" w:hAnsiTheme="minorEastAsia" w:eastAsiaTheme="minorEastAsia" w:cstheme="minorEastAsia"/>
          <w:b/>
          <w:sz w:val="24"/>
          <w:lang w:val="en-US" w:eastAsia="zh-CN"/>
        </w:rPr>
        <w:t xml:space="preserve"> 。</w:t>
      </w:r>
    </w:p>
    <w:p w14:paraId="448CEFD0">
      <w:pPr>
        <w:adjustRightInd w:val="0"/>
        <w:spacing w:line="360" w:lineRule="auto"/>
        <w:ind w:firstLine="482" w:firstLineChars="200"/>
        <w:rPr>
          <w:rFonts w:hint="eastAsia"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b/>
          <w:kern w:val="2"/>
          <w:sz w:val="24"/>
          <w:szCs w:val="24"/>
        </w:rPr>
        <w:t>根据香港联合交易所有限公司证券上市规则</w:t>
      </w:r>
      <w:r>
        <w:rPr>
          <w:rFonts w:hint="eastAsia" w:asciiTheme="minorEastAsia" w:hAnsiTheme="minorEastAsia" w:eastAsiaTheme="minorEastAsia" w:cstheme="minorEastAsia"/>
          <w:b/>
          <w:kern w:val="2"/>
          <w:sz w:val="24"/>
          <w:szCs w:val="24"/>
          <w:lang w:eastAsia="zh-CN"/>
        </w:rPr>
        <w:t>（</w:t>
      </w:r>
      <w:r>
        <w:rPr>
          <w:rFonts w:hint="eastAsia" w:asciiTheme="minorEastAsia" w:hAnsiTheme="minorEastAsia" w:eastAsiaTheme="minorEastAsia" w:cstheme="minorEastAsia"/>
          <w:b/>
          <w:kern w:val="2"/>
          <w:sz w:val="24"/>
          <w:szCs w:val="24"/>
          <w:lang w:val="en-US" w:eastAsia="zh-CN"/>
        </w:rPr>
        <w:t>以下简称“香港上市规则”</w:t>
      </w:r>
      <w:r>
        <w:rPr>
          <w:rFonts w:hint="eastAsia" w:asciiTheme="minorEastAsia" w:hAnsiTheme="minorEastAsia" w:eastAsiaTheme="minorEastAsia" w:cstheme="minorEastAsia"/>
          <w:b/>
          <w:kern w:val="2"/>
          <w:sz w:val="24"/>
          <w:szCs w:val="24"/>
          <w:lang w:eastAsia="zh-CN"/>
        </w:rPr>
        <w:t>）</w:t>
      </w:r>
      <w:r>
        <w:rPr>
          <w:rFonts w:hint="eastAsia" w:asciiTheme="minorEastAsia" w:hAnsiTheme="minorEastAsia" w:eastAsiaTheme="minorEastAsia" w:cstheme="minorEastAsia"/>
          <w:b/>
          <w:kern w:val="2"/>
          <w:sz w:val="24"/>
          <w:szCs w:val="24"/>
          <w:lang w:val="en-US" w:eastAsia="zh-CN"/>
        </w:rPr>
        <w:t>第</w:t>
      </w:r>
      <w:r>
        <w:rPr>
          <w:rFonts w:hint="eastAsia" w:asciiTheme="minorEastAsia" w:hAnsiTheme="minorEastAsia" w:eastAsiaTheme="minorEastAsia" w:cstheme="minorEastAsia"/>
          <w:b/>
          <w:kern w:val="2"/>
          <w:sz w:val="24"/>
          <w:szCs w:val="24"/>
        </w:rPr>
        <w:t>14A.81条，</w:t>
      </w:r>
      <w:r>
        <w:rPr>
          <w:rFonts w:hint="eastAsia" w:asciiTheme="minorEastAsia" w:hAnsiTheme="minorEastAsia" w:eastAsiaTheme="minorEastAsia" w:cstheme="minorEastAsia"/>
          <w:b/>
          <w:kern w:val="2"/>
          <w:sz w:val="24"/>
          <w:szCs w:val="24"/>
          <w:lang w:val="en-US" w:eastAsia="zh-CN"/>
        </w:rPr>
        <w:t>本</w:t>
      </w:r>
      <w:r>
        <w:rPr>
          <w:rFonts w:hint="eastAsia" w:asciiTheme="minorEastAsia" w:hAnsiTheme="minorEastAsia" w:eastAsiaTheme="minorEastAsia" w:cstheme="minorEastAsia"/>
          <w:b/>
          <w:kern w:val="2"/>
          <w:sz w:val="24"/>
          <w:szCs w:val="24"/>
        </w:rPr>
        <w:t>交易需与之前</w:t>
      </w:r>
      <w:r>
        <w:rPr>
          <w:rFonts w:hint="eastAsia" w:asciiTheme="minorEastAsia" w:hAnsiTheme="minorEastAsia" w:eastAsiaTheme="minorEastAsia" w:cstheme="minorEastAsia"/>
          <w:b/>
          <w:kern w:val="2"/>
          <w:sz w:val="24"/>
          <w:szCs w:val="24"/>
          <w:lang w:val="en-US" w:eastAsia="zh-CN"/>
        </w:rPr>
        <w:t>披露的</w:t>
      </w:r>
      <w:r>
        <w:rPr>
          <w:rFonts w:hint="eastAsia" w:asciiTheme="minorEastAsia" w:hAnsiTheme="minorEastAsia" w:eastAsiaTheme="minorEastAsia" w:cstheme="minorEastAsia"/>
          <w:b/>
          <w:kern w:val="2"/>
          <w:sz w:val="24"/>
          <w:szCs w:val="24"/>
        </w:rPr>
        <w:t>同类交易作</w:t>
      </w:r>
      <w:r>
        <w:rPr>
          <w:rFonts w:hint="eastAsia" w:asciiTheme="minorEastAsia" w:hAnsiTheme="minorEastAsia" w:eastAsiaTheme="minorEastAsia" w:cstheme="minorEastAsia"/>
          <w:b/>
          <w:kern w:val="2"/>
          <w:sz w:val="24"/>
          <w:szCs w:val="24"/>
          <w:lang w:val="en-US" w:eastAsia="zh-CN"/>
        </w:rPr>
        <w:t>合并</w:t>
      </w:r>
      <w:r>
        <w:rPr>
          <w:rFonts w:hint="eastAsia" w:asciiTheme="minorEastAsia" w:hAnsiTheme="minorEastAsia" w:eastAsiaTheme="minorEastAsia" w:cstheme="minorEastAsia"/>
          <w:b/>
          <w:kern w:val="2"/>
          <w:sz w:val="24"/>
          <w:szCs w:val="24"/>
        </w:rPr>
        <w:t>计算</w:t>
      </w:r>
      <w:r>
        <w:rPr>
          <w:rFonts w:hint="eastAsia" w:asciiTheme="minorEastAsia" w:hAnsiTheme="minorEastAsia" w:eastAsiaTheme="minorEastAsia" w:cstheme="minorEastAsia"/>
          <w:b/>
          <w:kern w:val="2"/>
          <w:sz w:val="24"/>
          <w:szCs w:val="24"/>
          <w:lang w:eastAsia="zh-CN"/>
        </w:rPr>
        <w:t>。</w:t>
      </w:r>
      <w:r>
        <w:rPr>
          <w:rFonts w:hint="eastAsia" w:asciiTheme="minorEastAsia" w:hAnsiTheme="minorEastAsia" w:eastAsiaTheme="minorEastAsia" w:cstheme="minorEastAsia"/>
          <w:b/>
          <w:kern w:val="2"/>
          <w:sz w:val="24"/>
          <w:szCs w:val="24"/>
        </w:rPr>
        <w:t>持续关</w:t>
      </w:r>
      <w:r>
        <w:rPr>
          <w:rFonts w:hint="eastAsia" w:asciiTheme="minorEastAsia" w:hAnsiTheme="minorEastAsia" w:eastAsiaTheme="minorEastAsia" w:cstheme="minorEastAsia"/>
          <w:b/>
          <w:kern w:val="2"/>
          <w:sz w:val="24"/>
          <w:szCs w:val="24"/>
          <w:lang w:val="en-US" w:eastAsia="zh-CN"/>
        </w:rPr>
        <w:t>连</w:t>
      </w:r>
      <w:r>
        <w:rPr>
          <w:rFonts w:hint="eastAsia" w:asciiTheme="minorEastAsia" w:hAnsiTheme="minorEastAsia" w:eastAsiaTheme="minorEastAsia" w:cstheme="minorEastAsia"/>
          <w:b/>
          <w:kern w:val="2"/>
          <w:sz w:val="24"/>
          <w:szCs w:val="24"/>
        </w:rPr>
        <w:t>交易的年度上限</w:t>
      </w:r>
      <w:r>
        <w:rPr>
          <w:rFonts w:hint="eastAsia" w:asciiTheme="minorEastAsia" w:hAnsiTheme="minorEastAsia" w:eastAsiaTheme="minorEastAsia" w:cstheme="minorEastAsia"/>
          <w:b/>
          <w:kern w:val="2"/>
          <w:sz w:val="24"/>
          <w:szCs w:val="24"/>
          <w:lang w:eastAsia="zh-CN"/>
        </w:rPr>
        <w:t>，</w:t>
      </w:r>
      <w:r>
        <w:rPr>
          <w:rFonts w:hint="eastAsia" w:asciiTheme="minorEastAsia" w:hAnsiTheme="minorEastAsia" w:eastAsiaTheme="minorEastAsia" w:cstheme="minorEastAsia"/>
          <w:b/>
          <w:kern w:val="2"/>
          <w:sz w:val="24"/>
          <w:szCs w:val="24"/>
        </w:rPr>
        <w:t>按香港上市规则第14.07条所计算之收益比率高于0.1%但低于5%，故根据香港上市规则第14A.76(2)(a)条只须符合公告规定，但无须在股</w:t>
      </w:r>
      <w:r>
        <w:rPr>
          <w:rFonts w:hint="eastAsia" w:asciiTheme="minorEastAsia" w:hAnsiTheme="minorEastAsia" w:eastAsiaTheme="minorEastAsia" w:cstheme="minorEastAsia"/>
          <w:b/>
          <w:kern w:val="2"/>
          <w:sz w:val="24"/>
          <w:szCs w:val="24"/>
          <w:lang w:val="en-US" w:eastAsia="zh-CN"/>
        </w:rPr>
        <w:t>东</w:t>
      </w:r>
      <w:r>
        <w:rPr>
          <w:rFonts w:hint="eastAsia" w:asciiTheme="minorEastAsia" w:hAnsiTheme="minorEastAsia" w:eastAsiaTheme="minorEastAsia" w:cstheme="minorEastAsia"/>
          <w:b/>
          <w:kern w:val="2"/>
          <w:sz w:val="24"/>
          <w:szCs w:val="24"/>
        </w:rPr>
        <w:t>大会上获得独立股</w:t>
      </w:r>
      <w:r>
        <w:rPr>
          <w:rFonts w:hint="eastAsia" w:asciiTheme="minorEastAsia" w:hAnsiTheme="minorEastAsia" w:eastAsiaTheme="minorEastAsia" w:cstheme="minorEastAsia"/>
          <w:b/>
          <w:kern w:val="2"/>
          <w:sz w:val="24"/>
          <w:szCs w:val="24"/>
          <w:lang w:val="en-US" w:eastAsia="zh-CN"/>
        </w:rPr>
        <w:t>东</w:t>
      </w:r>
      <w:r>
        <w:rPr>
          <w:rFonts w:hint="eastAsia" w:asciiTheme="minorEastAsia" w:hAnsiTheme="minorEastAsia" w:eastAsiaTheme="minorEastAsia" w:cstheme="minorEastAsia"/>
          <w:b/>
          <w:kern w:val="2"/>
          <w:sz w:val="24"/>
          <w:szCs w:val="24"/>
        </w:rPr>
        <w:t>批准。上述交易亦须符合香港上市规则第14A.55至14A.59条年度</w:t>
      </w:r>
      <w:r>
        <w:rPr>
          <w:rFonts w:hint="eastAsia" w:asciiTheme="minorEastAsia" w:hAnsiTheme="minorEastAsia" w:eastAsiaTheme="minorEastAsia" w:cstheme="minorEastAsia"/>
          <w:b/>
          <w:kern w:val="2"/>
          <w:sz w:val="24"/>
          <w:szCs w:val="24"/>
          <w:lang w:val="en-US" w:eastAsia="zh-CN"/>
        </w:rPr>
        <w:t>审核</w:t>
      </w:r>
      <w:r>
        <w:rPr>
          <w:rFonts w:hint="eastAsia" w:asciiTheme="minorEastAsia" w:hAnsiTheme="minorEastAsia" w:eastAsiaTheme="minorEastAsia" w:cstheme="minorEastAsia"/>
          <w:b/>
          <w:kern w:val="2"/>
          <w:sz w:val="24"/>
          <w:szCs w:val="24"/>
        </w:rPr>
        <w:t>的规定。</w:t>
      </w:r>
    </w:p>
    <w:p w14:paraId="2EC30FA9">
      <w:pPr>
        <w:adjustRightInd w:val="0"/>
        <w:spacing w:line="360" w:lineRule="auto"/>
        <w:ind w:firstLine="482" w:firstLineChars="200"/>
        <w:rPr>
          <w:rFonts w:hint="eastAsia" w:asciiTheme="minorEastAsia" w:hAnsiTheme="minorEastAsia" w:eastAsiaTheme="minorEastAsia" w:cstheme="minorEastAsia"/>
          <w:b/>
          <w:kern w:val="2"/>
          <w:sz w:val="24"/>
          <w:szCs w:val="24"/>
        </w:rPr>
      </w:pPr>
    </w:p>
    <w:p w14:paraId="746A7973">
      <w:pPr>
        <w:numPr>
          <w:ilvl w:val="0"/>
          <w:numId w:val="1"/>
        </w:numPr>
        <w:adjustRightInd w:val="0"/>
        <w:spacing w:line="360" w:lineRule="auto"/>
        <w:ind w:left="140" w:firstLine="240" w:firstLineChars="100"/>
        <w:contextualSpacing/>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审议并批准《关于提请召开2025年第一次临时股东大会的议案》。</w:t>
      </w:r>
    </w:p>
    <w:p w14:paraId="780DC2F8">
      <w:pPr>
        <w:pStyle w:val="6"/>
        <w:ind w:firstLine="5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同意本公司召开2025年第一次临时股东大会，并授权执行董事予以发布通知及通函。</w:t>
      </w:r>
    </w:p>
    <w:p w14:paraId="68D9ABC9">
      <w:pPr>
        <w:adjustRightInd w:val="0"/>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表决结果：同意13票；反对0票；弃权0票。</w:t>
      </w:r>
    </w:p>
    <w:p w14:paraId="7CC7073A">
      <w:pPr>
        <w:adjustRightInd w:val="0"/>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00B7DCDC">
      <w:pPr>
        <w:pStyle w:val="6"/>
        <w:keepNext w:val="0"/>
        <w:keepLines w:val="0"/>
        <w:pageBreakBefore w:val="0"/>
        <w:kinsoku/>
        <w:wordWrap/>
        <w:overflowPunct/>
        <w:topLinePunct w:val="0"/>
        <w:bidi w:val="0"/>
        <w:snapToGrid/>
        <w:spacing w:before="0" w:line="360" w:lineRule="auto"/>
        <w:ind w:left="0" w:leftChars="0" w:firstLine="0" w:firstLineChars="0"/>
        <w:jc w:val="left"/>
        <w:textAlignment w:val="auto"/>
        <w:outlineLvl w:val="9"/>
        <w:rPr>
          <w:rFonts w:hint="eastAsia" w:asciiTheme="minorEastAsia" w:hAnsiTheme="minorEastAsia" w:eastAsiaTheme="minorEastAsia"/>
          <w:b/>
          <w:bCs/>
          <w:sz w:val="24"/>
          <w:szCs w:val="24"/>
        </w:rPr>
      </w:pPr>
    </w:p>
    <w:p w14:paraId="38782D22">
      <w:pPr>
        <w:pStyle w:val="6"/>
        <w:keepNext w:val="0"/>
        <w:keepLines w:val="0"/>
        <w:pageBreakBefore w:val="0"/>
        <w:kinsoku/>
        <w:wordWrap/>
        <w:overflowPunct/>
        <w:topLinePunct w:val="0"/>
        <w:bidi w:val="0"/>
        <w:snapToGrid/>
        <w:spacing w:before="0" w:line="360" w:lineRule="auto"/>
        <w:ind w:left="0" w:leftChars="0" w:firstLine="482" w:firstLineChars="200"/>
        <w:jc w:val="left"/>
        <w:textAlignment w:val="auto"/>
        <w:outlineLvl w:val="9"/>
        <w:rPr>
          <w:rFonts w:hint="eastAsia" w:asciiTheme="minorEastAsia" w:hAnsiTheme="minorEastAsia" w:eastAsiaTheme="minorEastAsia"/>
          <w:b/>
          <w:bCs/>
          <w:sz w:val="24"/>
          <w:szCs w:val="24"/>
        </w:rPr>
      </w:pPr>
      <w:r>
        <w:rPr>
          <w:rFonts w:hint="eastAsia" w:asciiTheme="minorEastAsia" w:hAnsiTheme="minorEastAsia" w:eastAsiaTheme="minorEastAsia"/>
          <w:b/>
          <w:bCs/>
          <w:sz w:val="24"/>
          <w:szCs w:val="24"/>
        </w:rPr>
        <w:t>特此公告。</w:t>
      </w:r>
    </w:p>
    <w:p w14:paraId="04967FCF">
      <w:pPr>
        <w:pStyle w:val="6"/>
        <w:keepNext w:val="0"/>
        <w:keepLines w:val="0"/>
        <w:pageBreakBefore w:val="0"/>
        <w:kinsoku/>
        <w:wordWrap/>
        <w:overflowPunct/>
        <w:topLinePunct w:val="0"/>
        <w:bidi w:val="0"/>
        <w:snapToGrid/>
        <w:spacing w:before="0" w:line="360" w:lineRule="auto"/>
        <w:ind w:left="0" w:leftChars="0" w:firstLine="482" w:firstLineChars="200"/>
        <w:jc w:val="left"/>
        <w:textAlignment w:val="auto"/>
        <w:outlineLvl w:val="9"/>
        <w:rPr>
          <w:rFonts w:hint="eastAsia" w:asciiTheme="minorEastAsia" w:hAnsiTheme="minorEastAsia" w:eastAsiaTheme="minorEastAsia"/>
          <w:b/>
          <w:bCs/>
          <w:sz w:val="24"/>
          <w:szCs w:val="24"/>
        </w:rPr>
      </w:pPr>
    </w:p>
    <w:p w14:paraId="528BB4B9">
      <w:pPr>
        <w:pStyle w:val="6"/>
        <w:spacing w:before="0" w:line="360" w:lineRule="auto"/>
        <w:ind w:left="0" w:leftChars="0" w:firstLine="482" w:firstLineChars="200"/>
        <w:rPr>
          <w:rFonts w:hint="eastAsia" w:asciiTheme="minorEastAsia" w:hAnsiTheme="minorEastAsia" w:eastAsiaTheme="minorEastAsia"/>
          <w:b/>
          <w:bCs/>
          <w:sz w:val="24"/>
          <w:szCs w:val="24"/>
        </w:rPr>
      </w:pPr>
    </w:p>
    <w:p w14:paraId="253DE25E">
      <w:pPr>
        <w:pStyle w:val="6"/>
        <w:spacing w:before="0" w:line="360" w:lineRule="auto"/>
        <w:ind w:left="0" w:firstLine="482" w:firstLineChars="200"/>
        <w:rPr>
          <w:rFonts w:hint="eastAsia" w:asciiTheme="minorEastAsia" w:hAnsiTheme="minorEastAsia" w:eastAsiaTheme="minorEastAsia"/>
          <w:b/>
          <w:bCs/>
          <w:sz w:val="24"/>
          <w:szCs w:val="24"/>
        </w:rPr>
      </w:pPr>
    </w:p>
    <w:p w14:paraId="7CCCD45C">
      <w:pPr>
        <w:adjustRightInd w:val="0"/>
        <w:spacing w:line="360" w:lineRule="auto"/>
        <w:ind w:firstLine="4096" w:firstLineChars="1700"/>
        <w:rPr>
          <w:rFonts w:hint="eastAsia" w:cs="宋体" w:asciiTheme="minorEastAsia" w:hAnsiTheme="minorEastAsia" w:eastAsiaTheme="minorEastAsia"/>
          <w:b/>
          <w:sz w:val="24"/>
          <w:lang w:eastAsia="zh-TW"/>
        </w:rPr>
      </w:pPr>
      <w:r>
        <w:rPr>
          <w:rFonts w:hint="eastAsia" w:cs="宋体" w:asciiTheme="minorEastAsia" w:hAnsiTheme="minorEastAsia" w:eastAsiaTheme="minorEastAsia"/>
          <w:b/>
          <w:sz w:val="24"/>
          <w:lang w:eastAsia="zh-TW"/>
        </w:rPr>
        <w:t>江苏宁沪高速公路股份有限公司董事会</w:t>
      </w:r>
    </w:p>
    <w:p w14:paraId="58FBCDB3">
      <w:pPr>
        <w:spacing w:line="360" w:lineRule="auto"/>
        <w:ind w:firstLine="200"/>
        <w:rPr>
          <w:rFonts w:hint="eastAsia" w:asciiTheme="minorEastAsia" w:hAnsiTheme="minorEastAsia" w:eastAsiaTheme="minorEastAsia"/>
          <w:sz w:val="24"/>
          <w:szCs w:val="24"/>
        </w:rPr>
      </w:pPr>
      <w:r>
        <w:rPr>
          <w:rFonts w:hint="eastAsia" w:cs="宋体" w:asciiTheme="minorEastAsia" w:hAnsiTheme="minorEastAsia" w:eastAsiaTheme="minorEastAsia"/>
          <w:b/>
          <w:sz w:val="24"/>
          <w:lang w:eastAsia="zh-TW"/>
        </w:rPr>
        <w:t xml:space="preserve">                                       </w:t>
      </w:r>
      <w:r>
        <w:rPr>
          <w:rFonts w:hint="eastAsia" w:cs="宋体" w:asciiTheme="minorEastAsia" w:hAnsiTheme="minorEastAsia" w:eastAsiaTheme="minorEastAsia"/>
          <w:b/>
          <w:sz w:val="24"/>
        </w:rPr>
        <w:t>二〇二五年</w:t>
      </w:r>
      <w:r>
        <w:rPr>
          <w:rFonts w:hint="eastAsia" w:cs="宋体" w:asciiTheme="minorEastAsia" w:hAnsiTheme="minorEastAsia" w:eastAsiaTheme="minorEastAsia"/>
          <w:b/>
          <w:sz w:val="24"/>
          <w:lang w:val="en-US" w:eastAsia="zh-CN"/>
        </w:rPr>
        <w:t>十</w:t>
      </w:r>
      <w:r>
        <w:rPr>
          <w:rFonts w:hint="eastAsia" w:cs="宋体" w:asciiTheme="minorEastAsia" w:hAnsiTheme="minorEastAsia" w:eastAsiaTheme="minorEastAsia"/>
          <w:b/>
          <w:sz w:val="24"/>
        </w:rPr>
        <w:t>月</w:t>
      </w:r>
      <w:r>
        <w:rPr>
          <w:rFonts w:hint="eastAsia" w:cs="宋体" w:asciiTheme="minorEastAsia" w:hAnsiTheme="minorEastAsia" w:eastAsiaTheme="minorEastAsia"/>
          <w:b/>
          <w:sz w:val="24"/>
          <w:lang w:val="en-US" w:eastAsia="zh-CN"/>
        </w:rPr>
        <w:t>三十</w:t>
      </w:r>
      <w:r>
        <w:rPr>
          <w:rFonts w:hint="eastAsia" w:cs="宋体" w:asciiTheme="minorEastAsia" w:hAnsiTheme="minorEastAsia" w:eastAsiaTheme="minorEastAsia"/>
          <w:b/>
          <w:sz w:val="24"/>
        </w:rPr>
        <w:t>日</w:t>
      </w:r>
    </w:p>
    <w:sectPr>
      <w:footerReference r:id="rId3" w:type="default"/>
      <w:footerReference r:id="rId4" w:type="even"/>
      <w:pgSz w:w="11906" w:h="16838"/>
      <w:pgMar w:top="1134" w:right="1531" w:bottom="1134" w:left="158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081989"/>
    </w:sdtPr>
    <w:sdtContent>
      <w:p w14:paraId="13E642CA">
        <w:pPr>
          <w:pStyle w:val="9"/>
          <w:jc w:val="center"/>
        </w:pPr>
        <w:r>
          <w:fldChar w:fldCharType="begin"/>
        </w:r>
        <w:r>
          <w:instrText xml:space="preserve"> PAGE   \* MERGEFORMAT </w:instrText>
        </w:r>
        <w:r>
          <w:fldChar w:fldCharType="separate"/>
        </w:r>
        <w:r>
          <w:rPr>
            <w:lang w:val="zh-CN"/>
          </w:rPr>
          <w:t>2</w:t>
        </w:r>
        <w:r>
          <w:fldChar w:fldCharType="end"/>
        </w:r>
      </w:p>
    </w:sdtContent>
  </w:sdt>
  <w:p w14:paraId="039CEA52">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6F3E15">
    <w:pPr>
      <w:pStyle w:val="9"/>
      <w:framePr w:wrap="around" w:vAnchor="text" w:hAnchor="margin" w:xAlign="center" w:y="1"/>
      <w:rPr>
        <w:rStyle w:val="16"/>
      </w:rPr>
    </w:pPr>
    <w:r>
      <w:rPr>
        <w:rStyle w:val="16"/>
      </w:rPr>
      <w:fldChar w:fldCharType="begin"/>
    </w:r>
    <w:r>
      <w:rPr>
        <w:rStyle w:val="16"/>
      </w:rPr>
      <w:instrText xml:space="preserve">PAGE  </w:instrText>
    </w:r>
    <w:r>
      <w:rPr>
        <w:rStyle w:val="16"/>
      </w:rPr>
      <w:fldChar w:fldCharType="separate"/>
    </w:r>
    <w:r>
      <w:rPr>
        <w:rStyle w:val="16"/>
      </w:rPr>
      <w:t>13</w:t>
    </w:r>
    <w:r>
      <w:rPr>
        <w:rStyle w:val="16"/>
      </w:rPr>
      <w:fldChar w:fldCharType="end"/>
    </w:r>
  </w:p>
  <w:p w14:paraId="2AAD6F11">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806333"/>
    <w:multiLevelType w:val="singleLevel"/>
    <w:tmpl w:val="15806333"/>
    <w:lvl w:ilvl="0" w:tentative="0">
      <w:start w:val="1"/>
      <w:numFmt w:val="chineseCounting"/>
      <w:suff w:val="nothing"/>
      <w:lvlText w:val="（%1）"/>
      <w:lvlJc w:val="left"/>
      <w:pPr>
        <w:ind w:left="14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lientNumber" w:val="999984"/>
    <w:docVar w:name="commondata" w:val="eyJoZGlkIjoiMGE3MTQ5ZTUzOWQ1MzYyYzZkMzdkMTc0ODQ1YmViZWY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1669"/>
    <w:rsid w:val="00002620"/>
    <w:rsid w:val="000049B8"/>
    <w:rsid w:val="00004BF8"/>
    <w:rsid w:val="0000584F"/>
    <w:rsid w:val="00005E2E"/>
    <w:rsid w:val="000076D5"/>
    <w:rsid w:val="00007A25"/>
    <w:rsid w:val="0001102C"/>
    <w:rsid w:val="0001126D"/>
    <w:rsid w:val="0001357A"/>
    <w:rsid w:val="00014564"/>
    <w:rsid w:val="00016757"/>
    <w:rsid w:val="0001765A"/>
    <w:rsid w:val="00017F38"/>
    <w:rsid w:val="0002219B"/>
    <w:rsid w:val="00023DAA"/>
    <w:rsid w:val="000277C7"/>
    <w:rsid w:val="00027911"/>
    <w:rsid w:val="00027C89"/>
    <w:rsid w:val="0003106F"/>
    <w:rsid w:val="00031A5C"/>
    <w:rsid w:val="00031BB9"/>
    <w:rsid w:val="00033536"/>
    <w:rsid w:val="00033A4D"/>
    <w:rsid w:val="00034190"/>
    <w:rsid w:val="00034B5F"/>
    <w:rsid w:val="00035221"/>
    <w:rsid w:val="00035479"/>
    <w:rsid w:val="0003783F"/>
    <w:rsid w:val="0004264D"/>
    <w:rsid w:val="0004277A"/>
    <w:rsid w:val="000441F6"/>
    <w:rsid w:val="00044B37"/>
    <w:rsid w:val="00044C2A"/>
    <w:rsid w:val="00047746"/>
    <w:rsid w:val="00050C3B"/>
    <w:rsid w:val="0005212F"/>
    <w:rsid w:val="000526CF"/>
    <w:rsid w:val="00052CD1"/>
    <w:rsid w:val="00053588"/>
    <w:rsid w:val="00054D39"/>
    <w:rsid w:val="00055039"/>
    <w:rsid w:val="000556FF"/>
    <w:rsid w:val="000578C0"/>
    <w:rsid w:val="00060626"/>
    <w:rsid w:val="0006067E"/>
    <w:rsid w:val="00060808"/>
    <w:rsid w:val="00061938"/>
    <w:rsid w:val="00061954"/>
    <w:rsid w:val="00062157"/>
    <w:rsid w:val="00062AF9"/>
    <w:rsid w:val="00063A61"/>
    <w:rsid w:val="0006475D"/>
    <w:rsid w:val="00064A3E"/>
    <w:rsid w:val="00065DBC"/>
    <w:rsid w:val="000662A2"/>
    <w:rsid w:val="000675FE"/>
    <w:rsid w:val="00067EE5"/>
    <w:rsid w:val="000704FA"/>
    <w:rsid w:val="00071569"/>
    <w:rsid w:val="00071CCA"/>
    <w:rsid w:val="00071ED1"/>
    <w:rsid w:val="00071F14"/>
    <w:rsid w:val="00075A6A"/>
    <w:rsid w:val="00075B42"/>
    <w:rsid w:val="00075B8C"/>
    <w:rsid w:val="00080E30"/>
    <w:rsid w:val="0008340A"/>
    <w:rsid w:val="00085196"/>
    <w:rsid w:val="00085A31"/>
    <w:rsid w:val="00085E52"/>
    <w:rsid w:val="000868C5"/>
    <w:rsid w:val="0009122F"/>
    <w:rsid w:val="0009145A"/>
    <w:rsid w:val="0009324F"/>
    <w:rsid w:val="00093676"/>
    <w:rsid w:val="00093F55"/>
    <w:rsid w:val="00095F9E"/>
    <w:rsid w:val="000961BA"/>
    <w:rsid w:val="00096509"/>
    <w:rsid w:val="00096E6E"/>
    <w:rsid w:val="00097CBB"/>
    <w:rsid w:val="000A09D1"/>
    <w:rsid w:val="000A19AC"/>
    <w:rsid w:val="000A2E90"/>
    <w:rsid w:val="000A468D"/>
    <w:rsid w:val="000A4C65"/>
    <w:rsid w:val="000A4D5E"/>
    <w:rsid w:val="000A592F"/>
    <w:rsid w:val="000B0281"/>
    <w:rsid w:val="000B1866"/>
    <w:rsid w:val="000B218D"/>
    <w:rsid w:val="000B3998"/>
    <w:rsid w:val="000B3B76"/>
    <w:rsid w:val="000B3E86"/>
    <w:rsid w:val="000C03A3"/>
    <w:rsid w:val="000C27DF"/>
    <w:rsid w:val="000C2825"/>
    <w:rsid w:val="000C2BAC"/>
    <w:rsid w:val="000C4C63"/>
    <w:rsid w:val="000C4D4B"/>
    <w:rsid w:val="000C52EB"/>
    <w:rsid w:val="000C6151"/>
    <w:rsid w:val="000C65AB"/>
    <w:rsid w:val="000C7536"/>
    <w:rsid w:val="000D1A13"/>
    <w:rsid w:val="000D2AE7"/>
    <w:rsid w:val="000D5ABB"/>
    <w:rsid w:val="000D5F1A"/>
    <w:rsid w:val="000D6282"/>
    <w:rsid w:val="000D70C8"/>
    <w:rsid w:val="000D76E3"/>
    <w:rsid w:val="000D79B9"/>
    <w:rsid w:val="000E1923"/>
    <w:rsid w:val="000E1CEE"/>
    <w:rsid w:val="000E3A13"/>
    <w:rsid w:val="000E3D93"/>
    <w:rsid w:val="000E50BC"/>
    <w:rsid w:val="000E54EA"/>
    <w:rsid w:val="000E57BF"/>
    <w:rsid w:val="000E7AA8"/>
    <w:rsid w:val="000F2720"/>
    <w:rsid w:val="000F359A"/>
    <w:rsid w:val="000F37FB"/>
    <w:rsid w:val="000F3858"/>
    <w:rsid w:val="000F3A15"/>
    <w:rsid w:val="000F4BA0"/>
    <w:rsid w:val="000F7830"/>
    <w:rsid w:val="000F7927"/>
    <w:rsid w:val="00100B58"/>
    <w:rsid w:val="001023EE"/>
    <w:rsid w:val="00102B2C"/>
    <w:rsid w:val="00103459"/>
    <w:rsid w:val="001048EB"/>
    <w:rsid w:val="00104D85"/>
    <w:rsid w:val="00104EAB"/>
    <w:rsid w:val="00105304"/>
    <w:rsid w:val="001105B3"/>
    <w:rsid w:val="00111BA8"/>
    <w:rsid w:val="00112ABE"/>
    <w:rsid w:val="00112BE4"/>
    <w:rsid w:val="0011478C"/>
    <w:rsid w:val="00114D55"/>
    <w:rsid w:val="001155E7"/>
    <w:rsid w:val="00115EC1"/>
    <w:rsid w:val="00116081"/>
    <w:rsid w:val="00117179"/>
    <w:rsid w:val="001175DD"/>
    <w:rsid w:val="001217AE"/>
    <w:rsid w:val="00122022"/>
    <w:rsid w:val="0012282C"/>
    <w:rsid w:val="00123339"/>
    <w:rsid w:val="00125CB3"/>
    <w:rsid w:val="00126077"/>
    <w:rsid w:val="001309DF"/>
    <w:rsid w:val="00131852"/>
    <w:rsid w:val="00132F83"/>
    <w:rsid w:val="001347A5"/>
    <w:rsid w:val="00134E99"/>
    <w:rsid w:val="00135732"/>
    <w:rsid w:val="0013597A"/>
    <w:rsid w:val="00135BC3"/>
    <w:rsid w:val="00135D57"/>
    <w:rsid w:val="00136991"/>
    <w:rsid w:val="00136B93"/>
    <w:rsid w:val="001377DF"/>
    <w:rsid w:val="0014292E"/>
    <w:rsid w:val="001429A7"/>
    <w:rsid w:val="001435B2"/>
    <w:rsid w:val="001459AD"/>
    <w:rsid w:val="001463D1"/>
    <w:rsid w:val="00146A38"/>
    <w:rsid w:val="00147739"/>
    <w:rsid w:val="00150000"/>
    <w:rsid w:val="0015081A"/>
    <w:rsid w:val="001509BC"/>
    <w:rsid w:val="00150EA6"/>
    <w:rsid w:val="0015152F"/>
    <w:rsid w:val="00152839"/>
    <w:rsid w:val="00153675"/>
    <w:rsid w:val="001539DD"/>
    <w:rsid w:val="00154D49"/>
    <w:rsid w:val="0016175F"/>
    <w:rsid w:val="00161ADA"/>
    <w:rsid w:val="00162B1D"/>
    <w:rsid w:val="00162CC8"/>
    <w:rsid w:val="00162D61"/>
    <w:rsid w:val="001646E8"/>
    <w:rsid w:val="001663CB"/>
    <w:rsid w:val="00166A68"/>
    <w:rsid w:val="001677F8"/>
    <w:rsid w:val="00172A38"/>
    <w:rsid w:val="00172E9E"/>
    <w:rsid w:val="00174489"/>
    <w:rsid w:val="00174778"/>
    <w:rsid w:val="00175657"/>
    <w:rsid w:val="00177EFB"/>
    <w:rsid w:val="00180024"/>
    <w:rsid w:val="00184255"/>
    <w:rsid w:val="00187D2B"/>
    <w:rsid w:val="00191209"/>
    <w:rsid w:val="0019168E"/>
    <w:rsid w:val="001922F0"/>
    <w:rsid w:val="00192C8E"/>
    <w:rsid w:val="00192FC7"/>
    <w:rsid w:val="00193393"/>
    <w:rsid w:val="00193826"/>
    <w:rsid w:val="001940B8"/>
    <w:rsid w:val="001971A5"/>
    <w:rsid w:val="00197804"/>
    <w:rsid w:val="00197C0C"/>
    <w:rsid w:val="001A14B6"/>
    <w:rsid w:val="001A1956"/>
    <w:rsid w:val="001A1B49"/>
    <w:rsid w:val="001A5BDE"/>
    <w:rsid w:val="001A6F4A"/>
    <w:rsid w:val="001A6F57"/>
    <w:rsid w:val="001A7277"/>
    <w:rsid w:val="001B1BCE"/>
    <w:rsid w:val="001B2E80"/>
    <w:rsid w:val="001B323B"/>
    <w:rsid w:val="001B35DC"/>
    <w:rsid w:val="001B55B6"/>
    <w:rsid w:val="001B56D0"/>
    <w:rsid w:val="001B5830"/>
    <w:rsid w:val="001B62FA"/>
    <w:rsid w:val="001B7836"/>
    <w:rsid w:val="001C069D"/>
    <w:rsid w:val="001C07B0"/>
    <w:rsid w:val="001C1B1B"/>
    <w:rsid w:val="001C1E80"/>
    <w:rsid w:val="001C49DE"/>
    <w:rsid w:val="001C4CE1"/>
    <w:rsid w:val="001C4DB6"/>
    <w:rsid w:val="001C5276"/>
    <w:rsid w:val="001C5BD3"/>
    <w:rsid w:val="001C5D9A"/>
    <w:rsid w:val="001C666B"/>
    <w:rsid w:val="001C6A7F"/>
    <w:rsid w:val="001D1662"/>
    <w:rsid w:val="001D26C5"/>
    <w:rsid w:val="001D2822"/>
    <w:rsid w:val="001D288C"/>
    <w:rsid w:val="001D296A"/>
    <w:rsid w:val="001D6675"/>
    <w:rsid w:val="001D7F02"/>
    <w:rsid w:val="001E2208"/>
    <w:rsid w:val="001E2D74"/>
    <w:rsid w:val="001E49EB"/>
    <w:rsid w:val="001E51EB"/>
    <w:rsid w:val="001E6D72"/>
    <w:rsid w:val="001E6FA1"/>
    <w:rsid w:val="001E71C0"/>
    <w:rsid w:val="001F0180"/>
    <w:rsid w:val="001F0626"/>
    <w:rsid w:val="001F0B9C"/>
    <w:rsid w:val="001F1315"/>
    <w:rsid w:val="001F155F"/>
    <w:rsid w:val="001F16BD"/>
    <w:rsid w:val="001F2E2E"/>
    <w:rsid w:val="001F449A"/>
    <w:rsid w:val="001F4AA5"/>
    <w:rsid w:val="001F4F96"/>
    <w:rsid w:val="001F5153"/>
    <w:rsid w:val="001F5319"/>
    <w:rsid w:val="001F5B83"/>
    <w:rsid w:val="001F5DF3"/>
    <w:rsid w:val="001F771E"/>
    <w:rsid w:val="001F7D8F"/>
    <w:rsid w:val="00200429"/>
    <w:rsid w:val="00201B70"/>
    <w:rsid w:val="00203707"/>
    <w:rsid w:val="0020484C"/>
    <w:rsid w:val="002057CE"/>
    <w:rsid w:val="00205F93"/>
    <w:rsid w:val="002105B4"/>
    <w:rsid w:val="002108E1"/>
    <w:rsid w:val="00210E09"/>
    <w:rsid w:val="002126BF"/>
    <w:rsid w:val="0021500E"/>
    <w:rsid w:val="0021654F"/>
    <w:rsid w:val="00216AA0"/>
    <w:rsid w:val="002207CF"/>
    <w:rsid w:val="0022162F"/>
    <w:rsid w:val="0022235D"/>
    <w:rsid w:val="00222B18"/>
    <w:rsid w:val="00222EE0"/>
    <w:rsid w:val="0022314C"/>
    <w:rsid w:val="002234D8"/>
    <w:rsid w:val="002234E0"/>
    <w:rsid w:val="002247D3"/>
    <w:rsid w:val="00225B27"/>
    <w:rsid w:val="00225B70"/>
    <w:rsid w:val="00225C05"/>
    <w:rsid w:val="0023118C"/>
    <w:rsid w:val="002314A5"/>
    <w:rsid w:val="002315C1"/>
    <w:rsid w:val="00232EC6"/>
    <w:rsid w:val="002367D8"/>
    <w:rsid w:val="002369D3"/>
    <w:rsid w:val="00236B75"/>
    <w:rsid w:val="00236D8E"/>
    <w:rsid w:val="002410E4"/>
    <w:rsid w:val="00243E8F"/>
    <w:rsid w:val="002448B2"/>
    <w:rsid w:val="00250563"/>
    <w:rsid w:val="00252AF1"/>
    <w:rsid w:val="00252B07"/>
    <w:rsid w:val="00253BF8"/>
    <w:rsid w:val="00254B71"/>
    <w:rsid w:val="0025536F"/>
    <w:rsid w:val="00256416"/>
    <w:rsid w:val="002577B6"/>
    <w:rsid w:val="00263363"/>
    <w:rsid w:val="00265543"/>
    <w:rsid w:val="002667BC"/>
    <w:rsid w:val="00266DD5"/>
    <w:rsid w:val="00272E63"/>
    <w:rsid w:val="00273801"/>
    <w:rsid w:val="00273EA6"/>
    <w:rsid w:val="002740E6"/>
    <w:rsid w:val="00274A31"/>
    <w:rsid w:val="00274E98"/>
    <w:rsid w:val="00276069"/>
    <w:rsid w:val="002761D8"/>
    <w:rsid w:val="002765A6"/>
    <w:rsid w:val="002768C7"/>
    <w:rsid w:val="00277121"/>
    <w:rsid w:val="00277989"/>
    <w:rsid w:val="00280544"/>
    <w:rsid w:val="002809AE"/>
    <w:rsid w:val="00280E43"/>
    <w:rsid w:val="00282094"/>
    <w:rsid w:val="002825E4"/>
    <w:rsid w:val="0028341C"/>
    <w:rsid w:val="00284D00"/>
    <w:rsid w:val="0028581E"/>
    <w:rsid w:val="00290175"/>
    <w:rsid w:val="00290430"/>
    <w:rsid w:val="00290F26"/>
    <w:rsid w:val="0029107A"/>
    <w:rsid w:val="00291B59"/>
    <w:rsid w:val="00291BAB"/>
    <w:rsid w:val="00293016"/>
    <w:rsid w:val="002931D1"/>
    <w:rsid w:val="0029681D"/>
    <w:rsid w:val="002976C5"/>
    <w:rsid w:val="00297991"/>
    <w:rsid w:val="002979AB"/>
    <w:rsid w:val="00297CB9"/>
    <w:rsid w:val="002A062B"/>
    <w:rsid w:val="002A25DD"/>
    <w:rsid w:val="002A38D5"/>
    <w:rsid w:val="002A3B46"/>
    <w:rsid w:val="002A44CE"/>
    <w:rsid w:val="002A48E6"/>
    <w:rsid w:val="002A5C56"/>
    <w:rsid w:val="002A5C98"/>
    <w:rsid w:val="002A77F2"/>
    <w:rsid w:val="002A7EAB"/>
    <w:rsid w:val="002B004E"/>
    <w:rsid w:val="002B0E7C"/>
    <w:rsid w:val="002B133A"/>
    <w:rsid w:val="002B140D"/>
    <w:rsid w:val="002B1826"/>
    <w:rsid w:val="002B3B06"/>
    <w:rsid w:val="002B524C"/>
    <w:rsid w:val="002C1757"/>
    <w:rsid w:val="002C18ED"/>
    <w:rsid w:val="002C416F"/>
    <w:rsid w:val="002C449A"/>
    <w:rsid w:val="002C5DBE"/>
    <w:rsid w:val="002D00EC"/>
    <w:rsid w:val="002D23A0"/>
    <w:rsid w:val="002D2540"/>
    <w:rsid w:val="002D365E"/>
    <w:rsid w:val="002D40F8"/>
    <w:rsid w:val="002D43F8"/>
    <w:rsid w:val="002D464C"/>
    <w:rsid w:val="002D5D14"/>
    <w:rsid w:val="002D5F15"/>
    <w:rsid w:val="002D64C8"/>
    <w:rsid w:val="002D660D"/>
    <w:rsid w:val="002E01A9"/>
    <w:rsid w:val="002E33A0"/>
    <w:rsid w:val="002E45AA"/>
    <w:rsid w:val="002F09F9"/>
    <w:rsid w:val="002F0A04"/>
    <w:rsid w:val="002F25EC"/>
    <w:rsid w:val="002F2BCB"/>
    <w:rsid w:val="002F3A22"/>
    <w:rsid w:val="002F45E6"/>
    <w:rsid w:val="002F5FCA"/>
    <w:rsid w:val="00300876"/>
    <w:rsid w:val="00300BD8"/>
    <w:rsid w:val="00300ED7"/>
    <w:rsid w:val="0030175C"/>
    <w:rsid w:val="0030381B"/>
    <w:rsid w:val="003038D1"/>
    <w:rsid w:val="00303DB1"/>
    <w:rsid w:val="00304EAC"/>
    <w:rsid w:val="00305305"/>
    <w:rsid w:val="003060DF"/>
    <w:rsid w:val="00306209"/>
    <w:rsid w:val="00307A78"/>
    <w:rsid w:val="003109AF"/>
    <w:rsid w:val="003116A6"/>
    <w:rsid w:val="00312E5A"/>
    <w:rsid w:val="0031355D"/>
    <w:rsid w:val="0031396C"/>
    <w:rsid w:val="00314AC1"/>
    <w:rsid w:val="0031608E"/>
    <w:rsid w:val="0032199A"/>
    <w:rsid w:val="00321F12"/>
    <w:rsid w:val="00321F71"/>
    <w:rsid w:val="00323507"/>
    <w:rsid w:val="00326EC9"/>
    <w:rsid w:val="00327163"/>
    <w:rsid w:val="003302C2"/>
    <w:rsid w:val="00331EB7"/>
    <w:rsid w:val="00331EE7"/>
    <w:rsid w:val="003329F7"/>
    <w:rsid w:val="00332A81"/>
    <w:rsid w:val="0033500C"/>
    <w:rsid w:val="003375CB"/>
    <w:rsid w:val="0034109E"/>
    <w:rsid w:val="003436CB"/>
    <w:rsid w:val="003476FE"/>
    <w:rsid w:val="00347897"/>
    <w:rsid w:val="00350E61"/>
    <w:rsid w:val="00351748"/>
    <w:rsid w:val="0035195E"/>
    <w:rsid w:val="00351AAA"/>
    <w:rsid w:val="00354242"/>
    <w:rsid w:val="003549C9"/>
    <w:rsid w:val="00354F35"/>
    <w:rsid w:val="003573F9"/>
    <w:rsid w:val="00360EA3"/>
    <w:rsid w:val="003611B2"/>
    <w:rsid w:val="0036343D"/>
    <w:rsid w:val="00363BA0"/>
    <w:rsid w:val="00363DAA"/>
    <w:rsid w:val="003643F9"/>
    <w:rsid w:val="00364852"/>
    <w:rsid w:val="0036489B"/>
    <w:rsid w:val="00366AFE"/>
    <w:rsid w:val="0037028E"/>
    <w:rsid w:val="003707E9"/>
    <w:rsid w:val="00371B54"/>
    <w:rsid w:val="00371C0B"/>
    <w:rsid w:val="00371EE3"/>
    <w:rsid w:val="003727B0"/>
    <w:rsid w:val="0037494C"/>
    <w:rsid w:val="00376548"/>
    <w:rsid w:val="00377599"/>
    <w:rsid w:val="003803C9"/>
    <w:rsid w:val="00381219"/>
    <w:rsid w:val="00381CFE"/>
    <w:rsid w:val="00381FE7"/>
    <w:rsid w:val="003827FE"/>
    <w:rsid w:val="00383402"/>
    <w:rsid w:val="00384B47"/>
    <w:rsid w:val="00386064"/>
    <w:rsid w:val="00390654"/>
    <w:rsid w:val="00390F5C"/>
    <w:rsid w:val="0039121B"/>
    <w:rsid w:val="003927F6"/>
    <w:rsid w:val="00393871"/>
    <w:rsid w:val="003957AD"/>
    <w:rsid w:val="003A063F"/>
    <w:rsid w:val="003A0A5C"/>
    <w:rsid w:val="003A0E93"/>
    <w:rsid w:val="003A4E84"/>
    <w:rsid w:val="003A5837"/>
    <w:rsid w:val="003A6DDE"/>
    <w:rsid w:val="003A70A8"/>
    <w:rsid w:val="003A78CC"/>
    <w:rsid w:val="003A7AD7"/>
    <w:rsid w:val="003A7F1F"/>
    <w:rsid w:val="003B007F"/>
    <w:rsid w:val="003B265C"/>
    <w:rsid w:val="003B3E1C"/>
    <w:rsid w:val="003B664C"/>
    <w:rsid w:val="003B6A60"/>
    <w:rsid w:val="003B7E81"/>
    <w:rsid w:val="003C0214"/>
    <w:rsid w:val="003C02F1"/>
    <w:rsid w:val="003C0344"/>
    <w:rsid w:val="003C157F"/>
    <w:rsid w:val="003C1F14"/>
    <w:rsid w:val="003C4EA7"/>
    <w:rsid w:val="003C6F1A"/>
    <w:rsid w:val="003C750D"/>
    <w:rsid w:val="003C764D"/>
    <w:rsid w:val="003C76F4"/>
    <w:rsid w:val="003D15F5"/>
    <w:rsid w:val="003D2278"/>
    <w:rsid w:val="003D2578"/>
    <w:rsid w:val="003D2F00"/>
    <w:rsid w:val="003D42DC"/>
    <w:rsid w:val="003D46D2"/>
    <w:rsid w:val="003D54D8"/>
    <w:rsid w:val="003D56EA"/>
    <w:rsid w:val="003D5ABE"/>
    <w:rsid w:val="003D5C6C"/>
    <w:rsid w:val="003D6546"/>
    <w:rsid w:val="003E0E50"/>
    <w:rsid w:val="003E4759"/>
    <w:rsid w:val="003E4A7C"/>
    <w:rsid w:val="003E53E2"/>
    <w:rsid w:val="003E799F"/>
    <w:rsid w:val="003E7BA3"/>
    <w:rsid w:val="003F154A"/>
    <w:rsid w:val="003F31FA"/>
    <w:rsid w:val="003F52BC"/>
    <w:rsid w:val="003F5C6D"/>
    <w:rsid w:val="003F6E06"/>
    <w:rsid w:val="003F6ED8"/>
    <w:rsid w:val="00400DAE"/>
    <w:rsid w:val="004014F0"/>
    <w:rsid w:val="0040201A"/>
    <w:rsid w:val="004023D8"/>
    <w:rsid w:val="00402726"/>
    <w:rsid w:val="0040364E"/>
    <w:rsid w:val="00403C1F"/>
    <w:rsid w:val="00405105"/>
    <w:rsid w:val="00405FDF"/>
    <w:rsid w:val="00407059"/>
    <w:rsid w:val="004074B8"/>
    <w:rsid w:val="00407B8B"/>
    <w:rsid w:val="00411BDC"/>
    <w:rsid w:val="004125DD"/>
    <w:rsid w:val="00412E97"/>
    <w:rsid w:val="00416009"/>
    <w:rsid w:val="0041614E"/>
    <w:rsid w:val="00420D99"/>
    <w:rsid w:val="00421468"/>
    <w:rsid w:val="004217D7"/>
    <w:rsid w:val="00421EAE"/>
    <w:rsid w:val="00423E08"/>
    <w:rsid w:val="0042425D"/>
    <w:rsid w:val="0042607D"/>
    <w:rsid w:val="00427099"/>
    <w:rsid w:val="00431219"/>
    <w:rsid w:val="00431A00"/>
    <w:rsid w:val="00432587"/>
    <w:rsid w:val="00432CC1"/>
    <w:rsid w:val="004361E6"/>
    <w:rsid w:val="004420C3"/>
    <w:rsid w:val="004436E9"/>
    <w:rsid w:val="004469B2"/>
    <w:rsid w:val="00447EFD"/>
    <w:rsid w:val="00452F56"/>
    <w:rsid w:val="00454C06"/>
    <w:rsid w:val="00454D3C"/>
    <w:rsid w:val="004613E7"/>
    <w:rsid w:val="004628D0"/>
    <w:rsid w:val="00464104"/>
    <w:rsid w:val="0046461E"/>
    <w:rsid w:val="004652E0"/>
    <w:rsid w:val="00466992"/>
    <w:rsid w:val="004675DB"/>
    <w:rsid w:val="00467CA1"/>
    <w:rsid w:val="004716CB"/>
    <w:rsid w:val="0047277E"/>
    <w:rsid w:val="00473794"/>
    <w:rsid w:val="0047386B"/>
    <w:rsid w:val="00474D1D"/>
    <w:rsid w:val="00474D37"/>
    <w:rsid w:val="00475917"/>
    <w:rsid w:val="00477544"/>
    <w:rsid w:val="00480100"/>
    <w:rsid w:val="004801D1"/>
    <w:rsid w:val="00481AB6"/>
    <w:rsid w:val="004828F4"/>
    <w:rsid w:val="00483D94"/>
    <w:rsid w:val="00487562"/>
    <w:rsid w:val="00492784"/>
    <w:rsid w:val="00493113"/>
    <w:rsid w:val="004934F0"/>
    <w:rsid w:val="0049391E"/>
    <w:rsid w:val="004946D0"/>
    <w:rsid w:val="00495EC6"/>
    <w:rsid w:val="004967FD"/>
    <w:rsid w:val="004968D3"/>
    <w:rsid w:val="004970C5"/>
    <w:rsid w:val="004A02EC"/>
    <w:rsid w:val="004A037A"/>
    <w:rsid w:val="004A0BE1"/>
    <w:rsid w:val="004A1584"/>
    <w:rsid w:val="004A34CC"/>
    <w:rsid w:val="004A3A4D"/>
    <w:rsid w:val="004A44D4"/>
    <w:rsid w:val="004A4600"/>
    <w:rsid w:val="004A5B72"/>
    <w:rsid w:val="004A749A"/>
    <w:rsid w:val="004B2B41"/>
    <w:rsid w:val="004B3187"/>
    <w:rsid w:val="004B4557"/>
    <w:rsid w:val="004B465F"/>
    <w:rsid w:val="004B5DE1"/>
    <w:rsid w:val="004B75C5"/>
    <w:rsid w:val="004C01C3"/>
    <w:rsid w:val="004C029F"/>
    <w:rsid w:val="004C2FCD"/>
    <w:rsid w:val="004C3AF4"/>
    <w:rsid w:val="004C4368"/>
    <w:rsid w:val="004C66B7"/>
    <w:rsid w:val="004C6918"/>
    <w:rsid w:val="004D025D"/>
    <w:rsid w:val="004D04B4"/>
    <w:rsid w:val="004D4633"/>
    <w:rsid w:val="004D48B8"/>
    <w:rsid w:val="004D4E2C"/>
    <w:rsid w:val="004D5193"/>
    <w:rsid w:val="004D5937"/>
    <w:rsid w:val="004D5C35"/>
    <w:rsid w:val="004D5E4B"/>
    <w:rsid w:val="004D61F7"/>
    <w:rsid w:val="004D7165"/>
    <w:rsid w:val="004E0753"/>
    <w:rsid w:val="004E148F"/>
    <w:rsid w:val="004E2694"/>
    <w:rsid w:val="004E39E7"/>
    <w:rsid w:val="004E3EC8"/>
    <w:rsid w:val="004E3FBF"/>
    <w:rsid w:val="004E5B71"/>
    <w:rsid w:val="004E7600"/>
    <w:rsid w:val="004F2C35"/>
    <w:rsid w:val="004F4077"/>
    <w:rsid w:val="004F4341"/>
    <w:rsid w:val="004F58C6"/>
    <w:rsid w:val="004F66CA"/>
    <w:rsid w:val="004F773D"/>
    <w:rsid w:val="00502E01"/>
    <w:rsid w:val="00503449"/>
    <w:rsid w:val="00503D84"/>
    <w:rsid w:val="00504C2E"/>
    <w:rsid w:val="00510843"/>
    <w:rsid w:val="00510C51"/>
    <w:rsid w:val="00511660"/>
    <w:rsid w:val="005124E3"/>
    <w:rsid w:val="005131F0"/>
    <w:rsid w:val="00513844"/>
    <w:rsid w:val="00513BB8"/>
    <w:rsid w:val="005159A6"/>
    <w:rsid w:val="00520EA4"/>
    <w:rsid w:val="00521157"/>
    <w:rsid w:val="00521215"/>
    <w:rsid w:val="00523719"/>
    <w:rsid w:val="00524F72"/>
    <w:rsid w:val="00525093"/>
    <w:rsid w:val="0052520E"/>
    <w:rsid w:val="0052631E"/>
    <w:rsid w:val="00527A67"/>
    <w:rsid w:val="00527D25"/>
    <w:rsid w:val="0053107A"/>
    <w:rsid w:val="00532C25"/>
    <w:rsid w:val="00533FFB"/>
    <w:rsid w:val="005340BC"/>
    <w:rsid w:val="005351FD"/>
    <w:rsid w:val="00535680"/>
    <w:rsid w:val="00537B95"/>
    <w:rsid w:val="00537FCE"/>
    <w:rsid w:val="005405FD"/>
    <w:rsid w:val="005414D3"/>
    <w:rsid w:val="00542BAA"/>
    <w:rsid w:val="00544E47"/>
    <w:rsid w:val="0054588B"/>
    <w:rsid w:val="00546AE5"/>
    <w:rsid w:val="00546BCE"/>
    <w:rsid w:val="00546D99"/>
    <w:rsid w:val="005473DC"/>
    <w:rsid w:val="00551D30"/>
    <w:rsid w:val="00551D56"/>
    <w:rsid w:val="0055358D"/>
    <w:rsid w:val="00553C2C"/>
    <w:rsid w:val="00555A98"/>
    <w:rsid w:val="00555D9A"/>
    <w:rsid w:val="00561AFE"/>
    <w:rsid w:val="00562458"/>
    <w:rsid w:val="00565237"/>
    <w:rsid w:val="00566104"/>
    <w:rsid w:val="00566BE1"/>
    <w:rsid w:val="0056758A"/>
    <w:rsid w:val="005677C4"/>
    <w:rsid w:val="005723A5"/>
    <w:rsid w:val="00572506"/>
    <w:rsid w:val="005725B2"/>
    <w:rsid w:val="005736F9"/>
    <w:rsid w:val="00573B40"/>
    <w:rsid w:val="0057627B"/>
    <w:rsid w:val="00577FBA"/>
    <w:rsid w:val="0058071B"/>
    <w:rsid w:val="00581391"/>
    <w:rsid w:val="005820F6"/>
    <w:rsid w:val="00582CC0"/>
    <w:rsid w:val="005831D0"/>
    <w:rsid w:val="00583D9B"/>
    <w:rsid w:val="00584949"/>
    <w:rsid w:val="00584A24"/>
    <w:rsid w:val="00585373"/>
    <w:rsid w:val="00586238"/>
    <w:rsid w:val="00586590"/>
    <w:rsid w:val="00586CF5"/>
    <w:rsid w:val="005906D2"/>
    <w:rsid w:val="005919F1"/>
    <w:rsid w:val="00591F94"/>
    <w:rsid w:val="00593C5C"/>
    <w:rsid w:val="00594F58"/>
    <w:rsid w:val="00595685"/>
    <w:rsid w:val="0059569C"/>
    <w:rsid w:val="00595C02"/>
    <w:rsid w:val="005976D5"/>
    <w:rsid w:val="005A1304"/>
    <w:rsid w:val="005A1CB5"/>
    <w:rsid w:val="005A30D2"/>
    <w:rsid w:val="005A3629"/>
    <w:rsid w:val="005A7957"/>
    <w:rsid w:val="005A7961"/>
    <w:rsid w:val="005B067B"/>
    <w:rsid w:val="005B09A6"/>
    <w:rsid w:val="005B2200"/>
    <w:rsid w:val="005B22DE"/>
    <w:rsid w:val="005B2A40"/>
    <w:rsid w:val="005B2C39"/>
    <w:rsid w:val="005B30A9"/>
    <w:rsid w:val="005B5D21"/>
    <w:rsid w:val="005B6506"/>
    <w:rsid w:val="005B6C52"/>
    <w:rsid w:val="005C2052"/>
    <w:rsid w:val="005C50F7"/>
    <w:rsid w:val="005C6267"/>
    <w:rsid w:val="005C692E"/>
    <w:rsid w:val="005C7057"/>
    <w:rsid w:val="005C74CA"/>
    <w:rsid w:val="005C78C6"/>
    <w:rsid w:val="005D047C"/>
    <w:rsid w:val="005D1C4C"/>
    <w:rsid w:val="005D3C52"/>
    <w:rsid w:val="005D5D09"/>
    <w:rsid w:val="005D694C"/>
    <w:rsid w:val="005D7195"/>
    <w:rsid w:val="005E02E6"/>
    <w:rsid w:val="005E26F8"/>
    <w:rsid w:val="005E2D9D"/>
    <w:rsid w:val="005E438B"/>
    <w:rsid w:val="005E5158"/>
    <w:rsid w:val="005E5324"/>
    <w:rsid w:val="005E6146"/>
    <w:rsid w:val="005E7F0F"/>
    <w:rsid w:val="005F051F"/>
    <w:rsid w:val="005F143A"/>
    <w:rsid w:val="005F2967"/>
    <w:rsid w:val="005F5C27"/>
    <w:rsid w:val="005F7C50"/>
    <w:rsid w:val="00600B8E"/>
    <w:rsid w:val="006013D9"/>
    <w:rsid w:val="0060189A"/>
    <w:rsid w:val="006019AC"/>
    <w:rsid w:val="006022F8"/>
    <w:rsid w:val="0060362A"/>
    <w:rsid w:val="0060421B"/>
    <w:rsid w:val="006043A3"/>
    <w:rsid w:val="00604BA3"/>
    <w:rsid w:val="006057A7"/>
    <w:rsid w:val="00607572"/>
    <w:rsid w:val="00610301"/>
    <w:rsid w:val="006104D7"/>
    <w:rsid w:val="006128A3"/>
    <w:rsid w:val="00612FF4"/>
    <w:rsid w:val="00613F2A"/>
    <w:rsid w:val="00616367"/>
    <w:rsid w:val="006167C1"/>
    <w:rsid w:val="00616B82"/>
    <w:rsid w:val="00617B9D"/>
    <w:rsid w:val="00620643"/>
    <w:rsid w:val="00621207"/>
    <w:rsid w:val="00621347"/>
    <w:rsid w:val="00622B50"/>
    <w:rsid w:val="00624253"/>
    <w:rsid w:val="006249F2"/>
    <w:rsid w:val="0062517F"/>
    <w:rsid w:val="006258BA"/>
    <w:rsid w:val="0062599C"/>
    <w:rsid w:val="00626966"/>
    <w:rsid w:val="006310AB"/>
    <w:rsid w:val="00632B38"/>
    <w:rsid w:val="00633BAF"/>
    <w:rsid w:val="0063400F"/>
    <w:rsid w:val="00634111"/>
    <w:rsid w:val="00634158"/>
    <w:rsid w:val="00634D7B"/>
    <w:rsid w:val="00636201"/>
    <w:rsid w:val="0063693D"/>
    <w:rsid w:val="00636E51"/>
    <w:rsid w:val="00637C79"/>
    <w:rsid w:val="00641896"/>
    <w:rsid w:val="00642BBC"/>
    <w:rsid w:val="0064386F"/>
    <w:rsid w:val="006449BE"/>
    <w:rsid w:val="00646259"/>
    <w:rsid w:val="00650E00"/>
    <w:rsid w:val="0065107D"/>
    <w:rsid w:val="00651FF5"/>
    <w:rsid w:val="0065259D"/>
    <w:rsid w:val="006535BB"/>
    <w:rsid w:val="00653A96"/>
    <w:rsid w:val="00654B6A"/>
    <w:rsid w:val="006568C2"/>
    <w:rsid w:val="00660B38"/>
    <w:rsid w:val="00660D2A"/>
    <w:rsid w:val="00661B5D"/>
    <w:rsid w:val="00661DF6"/>
    <w:rsid w:val="006620AB"/>
    <w:rsid w:val="006622CE"/>
    <w:rsid w:val="00663258"/>
    <w:rsid w:val="00663A4C"/>
    <w:rsid w:val="00664CE8"/>
    <w:rsid w:val="0066531E"/>
    <w:rsid w:val="006653F5"/>
    <w:rsid w:val="006656F7"/>
    <w:rsid w:val="006660BA"/>
    <w:rsid w:val="00666D99"/>
    <w:rsid w:val="00667CA3"/>
    <w:rsid w:val="00670505"/>
    <w:rsid w:val="00670D0B"/>
    <w:rsid w:val="00671243"/>
    <w:rsid w:val="00672F48"/>
    <w:rsid w:val="00674C44"/>
    <w:rsid w:val="00675779"/>
    <w:rsid w:val="0067610C"/>
    <w:rsid w:val="00676D85"/>
    <w:rsid w:val="00677928"/>
    <w:rsid w:val="00681767"/>
    <w:rsid w:val="00684D33"/>
    <w:rsid w:val="00685009"/>
    <w:rsid w:val="0068576D"/>
    <w:rsid w:val="00686043"/>
    <w:rsid w:val="00686903"/>
    <w:rsid w:val="00691848"/>
    <w:rsid w:val="006929BC"/>
    <w:rsid w:val="00695E4E"/>
    <w:rsid w:val="00697702"/>
    <w:rsid w:val="00697994"/>
    <w:rsid w:val="006A00CA"/>
    <w:rsid w:val="006A31D0"/>
    <w:rsid w:val="006A4AB4"/>
    <w:rsid w:val="006A4B91"/>
    <w:rsid w:val="006A6121"/>
    <w:rsid w:val="006B131A"/>
    <w:rsid w:val="006B180D"/>
    <w:rsid w:val="006B1C1F"/>
    <w:rsid w:val="006B2A64"/>
    <w:rsid w:val="006B2EB4"/>
    <w:rsid w:val="006B40FC"/>
    <w:rsid w:val="006B4BF3"/>
    <w:rsid w:val="006B5EF5"/>
    <w:rsid w:val="006B766F"/>
    <w:rsid w:val="006C1723"/>
    <w:rsid w:val="006C183D"/>
    <w:rsid w:val="006C212F"/>
    <w:rsid w:val="006C4C18"/>
    <w:rsid w:val="006D151C"/>
    <w:rsid w:val="006D185F"/>
    <w:rsid w:val="006D1BCF"/>
    <w:rsid w:val="006D216B"/>
    <w:rsid w:val="006D2340"/>
    <w:rsid w:val="006D2F90"/>
    <w:rsid w:val="006D5625"/>
    <w:rsid w:val="006D5928"/>
    <w:rsid w:val="006D5DA8"/>
    <w:rsid w:val="006D6A48"/>
    <w:rsid w:val="006D6BFF"/>
    <w:rsid w:val="006D78F8"/>
    <w:rsid w:val="006E148C"/>
    <w:rsid w:val="006E1CC0"/>
    <w:rsid w:val="006E3E70"/>
    <w:rsid w:val="006E5A3E"/>
    <w:rsid w:val="006E64B6"/>
    <w:rsid w:val="006E65AE"/>
    <w:rsid w:val="006E7B13"/>
    <w:rsid w:val="006F3B62"/>
    <w:rsid w:val="006F622E"/>
    <w:rsid w:val="00700B9B"/>
    <w:rsid w:val="00701C48"/>
    <w:rsid w:val="00701D29"/>
    <w:rsid w:val="0070229C"/>
    <w:rsid w:val="00702C30"/>
    <w:rsid w:val="007032DB"/>
    <w:rsid w:val="00703A95"/>
    <w:rsid w:val="00703DC2"/>
    <w:rsid w:val="007046A6"/>
    <w:rsid w:val="007047DF"/>
    <w:rsid w:val="00704D95"/>
    <w:rsid w:val="00705F51"/>
    <w:rsid w:val="00705F65"/>
    <w:rsid w:val="00706C4A"/>
    <w:rsid w:val="00711D8E"/>
    <w:rsid w:val="00713779"/>
    <w:rsid w:val="0071640C"/>
    <w:rsid w:val="00716DE9"/>
    <w:rsid w:val="00720146"/>
    <w:rsid w:val="00720D0A"/>
    <w:rsid w:val="00721162"/>
    <w:rsid w:val="0072147C"/>
    <w:rsid w:val="00721920"/>
    <w:rsid w:val="00721A79"/>
    <w:rsid w:val="00723777"/>
    <w:rsid w:val="00724DED"/>
    <w:rsid w:val="007260AC"/>
    <w:rsid w:val="0072639B"/>
    <w:rsid w:val="007277E0"/>
    <w:rsid w:val="0073090F"/>
    <w:rsid w:val="00731149"/>
    <w:rsid w:val="00731E20"/>
    <w:rsid w:val="00735555"/>
    <w:rsid w:val="00737E2E"/>
    <w:rsid w:val="0074109A"/>
    <w:rsid w:val="0074150D"/>
    <w:rsid w:val="007416AD"/>
    <w:rsid w:val="00741ECA"/>
    <w:rsid w:val="00743798"/>
    <w:rsid w:val="00744B1B"/>
    <w:rsid w:val="00744FE5"/>
    <w:rsid w:val="00745199"/>
    <w:rsid w:val="0074602F"/>
    <w:rsid w:val="007468C4"/>
    <w:rsid w:val="00746AF7"/>
    <w:rsid w:val="00750C55"/>
    <w:rsid w:val="007511AF"/>
    <w:rsid w:val="007517DE"/>
    <w:rsid w:val="007522BE"/>
    <w:rsid w:val="007537C4"/>
    <w:rsid w:val="00753B27"/>
    <w:rsid w:val="007541F7"/>
    <w:rsid w:val="007554FE"/>
    <w:rsid w:val="007558EA"/>
    <w:rsid w:val="00756930"/>
    <w:rsid w:val="00757116"/>
    <w:rsid w:val="007576DC"/>
    <w:rsid w:val="007577B5"/>
    <w:rsid w:val="00757E1B"/>
    <w:rsid w:val="00760F9A"/>
    <w:rsid w:val="0076119A"/>
    <w:rsid w:val="00763534"/>
    <w:rsid w:val="0076620A"/>
    <w:rsid w:val="007665AA"/>
    <w:rsid w:val="00767A7B"/>
    <w:rsid w:val="00767F0D"/>
    <w:rsid w:val="00770D4C"/>
    <w:rsid w:val="00771E19"/>
    <w:rsid w:val="007723C2"/>
    <w:rsid w:val="007723EA"/>
    <w:rsid w:val="0077267A"/>
    <w:rsid w:val="00773DEC"/>
    <w:rsid w:val="00773EB1"/>
    <w:rsid w:val="00774D82"/>
    <w:rsid w:val="00777CC7"/>
    <w:rsid w:val="00781688"/>
    <w:rsid w:val="007821D4"/>
    <w:rsid w:val="00783255"/>
    <w:rsid w:val="00786D07"/>
    <w:rsid w:val="00787096"/>
    <w:rsid w:val="00787AF7"/>
    <w:rsid w:val="00791690"/>
    <w:rsid w:val="0079217E"/>
    <w:rsid w:val="007929E9"/>
    <w:rsid w:val="00792B6D"/>
    <w:rsid w:val="007943B2"/>
    <w:rsid w:val="00795976"/>
    <w:rsid w:val="00796F6B"/>
    <w:rsid w:val="007978F1"/>
    <w:rsid w:val="007A0980"/>
    <w:rsid w:val="007A09FE"/>
    <w:rsid w:val="007A1FC2"/>
    <w:rsid w:val="007A312D"/>
    <w:rsid w:val="007A3640"/>
    <w:rsid w:val="007A39CA"/>
    <w:rsid w:val="007A3F82"/>
    <w:rsid w:val="007A4D1C"/>
    <w:rsid w:val="007A4D5F"/>
    <w:rsid w:val="007A5ED9"/>
    <w:rsid w:val="007A6499"/>
    <w:rsid w:val="007A747B"/>
    <w:rsid w:val="007B068C"/>
    <w:rsid w:val="007B212A"/>
    <w:rsid w:val="007B26B6"/>
    <w:rsid w:val="007B2AD5"/>
    <w:rsid w:val="007B4709"/>
    <w:rsid w:val="007B6048"/>
    <w:rsid w:val="007B64D0"/>
    <w:rsid w:val="007C335F"/>
    <w:rsid w:val="007C6482"/>
    <w:rsid w:val="007D07C7"/>
    <w:rsid w:val="007D0E03"/>
    <w:rsid w:val="007D2264"/>
    <w:rsid w:val="007D2A58"/>
    <w:rsid w:val="007D2C4A"/>
    <w:rsid w:val="007D5395"/>
    <w:rsid w:val="007D629C"/>
    <w:rsid w:val="007D7A5E"/>
    <w:rsid w:val="007E1A77"/>
    <w:rsid w:val="007E1EF4"/>
    <w:rsid w:val="007E2B0C"/>
    <w:rsid w:val="007E3D43"/>
    <w:rsid w:val="007E4CA7"/>
    <w:rsid w:val="007E51A5"/>
    <w:rsid w:val="007E5789"/>
    <w:rsid w:val="007E7C72"/>
    <w:rsid w:val="007F10AC"/>
    <w:rsid w:val="007F363E"/>
    <w:rsid w:val="007F3971"/>
    <w:rsid w:val="007F3BD3"/>
    <w:rsid w:val="007F4C1E"/>
    <w:rsid w:val="007F5CC1"/>
    <w:rsid w:val="007F648B"/>
    <w:rsid w:val="007F75FD"/>
    <w:rsid w:val="007F7729"/>
    <w:rsid w:val="00801FDA"/>
    <w:rsid w:val="00802D95"/>
    <w:rsid w:val="00803C22"/>
    <w:rsid w:val="00805899"/>
    <w:rsid w:val="00805A6E"/>
    <w:rsid w:val="0080677F"/>
    <w:rsid w:val="00810B7B"/>
    <w:rsid w:val="00810DF2"/>
    <w:rsid w:val="00811DAE"/>
    <w:rsid w:val="00813951"/>
    <w:rsid w:val="00814CC1"/>
    <w:rsid w:val="008152F0"/>
    <w:rsid w:val="00815ABC"/>
    <w:rsid w:val="008168C2"/>
    <w:rsid w:val="008168D3"/>
    <w:rsid w:val="008175C6"/>
    <w:rsid w:val="0081785A"/>
    <w:rsid w:val="00817F17"/>
    <w:rsid w:val="00820979"/>
    <w:rsid w:val="00821D14"/>
    <w:rsid w:val="00822588"/>
    <w:rsid w:val="0082360E"/>
    <w:rsid w:val="00825018"/>
    <w:rsid w:val="00831961"/>
    <w:rsid w:val="00832D47"/>
    <w:rsid w:val="0083359B"/>
    <w:rsid w:val="00833A2A"/>
    <w:rsid w:val="008344BD"/>
    <w:rsid w:val="00834E4E"/>
    <w:rsid w:val="0084253A"/>
    <w:rsid w:val="00842549"/>
    <w:rsid w:val="00842733"/>
    <w:rsid w:val="00844E63"/>
    <w:rsid w:val="0084583C"/>
    <w:rsid w:val="0084617D"/>
    <w:rsid w:val="00846896"/>
    <w:rsid w:val="008474C5"/>
    <w:rsid w:val="008514BA"/>
    <w:rsid w:val="00851515"/>
    <w:rsid w:val="00851ABB"/>
    <w:rsid w:val="00851F5B"/>
    <w:rsid w:val="00852F6E"/>
    <w:rsid w:val="00855E12"/>
    <w:rsid w:val="00860E75"/>
    <w:rsid w:val="00860EF8"/>
    <w:rsid w:val="0086117E"/>
    <w:rsid w:val="008613E2"/>
    <w:rsid w:val="00861526"/>
    <w:rsid w:val="008621FD"/>
    <w:rsid w:val="0086291B"/>
    <w:rsid w:val="00865FAA"/>
    <w:rsid w:val="0086651C"/>
    <w:rsid w:val="00866C1F"/>
    <w:rsid w:val="00866CBA"/>
    <w:rsid w:val="008709FA"/>
    <w:rsid w:val="00873144"/>
    <w:rsid w:val="008737C8"/>
    <w:rsid w:val="008760CF"/>
    <w:rsid w:val="0087634C"/>
    <w:rsid w:val="0087667A"/>
    <w:rsid w:val="00876912"/>
    <w:rsid w:val="0087724A"/>
    <w:rsid w:val="00877CE0"/>
    <w:rsid w:val="00881320"/>
    <w:rsid w:val="00882BA3"/>
    <w:rsid w:val="0088348B"/>
    <w:rsid w:val="008851C4"/>
    <w:rsid w:val="008858C1"/>
    <w:rsid w:val="00887747"/>
    <w:rsid w:val="00887751"/>
    <w:rsid w:val="00891C5F"/>
    <w:rsid w:val="00892A5D"/>
    <w:rsid w:val="00892F8C"/>
    <w:rsid w:val="00894360"/>
    <w:rsid w:val="00895F4C"/>
    <w:rsid w:val="0089618B"/>
    <w:rsid w:val="00897828"/>
    <w:rsid w:val="00897CEF"/>
    <w:rsid w:val="008A26CB"/>
    <w:rsid w:val="008A2E6E"/>
    <w:rsid w:val="008A2FB4"/>
    <w:rsid w:val="008A4DBE"/>
    <w:rsid w:val="008A528E"/>
    <w:rsid w:val="008A5809"/>
    <w:rsid w:val="008A5BDD"/>
    <w:rsid w:val="008B0040"/>
    <w:rsid w:val="008B07BB"/>
    <w:rsid w:val="008B1BB0"/>
    <w:rsid w:val="008B29CB"/>
    <w:rsid w:val="008B5B1C"/>
    <w:rsid w:val="008B6207"/>
    <w:rsid w:val="008B6B34"/>
    <w:rsid w:val="008B7D3A"/>
    <w:rsid w:val="008C1D1E"/>
    <w:rsid w:val="008C2FCB"/>
    <w:rsid w:val="008C51AB"/>
    <w:rsid w:val="008C53B7"/>
    <w:rsid w:val="008C5418"/>
    <w:rsid w:val="008C5AAD"/>
    <w:rsid w:val="008C6216"/>
    <w:rsid w:val="008C64A2"/>
    <w:rsid w:val="008C74BE"/>
    <w:rsid w:val="008C7FB1"/>
    <w:rsid w:val="008D03ED"/>
    <w:rsid w:val="008D060E"/>
    <w:rsid w:val="008D54DE"/>
    <w:rsid w:val="008D5ED0"/>
    <w:rsid w:val="008D69EB"/>
    <w:rsid w:val="008D736F"/>
    <w:rsid w:val="008D7589"/>
    <w:rsid w:val="008D7FD3"/>
    <w:rsid w:val="008E01ED"/>
    <w:rsid w:val="008E1456"/>
    <w:rsid w:val="008E3FB0"/>
    <w:rsid w:val="008E50AB"/>
    <w:rsid w:val="008E68E2"/>
    <w:rsid w:val="008F09DA"/>
    <w:rsid w:val="008F26EB"/>
    <w:rsid w:val="008F3269"/>
    <w:rsid w:val="008F32F2"/>
    <w:rsid w:val="008F3E71"/>
    <w:rsid w:val="008F5714"/>
    <w:rsid w:val="008F6F0A"/>
    <w:rsid w:val="008F7304"/>
    <w:rsid w:val="008F775A"/>
    <w:rsid w:val="009004C7"/>
    <w:rsid w:val="0090061C"/>
    <w:rsid w:val="00901B4A"/>
    <w:rsid w:val="00903F38"/>
    <w:rsid w:val="0090481C"/>
    <w:rsid w:val="00904BC2"/>
    <w:rsid w:val="0090519E"/>
    <w:rsid w:val="00905E6C"/>
    <w:rsid w:val="0091022B"/>
    <w:rsid w:val="00910DC3"/>
    <w:rsid w:val="0091185C"/>
    <w:rsid w:val="00915095"/>
    <w:rsid w:val="00915474"/>
    <w:rsid w:val="00915723"/>
    <w:rsid w:val="009163DC"/>
    <w:rsid w:val="009175CC"/>
    <w:rsid w:val="00917711"/>
    <w:rsid w:val="00923A48"/>
    <w:rsid w:val="00927021"/>
    <w:rsid w:val="00927503"/>
    <w:rsid w:val="00927838"/>
    <w:rsid w:val="0093062E"/>
    <w:rsid w:val="00931060"/>
    <w:rsid w:val="00931645"/>
    <w:rsid w:val="00931BA0"/>
    <w:rsid w:val="00931DE4"/>
    <w:rsid w:val="0093655F"/>
    <w:rsid w:val="00936BDF"/>
    <w:rsid w:val="00937409"/>
    <w:rsid w:val="00940597"/>
    <w:rsid w:val="009407D6"/>
    <w:rsid w:val="0094218D"/>
    <w:rsid w:val="0094249B"/>
    <w:rsid w:val="0094373E"/>
    <w:rsid w:val="009439D8"/>
    <w:rsid w:val="009448C8"/>
    <w:rsid w:val="009455E6"/>
    <w:rsid w:val="00946B9B"/>
    <w:rsid w:val="009473B2"/>
    <w:rsid w:val="00950FA2"/>
    <w:rsid w:val="009510C5"/>
    <w:rsid w:val="009511F4"/>
    <w:rsid w:val="0095236A"/>
    <w:rsid w:val="0095309F"/>
    <w:rsid w:val="00953756"/>
    <w:rsid w:val="009542CB"/>
    <w:rsid w:val="00954D0E"/>
    <w:rsid w:val="00954E7B"/>
    <w:rsid w:val="009552B0"/>
    <w:rsid w:val="0095638E"/>
    <w:rsid w:val="009568D4"/>
    <w:rsid w:val="00956997"/>
    <w:rsid w:val="00956A58"/>
    <w:rsid w:val="00960851"/>
    <w:rsid w:val="009608E2"/>
    <w:rsid w:val="00960C2D"/>
    <w:rsid w:val="009628E8"/>
    <w:rsid w:val="00962EC8"/>
    <w:rsid w:val="00963A63"/>
    <w:rsid w:val="00965F59"/>
    <w:rsid w:val="00966AE9"/>
    <w:rsid w:val="0097249A"/>
    <w:rsid w:val="00972BFD"/>
    <w:rsid w:val="009733CE"/>
    <w:rsid w:val="00973664"/>
    <w:rsid w:val="0097561E"/>
    <w:rsid w:val="009759A0"/>
    <w:rsid w:val="0097605D"/>
    <w:rsid w:val="00977255"/>
    <w:rsid w:val="00977798"/>
    <w:rsid w:val="00980749"/>
    <w:rsid w:val="00981DF3"/>
    <w:rsid w:val="00982639"/>
    <w:rsid w:val="00982EDF"/>
    <w:rsid w:val="00985BA9"/>
    <w:rsid w:val="00986E30"/>
    <w:rsid w:val="00990210"/>
    <w:rsid w:val="00991657"/>
    <w:rsid w:val="0099168E"/>
    <w:rsid w:val="00993D69"/>
    <w:rsid w:val="00994D18"/>
    <w:rsid w:val="0099676C"/>
    <w:rsid w:val="009978DA"/>
    <w:rsid w:val="009A0421"/>
    <w:rsid w:val="009A0545"/>
    <w:rsid w:val="009A236C"/>
    <w:rsid w:val="009A2417"/>
    <w:rsid w:val="009A31B8"/>
    <w:rsid w:val="009A4106"/>
    <w:rsid w:val="009A4E70"/>
    <w:rsid w:val="009A5C4D"/>
    <w:rsid w:val="009A60C1"/>
    <w:rsid w:val="009A65FD"/>
    <w:rsid w:val="009A6C1C"/>
    <w:rsid w:val="009A6DFD"/>
    <w:rsid w:val="009A7999"/>
    <w:rsid w:val="009B067A"/>
    <w:rsid w:val="009B1940"/>
    <w:rsid w:val="009B7562"/>
    <w:rsid w:val="009C11DA"/>
    <w:rsid w:val="009C1F92"/>
    <w:rsid w:val="009C3E84"/>
    <w:rsid w:val="009C6135"/>
    <w:rsid w:val="009C7A1E"/>
    <w:rsid w:val="009D053D"/>
    <w:rsid w:val="009D0B8F"/>
    <w:rsid w:val="009D0BCF"/>
    <w:rsid w:val="009D0FBB"/>
    <w:rsid w:val="009D1593"/>
    <w:rsid w:val="009D2710"/>
    <w:rsid w:val="009D3370"/>
    <w:rsid w:val="009D3A0E"/>
    <w:rsid w:val="009D3B98"/>
    <w:rsid w:val="009D4838"/>
    <w:rsid w:val="009D545D"/>
    <w:rsid w:val="009D55A2"/>
    <w:rsid w:val="009D5630"/>
    <w:rsid w:val="009D5B26"/>
    <w:rsid w:val="009D5C3D"/>
    <w:rsid w:val="009D6F73"/>
    <w:rsid w:val="009E121D"/>
    <w:rsid w:val="009E1351"/>
    <w:rsid w:val="009E15D9"/>
    <w:rsid w:val="009E192D"/>
    <w:rsid w:val="009E3563"/>
    <w:rsid w:val="009E41F7"/>
    <w:rsid w:val="009E440D"/>
    <w:rsid w:val="009E5475"/>
    <w:rsid w:val="009E5856"/>
    <w:rsid w:val="009E5B89"/>
    <w:rsid w:val="009E78DE"/>
    <w:rsid w:val="009F1D1E"/>
    <w:rsid w:val="009F365F"/>
    <w:rsid w:val="009F434F"/>
    <w:rsid w:val="009F51B6"/>
    <w:rsid w:val="009F5BA9"/>
    <w:rsid w:val="00A002AD"/>
    <w:rsid w:val="00A01F7B"/>
    <w:rsid w:val="00A01FB7"/>
    <w:rsid w:val="00A0503C"/>
    <w:rsid w:val="00A07911"/>
    <w:rsid w:val="00A10662"/>
    <w:rsid w:val="00A10762"/>
    <w:rsid w:val="00A11A10"/>
    <w:rsid w:val="00A124B7"/>
    <w:rsid w:val="00A1312B"/>
    <w:rsid w:val="00A13FB9"/>
    <w:rsid w:val="00A14146"/>
    <w:rsid w:val="00A1486D"/>
    <w:rsid w:val="00A15737"/>
    <w:rsid w:val="00A15B0A"/>
    <w:rsid w:val="00A1607E"/>
    <w:rsid w:val="00A16950"/>
    <w:rsid w:val="00A22055"/>
    <w:rsid w:val="00A23602"/>
    <w:rsid w:val="00A2471C"/>
    <w:rsid w:val="00A24BB0"/>
    <w:rsid w:val="00A255E6"/>
    <w:rsid w:val="00A25CDD"/>
    <w:rsid w:val="00A26518"/>
    <w:rsid w:val="00A2684A"/>
    <w:rsid w:val="00A30821"/>
    <w:rsid w:val="00A30AB0"/>
    <w:rsid w:val="00A30BBD"/>
    <w:rsid w:val="00A31F72"/>
    <w:rsid w:val="00A3253A"/>
    <w:rsid w:val="00A3424A"/>
    <w:rsid w:val="00A346EF"/>
    <w:rsid w:val="00A34BEA"/>
    <w:rsid w:val="00A34EB8"/>
    <w:rsid w:val="00A355B0"/>
    <w:rsid w:val="00A35A4E"/>
    <w:rsid w:val="00A35B9F"/>
    <w:rsid w:val="00A3601E"/>
    <w:rsid w:val="00A37208"/>
    <w:rsid w:val="00A40264"/>
    <w:rsid w:val="00A40E76"/>
    <w:rsid w:val="00A41D1A"/>
    <w:rsid w:val="00A44863"/>
    <w:rsid w:val="00A44A1A"/>
    <w:rsid w:val="00A44F6A"/>
    <w:rsid w:val="00A4558A"/>
    <w:rsid w:val="00A45C86"/>
    <w:rsid w:val="00A47ACA"/>
    <w:rsid w:val="00A47E18"/>
    <w:rsid w:val="00A505F8"/>
    <w:rsid w:val="00A50E3C"/>
    <w:rsid w:val="00A51235"/>
    <w:rsid w:val="00A515DE"/>
    <w:rsid w:val="00A53787"/>
    <w:rsid w:val="00A53987"/>
    <w:rsid w:val="00A540E1"/>
    <w:rsid w:val="00A541BC"/>
    <w:rsid w:val="00A55B1A"/>
    <w:rsid w:val="00A55B8B"/>
    <w:rsid w:val="00A56382"/>
    <w:rsid w:val="00A664C4"/>
    <w:rsid w:val="00A66F4B"/>
    <w:rsid w:val="00A66FE4"/>
    <w:rsid w:val="00A71715"/>
    <w:rsid w:val="00A723D9"/>
    <w:rsid w:val="00A7242F"/>
    <w:rsid w:val="00A7351A"/>
    <w:rsid w:val="00A735FA"/>
    <w:rsid w:val="00A74A96"/>
    <w:rsid w:val="00A74D58"/>
    <w:rsid w:val="00A763C9"/>
    <w:rsid w:val="00A77D9B"/>
    <w:rsid w:val="00A800C6"/>
    <w:rsid w:val="00A80FF1"/>
    <w:rsid w:val="00A817CF"/>
    <w:rsid w:val="00A83760"/>
    <w:rsid w:val="00A83F2B"/>
    <w:rsid w:val="00A90778"/>
    <w:rsid w:val="00A9117E"/>
    <w:rsid w:val="00A979BA"/>
    <w:rsid w:val="00AA01AF"/>
    <w:rsid w:val="00AA097A"/>
    <w:rsid w:val="00AA1537"/>
    <w:rsid w:val="00AA2B7B"/>
    <w:rsid w:val="00AA34F0"/>
    <w:rsid w:val="00AA47DB"/>
    <w:rsid w:val="00AA4B2A"/>
    <w:rsid w:val="00AA4C13"/>
    <w:rsid w:val="00AA51DF"/>
    <w:rsid w:val="00AA5B0C"/>
    <w:rsid w:val="00AA700C"/>
    <w:rsid w:val="00AB0551"/>
    <w:rsid w:val="00AB10A6"/>
    <w:rsid w:val="00AB48E2"/>
    <w:rsid w:val="00AB4E89"/>
    <w:rsid w:val="00AC0320"/>
    <w:rsid w:val="00AC0AEF"/>
    <w:rsid w:val="00AC1667"/>
    <w:rsid w:val="00AC49FC"/>
    <w:rsid w:val="00AC5F73"/>
    <w:rsid w:val="00AD0BBE"/>
    <w:rsid w:val="00AD17E3"/>
    <w:rsid w:val="00AD20BC"/>
    <w:rsid w:val="00AD23DF"/>
    <w:rsid w:val="00AD31A3"/>
    <w:rsid w:val="00AD3E70"/>
    <w:rsid w:val="00AD3F43"/>
    <w:rsid w:val="00AD402E"/>
    <w:rsid w:val="00AD405C"/>
    <w:rsid w:val="00AD6C35"/>
    <w:rsid w:val="00AE10CA"/>
    <w:rsid w:val="00AE2104"/>
    <w:rsid w:val="00AE2916"/>
    <w:rsid w:val="00AE2C25"/>
    <w:rsid w:val="00AE2CC4"/>
    <w:rsid w:val="00AE4130"/>
    <w:rsid w:val="00AE4B02"/>
    <w:rsid w:val="00AE5426"/>
    <w:rsid w:val="00AF0E6A"/>
    <w:rsid w:val="00AF1153"/>
    <w:rsid w:val="00AF11C2"/>
    <w:rsid w:val="00AF1B57"/>
    <w:rsid w:val="00AF20FF"/>
    <w:rsid w:val="00AF2254"/>
    <w:rsid w:val="00AF29A1"/>
    <w:rsid w:val="00AF41FB"/>
    <w:rsid w:val="00AF421D"/>
    <w:rsid w:val="00AF53EF"/>
    <w:rsid w:val="00AF5EC4"/>
    <w:rsid w:val="00AF60DA"/>
    <w:rsid w:val="00AF6AC0"/>
    <w:rsid w:val="00AF78EA"/>
    <w:rsid w:val="00B03823"/>
    <w:rsid w:val="00B04C06"/>
    <w:rsid w:val="00B05D9E"/>
    <w:rsid w:val="00B06D07"/>
    <w:rsid w:val="00B07955"/>
    <w:rsid w:val="00B11611"/>
    <w:rsid w:val="00B11D38"/>
    <w:rsid w:val="00B11FB7"/>
    <w:rsid w:val="00B11FF9"/>
    <w:rsid w:val="00B120A8"/>
    <w:rsid w:val="00B133CF"/>
    <w:rsid w:val="00B13425"/>
    <w:rsid w:val="00B13CBF"/>
    <w:rsid w:val="00B1416A"/>
    <w:rsid w:val="00B14297"/>
    <w:rsid w:val="00B17807"/>
    <w:rsid w:val="00B17F08"/>
    <w:rsid w:val="00B219A3"/>
    <w:rsid w:val="00B21BB4"/>
    <w:rsid w:val="00B21E79"/>
    <w:rsid w:val="00B222E1"/>
    <w:rsid w:val="00B23998"/>
    <w:rsid w:val="00B24512"/>
    <w:rsid w:val="00B258DC"/>
    <w:rsid w:val="00B263B2"/>
    <w:rsid w:val="00B26519"/>
    <w:rsid w:val="00B2715F"/>
    <w:rsid w:val="00B30404"/>
    <w:rsid w:val="00B30C86"/>
    <w:rsid w:val="00B3182C"/>
    <w:rsid w:val="00B31889"/>
    <w:rsid w:val="00B3461C"/>
    <w:rsid w:val="00B3599D"/>
    <w:rsid w:val="00B363B1"/>
    <w:rsid w:val="00B365F9"/>
    <w:rsid w:val="00B36A3D"/>
    <w:rsid w:val="00B409B2"/>
    <w:rsid w:val="00B416AD"/>
    <w:rsid w:val="00B41837"/>
    <w:rsid w:val="00B42335"/>
    <w:rsid w:val="00B42B71"/>
    <w:rsid w:val="00B438A1"/>
    <w:rsid w:val="00B43D66"/>
    <w:rsid w:val="00B45867"/>
    <w:rsid w:val="00B47D84"/>
    <w:rsid w:val="00B50E9D"/>
    <w:rsid w:val="00B524AA"/>
    <w:rsid w:val="00B546E8"/>
    <w:rsid w:val="00B54AA7"/>
    <w:rsid w:val="00B55077"/>
    <w:rsid w:val="00B564A9"/>
    <w:rsid w:val="00B610F3"/>
    <w:rsid w:val="00B61A0F"/>
    <w:rsid w:val="00B61CC6"/>
    <w:rsid w:val="00B62C9E"/>
    <w:rsid w:val="00B634C2"/>
    <w:rsid w:val="00B63545"/>
    <w:rsid w:val="00B6479A"/>
    <w:rsid w:val="00B65F92"/>
    <w:rsid w:val="00B70B45"/>
    <w:rsid w:val="00B71626"/>
    <w:rsid w:val="00B7329A"/>
    <w:rsid w:val="00B74440"/>
    <w:rsid w:val="00B7468B"/>
    <w:rsid w:val="00B755BE"/>
    <w:rsid w:val="00B77083"/>
    <w:rsid w:val="00B77B08"/>
    <w:rsid w:val="00B81DAC"/>
    <w:rsid w:val="00B82FF4"/>
    <w:rsid w:val="00B843B8"/>
    <w:rsid w:val="00B85374"/>
    <w:rsid w:val="00B85409"/>
    <w:rsid w:val="00B86235"/>
    <w:rsid w:val="00B86321"/>
    <w:rsid w:val="00B86501"/>
    <w:rsid w:val="00B86FBA"/>
    <w:rsid w:val="00B879AA"/>
    <w:rsid w:val="00B9214F"/>
    <w:rsid w:val="00B9226F"/>
    <w:rsid w:val="00B93798"/>
    <w:rsid w:val="00B93EE7"/>
    <w:rsid w:val="00B94455"/>
    <w:rsid w:val="00B94704"/>
    <w:rsid w:val="00B94979"/>
    <w:rsid w:val="00B94F90"/>
    <w:rsid w:val="00B979CC"/>
    <w:rsid w:val="00BA0127"/>
    <w:rsid w:val="00BA16BF"/>
    <w:rsid w:val="00BA1CD5"/>
    <w:rsid w:val="00BA2C36"/>
    <w:rsid w:val="00BA381B"/>
    <w:rsid w:val="00BA583F"/>
    <w:rsid w:val="00BB16DA"/>
    <w:rsid w:val="00BB21AF"/>
    <w:rsid w:val="00BB391E"/>
    <w:rsid w:val="00BB4508"/>
    <w:rsid w:val="00BB54FB"/>
    <w:rsid w:val="00BB561A"/>
    <w:rsid w:val="00BB5898"/>
    <w:rsid w:val="00BB5C7C"/>
    <w:rsid w:val="00BB637F"/>
    <w:rsid w:val="00BB7435"/>
    <w:rsid w:val="00BB750E"/>
    <w:rsid w:val="00BC02E2"/>
    <w:rsid w:val="00BC1053"/>
    <w:rsid w:val="00BC1B14"/>
    <w:rsid w:val="00BC1CE8"/>
    <w:rsid w:val="00BC1D02"/>
    <w:rsid w:val="00BC24F5"/>
    <w:rsid w:val="00BC609D"/>
    <w:rsid w:val="00BD08B2"/>
    <w:rsid w:val="00BD1159"/>
    <w:rsid w:val="00BD1899"/>
    <w:rsid w:val="00BD3C90"/>
    <w:rsid w:val="00BD3DD2"/>
    <w:rsid w:val="00BD50A2"/>
    <w:rsid w:val="00BD5B4D"/>
    <w:rsid w:val="00BD68FF"/>
    <w:rsid w:val="00BD753B"/>
    <w:rsid w:val="00BE0C06"/>
    <w:rsid w:val="00BE0E14"/>
    <w:rsid w:val="00BE19A1"/>
    <w:rsid w:val="00BE4451"/>
    <w:rsid w:val="00BE472D"/>
    <w:rsid w:val="00BE49E8"/>
    <w:rsid w:val="00BE6FB4"/>
    <w:rsid w:val="00BE78B0"/>
    <w:rsid w:val="00BF08B9"/>
    <w:rsid w:val="00BF109A"/>
    <w:rsid w:val="00BF1304"/>
    <w:rsid w:val="00BF36AC"/>
    <w:rsid w:val="00BF3A2F"/>
    <w:rsid w:val="00BF3FA0"/>
    <w:rsid w:val="00BF54F0"/>
    <w:rsid w:val="00C006EC"/>
    <w:rsid w:val="00C008D1"/>
    <w:rsid w:val="00C01256"/>
    <w:rsid w:val="00C01B27"/>
    <w:rsid w:val="00C03D57"/>
    <w:rsid w:val="00C0456B"/>
    <w:rsid w:val="00C047C6"/>
    <w:rsid w:val="00C04D0F"/>
    <w:rsid w:val="00C0539F"/>
    <w:rsid w:val="00C06230"/>
    <w:rsid w:val="00C06535"/>
    <w:rsid w:val="00C0711C"/>
    <w:rsid w:val="00C078D7"/>
    <w:rsid w:val="00C123EB"/>
    <w:rsid w:val="00C1286A"/>
    <w:rsid w:val="00C1321A"/>
    <w:rsid w:val="00C13952"/>
    <w:rsid w:val="00C14FBF"/>
    <w:rsid w:val="00C158C3"/>
    <w:rsid w:val="00C16992"/>
    <w:rsid w:val="00C20D75"/>
    <w:rsid w:val="00C20F86"/>
    <w:rsid w:val="00C2382C"/>
    <w:rsid w:val="00C23D2A"/>
    <w:rsid w:val="00C24892"/>
    <w:rsid w:val="00C25584"/>
    <w:rsid w:val="00C2561C"/>
    <w:rsid w:val="00C268FF"/>
    <w:rsid w:val="00C26F19"/>
    <w:rsid w:val="00C34AD8"/>
    <w:rsid w:val="00C36176"/>
    <w:rsid w:val="00C36D38"/>
    <w:rsid w:val="00C3709B"/>
    <w:rsid w:val="00C379D3"/>
    <w:rsid w:val="00C40358"/>
    <w:rsid w:val="00C403EB"/>
    <w:rsid w:val="00C41EAC"/>
    <w:rsid w:val="00C421AD"/>
    <w:rsid w:val="00C43861"/>
    <w:rsid w:val="00C4441A"/>
    <w:rsid w:val="00C44423"/>
    <w:rsid w:val="00C44609"/>
    <w:rsid w:val="00C455C5"/>
    <w:rsid w:val="00C46459"/>
    <w:rsid w:val="00C476D2"/>
    <w:rsid w:val="00C47E62"/>
    <w:rsid w:val="00C50E55"/>
    <w:rsid w:val="00C529EB"/>
    <w:rsid w:val="00C53D69"/>
    <w:rsid w:val="00C559C4"/>
    <w:rsid w:val="00C55DCB"/>
    <w:rsid w:val="00C56F0D"/>
    <w:rsid w:val="00C57452"/>
    <w:rsid w:val="00C601F2"/>
    <w:rsid w:val="00C60C46"/>
    <w:rsid w:val="00C60D3D"/>
    <w:rsid w:val="00C62393"/>
    <w:rsid w:val="00C6312B"/>
    <w:rsid w:val="00C639DF"/>
    <w:rsid w:val="00C65667"/>
    <w:rsid w:val="00C65CCD"/>
    <w:rsid w:val="00C66226"/>
    <w:rsid w:val="00C66D87"/>
    <w:rsid w:val="00C67611"/>
    <w:rsid w:val="00C70051"/>
    <w:rsid w:val="00C706CD"/>
    <w:rsid w:val="00C71539"/>
    <w:rsid w:val="00C71ADD"/>
    <w:rsid w:val="00C72CF7"/>
    <w:rsid w:val="00C7382A"/>
    <w:rsid w:val="00C76672"/>
    <w:rsid w:val="00C76B52"/>
    <w:rsid w:val="00C77200"/>
    <w:rsid w:val="00C77397"/>
    <w:rsid w:val="00C779EC"/>
    <w:rsid w:val="00C812BC"/>
    <w:rsid w:val="00C81B80"/>
    <w:rsid w:val="00C81EBD"/>
    <w:rsid w:val="00C8285E"/>
    <w:rsid w:val="00C83C37"/>
    <w:rsid w:val="00C83DD9"/>
    <w:rsid w:val="00C83EC7"/>
    <w:rsid w:val="00C8513A"/>
    <w:rsid w:val="00C85963"/>
    <w:rsid w:val="00C85BD8"/>
    <w:rsid w:val="00C86BBF"/>
    <w:rsid w:val="00C87087"/>
    <w:rsid w:val="00C872D0"/>
    <w:rsid w:val="00C876A3"/>
    <w:rsid w:val="00C87E7A"/>
    <w:rsid w:val="00C87F0D"/>
    <w:rsid w:val="00C90DE3"/>
    <w:rsid w:val="00C919FD"/>
    <w:rsid w:val="00C93661"/>
    <w:rsid w:val="00C96659"/>
    <w:rsid w:val="00C97372"/>
    <w:rsid w:val="00C9745F"/>
    <w:rsid w:val="00CA23AA"/>
    <w:rsid w:val="00CA3635"/>
    <w:rsid w:val="00CA4367"/>
    <w:rsid w:val="00CA43B2"/>
    <w:rsid w:val="00CA6208"/>
    <w:rsid w:val="00CA734A"/>
    <w:rsid w:val="00CA7849"/>
    <w:rsid w:val="00CB227D"/>
    <w:rsid w:val="00CB2CDA"/>
    <w:rsid w:val="00CB3FAD"/>
    <w:rsid w:val="00CB48C2"/>
    <w:rsid w:val="00CB747B"/>
    <w:rsid w:val="00CB7BDA"/>
    <w:rsid w:val="00CC056A"/>
    <w:rsid w:val="00CC114E"/>
    <w:rsid w:val="00CC3664"/>
    <w:rsid w:val="00CC398F"/>
    <w:rsid w:val="00CC5BD4"/>
    <w:rsid w:val="00CD0CF9"/>
    <w:rsid w:val="00CD1159"/>
    <w:rsid w:val="00CD4149"/>
    <w:rsid w:val="00CD59C1"/>
    <w:rsid w:val="00CD5AF9"/>
    <w:rsid w:val="00CD6895"/>
    <w:rsid w:val="00CE0A6A"/>
    <w:rsid w:val="00CE0C46"/>
    <w:rsid w:val="00CE18A2"/>
    <w:rsid w:val="00CE1C35"/>
    <w:rsid w:val="00CE6B55"/>
    <w:rsid w:val="00CE6BC8"/>
    <w:rsid w:val="00CE6DF6"/>
    <w:rsid w:val="00CE7DBF"/>
    <w:rsid w:val="00CF0262"/>
    <w:rsid w:val="00CF05F5"/>
    <w:rsid w:val="00CF0A0B"/>
    <w:rsid w:val="00CF1629"/>
    <w:rsid w:val="00CF1D64"/>
    <w:rsid w:val="00CF20C4"/>
    <w:rsid w:val="00CF3847"/>
    <w:rsid w:val="00D00E5E"/>
    <w:rsid w:val="00D01546"/>
    <w:rsid w:val="00D01D1F"/>
    <w:rsid w:val="00D02315"/>
    <w:rsid w:val="00D026F1"/>
    <w:rsid w:val="00D04049"/>
    <w:rsid w:val="00D04865"/>
    <w:rsid w:val="00D05F1E"/>
    <w:rsid w:val="00D06198"/>
    <w:rsid w:val="00D078A8"/>
    <w:rsid w:val="00D07FCF"/>
    <w:rsid w:val="00D10917"/>
    <w:rsid w:val="00D10AE0"/>
    <w:rsid w:val="00D12035"/>
    <w:rsid w:val="00D123A0"/>
    <w:rsid w:val="00D135CC"/>
    <w:rsid w:val="00D15E81"/>
    <w:rsid w:val="00D16DA8"/>
    <w:rsid w:val="00D16EE7"/>
    <w:rsid w:val="00D173CD"/>
    <w:rsid w:val="00D20123"/>
    <w:rsid w:val="00D2044D"/>
    <w:rsid w:val="00D23EC0"/>
    <w:rsid w:val="00D24A99"/>
    <w:rsid w:val="00D24B35"/>
    <w:rsid w:val="00D26367"/>
    <w:rsid w:val="00D2690C"/>
    <w:rsid w:val="00D2724B"/>
    <w:rsid w:val="00D27449"/>
    <w:rsid w:val="00D319A9"/>
    <w:rsid w:val="00D325BA"/>
    <w:rsid w:val="00D32631"/>
    <w:rsid w:val="00D32B33"/>
    <w:rsid w:val="00D34544"/>
    <w:rsid w:val="00D34E84"/>
    <w:rsid w:val="00D352F0"/>
    <w:rsid w:val="00D35915"/>
    <w:rsid w:val="00D377F3"/>
    <w:rsid w:val="00D378A5"/>
    <w:rsid w:val="00D37AB5"/>
    <w:rsid w:val="00D37C7F"/>
    <w:rsid w:val="00D41181"/>
    <w:rsid w:val="00D4288F"/>
    <w:rsid w:val="00D446D6"/>
    <w:rsid w:val="00D45670"/>
    <w:rsid w:val="00D47C04"/>
    <w:rsid w:val="00D5276D"/>
    <w:rsid w:val="00D5288E"/>
    <w:rsid w:val="00D53C26"/>
    <w:rsid w:val="00D546A7"/>
    <w:rsid w:val="00D55342"/>
    <w:rsid w:val="00D55A9E"/>
    <w:rsid w:val="00D5662E"/>
    <w:rsid w:val="00D569DF"/>
    <w:rsid w:val="00D574DC"/>
    <w:rsid w:val="00D60228"/>
    <w:rsid w:val="00D604C2"/>
    <w:rsid w:val="00D608C3"/>
    <w:rsid w:val="00D60DCF"/>
    <w:rsid w:val="00D61D2D"/>
    <w:rsid w:val="00D624BD"/>
    <w:rsid w:val="00D62F06"/>
    <w:rsid w:val="00D6535C"/>
    <w:rsid w:val="00D7028D"/>
    <w:rsid w:val="00D70B31"/>
    <w:rsid w:val="00D74EF9"/>
    <w:rsid w:val="00D768DA"/>
    <w:rsid w:val="00D8077A"/>
    <w:rsid w:val="00D807BB"/>
    <w:rsid w:val="00D809E2"/>
    <w:rsid w:val="00D80A3E"/>
    <w:rsid w:val="00D80B21"/>
    <w:rsid w:val="00D82C84"/>
    <w:rsid w:val="00D838CC"/>
    <w:rsid w:val="00D844B2"/>
    <w:rsid w:val="00D84529"/>
    <w:rsid w:val="00D85538"/>
    <w:rsid w:val="00D85B30"/>
    <w:rsid w:val="00D869F2"/>
    <w:rsid w:val="00D874E6"/>
    <w:rsid w:val="00D9216B"/>
    <w:rsid w:val="00D9483F"/>
    <w:rsid w:val="00D956C0"/>
    <w:rsid w:val="00DA0354"/>
    <w:rsid w:val="00DA050A"/>
    <w:rsid w:val="00DA091A"/>
    <w:rsid w:val="00DA12F2"/>
    <w:rsid w:val="00DA1BC7"/>
    <w:rsid w:val="00DA3AD0"/>
    <w:rsid w:val="00DA455A"/>
    <w:rsid w:val="00DA5AFB"/>
    <w:rsid w:val="00DB09A3"/>
    <w:rsid w:val="00DB4C2F"/>
    <w:rsid w:val="00DB4E6E"/>
    <w:rsid w:val="00DB5038"/>
    <w:rsid w:val="00DB56D7"/>
    <w:rsid w:val="00DB5BBC"/>
    <w:rsid w:val="00DB5F3C"/>
    <w:rsid w:val="00DC0718"/>
    <w:rsid w:val="00DC0797"/>
    <w:rsid w:val="00DC1A04"/>
    <w:rsid w:val="00DC206C"/>
    <w:rsid w:val="00DC2337"/>
    <w:rsid w:val="00DC30CC"/>
    <w:rsid w:val="00DC3ED7"/>
    <w:rsid w:val="00DC4969"/>
    <w:rsid w:val="00DC5505"/>
    <w:rsid w:val="00DC5692"/>
    <w:rsid w:val="00DC65AF"/>
    <w:rsid w:val="00DC6CAB"/>
    <w:rsid w:val="00DC70A2"/>
    <w:rsid w:val="00DC7E7A"/>
    <w:rsid w:val="00DD3206"/>
    <w:rsid w:val="00DD36A7"/>
    <w:rsid w:val="00DD5256"/>
    <w:rsid w:val="00DD6522"/>
    <w:rsid w:val="00DE060D"/>
    <w:rsid w:val="00DE089F"/>
    <w:rsid w:val="00DE18A4"/>
    <w:rsid w:val="00DE2B2A"/>
    <w:rsid w:val="00DE44D3"/>
    <w:rsid w:val="00DE51A9"/>
    <w:rsid w:val="00DE6B77"/>
    <w:rsid w:val="00DE6C6F"/>
    <w:rsid w:val="00DF57C9"/>
    <w:rsid w:val="00DF5D26"/>
    <w:rsid w:val="00DF62CB"/>
    <w:rsid w:val="00DF709E"/>
    <w:rsid w:val="00DF74F9"/>
    <w:rsid w:val="00DF7B16"/>
    <w:rsid w:val="00DF7E66"/>
    <w:rsid w:val="00E012F1"/>
    <w:rsid w:val="00E013ED"/>
    <w:rsid w:val="00E01874"/>
    <w:rsid w:val="00E01FCE"/>
    <w:rsid w:val="00E02EA8"/>
    <w:rsid w:val="00E03960"/>
    <w:rsid w:val="00E03D70"/>
    <w:rsid w:val="00E0586E"/>
    <w:rsid w:val="00E073D5"/>
    <w:rsid w:val="00E0746D"/>
    <w:rsid w:val="00E1491B"/>
    <w:rsid w:val="00E14F3E"/>
    <w:rsid w:val="00E14FBF"/>
    <w:rsid w:val="00E163A4"/>
    <w:rsid w:val="00E1731D"/>
    <w:rsid w:val="00E17FAA"/>
    <w:rsid w:val="00E20CA3"/>
    <w:rsid w:val="00E21E2D"/>
    <w:rsid w:val="00E21E60"/>
    <w:rsid w:val="00E225D6"/>
    <w:rsid w:val="00E22C23"/>
    <w:rsid w:val="00E22D02"/>
    <w:rsid w:val="00E231E9"/>
    <w:rsid w:val="00E247CB"/>
    <w:rsid w:val="00E248C4"/>
    <w:rsid w:val="00E2508C"/>
    <w:rsid w:val="00E25DAB"/>
    <w:rsid w:val="00E26B2D"/>
    <w:rsid w:val="00E270CA"/>
    <w:rsid w:val="00E30AAC"/>
    <w:rsid w:val="00E31443"/>
    <w:rsid w:val="00E32083"/>
    <w:rsid w:val="00E32DF9"/>
    <w:rsid w:val="00E338E3"/>
    <w:rsid w:val="00E34285"/>
    <w:rsid w:val="00E373A1"/>
    <w:rsid w:val="00E45242"/>
    <w:rsid w:val="00E47893"/>
    <w:rsid w:val="00E50AAE"/>
    <w:rsid w:val="00E50D55"/>
    <w:rsid w:val="00E5172C"/>
    <w:rsid w:val="00E51AE5"/>
    <w:rsid w:val="00E51C02"/>
    <w:rsid w:val="00E52CD4"/>
    <w:rsid w:val="00E53E9B"/>
    <w:rsid w:val="00E5473B"/>
    <w:rsid w:val="00E56040"/>
    <w:rsid w:val="00E5612D"/>
    <w:rsid w:val="00E57739"/>
    <w:rsid w:val="00E61784"/>
    <w:rsid w:val="00E625D1"/>
    <w:rsid w:val="00E63723"/>
    <w:rsid w:val="00E63FC1"/>
    <w:rsid w:val="00E640C5"/>
    <w:rsid w:val="00E64453"/>
    <w:rsid w:val="00E65D14"/>
    <w:rsid w:val="00E6663D"/>
    <w:rsid w:val="00E667F3"/>
    <w:rsid w:val="00E67235"/>
    <w:rsid w:val="00E70E79"/>
    <w:rsid w:val="00E71624"/>
    <w:rsid w:val="00E72769"/>
    <w:rsid w:val="00E7474E"/>
    <w:rsid w:val="00E74B48"/>
    <w:rsid w:val="00E75B2E"/>
    <w:rsid w:val="00E76BA2"/>
    <w:rsid w:val="00E77337"/>
    <w:rsid w:val="00E804E1"/>
    <w:rsid w:val="00E80A2B"/>
    <w:rsid w:val="00E81153"/>
    <w:rsid w:val="00E82481"/>
    <w:rsid w:val="00E844BE"/>
    <w:rsid w:val="00E845F2"/>
    <w:rsid w:val="00E84DC2"/>
    <w:rsid w:val="00E859D1"/>
    <w:rsid w:val="00E86D18"/>
    <w:rsid w:val="00E9111C"/>
    <w:rsid w:val="00E9438D"/>
    <w:rsid w:val="00EA009D"/>
    <w:rsid w:val="00EA123F"/>
    <w:rsid w:val="00EA1AFD"/>
    <w:rsid w:val="00EA1D02"/>
    <w:rsid w:val="00EA1D77"/>
    <w:rsid w:val="00EA2170"/>
    <w:rsid w:val="00EA2779"/>
    <w:rsid w:val="00EA2E64"/>
    <w:rsid w:val="00EA3B5B"/>
    <w:rsid w:val="00EA4788"/>
    <w:rsid w:val="00EA5555"/>
    <w:rsid w:val="00EA5A2C"/>
    <w:rsid w:val="00EA5FCE"/>
    <w:rsid w:val="00EA60E5"/>
    <w:rsid w:val="00EA6D97"/>
    <w:rsid w:val="00EA7233"/>
    <w:rsid w:val="00EA7902"/>
    <w:rsid w:val="00EB0E4F"/>
    <w:rsid w:val="00EB0F89"/>
    <w:rsid w:val="00EB2064"/>
    <w:rsid w:val="00EB3EAB"/>
    <w:rsid w:val="00EB4671"/>
    <w:rsid w:val="00EB4945"/>
    <w:rsid w:val="00EB4A98"/>
    <w:rsid w:val="00EB4BF7"/>
    <w:rsid w:val="00EB61F6"/>
    <w:rsid w:val="00EB6284"/>
    <w:rsid w:val="00EB739F"/>
    <w:rsid w:val="00EC0916"/>
    <w:rsid w:val="00EC41BB"/>
    <w:rsid w:val="00EC5418"/>
    <w:rsid w:val="00EC5932"/>
    <w:rsid w:val="00EC7C67"/>
    <w:rsid w:val="00ED2154"/>
    <w:rsid w:val="00ED2B0B"/>
    <w:rsid w:val="00ED2CC1"/>
    <w:rsid w:val="00ED2E69"/>
    <w:rsid w:val="00ED34A2"/>
    <w:rsid w:val="00ED4894"/>
    <w:rsid w:val="00ED5264"/>
    <w:rsid w:val="00ED6545"/>
    <w:rsid w:val="00ED7503"/>
    <w:rsid w:val="00ED7CA8"/>
    <w:rsid w:val="00EE08F4"/>
    <w:rsid w:val="00EE1EE6"/>
    <w:rsid w:val="00EE1F07"/>
    <w:rsid w:val="00EE1FF2"/>
    <w:rsid w:val="00EE2675"/>
    <w:rsid w:val="00EE2AAA"/>
    <w:rsid w:val="00EE30BE"/>
    <w:rsid w:val="00EE384C"/>
    <w:rsid w:val="00EE4029"/>
    <w:rsid w:val="00EE4047"/>
    <w:rsid w:val="00EE4384"/>
    <w:rsid w:val="00EE463E"/>
    <w:rsid w:val="00EE5E3C"/>
    <w:rsid w:val="00EE61E0"/>
    <w:rsid w:val="00EF100C"/>
    <w:rsid w:val="00EF213D"/>
    <w:rsid w:val="00EF2B78"/>
    <w:rsid w:val="00EF2D9E"/>
    <w:rsid w:val="00EF3A99"/>
    <w:rsid w:val="00EF416A"/>
    <w:rsid w:val="00EF4344"/>
    <w:rsid w:val="00EF51DD"/>
    <w:rsid w:val="00EF716C"/>
    <w:rsid w:val="00F01247"/>
    <w:rsid w:val="00F020DB"/>
    <w:rsid w:val="00F03CD7"/>
    <w:rsid w:val="00F06588"/>
    <w:rsid w:val="00F06601"/>
    <w:rsid w:val="00F07241"/>
    <w:rsid w:val="00F07852"/>
    <w:rsid w:val="00F1015F"/>
    <w:rsid w:val="00F1037B"/>
    <w:rsid w:val="00F10722"/>
    <w:rsid w:val="00F10EEA"/>
    <w:rsid w:val="00F12F0F"/>
    <w:rsid w:val="00F14757"/>
    <w:rsid w:val="00F154EB"/>
    <w:rsid w:val="00F15773"/>
    <w:rsid w:val="00F15861"/>
    <w:rsid w:val="00F1650D"/>
    <w:rsid w:val="00F17487"/>
    <w:rsid w:val="00F2094C"/>
    <w:rsid w:val="00F20CD5"/>
    <w:rsid w:val="00F21636"/>
    <w:rsid w:val="00F219E0"/>
    <w:rsid w:val="00F21BDC"/>
    <w:rsid w:val="00F21FA8"/>
    <w:rsid w:val="00F22225"/>
    <w:rsid w:val="00F24EB1"/>
    <w:rsid w:val="00F26237"/>
    <w:rsid w:val="00F268BC"/>
    <w:rsid w:val="00F304C3"/>
    <w:rsid w:val="00F314BD"/>
    <w:rsid w:val="00F326A1"/>
    <w:rsid w:val="00F3457D"/>
    <w:rsid w:val="00F3602B"/>
    <w:rsid w:val="00F3692A"/>
    <w:rsid w:val="00F37004"/>
    <w:rsid w:val="00F37D0D"/>
    <w:rsid w:val="00F40009"/>
    <w:rsid w:val="00F4059F"/>
    <w:rsid w:val="00F40814"/>
    <w:rsid w:val="00F411B6"/>
    <w:rsid w:val="00F41246"/>
    <w:rsid w:val="00F41D40"/>
    <w:rsid w:val="00F43043"/>
    <w:rsid w:val="00F43FF6"/>
    <w:rsid w:val="00F44485"/>
    <w:rsid w:val="00F445E3"/>
    <w:rsid w:val="00F46DF0"/>
    <w:rsid w:val="00F47C43"/>
    <w:rsid w:val="00F50E9E"/>
    <w:rsid w:val="00F51F44"/>
    <w:rsid w:val="00F51FE0"/>
    <w:rsid w:val="00F5215C"/>
    <w:rsid w:val="00F53DEC"/>
    <w:rsid w:val="00F562BD"/>
    <w:rsid w:val="00F567EF"/>
    <w:rsid w:val="00F571B1"/>
    <w:rsid w:val="00F6231E"/>
    <w:rsid w:val="00F6301A"/>
    <w:rsid w:val="00F666A8"/>
    <w:rsid w:val="00F715DE"/>
    <w:rsid w:val="00F71B64"/>
    <w:rsid w:val="00F7211E"/>
    <w:rsid w:val="00F74578"/>
    <w:rsid w:val="00F74D97"/>
    <w:rsid w:val="00F74FF4"/>
    <w:rsid w:val="00F75200"/>
    <w:rsid w:val="00F75364"/>
    <w:rsid w:val="00F76AE8"/>
    <w:rsid w:val="00F82BF6"/>
    <w:rsid w:val="00F84DF6"/>
    <w:rsid w:val="00F8589F"/>
    <w:rsid w:val="00F859A7"/>
    <w:rsid w:val="00F85FF1"/>
    <w:rsid w:val="00F8649E"/>
    <w:rsid w:val="00F87898"/>
    <w:rsid w:val="00F90527"/>
    <w:rsid w:val="00F91333"/>
    <w:rsid w:val="00F9305C"/>
    <w:rsid w:val="00F94431"/>
    <w:rsid w:val="00F9553A"/>
    <w:rsid w:val="00F956BF"/>
    <w:rsid w:val="00F95760"/>
    <w:rsid w:val="00F96D3F"/>
    <w:rsid w:val="00F97698"/>
    <w:rsid w:val="00F977E7"/>
    <w:rsid w:val="00FA0353"/>
    <w:rsid w:val="00FA09A1"/>
    <w:rsid w:val="00FA0A2E"/>
    <w:rsid w:val="00FA1429"/>
    <w:rsid w:val="00FA1B69"/>
    <w:rsid w:val="00FA28C7"/>
    <w:rsid w:val="00FA2C06"/>
    <w:rsid w:val="00FA36BF"/>
    <w:rsid w:val="00FA40AC"/>
    <w:rsid w:val="00FA513F"/>
    <w:rsid w:val="00FA58E0"/>
    <w:rsid w:val="00FA5D0F"/>
    <w:rsid w:val="00FA6E29"/>
    <w:rsid w:val="00FA77C9"/>
    <w:rsid w:val="00FB0FDF"/>
    <w:rsid w:val="00FB2A54"/>
    <w:rsid w:val="00FB30DD"/>
    <w:rsid w:val="00FB387F"/>
    <w:rsid w:val="00FB51D4"/>
    <w:rsid w:val="00FB5E0E"/>
    <w:rsid w:val="00FB603A"/>
    <w:rsid w:val="00FB6AC7"/>
    <w:rsid w:val="00FB7852"/>
    <w:rsid w:val="00FC0240"/>
    <w:rsid w:val="00FC09B4"/>
    <w:rsid w:val="00FC09FD"/>
    <w:rsid w:val="00FC38CD"/>
    <w:rsid w:val="00FC7347"/>
    <w:rsid w:val="00FC7CB7"/>
    <w:rsid w:val="00FD1D5C"/>
    <w:rsid w:val="00FD31B7"/>
    <w:rsid w:val="00FD43BA"/>
    <w:rsid w:val="00FD5E96"/>
    <w:rsid w:val="00FE04DA"/>
    <w:rsid w:val="00FE2172"/>
    <w:rsid w:val="00FE22FC"/>
    <w:rsid w:val="00FE3CCD"/>
    <w:rsid w:val="00FE7666"/>
    <w:rsid w:val="00FE78A3"/>
    <w:rsid w:val="00FF035E"/>
    <w:rsid w:val="00FF0B8F"/>
    <w:rsid w:val="00FF3C46"/>
    <w:rsid w:val="00FF3FF1"/>
    <w:rsid w:val="00FF5780"/>
    <w:rsid w:val="00FF5EF6"/>
    <w:rsid w:val="00FF5F1B"/>
    <w:rsid w:val="00FF63B6"/>
    <w:rsid w:val="00FF652C"/>
    <w:rsid w:val="00FF7062"/>
    <w:rsid w:val="00FF77EA"/>
    <w:rsid w:val="017765AD"/>
    <w:rsid w:val="03A8025F"/>
    <w:rsid w:val="052D4B75"/>
    <w:rsid w:val="057C7CCB"/>
    <w:rsid w:val="0583487F"/>
    <w:rsid w:val="05B64E07"/>
    <w:rsid w:val="065A3ABE"/>
    <w:rsid w:val="073D6AE8"/>
    <w:rsid w:val="0827311F"/>
    <w:rsid w:val="08B57BAB"/>
    <w:rsid w:val="0A8A3386"/>
    <w:rsid w:val="0B6E7792"/>
    <w:rsid w:val="0BAF31B4"/>
    <w:rsid w:val="0BC17C78"/>
    <w:rsid w:val="0DA2683C"/>
    <w:rsid w:val="0DD51794"/>
    <w:rsid w:val="0E3558E2"/>
    <w:rsid w:val="0E4345A7"/>
    <w:rsid w:val="100215FA"/>
    <w:rsid w:val="10100B56"/>
    <w:rsid w:val="10463913"/>
    <w:rsid w:val="106A79B2"/>
    <w:rsid w:val="11413524"/>
    <w:rsid w:val="11423BBD"/>
    <w:rsid w:val="12FF574D"/>
    <w:rsid w:val="131274CE"/>
    <w:rsid w:val="14B02372"/>
    <w:rsid w:val="14BF5BEF"/>
    <w:rsid w:val="16542B9E"/>
    <w:rsid w:val="1720707D"/>
    <w:rsid w:val="17D53E03"/>
    <w:rsid w:val="182A0E8C"/>
    <w:rsid w:val="185374EE"/>
    <w:rsid w:val="18B74DA0"/>
    <w:rsid w:val="18ED0707"/>
    <w:rsid w:val="190D49C0"/>
    <w:rsid w:val="191D7B8A"/>
    <w:rsid w:val="1A631948"/>
    <w:rsid w:val="1AD50D73"/>
    <w:rsid w:val="1B38737F"/>
    <w:rsid w:val="1B7F7E55"/>
    <w:rsid w:val="1CA259BE"/>
    <w:rsid w:val="1D227EE9"/>
    <w:rsid w:val="1D5E3420"/>
    <w:rsid w:val="1DEC729A"/>
    <w:rsid w:val="1DF72B4C"/>
    <w:rsid w:val="1FB430CB"/>
    <w:rsid w:val="21026B76"/>
    <w:rsid w:val="21957C48"/>
    <w:rsid w:val="2213611E"/>
    <w:rsid w:val="22F01249"/>
    <w:rsid w:val="2332554E"/>
    <w:rsid w:val="23A733B0"/>
    <w:rsid w:val="23D9610A"/>
    <w:rsid w:val="247955FF"/>
    <w:rsid w:val="247A7BBB"/>
    <w:rsid w:val="24BB15A2"/>
    <w:rsid w:val="274318DC"/>
    <w:rsid w:val="28814A83"/>
    <w:rsid w:val="289F721E"/>
    <w:rsid w:val="291B00A6"/>
    <w:rsid w:val="29B60C6F"/>
    <w:rsid w:val="2A0E44C7"/>
    <w:rsid w:val="2A146AD0"/>
    <w:rsid w:val="2A1C2BF7"/>
    <w:rsid w:val="2A8A372E"/>
    <w:rsid w:val="2C972AC7"/>
    <w:rsid w:val="2CDD5B84"/>
    <w:rsid w:val="2D4448DC"/>
    <w:rsid w:val="2ECF405A"/>
    <w:rsid w:val="2FED5E43"/>
    <w:rsid w:val="300B0A61"/>
    <w:rsid w:val="31D76E61"/>
    <w:rsid w:val="32FD230D"/>
    <w:rsid w:val="33680A14"/>
    <w:rsid w:val="33A92885"/>
    <w:rsid w:val="34443AB5"/>
    <w:rsid w:val="34877D66"/>
    <w:rsid w:val="34FF745B"/>
    <w:rsid w:val="35D6445B"/>
    <w:rsid w:val="36277128"/>
    <w:rsid w:val="36884AF4"/>
    <w:rsid w:val="36D44CD2"/>
    <w:rsid w:val="370D6431"/>
    <w:rsid w:val="378620B5"/>
    <w:rsid w:val="381813CB"/>
    <w:rsid w:val="388621CA"/>
    <w:rsid w:val="3A7F79F2"/>
    <w:rsid w:val="3A8B353F"/>
    <w:rsid w:val="3B641B4B"/>
    <w:rsid w:val="3B911029"/>
    <w:rsid w:val="3BBE6388"/>
    <w:rsid w:val="3D1B66CA"/>
    <w:rsid w:val="3D281AEE"/>
    <w:rsid w:val="3EB8498A"/>
    <w:rsid w:val="3F5A0EE3"/>
    <w:rsid w:val="3FBA3AFA"/>
    <w:rsid w:val="3FD57736"/>
    <w:rsid w:val="3FDD6B89"/>
    <w:rsid w:val="3FEA709F"/>
    <w:rsid w:val="3FF10DCC"/>
    <w:rsid w:val="40015340"/>
    <w:rsid w:val="404B5AD0"/>
    <w:rsid w:val="40A85D7C"/>
    <w:rsid w:val="4125649B"/>
    <w:rsid w:val="434509CF"/>
    <w:rsid w:val="44D7689A"/>
    <w:rsid w:val="45F97EF6"/>
    <w:rsid w:val="461D0CEE"/>
    <w:rsid w:val="464F4558"/>
    <w:rsid w:val="47565513"/>
    <w:rsid w:val="482F19AD"/>
    <w:rsid w:val="4855087A"/>
    <w:rsid w:val="4967220C"/>
    <w:rsid w:val="4BC6336A"/>
    <w:rsid w:val="4C7E39AB"/>
    <w:rsid w:val="4DE516D8"/>
    <w:rsid w:val="4DE84CDA"/>
    <w:rsid w:val="4E6708E9"/>
    <w:rsid w:val="4EBE4F33"/>
    <w:rsid w:val="4ED94B22"/>
    <w:rsid w:val="4F12268E"/>
    <w:rsid w:val="4FD77C0B"/>
    <w:rsid w:val="500A3B73"/>
    <w:rsid w:val="505B5E19"/>
    <w:rsid w:val="508B419D"/>
    <w:rsid w:val="50A40695"/>
    <w:rsid w:val="50BF39BB"/>
    <w:rsid w:val="52E86D0B"/>
    <w:rsid w:val="53017AF7"/>
    <w:rsid w:val="53DB022C"/>
    <w:rsid w:val="541D4416"/>
    <w:rsid w:val="545C5155"/>
    <w:rsid w:val="546D4478"/>
    <w:rsid w:val="565C45F6"/>
    <w:rsid w:val="56645A39"/>
    <w:rsid w:val="57F35A04"/>
    <w:rsid w:val="59493C12"/>
    <w:rsid w:val="59725BD1"/>
    <w:rsid w:val="5A0424DA"/>
    <w:rsid w:val="5AC3658A"/>
    <w:rsid w:val="5B2E40D0"/>
    <w:rsid w:val="5BFE1DA6"/>
    <w:rsid w:val="5C1E63DB"/>
    <w:rsid w:val="5CE843C7"/>
    <w:rsid w:val="5D251118"/>
    <w:rsid w:val="5D467561"/>
    <w:rsid w:val="5D521F6E"/>
    <w:rsid w:val="5D871634"/>
    <w:rsid w:val="5D971C91"/>
    <w:rsid w:val="5DE75582"/>
    <w:rsid w:val="5E1F2AA0"/>
    <w:rsid w:val="5E4A3446"/>
    <w:rsid w:val="5EA26F25"/>
    <w:rsid w:val="5ECD08E7"/>
    <w:rsid w:val="5EDA65BC"/>
    <w:rsid w:val="5FD63234"/>
    <w:rsid w:val="60B533EA"/>
    <w:rsid w:val="62E23D94"/>
    <w:rsid w:val="62EF4CFD"/>
    <w:rsid w:val="64D56443"/>
    <w:rsid w:val="656B3961"/>
    <w:rsid w:val="65872532"/>
    <w:rsid w:val="65A92947"/>
    <w:rsid w:val="65AF0209"/>
    <w:rsid w:val="65F62466"/>
    <w:rsid w:val="6601121B"/>
    <w:rsid w:val="6648053E"/>
    <w:rsid w:val="669E4EAC"/>
    <w:rsid w:val="67BD64C0"/>
    <w:rsid w:val="67C728FD"/>
    <w:rsid w:val="68342934"/>
    <w:rsid w:val="684060BF"/>
    <w:rsid w:val="692575CB"/>
    <w:rsid w:val="6C343CDB"/>
    <w:rsid w:val="6C3F53DB"/>
    <w:rsid w:val="6D5867CC"/>
    <w:rsid w:val="6E487158"/>
    <w:rsid w:val="70D83112"/>
    <w:rsid w:val="70E63899"/>
    <w:rsid w:val="71A665DC"/>
    <w:rsid w:val="71BB46C9"/>
    <w:rsid w:val="71D757DA"/>
    <w:rsid w:val="7231305C"/>
    <w:rsid w:val="724B38C0"/>
    <w:rsid w:val="73081E35"/>
    <w:rsid w:val="733B3690"/>
    <w:rsid w:val="73D3007B"/>
    <w:rsid w:val="741E0326"/>
    <w:rsid w:val="74272947"/>
    <w:rsid w:val="7435725D"/>
    <w:rsid w:val="74A013B9"/>
    <w:rsid w:val="74A7230E"/>
    <w:rsid w:val="74F023BD"/>
    <w:rsid w:val="74FB17FB"/>
    <w:rsid w:val="76446CBC"/>
    <w:rsid w:val="76462FC7"/>
    <w:rsid w:val="76C22131"/>
    <w:rsid w:val="77862AE9"/>
    <w:rsid w:val="77EA6748"/>
    <w:rsid w:val="781A460E"/>
    <w:rsid w:val="7917777A"/>
    <w:rsid w:val="79B10ED9"/>
    <w:rsid w:val="79CF0D31"/>
    <w:rsid w:val="7AFF53FF"/>
    <w:rsid w:val="7BEF4DB4"/>
    <w:rsid w:val="7BF00E78"/>
    <w:rsid w:val="7C3C5105"/>
    <w:rsid w:val="7E4E1A36"/>
    <w:rsid w:val="7E7538B7"/>
    <w:rsid w:val="7EEC3BA6"/>
    <w:rsid w:val="7F180333"/>
    <w:rsid w:val="7F604567"/>
    <w:rsid w:val="7FFD0C8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0"/>
    <w:pPr>
      <w:keepNext/>
      <w:spacing w:before="240" w:after="60"/>
      <w:outlineLvl w:val="0"/>
    </w:pPr>
    <w:rPr>
      <w:rFonts w:ascii="Cambria" w:hAnsi="Cambria"/>
      <w:b/>
      <w:bCs/>
      <w:kern w:val="32"/>
      <w:sz w:val="32"/>
      <w:szCs w:val="32"/>
    </w:rPr>
  </w:style>
  <w:style w:type="paragraph" w:styleId="3">
    <w:name w:val="heading 3"/>
    <w:basedOn w:val="1"/>
    <w:next w:val="1"/>
    <w:qFormat/>
    <w:uiPriority w:val="9"/>
    <w:pPr>
      <w:keepNext/>
      <w:keepLines/>
      <w:spacing w:before="50" w:beforeLines="50" w:after="50" w:afterLines="50"/>
      <w:jc w:val="center"/>
      <w:outlineLvl w:val="2"/>
    </w:pPr>
    <w:rPr>
      <w:b/>
      <w:bCs/>
      <w:sz w:val="32"/>
      <w:szCs w:val="32"/>
      <w:lang w:val="zh-CN"/>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99"/>
    <w:pPr>
      <w:widowControl/>
      <w:spacing w:line="590" w:lineRule="atLeast"/>
      <w:ind w:firstLine="420" w:firstLineChars="200"/>
    </w:pPr>
    <w:rPr>
      <w:rFonts w:ascii="Calibri" w:hAnsi="Calibri" w:cs="Calibri"/>
      <w:szCs w:val="21"/>
    </w:rPr>
  </w:style>
  <w:style w:type="paragraph" w:styleId="5">
    <w:name w:val="annotation text"/>
    <w:basedOn w:val="1"/>
    <w:link w:val="25"/>
    <w:qFormat/>
    <w:uiPriority w:val="0"/>
    <w:pPr>
      <w:jc w:val="left"/>
    </w:pPr>
  </w:style>
  <w:style w:type="paragraph" w:styleId="6">
    <w:name w:val="Body Text"/>
    <w:basedOn w:val="1"/>
    <w:link w:val="33"/>
    <w:qFormat/>
    <w:uiPriority w:val="1"/>
    <w:pPr>
      <w:spacing w:before="102"/>
      <w:ind w:left="112"/>
    </w:pPr>
    <w:rPr>
      <w:sz w:val="28"/>
      <w:szCs w:val="28"/>
    </w:rPr>
  </w:style>
  <w:style w:type="paragraph" w:styleId="7">
    <w:name w:val="Date"/>
    <w:basedOn w:val="1"/>
    <w:next w:val="1"/>
    <w:qFormat/>
    <w:uiPriority w:val="0"/>
    <w:rPr>
      <w:rFonts w:ascii="黑体" w:eastAsia="黑体"/>
      <w:b/>
      <w:sz w:val="24"/>
      <w:szCs w:val="20"/>
    </w:rPr>
  </w:style>
  <w:style w:type="paragraph" w:styleId="8">
    <w:name w:val="Balloon Text"/>
    <w:basedOn w:val="1"/>
    <w:semiHidden/>
    <w:qFormat/>
    <w:uiPriority w:val="0"/>
    <w:rPr>
      <w:sz w:val="18"/>
      <w:szCs w:val="18"/>
    </w:rPr>
  </w:style>
  <w:style w:type="paragraph" w:styleId="9">
    <w:name w:val="footer"/>
    <w:basedOn w:val="1"/>
    <w:link w:val="29"/>
    <w:qFormat/>
    <w:uiPriority w:val="99"/>
    <w:pPr>
      <w:tabs>
        <w:tab w:val="center" w:pos="4153"/>
        <w:tab w:val="right" w:pos="8306"/>
      </w:tabs>
      <w:snapToGrid w:val="0"/>
      <w:jc w:val="left"/>
    </w:pPr>
    <w:rPr>
      <w:sz w:val="18"/>
      <w:szCs w:val="18"/>
    </w:rPr>
  </w:style>
  <w:style w:type="paragraph" w:styleId="10">
    <w:name w:val="header"/>
    <w:basedOn w:val="1"/>
    <w:qFormat/>
    <w:uiPriority w:val="0"/>
    <w:pPr>
      <w:tabs>
        <w:tab w:val="center" w:pos="4320"/>
        <w:tab w:val="right" w:pos="8640"/>
      </w:tabs>
    </w:pPr>
  </w:style>
  <w:style w:type="paragraph" w:styleId="11">
    <w:name w:val="Normal (Web)"/>
    <w:basedOn w:val="1"/>
    <w:qFormat/>
    <w:uiPriority w:val="0"/>
    <w:pPr>
      <w:widowControl/>
      <w:spacing w:before="144" w:after="144" w:line="432" w:lineRule="atLeast"/>
      <w:ind w:left="192" w:right="192" w:firstLine="480"/>
    </w:pPr>
    <w:rPr>
      <w:rFonts w:ascii="宋体" w:hAnsi="宋体" w:cs="宋体"/>
      <w:kern w:val="0"/>
      <w:sz w:val="24"/>
    </w:rPr>
  </w:style>
  <w:style w:type="paragraph" w:styleId="12">
    <w:name w:val="annotation subject"/>
    <w:basedOn w:val="5"/>
    <w:next w:val="5"/>
    <w:link w:val="26"/>
    <w:qFormat/>
    <w:uiPriority w:val="0"/>
    <w:rPr>
      <w:b/>
      <w:bCs/>
    </w:rPr>
  </w:style>
  <w:style w:type="character" w:styleId="15">
    <w:name w:val="Strong"/>
    <w:basedOn w:val="14"/>
    <w:qFormat/>
    <w:uiPriority w:val="22"/>
    <w:rPr>
      <w:b/>
      <w:bCs/>
    </w:rPr>
  </w:style>
  <w:style w:type="character" w:styleId="16">
    <w:name w:val="page number"/>
    <w:basedOn w:val="14"/>
    <w:qFormat/>
    <w:uiPriority w:val="0"/>
  </w:style>
  <w:style w:type="character" w:styleId="17">
    <w:name w:val="Hyperlink"/>
    <w:qFormat/>
    <w:uiPriority w:val="0"/>
    <w:rPr>
      <w:color w:val="0000FF"/>
      <w:u w:val="single"/>
    </w:rPr>
  </w:style>
  <w:style w:type="character" w:styleId="18">
    <w:name w:val="annotation reference"/>
    <w:qFormat/>
    <w:uiPriority w:val="0"/>
    <w:rPr>
      <w:sz w:val="21"/>
      <w:szCs w:val="21"/>
    </w:rPr>
  </w:style>
  <w:style w:type="paragraph" w:customStyle="1" w:styleId="19">
    <w:name w:val="Char Char1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1">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2">
    <w:name w:val="Default"/>
    <w:qFormat/>
    <w:uiPriority w:val="0"/>
    <w:pPr>
      <w:autoSpaceDE w:val="0"/>
      <w:autoSpaceDN w:val="0"/>
      <w:adjustRightInd w:val="0"/>
    </w:pPr>
    <w:rPr>
      <w:rFonts w:ascii="Times New Roman" w:hAnsi="Times New Roman" w:eastAsia="宋体" w:cs="Times New Roman"/>
      <w:color w:val="000000"/>
      <w:sz w:val="24"/>
      <w:szCs w:val="24"/>
      <w:lang w:val="en-GB" w:eastAsia="zh-CN" w:bidi="ar-SA"/>
    </w:rPr>
  </w:style>
  <w:style w:type="paragraph" w:customStyle="1" w:styleId="23">
    <w:name w:val="Char Char Char Char Char Char Char Char Char Char Char Char Char Char Char Char Char Char Char Char Char Char Char Char Char Char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4">
    <w:name w:val="Char"/>
    <w:basedOn w:val="1"/>
    <w:qFormat/>
    <w:uiPriority w:val="0"/>
  </w:style>
  <w:style w:type="character" w:customStyle="1" w:styleId="25">
    <w:name w:val="批注文字 字符"/>
    <w:link w:val="5"/>
    <w:qFormat/>
    <w:uiPriority w:val="0"/>
    <w:rPr>
      <w:kern w:val="2"/>
      <w:sz w:val="21"/>
      <w:szCs w:val="24"/>
    </w:rPr>
  </w:style>
  <w:style w:type="character" w:customStyle="1" w:styleId="26">
    <w:name w:val="批注主题 字符"/>
    <w:link w:val="12"/>
    <w:qFormat/>
    <w:uiPriority w:val="0"/>
    <w:rPr>
      <w:b/>
      <w:bCs/>
      <w:kern w:val="2"/>
      <w:sz w:val="21"/>
      <w:szCs w:val="24"/>
    </w:rPr>
  </w:style>
  <w:style w:type="paragraph" w:styleId="27">
    <w:name w:val="List Paragraph"/>
    <w:basedOn w:val="1"/>
    <w:qFormat/>
    <w:uiPriority w:val="99"/>
    <w:pPr>
      <w:ind w:firstLine="420" w:firstLineChars="200"/>
    </w:pPr>
  </w:style>
  <w:style w:type="character" w:customStyle="1" w:styleId="28">
    <w:name w:val="标题 1 字符"/>
    <w:link w:val="2"/>
    <w:qFormat/>
    <w:uiPriority w:val="0"/>
    <w:rPr>
      <w:rFonts w:ascii="Cambria" w:hAnsi="Cambria" w:eastAsia="宋体" w:cs="Times New Roman"/>
      <w:b/>
      <w:bCs/>
      <w:kern w:val="32"/>
      <w:sz w:val="32"/>
      <w:szCs w:val="32"/>
      <w:lang w:val="en-US"/>
    </w:rPr>
  </w:style>
  <w:style w:type="character" w:customStyle="1" w:styleId="29">
    <w:name w:val="页脚 字符"/>
    <w:basedOn w:val="14"/>
    <w:link w:val="9"/>
    <w:qFormat/>
    <w:uiPriority w:val="99"/>
    <w:rPr>
      <w:kern w:val="2"/>
      <w:sz w:val="18"/>
      <w:szCs w:val="18"/>
    </w:rPr>
  </w:style>
  <w:style w:type="paragraph" w:styleId="3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32">
    <w:name w:val="修订2"/>
    <w:hidden/>
    <w:unhideWhenUsed/>
    <w:qFormat/>
    <w:uiPriority w:val="99"/>
    <w:rPr>
      <w:rFonts w:ascii="Times New Roman" w:hAnsi="Times New Roman" w:eastAsia="宋体" w:cs="Times New Roman"/>
      <w:kern w:val="2"/>
      <w:sz w:val="21"/>
      <w:szCs w:val="24"/>
      <w:lang w:val="en-US" w:eastAsia="zh-CN" w:bidi="ar-SA"/>
    </w:rPr>
  </w:style>
  <w:style w:type="character" w:customStyle="1" w:styleId="33">
    <w:name w:val="正文文本 字符"/>
    <w:basedOn w:val="14"/>
    <w:link w:val="6"/>
    <w:qFormat/>
    <w:uiPriority w:val="1"/>
    <w:rPr>
      <w:kern w:val="2"/>
      <w:sz w:val="28"/>
      <w:szCs w:val="28"/>
    </w:rPr>
  </w:style>
  <w:style w:type="paragraph" w:customStyle="1" w:styleId="34">
    <w:name w:val="修订3"/>
    <w:hidden/>
    <w:unhideWhenUsed/>
    <w:qFormat/>
    <w:uiPriority w:val="99"/>
    <w:rPr>
      <w:rFonts w:ascii="Times New Roman" w:hAnsi="Times New Roman" w:eastAsia="宋体" w:cs="Times New Roman"/>
      <w:kern w:val="2"/>
      <w:sz w:val="21"/>
      <w:szCs w:val="24"/>
      <w:lang w:val="en-US" w:eastAsia="zh-CN" w:bidi="ar-SA"/>
    </w:rPr>
  </w:style>
  <w:style w:type="paragraph" w:customStyle="1" w:styleId="35">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EBE997-EC9D-41BB-A902-E449BC4E9978}">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7</Pages>
  <Words>4702</Words>
  <Characters>5838</Characters>
  <Lines>110</Lines>
  <Paragraphs>103</Paragraphs>
  <TotalTime>11</TotalTime>
  <ScaleCrop>false</ScaleCrop>
  <LinksUpToDate>false</LinksUpToDate>
  <CharactersWithSpaces>5900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2025-03-24T02:32:00Z</dcterms:created>
  <dc:creator>Administrator</dc:creator>
  <cp:lastModifiedBy>卢柯言</cp:lastModifiedBy>
  <cp:lastPrinted>2025-07-24T00:54:00Z</cp:lastPrinted>
  <dcterms:modified xsi:type="dcterms:W3CDTF">2025-10-29T06:51:36Z</dcterms:modified>
  <cp:revision>121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eyJoZGlkIjoiM2NmMmIwMWIxYzAyZmZiMWZlOTY3NTcxZmU2NzhhZTEiLCJ1c2VySWQiOiIxNjcyMzMwMzQ3In0=</vt:lpwstr>
  </property>
  <property fmtid="{D5CDD505-2E9C-101B-9397-08002B2CF9AE}" pid="4" name="ICV">
    <vt:lpwstr>0BE734DA4C574367AF7077C67E6A8619_13</vt:lpwstr>
  </property>
</Properties>
</file>