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526F8A">
      <w:pPr>
        <w:adjustRightInd w:val="0"/>
        <w:snapToGrid w:val="0"/>
        <w:spacing w:line="360" w:lineRule="auto"/>
        <w:rPr>
          <w:lang w:val="en-US" w:eastAsia="zh-CN"/>
        </w:rPr>
      </w:pPr>
      <w:r>
        <w:rPr>
          <w:rFonts w:hint="eastAsia" w:ascii="宋体" w:hAnsi="宋体" w:cs="宋体"/>
          <w:b/>
          <w:color w:val="000000"/>
          <w:sz w:val="24"/>
          <w:lang w:eastAsia="zh-CN"/>
        </w:rPr>
        <w:t>股票代码：600377       股票简称：宁沪高速       编号：临</w:t>
      </w:r>
      <w:r>
        <w:rPr>
          <w:rFonts w:ascii="宋体" w:hAnsi="宋体" w:cs="宋体"/>
          <w:b/>
          <w:color w:val="000000"/>
          <w:sz w:val="24"/>
          <w:lang w:eastAsia="zh-CN"/>
        </w:rPr>
        <w:t>202</w:t>
      </w:r>
      <w:r>
        <w:rPr>
          <w:rFonts w:hint="eastAsia" w:ascii="宋体" w:hAnsi="宋体" w:cs="宋体"/>
          <w:b/>
          <w:color w:val="000000"/>
          <w:sz w:val="24"/>
          <w:lang w:val="en-US" w:eastAsia="zh-CN"/>
        </w:rPr>
        <w:t>5</w:t>
      </w:r>
      <w:r>
        <w:rPr>
          <w:rFonts w:ascii="宋体" w:hAnsi="宋体" w:cs="宋体"/>
          <w:b/>
          <w:color w:val="000000"/>
          <w:sz w:val="24"/>
          <w:lang w:eastAsia="zh-CN"/>
        </w:rPr>
        <w:t>-</w:t>
      </w:r>
      <w:r>
        <w:rPr>
          <w:rFonts w:hint="eastAsia" w:ascii="宋体" w:hAnsi="宋体" w:cs="宋体"/>
          <w:b/>
          <w:color w:val="000000"/>
          <w:sz w:val="24"/>
          <w:lang w:val="en-US" w:eastAsia="zh-CN"/>
        </w:rPr>
        <w:t>034</w:t>
      </w:r>
    </w:p>
    <w:p w14:paraId="7212BC8E">
      <w:pPr>
        <w:widowControl w:val="0"/>
        <w:adjustRightInd w:val="0"/>
        <w:snapToGrid w:val="0"/>
        <w:spacing w:before="0" w:after="0" w:line="360" w:lineRule="auto"/>
        <w:jc w:val="center"/>
        <w:rPr>
          <w:rFonts w:ascii="Times New Roman" w:hAnsi="Times New Roman"/>
          <w:b/>
          <w:kern w:val="2"/>
          <w:sz w:val="28"/>
          <w:szCs w:val="28"/>
          <w:lang w:val="en-US" w:eastAsia="zh-CN"/>
        </w:rPr>
      </w:pPr>
      <w:r>
        <w:rPr>
          <w:rFonts w:hint="eastAsia" w:ascii="Times New Roman" w:hAnsi="Times New Roman"/>
          <w:b/>
          <w:kern w:val="2"/>
          <w:sz w:val="28"/>
          <w:szCs w:val="28"/>
          <w:lang w:val="en-US" w:eastAsia="zh-CN"/>
        </w:rPr>
        <w:t>江苏宁沪高速公路股份有限公司</w:t>
      </w:r>
    </w:p>
    <w:p w14:paraId="74977181">
      <w:pPr>
        <w:widowControl w:val="0"/>
        <w:adjustRightInd w:val="0"/>
        <w:snapToGrid w:val="0"/>
        <w:spacing w:before="0" w:after="0" w:line="360" w:lineRule="auto"/>
        <w:jc w:val="center"/>
        <w:rPr>
          <w:rFonts w:ascii="Times New Roman" w:hAnsi="Times New Roman"/>
          <w:b/>
          <w:kern w:val="2"/>
          <w:sz w:val="28"/>
          <w:szCs w:val="28"/>
          <w:lang w:val="en-US" w:eastAsia="zh-CN"/>
        </w:rPr>
      </w:pPr>
      <w:r>
        <w:rPr>
          <w:rFonts w:hint="eastAsia" w:ascii="Times New Roman" w:hAnsi="Times New Roman"/>
          <w:b/>
          <w:kern w:val="2"/>
          <w:sz w:val="28"/>
          <w:szCs w:val="28"/>
          <w:lang w:val="en-US" w:eastAsia="zh-CN"/>
        </w:rPr>
        <w:t>关于洛德汇智基金延长存续期的公告</w:t>
      </w:r>
    </w:p>
    <w:tbl>
      <w:tblPr>
        <w:tblStyle w:val="15"/>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14:paraId="156231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tcPr>
          <w:p w14:paraId="4677428D">
            <w:pPr>
              <w:autoSpaceDE w:val="0"/>
              <w:autoSpaceDN w:val="0"/>
              <w:adjustRightInd w:val="0"/>
              <w:snapToGrid w:val="0"/>
              <w:spacing w:before="100" w:beforeAutospacing="1" w:after="100" w:afterAutospacing="1" w:line="360" w:lineRule="auto"/>
              <w:rPr>
                <w:rFonts w:ascii="宋体" w:hAnsi="宋体" w:cs="宋体"/>
                <w:sz w:val="24"/>
                <w:lang w:eastAsia="zh-CN"/>
              </w:rPr>
            </w:pPr>
            <w:r>
              <w:rPr>
                <w:rFonts w:hint="eastAsia" w:ascii="宋体" w:hAnsi="宋体" w:cs="宋体"/>
                <w:b/>
                <w:sz w:val="24"/>
                <w:lang w:eastAsia="zh-CN"/>
              </w:rPr>
              <w:t>本公司董事会及全体董事保证本公告内容不存在任何虚假记载、误导性陈述或者重大遗漏，并对其内容的真实性、准确性和完整性承担法律责任。</w:t>
            </w:r>
          </w:p>
        </w:tc>
      </w:tr>
    </w:tbl>
    <w:p w14:paraId="04FB3600">
      <w:pPr>
        <w:spacing w:after="120" w:line="360" w:lineRule="auto"/>
        <w:contextualSpacing/>
        <w:rPr>
          <w:rFonts w:ascii="宋体" w:hAnsi="宋体" w:cs="宋体"/>
          <w:b/>
          <w:bCs/>
          <w:sz w:val="24"/>
          <w:szCs w:val="24"/>
          <w:lang w:val="en-US" w:eastAsia="zh-CN"/>
        </w:rPr>
      </w:pPr>
      <w:bookmarkStart w:id="0" w:name="BBIPBLSTA"/>
      <w:bookmarkEnd w:id="0"/>
      <w:bookmarkStart w:id="1" w:name="BondName2"/>
      <w:bookmarkEnd w:id="1"/>
    </w:p>
    <w:p w14:paraId="52AFEC9D">
      <w:pPr>
        <w:spacing w:after="120" w:line="360" w:lineRule="auto"/>
        <w:ind w:firstLine="482" w:firstLineChars="200"/>
        <w:contextualSpacing/>
        <w:rPr>
          <w:rFonts w:cs="宋体" w:asciiTheme="minorEastAsia" w:hAnsiTheme="minorEastAsia" w:eastAsiaTheme="minorEastAsia"/>
          <w:b/>
          <w:sz w:val="24"/>
          <w:szCs w:val="24"/>
          <w:lang w:val="en-US" w:eastAsia="zh-CN"/>
        </w:rPr>
      </w:pPr>
      <w:r>
        <w:rPr>
          <w:rFonts w:hint="eastAsia" w:cs="宋体" w:asciiTheme="minorEastAsia" w:hAnsiTheme="minorEastAsia" w:eastAsiaTheme="minorEastAsia"/>
          <w:b/>
          <w:sz w:val="24"/>
          <w:szCs w:val="24"/>
          <w:lang w:val="en-US" w:eastAsia="zh-CN"/>
        </w:rPr>
        <w:t>一、 对外投资概述</w:t>
      </w:r>
    </w:p>
    <w:p w14:paraId="0A862C9C">
      <w:pPr>
        <w:spacing w:after="120"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江苏宁沪高速公路股份有限公司（以下简称“本公司”）于 2020年4月24日第九届董事会第二十次会议审议批准本公司全资子公司江苏宁沪投资发展有限责任公司（以下简称“宁沪投资公司”）以自有资金出资不超过人民币5亿元参与投资南京洛德</w:t>
      </w:r>
      <w:r>
        <w:rPr>
          <w:rFonts w:hint="default" w:cs="宋体" w:asciiTheme="minorEastAsia" w:hAnsiTheme="minorEastAsia" w:eastAsiaTheme="minorEastAsia"/>
          <w:sz w:val="24"/>
          <w:szCs w:val="24"/>
          <w:lang w:val="en-US" w:eastAsia="zh-CN"/>
        </w:rPr>
        <w:t>汇智股权投资合伙企业（有限合伙）</w:t>
      </w:r>
      <w:r>
        <w:rPr>
          <w:rFonts w:hint="eastAsia" w:cs="宋体" w:asciiTheme="minorEastAsia" w:hAnsiTheme="minorEastAsia" w:eastAsiaTheme="minorEastAsia"/>
          <w:sz w:val="24"/>
          <w:szCs w:val="24"/>
          <w:lang w:val="en-US" w:eastAsia="zh-CN"/>
        </w:rPr>
        <w:t>（以下简称“洛德汇智基金”）。有关详细内容请见临2020-032公告。</w:t>
      </w:r>
    </w:p>
    <w:p w14:paraId="688DAB79">
      <w:pPr>
        <w:spacing w:after="120" w:line="360" w:lineRule="auto"/>
        <w:ind w:firstLine="480"/>
        <w:contextualSpacing/>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2020年7月 24日，宁沪投资公司、江苏洛德股权投资基金管理有限公司和其全资子公司南京洛德投资管理有限公司、南京公路发展（集团）有限公司、宏源汇智投资有限公司和其全资子公司申银万国创新资本管理有限公司签署《有限合伙协议》，各方协商一致，共同发起设立洛德汇智基金，基金总规模不超过人民币15亿元，基金存续期不低于五年，包括投资期、延长期（如有）及退出期，投资期限预计不超过基金成立日起满三十六个月之日，退出期限预计不超过基金成立日起满六十个月之日，经基金全体合伙人一致审议通过后投资期可延长一年进入投资延长期。有关详细内容请见临2020-045公告。</w:t>
      </w:r>
    </w:p>
    <w:p w14:paraId="55B66D09">
      <w:pPr>
        <w:pStyle w:val="2"/>
        <w:ind w:firstLine="482"/>
        <w:rPr>
          <w:b/>
        </w:rPr>
      </w:pPr>
      <w:r>
        <w:rPr>
          <w:rFonts w:hint="eastAsia"/>
          <w:b/>
        </w:rPr>
        <w:t>二、基金延期情况</w:t>
      </w:r>
    </w:p>
    <w:p w14:paraId="424E73F8">
      <w:pPr>
        <w:pStyle w:val="2"/>
      </w:pPr>
      <w:r>
        <w:rPr>
          <w:rFonts w:hint="eastAsia"/>
          <w:lang w:val="en-US" w:eastAsia="zh-CN"/>
        </w:rPr>
        <w:t>洛德汇智</w:t>
      </w:r>
      <w:r>
        <w:rPr>
          <w:rFonts w:hint="eastAsia"/>
        </w:rPr>
        <w:t>基金的基金管理人为江苏洛德股权投资基金管理有限公司。截至本公告日，本公司全资子公司宁沪投资公司</w:t>
      </w:r>
      <w:r>
        <w:rPr>
          <w:rFonts w:hint="eastAsia"/>
          <w:lang w:val="en-US" w:eastAsia="zh-CN"/>
        </w:rPr>
        <w:t>向洛德汇智基金</w:t>
      </w:r>
      <w:r>
        <w:rPr>
          <w:rFonts w:hint="eastAsia"/>
        </w:rPr>
        <w:t>实缴出资人民币</w:t>
      </w:r>
      <w:r>
        <w:rPr>
          <w:rFonts w:hint="eastAsia"/>
          <w:lang w:val="en-US" w:eastAsia="zh-CN"/>
        </w:rPr>
        <w:t>5</w:t>
      </w:r>
      <w:r>
        <w:rPr>
          <w:rFonts w:hint="eastAsia"/>
        </w:rPr>
        <w:t>0,000万元，已收回资金人民币</w:t>
      </w:r>
      <w:r>
        <w:rPr>
          <w:rFonts w:hint="eastAsia"/>
          <w:lang w:val="en-US" w:eastAsia="zh-CN"/>
        </w:rPr>
        <w:t>13,886.15</w:t>
      </w:r>
      <w:r>
        <w:rPr>
          <w:rFonts w:hint="eastAsia"/>
        </w:rPr>
        <w:t>万元。</w:t>
      </w:r>
      <w:r>
        <w:rPr>
          <w:rFonts w:hint="eastAsia"/>
          <w:lang w:val="en-US" w:eastAsia="zh-CN"/>
        </w:rPr>
        <w:t>洛德汇智</w:t>
      </w:r>
      <w:r>
        <w:rPr>
          <w:rFonts w:hint="eastAsia"/>
        </w:rPr>
        <w:t>基金共滚动投资了</w:t>
      </w:r>
      <w:r>
        <w:rPr>
          <w:rFonts w:hint="eastAsia"/>
          <w:lang w:val="en-US" w:eastAsia="zh-CN"/>
        </w:rPr>
        <w:t>10</w:t>
      </w:r>
      <w:r>
        <w:t>个项目，目前实现了4个项目退出，仍有</w:t>
      </w:r>
      <w:r>
        <w:rPr>
          <w:rFonts w:hint="eastAsia"/>
          <w:lang w:val="en-US" w:eastAsia="zh-CN"/>
        </w:rPr>
        <w:t>6</w:t>
      </w:r>
      <w:r>
        <w:t>个存续项目未退出。</w:t>
      </w:r>
    </w:p>
    <w:p w14:paraId="3D14DCB1">
      <w:pPr>
        <w:pStyle w:val="2"/>
        <w:ind w:left="0" w:leftChars="0" w:firstLine="480" w:firstLineChars="200"/>
      </w:pPr>
      <w:bookmarkStart w:id="3" w:name="_GoBack"/>
      <w:bookmarkEnd w:id="3"/>
      <w:r>
        <w:rPr>
          <w:rFonts w:hint="eastAsia"/>
          <w:lang w:val="en-US" w:eastAsia="zh-CN"/>
        </w:rPr>
        <w:t>洛德汇智</w:t>
      </w:r>
      <w:r>
        <w:rPr>
          <w:rFonts w:hint="eastAsia"/>
        </w:rPr>
        <w:t>基金原存续期将于202</w:t>
      </w:r>
      <w:r>
        <w:rPr>
          <w:rFonts w:hint="eastAsia"/>
          <w:lang w:val="en-US" w:eastAsia="zh-CN"/>
        </w:rPr>
        <w:t>5</w:t>
      </w:r>
      <w:r>
        <w:rPr>
          <w:rFonts w:hint="eastAsia"/>
        </w:rPr>
        <w:t xml:space="preserve">年 </w:t>
      </w:r>
      <w:r>
        <w:rPr>
          <w:rFonts w:hint="eastAsia"/>
          <w:lang w:val="en-US" w:eastAsia="zh-CN"/>
        </w:rPr>
        <w:t>8</w:t>
      </w:r>
      <w:r>
        <w:rPr>
          <w:rFonts w:hint="eastAsia"/>
        </w:rPr>
        <w:t xml:space="preserve"> 月</w:t>
      </w:r>
      <w:r>
        <w:rPr>
          <w:rFonts w:hint="eastAsia"/>
          <w:lang w:val="en-US" w:eastAsia="zh-CN"/>
        </w:rPr>
        <w:t>3</w:t>
      </w:r>
      <w:r>
        <w:rPr>
          <w:rFonts w:hint="eastAsia"/>
        </w:rPr>
        <w:t>日届满，鉴于部分已投资项目未完全退出，为保证基金的正常运作和已投项目的有序退出，实现基金收益和合伙人权益，经各投资人商定，拟延长存续期至20</w:t>
      </w:r>
      <w:r>
        <w:rPr>
          <w:rFonts w:hint="eastAsia"/>
          <w:lang w:val="en-US" w:eastAsia="zh-CN"/>
        </w:rPr>
        <w:t>30</w:t>
      </w:r>
      <w:r>
        <w:rPr>
          <w:rFonts w:hint="eastAsia"/>
        </w:rPr>
        <w:t>年</w:t>
      </w:r>
      <w:r>
        <w:rPr>
          <w:rFonts w:hint="eastAsia"/>
          <w:lang w:val="en-US" w:eastAsia="zh-CN"/>
        </w:rPr>
        <w:t>8</w:t>
      </w:r>
      <w:r>
        <w:rPr>
          <w:rFonts w:hint="eastAsia"/>
        </w:rPr>
        <w:t>月</w:t>
      </w:r>
      <w:r>
        <w:rPr>
          <w:rFonts w:hint="eastAsia"/>
          <w:lang w:val="en-US" w:eastAsia="zh-CN"/>
        </w:rPr>
        <w:t>3</w:t>
      </w:r>
      <w:r>
        <w:rPr>
          <w:rFonts w:hint="eastAsia"/>
        </w:rPr>
        <w:t>日。</w:t>
      </w:r>
    </w:p>
    <w:p w14:paraId="0D7E2910">
      <w:pPr>
        <w:pStyle w:val="2"/>
      </w:pPr>
      <w:r>
        <w:rPr>
          <w:rFonts w:hint="eastAsia"/>
        </w:rPr>
        <w:t>本公司于202</w:t>
      </w:r>
      <w:r>
        <w:rPr>
          <w:rFonts w:hint="eastAsia"/>
          <w:lang w:val="en-US" w:eastAsia="zh-CN"/>
        </w:rPr>
        <w:t>5</w:t>
      </w:r>
      <w:r>
        <w:rPr>
          <w:rFonts w:hint="eastAsia"/>
        </w:rPr>
        <w:t>年</w:t>
      </w:r>
      <w:r>
        <w:rPr>
          <w:rFonts w:hint="eastAsia"/>
          <w:lang w:val="en-US" w:eastAsia="zh-CN"/>
        </w:rPr>
        <w:t>7</w:t>
      </w:r>
      <w:r>
        <w:rPr>
          <w:rFonts w:hint="eastAsia"/>
        </w:rPr>
        <w:t>月2</w:t>
      </w:r>
      <w:r>
        <w:rPr>
          <w:rFonts w:hint="eastAsia"/>
          <w:lang w:val="en-US" w:eastAsia="zh-CN"/>
        </w:rPr>
        <w:t>5</w:t>
      </w:r>
      <w:r>
        <w:rPr>
          <w:rFonts w:hint="eastAsia"/>
        </w:rPr>
        <w:t>日召开第十一届董事会第</w:t>
      </w:r>
      <w:r>
        <w:rPr>
          <w:rFonts w:hint="eastAsia"/>
          <w:lang w:val="en-US" w:eastAsia="zh-CN"/>
        </w:rPr>
        <w:t>十三</w:t>
      </w:r>
      <w:r>
        <w:rPr>
          <w:rFonts w:hint="eastAsia"/>
        </w:rPr>
        <w:t>次会议审议通过了《</w:t>
      </w:r>
      <w:bookmarkStart w:id="2" w:name="_Hlk198715443"/>
      <w:r>
        <w:rPr>
          <w:rFonts w:hint="eastAsia"/>
        </w:rPr>
        <w:t>关于</w:t>
      </w:r>
      <w:bookmarkEnd w:id="2"/>
      <w:r>
        <w:rPr>
          <w:rFonts w:hint="eastAsia"/>
        </w:rPr>
        <w:t>本公司全资子公司宁沪投资公司所持洛德汇智基金延长存续期的议案》，同意上述展期事项。</w:t>
      </w:r>
    </w:p>
    <w:p w14:paraId="6E94FD2A">
      <w:pPr>
        <w:pStyle w:val="2"/>
      </w:pPr>
      <w:r>
        <w:rPr>
          <w:rFonts w:hint="eastAsia"/>
        </w:rPr>
        <w:t>本事项无需提交本公司股东大会审议，不涉及关联交易，不构成《上市公司重大资产重组管理办法》规定的重大资产重组。</w:t>
      </w:r>
    </w:p>
    <w:p w14:paraId="50107C90">
      <w:pPr>
        <w:pStyle w:val="2"/>
        <w:ind w:firstLine="482"/>
        <w:rPr>
          <w:b/>
        </w:rPr>
      </w:pPr>
      <w:r>
        <w:rPr>
          <w:rFonts w:hint="eastAsia"/>
          <w:b/>
        </w:rPr>
        <w:t>三、基金延期对本公司的影响</w:t>
      </w:r>
    </w:p>
    <w:p w14:paraId="78124E22">
      <w:pPr>
        <w:pStyle w:val="2"/>
      </w:pPr>
      <w:r>
        <w:rPr>
          <w:rFonts w:hint="eastAsia"/>
        </w:rPr>
        <w:t>本次延长基金存续期是基于对行业市场环境和投资项目情况的综合研判，符合投资基金的实际运作情况，未改变公司原有权益，不会对本公司业绩和生产经营产生重大影响，不存在损害上市公司及全体股东特别是中小股东利益的情形。</w:t>
      </w:r>
    </w:p>
    <w:p w14:paraId="173E4FEB">
      <w:pPr>
        <w:pStyle w:val="2"/>
        <w:ind w:firstLine="482"/>
        <w:rPr>
          <w:b/>
        </w:rPr>
      </w:pPr>
      <w:r>
        <w:rPr>
          <w:rFonts w:hint="eastAsia"/>
          <w:b/>
        </w:rPr>
        <w:t>四、风险提示</w:t>
      </w:r>
    </w:p>
    <w:p w14:paraId="62A3915F">
      <w:pPr>
        <w:pStyle w:val="2"/>
      </w:pPr>
      <w:r>
        <w:rPr>
          <w:rFonts w:hint="eastAsia"/>
        </w:rPr>
        <w:t>由于本基金投资项目均不同程度受到宏观经济、行业周期、市场政策等多种因素影响，可能存在基金投资效益不达预期或者亏损的风险，敬请广大投资者注意投资风险。</w:t>
      </w:r>
    </w:p>
    <w:p w14:paraId="5D21E001">
      <w:pPr>
        <w:pStyle w:val="2"/>
      </w:pPr>
      <w:r>
        <w:rPr>
          <w:rFonts w:hint="eastAsia"/>
        </w:rPr>
        <w:t>本公司将持续跟踪并有效地推动项目后续运作，密切关注投资基金的进展情况，及时履行信息披露义务。</w:t>
      </w:r>
    </w:p>
    <w:p w14:paraId="01511C55">
      <w:pPr>
        <w:pStyle w:val="8"/>
        <w:spacing w:line="360" w:lineRule="auto"/>
        <w:ind w:firstLine="482"/>
        <w:jc w:val="left"/>
        <w:rPr>
          <w:rFonts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特此公告。</w:t>
      </w:r>
    </w:p>
    <w:p w14:paraId="2845E6EA">
      <w:pPr>
        <w:pStyle w:val="8"/>
        <w:spacing w:line="360" w:lineRule="auto"/>
        <w:ind w:firstLineChars="175"/>
        <w:jc w:val="left"/>
        <w:rPr>
          <w:rFonts w:cs="宋体" w:asciiTheme="minorEastAsia" w:hAnsiTheme="minorEastAsia" w:eastAsiaTheme="minorEastAsia"/>
          <w:sz w:val="24"/>
          <w:szCs w:val="24"/>
          <w:lang w:eastAsia="zh-CN"/>
        </w:rPr>
      </w:pPr>
    </w:p>
    <w:p w14:paraId="698E78CB">
      <w:pPr>
        <w:adjustRightInd w:val="0"/>
        <w:spacing w:line="360" w:lineRule="auto"/>
        <w:ind w:firstLine="4096" w:firstLineChars="1700"/>
        <w:jc w:val="left"/>
        <w:rPr>
          <w:rFonts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江苏宁沪高速公路股份有限公司董事会</w:t>
      </w:r>
    </w:p>
    <w:p w14:paraId="73CC4484">
      <w:pPr>
        <w:spacing w:line="360" w:lineRule="auto"/>
        <w:ind w:firstLine="5301" w:firstLineChars="2200"/>
        <w:jc w:val="left"/>
        <w:rPr>
          <w:rFonts w:asciiTheme="minorEastAsia" w:hAnsiTheme="minorEastAsia" w:eastAsiaTheme="minorEastAsia"/>
          <w:sz w:val="24"/>
          <w:szCs w:val="24"/>
          <w:lang w:eastAsia="zh-CN"/>
        </w:rPr>
      </w:pPr>
      <w:r>
        <w:rPr>
          <w:rFonts w:hint="eastAsia" w:cs="宋体" w:asciiTheme="minorEastAsia" w:hAnsiTheme="minorEastAsia" w:eastAsiaTheme="minorEastAsia"/>
          <w:b/>
          <w:sz w:val="24"/>
          <w:lang w:eastAsia="zh-CN"/>
        </w:rPr>
        <w:t>二〇二</w:t>
      </w:r>
      <w:r>
        <w:rPr>
          <w:rFonts w:hint="eastAsia" w:cs="宋体" w:asciiTheme="minorEastAsia" w:hAnsiTheme="minorEastAsia" w:eastAsiaTheme="minorEastAsia"/>
          <w:b/>
          <w:sz w:val="24"/>
          <w:lang w:val="en-US" w:eastAsia="zh-CN"/>
        </w:rPr>
        <w:t>五</w:t>
      </w:r>
      <w:r>
        <w:rPr>
          <w:rFonts w:hint="eastAsia" w:cs="宋体" w:asciiTheme="minorEastAsia" w:hAnsiTheme="minorEastAsia" w:eastAsiaTheme="minorEastAsia"/>
          <w:b/>
          <w:sz w:val="24"/>
          <w:lang w:eastAsia="zh-CN"/>
        </w:rPr>
        <w:t>年</w:t>
      </w:r>
      <w:r>
        <w:rPr>
          <w:rFonts w:hint="eastAsia" w:cs="宋体" w:asciiTheme="minorEastAsia" w:hAnsiTheme="minorEastAsia" w:eastAsiaTheme="minorEastAsia"/>
          <w:b/>
          <w:sz w:val="24"/>
          <w:lang w:val="en-US" w:eastAsia="zh-CN"/>
        </w:rPr>
        <w:t>七</w:t>
      </w:r>
      <w:r>
        <w:rPr>
          <w:rFonts w:hint="eastAsia" w:cs="宋体" w:asciiTheme="minorEastAsia" w:hAnsiTheme="minorEastAsia" w:eastAsiaTheme="minorEastAsia"/>
          <w:b/>
          <w:sz w:val="24"/>
          <w:lang w:eastAsia="zh-CN"/>
        </w:rPr>
        <w:t>月二十</w:t>
      </w:r>
      <w:r>
        <w:rPr>
          <w:rFonts w:hint="eastAsia" w:cs="宋体" w:asciiTheme="minorEastAsia" w:hAnsiTheme="minorEastAsia" w:eastAsiaTheme="minorEastAsia"/>
          <w:b/>
          <w:sz w:val="24"/>
          <w:lang w:val="en-US" w:eastAsia="zh-CN"/>
        </w:rPr>
        <w:t>六</w:t>
      </w:r>
      <w:r>
        <w:rPr>
          <w:rFonts w:hint="eastAsia" w:cs="宋体" w:asciiTheme="minorEastAsia" w:hAnsiTheme="minorEastAsia" w:eastAsiaTheme="minorEastAsia"/>
          <w:b/>
          <w:sz w:val="24"/>
          <w:lang w:eastAsia="zh-CN"/>
        </w:rPr>
        <w:t>日</w:t>
      </w:r>
    </w:p>
    <w:p w14:paraId="751D8CDE">
      <w:pPr>
        <w:pStyle w:val="2"/>
      </w:pPr>
    </w:p>
    <w:sectPr>
      <w:footerReference r:id="rId4" w:type="default"/>
      <w:pgSz w:w="11906" w:h="16838"/>
      <w:pgMar w:top="1440" w:right="1800" w:bottom="1440" w:left="1800" w:header="851" w:footer="22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85C92">
    <w:pPr>
      <w:pStyle w:val="11"/>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110"/>
  <w:drawingGridVerticalSpacing w:val="156"/>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iZjJiZjZlOGJkMTlkOWQ4NzU5NTVjMGI5YTZlMDkifQ=="/>
    <w:docVar w:name="KSO_WPS_MARK_KEY" w:val="b062f1d3-7ae3-420c-baa0-422f8db1127f"/>
  </w:docVars>
  <w:rsids>
    <w:rsidRoot w:val="00172A27"/>
    <w:rsid w:val="0000142F"/>
    <w:rsid w:val="00005228"/>
    <w:rsid w:val="00006A8F"/>
    <w:rsid w:val="0001205F"/>
    <w:rsid w:val="00014452"/>
    <w:rsid w:val="000256FB"/>
    <w:rsid w:val="00031231"/>
    <w:rsid w:val="000321A6"/>
    <w:rsid w:val="00040F6B"/>
    <w:rsid w:val="00041CC7"/>
    <w:rsid w:val="000456EA"/>
    <w:rsid w:val="0004586F"/>
    <w:rsid w:val="00047B58"/>
    <w:rsid w:val="0005162C"/>
    <w:rsid w:val="00051976"/>
    <w:rsid w:val="00060795"/>
    <w:rsid w:val="00061BC9"/>
    <w:rsid w:val="00061C55"/>
    <w:rsid w:val="0006753A"/>
    <w:rsid w:val="00071AE0"/>
    <w:rsid w:val="000764D6"/>
    <w:rsid w:val="0008232A"/>
    <w:rsid w:val="0008534D"/>
    <w:rsid w:val="0008538D"/>
    <w:rsid w:val="00086E34"/>
    <w:rsid w:val="0008765B"/>
    <w:rsid w:val="00087B34"/>
    <w:rsid w:val="000A2DF7"/>
    <w:rsid w:val="000B258A"/>
    <w:rsid w:val="000B4240"/>
    <w:rsid w:val="000B5920"/>
    <w:rsid w:val="000B75D0"/>
    <w:rsid w:val="000C08F4"/>
    <w:rsid w:val="000C18D0"/>
    <w:rsid w:val="000C43B9"/>
    <w:rsid w:val="000D64FC"/>
    <w:rsid w:val="000E69E8"/>
    <w:rsid w:val="000F507F"/>
    <w:rsid w:val="000F57E7"/>
    <w:rsid w:val="00101BF2"/>
    <w:rsid w:val="0010708C"/>
    <w:rsid w:val="001143DD"/>
    <w:rsid w:val="00123F81"/>
    <w:rsid w:val="001240DF"/>
    <w:rsid w:val="00125B0A"/>
    <w:rsid w:val="00125E2D"/>
    <w:rsid w:val="00130CAB"/>
    <w:rsid w:val="00140A0C"/>
    <w:rsid w:val="00141D5A"/>
    <w:rsid w:val="0014226F"/>
    <w:rsid w:val="00142E74"/>
    <w:rsid w:val="00147D97"/>
    <w:rsid w:val="00150841"/>
    <w:rsid w:val="00160926"/>
    <w:rsid w:val="00165622"/>
    <w:rsid w:val="00172A27"/>
    <w:rsid w:val="00172FA7"/>
    <w:rsid w:val="00180713"/>
    <w:rsid w:val="00180B84"/>
    <w:rsid w:val="00181D5C"/>
    <w:rsid w:val="0018519E"/>
    <w:rsid w:val="0018584B"/>
    <w:rsid w:val="001858F9"/>
    <w:rsid w:val="00187220"/>
    <w:rsid w:val="0019127B"/>
    <w:rsid w:val="001958ED"/>
    <w:rsid w:val="00196609"/>
    <w:rsid w:val="001A0232"/>
    <w:rsid w:val="001A2260"/>
    <w:rsid w:val="001A2869"/>
    <w:rsid w:val="001A600F"/>
    <w:rsid w:val="001B2BA4"/>
    <w:rsid w:val="001C1EC1"/>
    <w:rsid w:val="001C4445"/>
    <w:rsid w:val="001C5386"/>
    <w:rsid w:val="001C5C81"/>
    <w:rsid w:val="001C6950"/>
    <w:rsid w:val="001D3F70"/>
    <w:rsid w:val="001D450C"/>
    <w:rsid w:val="001D55EB"/>
    <w:rsid w:val="001D785A"/>
    <w:rsid w:val="001E1663"/>
    <w:rsid w:val="001E5AEE"/>
    <w:rsid w:val="001F25FE"/>
    <w:rsid w:val="001F4633"/>
    <w:rsid w:val="001F6D40"/>
    <w:rsid w:val="002101FF"/>
    <w:rsid w:val="00212246"/>
    <w:rsid w:val="00212B97"/>
    <w:rsid w:val="00212FA8"/>
    <w:rsid w:val="00216FF1"/>
    <w:rsid w:val="002239ED"/>
    <w:rsid w:val="00224915"/>
    <w:rsid w:val="00224C25"/>
    <w:rsid w:val="0022589C"/>
    <w:rsid w:val="002308D0"/>
    <w:rsid w:val="00241F62"/>
    <w:rsid w:val="00247251"/>
    <w:rsid w:val="00247BAC"/>
    <w:rsid w:val="00251F68"/>
    <w:rsid w:val="002564A8"/>
    <w:rsid w:val="00256ADE"/>
    <w:rsid w:val="00257A56"/>
    <w:rsid w:val="002607DB"/>
    <w:rsid w:val="00260E7D"/>
    <w:rsid w:val="0026141E"/>
    <w:rsid w:val="002627A4"/>
    <w:rsid w:val="00263393"/>
    <w:rsid w:val="00266E3B"/>
    <w:rsid w:val="002748C8"/>
    <w:rsid w:val="00275E93"/>
    <w:rsid w:val="002763B6"/>
    <w:rsid w:val="002774DB"/>
    <w:rsid w:val="0028017F"/>
    <w:rsid w:val="00280264"/>
    <w:rsid w:val="00283FC3"/>
    <w:rsid w:val="00284065"/>
    <w:rsid w:val="002864BA"/>
    <w:rsid w:val="002905FA"/>
    <w:rsid w:val="00290D19"/>
    <w:rsid w:val="002A2533"/>
    <w:rsid w:val="002A25A1"/>
    <w:rsid w:val="002A5425"/>
    <w:rsid w:val="002A6CC9"/>
    <w:rsid w:val="002B278D"/>
    <w:rsid w:val="002C04E1"/>
    <w:rsid w:val="002C0DBA"/>
    <w:rsid w:val="002C6D0C"/>
    <w:rsid w:val="002D12D3"/>
    <w:rsid w:val="002D282B"/>
    <w:rsid w:val="002D594E"/>
    <w:rsid w:val="002F7825"/>
    <w:rsid w:val="00305E76"/>
    <w:rsid w:val="003069B6"/>
    <w:rsid w:val="00313A7D"/>
    <w:rsid w:val="00315BB3"/>
    <w:rsid w:val="00322A8F"/>
    <w:rsid w:val="0032350A"/>
    <w:rsid w:val="0033226A"/>
    <w:rsid w:val="00332F84"/>
    <w:rsid w:val="003362BA"/>
    <w:rsid w:val="00336663"/>
    <w:rsid w:val="003367B1"/>
    <w:rsid w:val="003371F0"/>
    <w:rsid w:val="0034005F"/>
    <w:rsid w:val="0034172D"/>
    <w:rsid w:val="003441D7"/>
    <w:rsid w:val="00345975"/>
    <w:rsid w:val="00346908"/>
    <w:rsid w:val="00346DE7"/>
    <w:rsid w:val="00347C76"/>
    <w:rsid w:val="00347D42"/>
    <w:rsid w:val="003502B8"/>
    <w:rsid w:val="0035052E"/>
    <w:rsid w:val="0035127E"/>
    <w:rsid w:val="00352161"/>
    <w:rsid w:val="00355749"/>
    <w:rsid w:val="00355F48"/>
    <w:rsid w:val="003624B3"/>
    <w:rsid w:val="003629F2"/>
    <w:rsid w:val="00367AFA"/>
    <w:rsid w:val="0037024B"/>
    <w:rsid w:val="00371107"/>
    <w:rsid w:val="00372250"/>
    <w:rsid w:val="00372DF8"/>
    <w:rsid w:val="00373554"/>
    <w:rsid w:val="00373827"/>
    <w:rsid w:val="003777A7"/>
    <w:rsid w:val="003828CC"/>
    <w:rsid w:val="00384ACD"/>
    <w:rsid w:val="003861EA"/>
    <w:rsid w:val="00393891"/>
    <w:rsid w:val="003A1151"/>
    <w:rsid w:val="003A37BA"/>
    <w:rsid w:val="003A4713"/>
    <w:rsid w:val="003A597D"/>
    <w:rsid w:val="003B11B9"/>
    <w:rsid w:val="003B1890"/>
    <w:rsid w:val="003B1C9D"/>
    <w:rsid w:val="003C1396"/>
    <w:rsid w:val="003C543D"/>
    <w:rsid w:val="003D11D1"/>
    <w:rsid w:val="003D7C6B"/>
    <w:rsid w:val="003D7EBF"/>
    <w:rsid w:val="003E015F"/>
    <w:rsid w:val="003E2195"/>
    <w:rsid w:val="003E2449"/>
    <w:rsid w:val="003E3A98"/>
    <w:rsid w:val="003E4DC6"/>
    <w:rsid w:val="003F2145"/>
    <w:rsid w:val="003F622D"/>
    <w:rsid w:val="00400111"/>
    <w:rsid w:val="00401922"/>
    <w:rsid w:val="00407182"/>
    <w:rsid w:val="00414C60"/>
    <w:rsid w:val="00420B49"/>
    <w:rsid w:val="004219E3"/>
    <w:rsid w:val="00425CA4"/>
    <w:rsid w:val="00442314"/>
    <w:rsid w:val="00442F0F"/>
    <w:rsid w:val="004516BC"/>
    <w:rsid w:val="0045364B"/>
    <w:rsid w:val="00453C0E"/>
    <w:rsid w:val="004552FB"/>
    <w:rsid w:val="0045575C"/>
    <w:rsid w:val="004565B8"/>
    <w:rsid w:val="004611F3"/>
    <w:rsid w:val="004613A6"/>
    <w:rsid w:val="0047429C"/>
    <w:rsid w:val="00483AA7"/>
    <w:rsid w:val="00484488"/>
    <w:rsid w:val="00486DE4"/>
    <w:rsid w:val="004875FE"/>
    <w:rsid w:val="00496F68"/>
    <w:rsid w:val="004A4FDE"/>
    <w:rsid w:val="004A5402"/>
    <w:rsid w:val="004A54DB"/>
    <w:rsid w:val="004A566E"/>
    <w:rsid w:val="004A6522"/>
    <w:rsid w:val="004B27A6"/>
    <w:rsid w:val="004B39EA"/>
    <w:rsid w:val="004B6F96"/>
    <w:rsid w:val="004B6FA4"/>
    <w:rsid w:val="004C2502"/>
    <w:rsid w:val="004C4803"/>
    <w:rsid w:val="004C4890"/>
    <w:rsid w:val="004C6AA0"/>
    <w:rsid w:val="004D1A87"/>
    <w:rsid w:val="004E00CB"/>
    <w:rsid w:val="004E1DAF"/>
    <w:rsid w:val="004E25A1"/>
    <w:rsid w:val="004E25DA"/>
    <w:rsid w:val="004E58E2"/>
    <w:rsid w:val="004E76A5"/>
    <w:rsid w:val="004F32F8"/>
    <w:rsid w:val="004F69E0"/>
    <w:rsid w:val="004F7135"/>
    <w:rsid w:val="0050161E"/>
    <w:rsid w:val="005016AD"/>
    <w:rsid w:val="005033CF"/>
    <w:rsid w:val="0050464D"/>
    <w:rsid w:val="00505E53"/>
    <w:rsid w:val="005071B8"/>
    <w:rsid w:val="00517130"/>
    <w:rsid w:val="00520D56"/>
    <w:rsid w:val="00523375"/>
    <w:rsid w:val="00530343"/>
    <w:rsid w:val="00530AF8"/>
    <w:rsid w:val="005357E4"/>
    <w:rsid w:val="005363DF"/>
    <w:rsid w:val="00540136"/>
    <w:rsid w:val="005423FA"/>
    <w:rsid w:val="00547B79"/>
    <w:rsid w:val="00552EFB"/>
    <w:rsid w:val="00553D03"/>
    <w:rsid w:val="005545CC"/>
    <w:rsid w:val="005604EF"/>
    <w:rsid w:val="00565836"/>
    <w:rsid w:val="00566940"/>
    <w:rsid w:val="0056770C"/>
    <w:rsid w:val="00571CE0"/>
    <w:rsid w:val="00572162"/>
    <w:rsid w:val="005726D1"/>
    <w:rsid w:val="00573E1B"/>
    <w:rsid w:val="00574755"/>
    <w:rsid w:val="0057783C"/>
    <w:rsid w:val="00580503"/>
    <w:rsid w:val="005865E6"/>
    <w:rsid w:val="0058723F"/>
    <w:rsid w:val="00591F9E"/>
    <w:rsid w:val="005922C3"/>
    <w:rsid w:val="00595DBA"/>
    <w:rsid w:val="00596526"/>
    <w:rsid w:val="005A59AB"/>
    <w:rsid w:val="005B12A1"/>
    <w:rsid w:val="005B1686"/>
    <w:rsid w:val="005B5F1E"/>
    <w:rsid w:val="005B6814"/>
    <w:rsid w:val="005C2494"/>
    <w:rsid w:val="005C50AF"/>
    <w:rsid w:val="005C6B28"/>
    <w:rsid w:val="005D1C3E"/>
    <w:rsid w:val="005E0304"/>
    <w:rsid w:val="005E1586"/>
    <w:rsid w:val="005E4F44"/>
    <w:rsid w:val="005F0C6C"/>
    <w:rsid w:val="005F6EAB"/>
    <w:rsid w:val="005F708F"/>
    <w:rsid w:val="00605568"/>
    <w:rsid w:val="0061320E"/>
    <w:rsid w:val="00621638"/>
    <w:rsid w:val="006254F4"/>
    <w:rsid w:val="00633D46"/>
    <w:rsid w:val="00634FC6"/>
    <w:rsid w:val="00637159"/>
    <w:rsid w:val="00640448"/>
    <w:rsid w:val="00645D27"/>
    <w:rsid w:val="006477F8"/>
    <w:rsid w:val="006539F6"/>
    <w:rsid w:val="00653CE2"/>
    <w:rsid w:val="00654EEA"/>
    <w:rsid w:val="00656928"/>
    <w:rsid w:val="00657944"/>
    <w:rsid w:val="00660ADB"/>
    <w:rsid w:val="00662882"/>
    <w:rsid w:val="006658A1"/>
    <w:rsid w:val="00666D96"/>
    <w:rsid w:val="006677BA"/>
    <w:rsid w:val="00672639"/>
    <w:rsid w:val="00673EF6"/>
    <w:rsid w:val="0067442E"/>
    <w:rsid w:val="0067481E"/>
    <w:rsid w:val="00676ADD"/>
    <w:rsid w:val="00677669"/>
    <w:rsid w:val="006806F7"/>
    <w:rsid w:val="00680EF4"/>
    <w:rsid w:val="00687843"/>
    <w:rsid w:val="00690536"/>
    <w:rsid w:val="00692F47"/>
    <w:rsid w:val="00695B63"/>
    <w:rsid w:val="00696724"/>
    <w:rsid w:val="006A50AE"/>
    <w:rsid w:val="006A7E5C"/>
    <w:rsid w:val="006B2A1E"/>
    <w:rsid w:val="006B2E49"/>
    <w:rsid w:val="006B5F32"/>
    <w:rsid w:val="006C017C"/>
    <w:rsid w:val="006C1D5E"/>
    <w:rsid w:val="006C65E8"/>
    <w:rsid w:val="006D0E3B"/>
    <w:rsid w:val="006D269B"/>
    <w:rsid w:val="006D597F"/>
    <w:rsid w:val="006D7C5B"/>
    <w:rsid w:val="006E6B85"/>
    <w:rsid w:val="006F0333"/>
    <w:rsid w:val="006F15A9"/>
    <w:rsid w:val="006F2803"/>
    <w:rsid w:val="006F3638"/>
    <w:rsid w:val="006F6AFF"/>
    <w:rsid w:val="00700B9F"/>
    <w:rsid w:val="007058EC"/>
    <w:rsid w:val="00707355"/>
    <w:rsid w:val="00717872"/>
    <w:rsid w:val="00717C13"/>
    <w:rsid w:val="00720C59"/>
    <w:rsid w:val="00722313"/>
    <w:rsid w:val="00732DBB"/>
    <w:rsid w:val="007350D3"/>
    <w:rsid w:val="007451F9"/>
    <w:rsid w:val="00751D31"/>
    <w:rsid w:val="0075494C"/>
    <w:rsid w:val="00756B4E"/>
    <w:rsid w:val="00757B7F"/>
    <w:rsid w:val="00757C45"/>
    <w:rsid w:val="00760034"/>
    <w:rsid w:val="00761AC7"/>
    <w:rsid w:val="0076231C"/>
    <w:rsid w:val="0076291C"/>
    <w:rsid w:val="007641F9"/>
    <w:rsid w:val="0077115A"/>
    <w:rsid w:val="00774B5E"/>
    <w:rsid w:val="0077747D"/>
    <w:rsid w:val="007779E1"/>
    <w:rsid w:val="00781989"/>
    <w:rsid w:val="007824CB"/>
    <w:rsid w:val="00782BC1"/>
    <w:rsid w:val="007842EA"/>
    <w:rsid w:val="00784B62"/>
    <w:rsid w:val="00784CAC"/>
    <w:rsid w:val="007856EE"/>
    <w:rsid w:val="00787847"/>
    <w:rsid w:val="00791F71"/>
    <w:rsid w:val="00792F54"/>
    <w:rsid w:val="007936FE"/>
    <w:rsid w:val="00793BE0"/>
    <w:rsid w:val="00793F6A"/>
    <w:rsid w:val="00795636"/>
    <w:rsid w:val="00795952"/>
    <w:rsid w:val="007974C0"/>
    <w:rsid w:val="00797A9A"/>
    <w:rsid w:val="007A4A10"/>
    <w:rsid w:val="007A5E7F"/>
    <w:rsid w:val="007B09D8"/>
    <w:rsid w:val="007B0FBC"/>
    <w:rsid w:val="007B1FC8"/>
    <w:rsid w:val="007B24A4"/>
    <w:rsid w:val="007B39B3"/>
    <w:rsid w:val="007B60AD"/>
    <w:rsid w:val="007C248E"/>
    <w:rsid w:val="007C3471"/>
    <w:rsid w:val="007C6593"/>
    <w:rsid w:val="007D0468"/>
    <w:rsid w:val="007D2616"/>
    <w:rsid w:val="007D2D1F"/>
    <w:rsid w:val="007D4579"/>
    <w:rsid w:val="007D6211"/>
    <w:rsid w:val="007E0F9E"/>
    <w:rsid w:val="007E14EB"/>
    <w:rsid w:val="007E49B1"/>
    <w:rsid w:val="007F11FB"/>
    <w:rsid w:val="00804F59"/>
    <w:rsid w:val="00806FA9"/>
    <w:rsid w:val="00815006"/>
    <w:rsid w:val="008210D6"/>
    <w:rsid w:val="008232AD"/>
    <w:rsid w:val="00825733"/>
    <w:rsid w:val="00825A76"/>
    <w:rsid w:val="00825C8E"/>
    <w:rsid w:val="00831CDB"/>
    <w:rsid w:val="00832D1E"/>
    <w:rsid w:val="0083374B"/>
    <w:rsid w:val="00834E8E"/>
    <w:rsid w:val="00836DB7"/>
    <w:rsid w:val="008415BC"/>
    <w:rsid w:val="0084246A"/>
    <w:rsid w:val="0084646C"/>
    <w:rsid w:val="00853047"/>
    <w:rsid w:val="00854040"/>
    <w:rsid w:val="0085601A"/>
    <w:rsid w:val="00860FEC"/>
    <w:rsid w:val="00861AB0"/>
    <w:rsid w:val="008632CA"/>
    <w:rsid w:val="00881F55"/>
    <w:rsid w:val="00882001"/>
    <w:rsid w:val="00883245"/>
    <w:rsid w:val="008867F1"/>
    <w:rsid w:val="008A56AB"/>
    <w:rsid w:val="008B3312"/>
    <w:rsid w:val="008B6088"/>
    <w:rsid w:val="008B6E25"/>
    <w:rsid w:val="008D3E77"/>
    <w:rsid w:val="008D59BF"/>
    <w:rsid w:val="008E2103"/>
    <w:rsid w:val="008E2214"/>
    <w:rsid w:val="008E3323"/>
    <w:rsid w:val="008E340B"/>
    <w:rsid w:val="008E49EE"/>
    <w:rsid w:val="008E535D"/>
    <w:rsid w:val="008F2011"/>
    <w:rsid w:val="008F2A9B"/>
    <w:rsid w:val="008F55B2"/>
    <w:rsid w:val="008F55BB"/>
    <w:rsid w:val="00904701"/>
    <w:rsid w:val="00907480"/>
    <w:rsid w:val="009113E1"/>
    <w:rsid w:val="00911641"/>
    <w:rsid w:val="00911A9B"/>
    <w:rsid w:val="00921362"/>
    <w:rsid w:val="009217B4"/>
    <w:rsid w:val="00923534"/>
    <w:rsid w:val="00924668"/>
    <w:rsid w:val="00924E19"/>
    <w:rsid w:val="00931354"/>
    <w:rsid w:val="00932447"/>
    <w:rsid w:val="009331DE"/>
    <w:rsid w:val="00937831"/>
    <w:rsid w:val="00937C76"/>
    <w:rsid w:val="00941AAE"/>
    <w:rsid w:val="009432C8"/>
    <w:rsid w:val="00946B81"/>
    <w:rsid w:val="00950232"/>
    <w:rsid w:val="009505C5"/>
    <w:rsid w:val="0095646A"/>
    <w:rsid w:val="00957332"/>
    <w:rsid w:val="009609F7"/>
    <w:rsid w:val="00962675"/>
    <w:rsid w:val="0096373F"/>
    <w:rsid w:val="00964EA5"/>
    <w:rsid w:val="00974E86"/>
    <w:rsid w:val="009760F0"/>
    <w:rsid w:val="009767E0"/>
    <w:rsid w:val="00977F19"/>
    <w:rsid w:val="00984B0A"/>
    <w:rsid w:val="00987168"/>
    <w:rsid w:val="00992344"/>
    <w:rsid w:val="0099457C"/>
    <w:rsid w:val="00994C9B"/>
    <w:rsid w:val="009962EF"/>
    <w:rsid w:val="009974A2"/>
    <w:rsid w:val="00997C95"/>
    <w:rsid w:val="009A112F"/>
    <w:rsid w:val="009A280E"/>
    <w:rsid w:val="009A2C40"/>
    <w:rsid w:val="009B5C08"/>
    <w:rsid w:val="009B6569"/>
    <w:rsid w:val="009B6BCA"/>
    <w:rsid w:val="009B70B7"/>
    <w:rsid w:val="009C0138"/>
    <w:rsid w:val="009C1D58"/>
    <w:rsid w:val="009C2CE8"/>
    <w:rsid w:val="009D2841"/>
    <w:rsid w:val="009D53EA"/>
    <w:rsid w:val="009E3836"/>
    <w:rsid w:val="009E5913"/>
    <w:rsid w:val="009F1198"/>
    <w:rsid w:val="00A0053E"/>
    <w:rsid w:val="00A014DB"/>
    <w:rsid w:val="00A01B4A"/>
    <w:rsid w:val="00A132F5"/>
    <w:rsid w:val="00A16086"/>
    <w:rsid w:val="00A176C4"/>
    <w:rsid w:val="00A17A3D"/>
    <w:rsid w:val="00A24A59"/>
    <w:rsid w:val="00A25816"/>
    <w:rsid w:val="00A304F2"/>
    <w:rsid w:val="00A32102"/>
    <w:rsid w:val="00A35D08"/>
    <w:rsid w:val="00A372F9"/>
    <w:rsid w:val="00A43B40"/>
    <w:rsid w:val="00A44C17"/>
    <w:rsid w:val="00A51E49"/>
    <w:rsid w:val="00A52423"/>
    <w:rsid w:val="00A54224"/>
    <w:rsid w:val="00A54972"/>
    <w:rsid w:val="00A71D85"/>
    <w:rsid w:val="00A74245"/>
    <w:rsid w:val="00A75209"/>
    <w:rsid w:val="00A83068"/>
    <w:rsid w:val="00A83586"/>
    <w:rsid w:val="00A83F29"/>
    <w:rsid w:val="00A85727"/>
    <w:rsid w:val="00A85877"/>
    <w:rsid w:val="00A90E23"/>
    <w:rsid w:val="00A93616"/>
    <w:rsid w:val="00A95624"/>
    <w:rsid w:val="00A96C4A"/>
    <w:rsid w:val="00AA0E25"/>
    <w:rsid w:val="00AA1781"/>
    <w:rsid w:val="00AA2163"/>
    <w:rsid w:val="00AA38D1"/>
    <w:rsid w:val="00AA7E36"/>
    <w:rsid w:val="00AB117B"/>
    <w:rsid w:val="00AB28B2"/>
    <w:rsid w:val="00AB30C2"/>
    <w:rsid w:val="00AC1C87"/>
    <w:rsid w:val="00AC41CA"/>
    <w:rsid w:val="00AD1E6F"/>
    <w:rsid w:val="00AD3744"/>
    <w:rsid w:val="00AE5330"/>
    <w:rsid w:val="00AE5FF5"/>
    <w:rsid w:val="00AE6A5B"/>
    <w:rsid w:val="00AF148B"/>
    <w:rsid w:val="00AF2BBB"/>
    <w:rsid w:val="00AF577C"/>
    <w:rsid w:val="00AF67D1"/>
    <w:rsid w:val="00B00C08"/>
    <w:rsid w:val="00B02B37"/>
    <w:rsid w:val="00B03BE0"/>
    <w:rsid w:val="00B041F4"/>
    <w:rsid w:val="00B07B55"/>
    <w:rsid w:val="00B10ABA"/>
    <w:rsid w:val="00B11A21"/>
    <w:rsid w:val="00B12093"/>
    <w:rsid w:val="00B16E42"/>
    <w:rsid w:val="00B20A97"/>
    <w:rsid w:val="00B26D3B"/>
    <w:rsid w:val="00B27989"/>
    <w:rsid w:val="00B31004"/>
    <w:rsid w:val="00B34EB5"/>
    <w:rsid w:val="00B37207"/>
    <w:rsid w:val="00B42645"/>
    <w:rsid w:val="00B462FE"/>
    <w:rsid w:val="00B47E3F"/>
    <w:rsid w:val="00B50483"/>
    <w:rsid w:val="00B527CD"/>
    <w:rsid w:val="00B5456C"/>
    <w:rsid w:val="00B55FDF"/>
    <w:rsid w:val="00B601BD"/>
    <w:rsid w:val="00B615EF"/>
    <w:rsid w:val="00B625F3"/>
    <w:rsid w:val="00B62DF3"/>
    <w:rsid w:val="00B70ED5"/>
    <w:rsid w:val="00B7332E"/>
    <w:rsid w:val="00B74537"/>
    <w:rsid w:val="00B77DA3"/>
    <w:rsid w:val="00B77EBC"/>
    <w:rsid w:val="00B81A44"/>
    <w:rsid w:val="00B84819"/>
    <w:rsid w:val="00B85965"/>
    <w:rsid w:val="00B86A7A"/>
    <w:rsid w:val="00B90868"/>
    <w:rsid w:val="00B959B5"/>
    <w:rsid w:val="00B97A68"/>
    <w:rsid w:val="00BA0CC9"/>
    <w:rsid w:val="00BA41B2"/>
    <w:rsid w:val="00BA5F04"/>
    <w:rsid w:val="00BA5FF8"/>
    <w:rsid w:val="00BB1E4B"/>
    <w:rsid w:val="00BB390D"/>
    <w:rsid w:val="00BB6CB6"/>
    <w:rsid w:val="00BC01E3"/>
    <w:rsid w:val="00BC0F72"/>
    <w:rsid w:val="00BC6D70"/>
    <w:rsid w:val="00BC6E50"/>
    <w:rsid w:val="00BD0453"/>
    <w:rsid w:val="00BD055D"/>
    <w:rsid w:val="00BD17E3"/>
    <w:rsid w:val="00BD400A"/>
    <w:rsid w:val="00BE3B24"/>
    <w:rsid w:val="00BE5734"/>
    <w:rsid w:val="00BE7EF1"/>
    <w:rsid w:val="00BF0AEC"/>
    <w:rsid w:val="00BF15D3"/>
    <w:rsid w:val="00BF6A7A"/>
    <w:rsid w:val="00C0337B"/>
    <w:rsid w:val="00C03D84"/>
    <w:rsid w:val="00C0588A"/>
    <w:rsid w:val="00C126D7"/>
    <w:rsid w:val="00C2059A"/>
    <w:rsid w:val="00C223BC"/>
    <w:rsid w:val="00C250CD"/>
    <w:rsid w:val="00C31D5D"/>
    <w:rsid w:val="00C348A2"/>
    <w:rsid w:val="00C35759"/>
    <w:rsid w:val="00C36207"/>
    <w:rsid w:val="00C3674B"/>
    <w:rsid w:val="00C4126F"/>
    <w:rsid w:val="00C45760"/>
    <w:rsid w:val="00C46069"/>
    <w:rsid w:val="00C500FB"/>
    <w:rsid w:val="00C501C5"/>
    <w:rsid w:val="00C54986"/>
    <w:rsid w:val="00C56CC5"/>
    <w:rsid w:val="00C57B01"/>
    <w:rsid w:val="00C57F3E"/>
    <w:rsid w:val="00C60CBE"/>
    <w:rsid w:val="00C63D72"/>
    <w:rsid w:val="00C64A1C"/>
    <w:rsid w:val="00C67566"/>
    <w:rsid w:val="00C73E19"/>
    <w:rsid w:val="00C7513A"/>
    <w:rsid w:val="00C8268C"/>
    <w:rsid w:val="00C83AD3"/>
    <w:rsid w:val="00C83E27"/>
    <w:rsid w:val="00C849BD"/>
    <w:rsid w:val="00C8674C"/>
    <w:rsid w:val="00C86BDF"/>
    <w:rsid w:val="00C91794"/>
    <w:rsid w:val="00C91CC1"/>
    <w:rsid w:val="00C9287C"/>
    <w:rsid w:val="00C92A28"/>
    <w:rsid w:val="00C92D2F"/>
    <w:rsid w:val="00C95CC2"/>
    <w:rsid w:val="00CA0A3E"/>
    <w:rsid w:val="00CA754E"/>
    <w:rsid w:val="00CB0173"/>
    <w:rsid w:val="00CB4CE0"/>
    <w:rsid w:val="00CC1214"/>
    <w:rsid w:val="00CC3198"/>
    <w:rsid w:val="00CC3AF4"/>
    <w:rsid w:val="00CC4CF9"/>
    <w:rsid w:val="00CD6EAF"/>
    <w:rsid w:val="00CE1BBE"/>
    <w:rsid w:val="00CE2E77"/>
    <w:rsid w:val="00CF0E56"/>
    <w:rsid w:val="00CF4EDD"/>
    <w:rsid w:val="00CF59E8"/>
    <w:rsid w:val="00CF6245"/>
    <w:rsid w:val="00D005F6"/>
    <w:rsid w:val="00D029F7"/>
    <w:rsid w:val="00D03F23"/>
    <w:rsid w:val="00D04F59"/>
    <w:rsid w:val="00D07126"/>
    <w:rsid w:val="00D13831"/>
    <w:rsid w:val="00D13C42"/>
    <w:rsid w:val="00D162AB"/>
    <w:rsid w:val="00D22250"/>
    <w:rsid w:val="00D24EE2"/>
    <w:rsid w:val="00D262B6"/>
    <w:rsid w:val="00D26397"/>
    <w:rsid w:val="00D27F48"/>
    <w:rsid w:val="00D308ED"/>
    <w:rsid w:val="00D30C73"/>
    <w:rsid w:val="00D3170B"/>
    <w:rsid w:val="00D338FC"/>
    <w:rsid w:val="00D41E4A"/>
    <w:rsid w:val="00D508E9"/>
    <w:rsid w:val="00D534A7"/>
    <w:rsid w:val="00D55425"/>
    <w:rsid w:val="00D5572E"/>
    <w:rsid w:val="00D564E2"/>
    <w:rsid w:val="00D57954"/>
    <w:rsid w:val="00D624D3"/>
    <w:rsid w:val="00D62ED1"/>
    <w:rsid w:val="00D639E4"/>
    <w:rsid w:val="00D6498A"/>
    <w:rsid w:val="00D64C91"/>
    <w:rsid w:val="00D71D1F"/>
    <w:rsid w:val="00D7402E"/>
    <w:rsid w:val="00D74C69"/>
    <w:rsid w:val="00D766A8"/>
    <w:rsid w:val="00D84CFC"/>
    <w:rsid w:val="00D90700"/>
    <w:rsid w:val="00D90A48"/>
    <w:rsid w:val="00D912CB"/>
    <w:rsid w:val="00D95570"/>
    <w:rsid w:val="00DC383F"/>
    <w:rsid w:val="00DC3D39"/>
    <w:rsid w:val="00DC3F08"/>
    <w:rsid w:val="00DC40F8"/>
    <w:rsid w:val="00DC41E6"/>
    <w:rsid w:val="00DC48DC"/>
    <w:rsid w:val="00DD4105"/>
    <w:rsid w:val="00DE3585"/>
    <w:rsid w:val="00DF2709"/>
    <w:rsid w:val="00DF75D2"/>
    <w:rsid w:val="00DF7BF2"/>
    <w:rsid w:val="00E042E1"/>
    <w:rsid w:val="00E0431B"/>
    <w:rsid w:val="00E12A87"/>
    <w:rsid w:val="00E15B82"/>
    <w:rsid w:val="00E16F94"/>
    <w:rsid w:val="00E20B9D"/>
    <w:rsid w:val="00E30536"/>
    <w:rsid w:val="00E30A77"/>
    <w:rsid w:val="00E32963"/>
    <w:rsid w:val="00E3407C"/>
    <w:rsid w:val="00E4215A"/>
    <w:rsid w:val="00E4714F"/>
    <w:rsid w:val="00E479CD"/>
    <w:rsid w:val="00E47B60"/>
    <w:rsid w:val="00E507B6"/>
    <w:rsid w:val="00E508CA"/>
    <w:rsid w:val="00E51B60"/>
    <w:rsid w:val="00E56EAF"/>
    <w:rsid w:val="00E609A0"/>
    <w:rsid w:val="00E60BA6"/>
    <w:rsid w:val="00E6497E"/>
    <w:rsid w:val="00E65C7E"/>
    <w:rsid w:val="00E72A03"/>
    <w:rsid w:val="00E83227"/>
    <w:rsid w:val="00E8421A"/>
    <w:rsid w:val="00E908C8"/>
    <w:rsid w:val="00E94F73"/>
    <w:rsid w:val="00E95EBE"/>
    <w:rsid w:val="00E964F7"/>
    <w:rsid w:val="00E96559"/>
    <w:rsid w:val="00E9681B"/>
    <w:rsid w:val="00E96E82"/>
    <w:rsid w:val="00E97872"/>
    <w:rsid w:val="00EA5A2C"/>
    <w:rsid w:val="00EB17A3"/>
    <w:rsid w:val="00EB7A4E"/>
    <w:rsid w:val="00EC054B"/>
    <w:rsid w:val="00EC075B"/>
    <w:rsid w:val="00EC2153"/>
    <w:rsid w:val="00EC2FB7"/>
    <w:rsid w:val="00EC40D0"/>
    <w:rsid w:val="00ED1859"/>
    <w:rsid w:val="00ED2132"/>
    <w:rsid w:val="00ED3746"/>
    <w:rsid w:val="00EE3A45"/>
    <w:rsid w:val="00EF4F2A"/>
    <w:rsid w:val="00F00C41"/>
    <w:rsid w:val="00F014EB"/>
    <w:rsid w:val="00F0296F"/>
    <w:rsid w:val="00F054AC"/>
    <w:rsid w:val="00F10AEA"/>
    <w:rsid w:val="00F24680"/>
    <w:rsid w:val="00F24B96"/>
    <w:rsid w:val="00F25283"/>
    <w:rsid w:val="00F25344"/>
    <w:rsid w:val="00F255B3"/>
    <w:rsid w:val="00F258EB"/>
    <w:rsid w:val="00F3204D"/>
    <w:rsid w:val="00F33721"/>
    <w:rsid w:val="00F33B06"/>
    <w:rsid w:val="00F36E9B"/>
    <w:rsid w:val="00F40CC8"/>
    <w:rsid w:val="00F40F96"/>
    <w:rsid w:val="00F43BC1"/>
    <w:rsid w:val="00F440A7"/>
    <w:rsid w:val="00F45AA3"/>
    <w:rsid w:val="00F46D1B"/>
    <w:rsid w:val="00F50072"/>
    <w:rsid w:val="00F51068"/>
    <w:rsid w:val="00F541C6"/>
    <w:rsid w:val="00F573B3"/>
    <w:rsid w:val="00F5751A"/>
    <w:rsid w:val="00F57524"/>
    <w:rsid w:val="00F6210A"/>
    <w:rsid w:val="00F62A4F"/>
    <w:rsid w:val="00F632AB"/>
    <w:rsid w:val="00F71D90"/>
    <w:rsid w:val="00F7250F"/>
    <w:rsid w:val="00F72EA6"/>
    <w:rsid w:val="00F765FB"/>
    <w:rsid w:val="00F772C0"/>
    <w:rsid w:val="00F809EE"/>
    <w:rsid w:val="00F8247C"/>
    <w:rsid w:val="00F8463A"/>
    <w:rsid w:val="00F85193"/>
    <w:rsid w:val="00F86BF3"/>
    <w:rsid w:val="00FA56F7"/>
    <w:rsid w:val="00FB17BF"/>
    <w:rsid w:val="00FB34B2"/>
    <w:rsid w:val="00FC2047"/>
    <w:rsid w:val="00FC7761"/>
    <w:rsid w:val="00FC7A03"/>
    <w:rsid w:val="00FC7FD6"/>
    <w:rsid w:val="00FD556F"/>
    <w:rsid w:val="00FE1447"/>
    <w:rsid w:val="00FE1AA8"/>
    <w:rsid w:val="00FE1C11"/>
    <w:rsid w:val="00FE5232"/>
    <w:rsid w:val="00FE7432"/>
    <w:rsid w:val="00FF4CD9"/>
    <w:rsid w:val="00FF4F7B"/>
    <w:rsid w:val="01D807EF"/>
    <w:rsid w:val="03E5503B"/>
    <w:rsid w:val="044B4BE7"/>
    <w:rsid w:val="045C5616"/>
    <w:rsid w:val="04B073F7"/>
    <w:rsid w:val="053022E6"/>
    <w:rsid w:val="06065952"/>
    <w:rsid w:val="067C6C7C"/>
    <w:rsid w:val="079C700D"/>
    <w:rsid w:val="0950000A"/>
    <w:rsid w:val="096F02A0"/>
    <w:rsid w:val="09B66C11"/>
    <w:rsid w:val="09F61D50"/>
    <w:rsid w:val="0A93759F"/>
    <w:rsid w:val="0AC04AB2"/>
    <w:rsid w:val="0B043FF8"/>
    <w:rsid w:val="0BD31DCC"/>
    <w:rsid w:val="0C121409"/>
    <w:rsid w:val="0C1A7C26"/>
    <w:rsid w:val="0C9055EC"/>
    <w:rsid w:val="0CEF7ECF"/>
    <w:rsid w:val="0D020A0B"/>
    <w:rsid w:val="0D0C3638"/>
    <w:rsid w:val="0DC95DFA"/>
    <w:rsid w:val="0E82203D"/>
    <w:rsid w:val="0F783207"/>
    <w:rsid w:val="0FCF0BA1"/>
    <w:rsid w:val="10CB7366"/>
    <w:rsid w:val="112D1C7D"/>
    <w:rsid w:val="115353AC"/>
    <w:rsid w:val="1261638A"/>
    <w:rsid w:val="12A75AC3"/>
    <w:rsid w:val="12F63207"/>
    <w:rsid w:val="13373E3D"/>
    <w:rsid w:val="13AF2F6F"/>
    <w:rsid w:val="14665D24"/>
    <w:rsid w:val="147075E2"/>
    <w:rsid w:val="14F61195"/>
    <w:rsid w:val="156A6D57"/>
    <w:rsid w:val="158069A6"/>
    <w:rsid w:val="16351280"/>
    <w:rsid w:val="168B1A72"/>
    <w:rsid w:val="16E76F5E"/>
    <w:rsid w:val="16F2652B"/>
    <w:rsid w:val="18383533"/>
    <w:rsid w:val="183C4CD8"/>
    <w:rsid w:val="188F5EAC"/>
    <w:rsid w:val="18C774BA"/>
    <w:rsid w:val="18D16E71"/>
    <w:rsid w:val="19193365"/>
    <w:rsid w:val="19EA0124"/>
    <w:rsid w:val="1A7B1DFD"/>
    <w:rsid w:val="1A856A8F"/>
    <w:rsid w:val="1A926C85"/>
    <w:rsid w:val="1B4D19EC"/>
    <w:rsid w:val="1BE21B0B"/>
    <w:rsid w:val="1C2C3ED9"/>
    <w:rsid w:val="1C80402C"/>
    <w:rsid w:val="1DD737EE"/>
    <w:rsid w:val="1E3C4007"/>
    <w:rsid w:val="1EAB451D"/>
    <w:rsid w:val="20184F85"/>
    <w:rsid w:val="20304BC9"/>
    <w:rsid w:val="2148345E"/>
    <w:rsid w:val="216A599B"/>
    <w:rsid w:val="2181419D"/>
    <w:rsid w:val="21E6671C"/>
    <w:rsid w:val="21F92E01"/>
    <w:rsid w:val="22143896"/>
    <w:rsid w:val="22693159"/>
    <w:rsid w:val="22FB04DD"/>
    <w:rsid w:val="253C44E1"/>
    <w:rsid w:val="255547C8"/>
    <w:rsid w:val="25BC57A4"/>
    <w:rsid w:val="26CE6972"/>
    <w:rsid w:val="26E86A6C"/>
    <w:rsid w:val="27196C26"/>
    <w:rsid w:val="274B7E0A"/>
    <w:rsid w:val="274D09F9"/>
    <w:rsid w:val="297E2AE5"/>
    <w:rsid w:val="298D6CF2"/>
    <w:rsid w:val="2A541123"/>
    <w:rsid w:val="2A6D3510"/>
    <w:rsid w:val="2A704DAF"/>
    <w:rsid w:val="2A9B706F"/>
    <w:rsid w:val="2ABE66BE"/>
    <w:rsid w:val="2B711B93"/>
    <w:rsid w:val="2B9176D3"/>
    <w:rsid w:val="2C283CE8"/>
    <w:rsid w:val="2CD80C4A"/>
    <w:rsid w:val="2CED6C30"/>
    <w:rsid w:val="2D7E7FA9"/>
    <w:rsid w:val="2DD3092A"/>
    <w:rsid w:val="2E444588"/>
    <w:rsid w:val="2EA94D33"/>
    <w:rsid w:val="2ED3590C"/>
    <w:rsid w:val="2FA704BD"/>
    <w:rsid w:val="303D3421"/>
    <w:rsid w:val="30F42C13"/>
    <w:rsid w:val="310B1A9B"/>
    <w:rsid w:val="316533B6"/>
    <w:rsid w:val="32F71915"/>
    <w:rsid w:val="33576B0C"/>
    <w:rsid w:val="33BF6080"/>
    <w:rsid w:val="346A1F14"/>
    <w:rsid w:val="347A74E4"/>
    <w:rsid w:val="35356692"/>
    <w:rsid w:val="35636439"/>
    <w:rsid w:val="36FD79CA"/>
    <w:rsid w:val="372907BF"/>
    <w:rsid w:val="377A473A"/>
    <w:rsid w:val="37853A8B"/>
    <w:rsid w:val="39EE1DE6"/>
    <w:rsid w:val="3AE12DB5"/>
    <w:rsid w:val="3B8E745C"/>
    <w:rsid w:val="3C0815AA"/>
    <w:rsid w:val="3CBF5A23"/>
    <w:rsid w:val="3D080DB7"/>
    <w:rsid w:val="3D410748"/>
    <w:rsid w:val="3E1D0952"/>
    <w:rsid w:val="3E6842CD"/>
    <w:rsid w:val="3E6F38A3"/>
    <w:rsid w:val="3E964F64"/>
    <w:rsid w:val="3E9B54C2"/>
    <w:rsid w:val="3F7B4F99"/>
    <w:rsid w:val="40A43B77"/>
    <w:rsid w:val="40D12A83"/>
    <w:rsid w:val="418574BB"/>
    <w:rsid w:val="423E2F4F"/>
    <w:rsid w:val="43401FB6"/>
    <w:rsid w:val="44A9420C"/>
    <w:rsid w:val="45AD3FAA"/>
    <w:rsid w:val="477E06B3"/>
    <w:rsid w:val="4799729B"/>
    <w:rsid w:val="47D81C6D"/>
    <w:rsid w:val="48B55687"/>
    <w:rsid w:val="48DC2D1D"/>
    <w:rsid w:val="493A4322"/>
    <w:rsid w:val="497726F9"/>
    <w:rsid w:val="4A776D78"/>
    <w:rsid w:val="4AAE148F"/>
    <w:rsid w:val="4AF81172"/>
    <w:rsid w:val="4B645E12"/>
    <w:rsid w:val="4B6969B6"/>
    <w:rsid w:val="4BF76C86"/>
    <w:rsid w:val="4C08108C"/>
    <w:rsid w:val="4C325EEB"/>
    <w:rsid w:val="4C3B586B"/>
    <w:rsid w:val="4C672BF1"/>
    <w:rsid w:val="4CFE0FFB"/>
    <w:rsid w:val="4D313C7E"/>
    <w:rsid w:val="4D313EF3"/>
    <w:rsid w:val="4EDE5EDB"/>
    <w:rsid w:val="4F624621"/>
    <w:rsid w:val="4FEC63D6"/>
    <w:rsid w:val="4FFE473E"/>
    <w:rsid w:val="50AF6949"/>
    <w:rsid w:val="50DB0924"/>
    <w:rsid w:val="50DD00FE"/>
    <w:rsid w:val="5189650B"/>
    <w:rsid w:val="52173BDE"/>
    <w:rsid w:val="525B7B04"/>
    <w:rsid w:val="52AA10AF"/>
    <w:rsid w:val="53095B97"/>
    <w:rsid w:val="53CF578C"/>
    <w:rsid w:val="53F8359B"/>
    <w:rsid w:val="540E24C8"/>
    <w:rsid w:val="54121FB6"/>
    <w:rsid w:val="54306AE6"/>
    <w:rsid w:val="54777CC4"/>
    <w:rsid w:val="54BD2C3B"/>
    <w:rsid w:val="54DE4E87"/>
    <w:rsid w:val="55147BA8"/>
    <w:rsid w:val="556963E6"/>
    <w:rsid w:val="561A3C9D"/>
    <w:rsid w:val="566E3FE9"/>
    <w:rsid w:val="56A1327E"/>
    <w:rsid w:val="573E39BB"/>
    <w:rsid w:val="57632B2F"/>
    <w:rsid w:val="57933824"/>
    <w:rsid w:val="59967677"/>
    <w:rsid w:val="5AD4278B"/>
    <w:rsid w:val="5B062A42"/>
    <w:rsid w:val="5C366C9F"/>
    <w:rsid w:val="5CDB19C4"/>
    <w:rsid w:val="5FCD1D80"/>
    <w:rsid w:val="60BE7581"/>
    <w:rsid w:val="61A04DAD"/>
    <w:rsid w:val="620500A2"/>
    <w:rsid w:val="63A27715"/>
    <w:rsid w:val="647F37C0"/>
    <w:rsid w:val="64DC75B4"/>
    <w:rsid w:val="658A4B8B"/>
    <w:rsid w:val="65EF3D27"/>
    <w:rsid w:val="669C730B"/>
    <w:rsid w:val="66A97F15"/>
    <w:rsid w:val="677D1976"/>
    <w:rsid w:val="683961C9"/>
    <w:rsid w:val="685748DD"/>
    <w:rsid w:val="688C0BFD"/>
    <w:rsid w:val="68941F02"/>
    <w:rsid w:val="68DE2B67"/>
    <w:rsid w:val="6AD7131F"/>
    <w:rsid w:val="6BF75BEB"/>
    <w:rsid w:val="6C276CBC"/>
    <w:rsid w:val="6CB247D7"/>
    <w:rsid w:val="6CD02EB0"/>
    <w:rsid w:val="6DB9234E"/>
    <w:rsid w:val="6E385E25"/>
    <w:rsid w:val="6F9401C4"/>
    <w:rsid w:val="6FC30AAA"/>
    <w:rsid w:val="700F68DA"/>
    <w:rsid w:val="70EE0E8C"/>
    <w:rsid w:val="70F84783"/>
    <w:rsid w:val="721E638F"/>
    <w:rsid w:val="736D76AA"/>
    <w:rsid w:val="73BB00CF"/>
    <w:rsid w:val="73D94D40"/>
    <w:rsid w:val="73DC65DE"/>
    <w:rsid w:val="75710A95"/>
    <w:rsid w:val="763A339C"/>
    <w:rsid w:val="76F729D8"/>
    <w:rsid w:val="771B741D"/>
    <w:rsid w:val="78822D12"/>
    <w:rsid w:val="78B43685"/>
    <w:rsid w:val="78D67AA0"/>
    <w:rsid w:val="78F61EF0"/>
    <w:rsid w:val="7B86675E"/>
    <w:rsid w:val="7B945E88"/>
    <w:rsid w:val="7CCD2F68"/>
    <w:rsid w:val="7D356246"/>
    <w:rsid w:val="7D67447D"/>
    <w:rsid w:val="7E4953C9"/>
    <w:rsid w:val="7E974D76"/>
    <w:rsid w:val="7EC21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before="120" w:after="240"/>
      <w:jc w:val="both"/>
    </w:pPr>
    <w:rPr>
      <w:rFonts w:ascii="Palatino Linotype" w:hAnsi="Palatino Linotype" w:eastAsia="宋体" w:cs="Times New Roman"/>
      <w:sz w:val="22"/>
      <w:szCs w:val="22"/>
      <w:lang w:val="ru-RU" w:eastAsia="en-US" w:bidi="ar-SA"/>
    </w:rPr>
  </w:style>
  <w:style w:type="paragraph" w:styleId="3">
    <w:name w:val="heading 1"/>
    <w:basedOn w:val="4"/>
    <w:next w:val="1"/>
    <w:link w:val="31"/>
    <w:qFormat/>
    <w:uiPriority w:val="0"/>
    <w:pPr>
      <w:adjustRightInd w:val="0"/>
      <w:snapToGrid w:val="0"/>
      <w:spacing w:before="156" w:beforeLines="50" w:after="156" w:afterLines="50" w:line="360" w:lineRule="auto"/>
      <w:ind w:firstLine="482"/>
      <w:jc w:val="left"/>
      <w:outlineLvl w:val="0"/>
    </w:pPr>
    <w:rPr>
      <w:rFonts w:ascii="宋体" w:hAnsi="宋体" w:cs="宋体"/>
      <w:b/>
      <w:bCs/>
      <w:sz w:val="24"/>
      <w:szCs w:val="24"/>
      <w:lang w:val="en-US" w:eastAsia="zh-CN"/>
    </w:rPr>
  </w:style>
  <w:style w:type="paragraph" w:styleId="5">
    <w:name w:val="heading 2"/>
    <w:basedOn w:val="4"/>
    <w:next w:val="1"/>
    <w:link w:val="32"/>
    <w:unhideWhenUsed/>
    <w:qFormat/>
    <w:uiPriority w:val="0"/>
    <w:pPr>
      <w:spacing w:line="360" w:lineRule="auto"/>
      <w:ind w:firstLine="480"/>
      <w:outlineLvl w:val="1"/>
    </w:pPr>
    <w:rPr>
      <w:rFonts w:cs="宋体" w:asciiTheme="minorEastAsia" w:hAnsiTheme="minorEastAsia" w:eastAsiaTheme="minorEastAsia"/>
      <w:sz w:val="24"/>
      <w:szCs w:val="24"/>
      <w:lang w:val="en-US" w:eastAsia="zh-CN"/>
    </w:rPr>
  </w:style>
  <w:style w:type="paragraph" w:styleId="6">
    <w:name w:val="heading 3"/>
    <w:basedOn w:val="4"/>
    <w:next w:val="1"/>
    <w:link w:val="35"/>
    <w:unhideWhenUsed/>
    <w:qFormat/>
    <w:uiPriority w:val="0"/>
    <w:pPr>
      <w:spacing w:line="360" w:lineRule="auto"/>
      <w:ind w:firstLine="480"/>
      <w:outlineLvl w:val="2"/>
    </w:pPr>
    <w:rPr>
      <w:rFonts w:cs="宋体" w:asciiTheme="minorEastAsia" w:hAnsiTheme="minorEastAsia" w:eastAsiaTheme="minorEastAsia"/>
      <w:sz w:val="24"/>
      <w:szCs w:val="24"/>
      <w:shd w:val="clear" w:color="auto" w:fill="FFFFFF"/>
      <w:lang w:val="en-US" w:eastAsia="zh-CN"/>
    </w:rPr>
  </w:style>
  <w:style w:type="paragraph" w:styleId="7">
    <w:name w:val="heading 4"/>
    <w:basedOn w:val="1"/>
    <w:next w:val="1"/>
    <w:link w:val="36"/>
    <w:unhideWhenUsed/>
    <w:qFormat/>
    <w:uiPriority w:val="0"/>
    <w:pPr>
      <w:autoSpaceDE w:val="0"/>
      <w:autoSpaceDN w:val="0"/>
      <w:adjustRightInd w:val="0"/>
      <w:spacing w:line="360" w:lineRule="auto"/>
      <w:ind w:firstLine="440" w:firstLineChars="200"/>
      <w:outlineLvl w:val="3"/>
    </w:pPr>
    <w:rPr>
      <w:lang w:eastAsia="zh-CN"/>
    </w:rPr>
  </w:style>
  <w:style w:type="character" w:default="1" w:styleId="18">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99"/>
    <w:pPr>
      <w:spacing w:before="102" w:line="360" w:lineRule="auto"/>
      <w:ind w:left="112" w:firstLine="480" w:firstLineChars="200"/>
      <w:contextualSpacing/>
    </w:pPr>
    <w:rPr>
      <w:rFonts w:cs="宋体" w:asciiTheme="minorEastAsia" w:hAnsiTheme="minorEastAsia" w:eastAsiaTheme="minorEastAsia"/>
      <w:sz w:val="24"/>
      <w:szCs w:val="24"/>
      <w:lang w:val="en-US" w:eastAsia="zh-CN"/>
    </w:rPr>
  </w:style>
  <w:style w:type="paragraph" w:styleId="4">
    <w:name w:val="List Paragraph"/>
    <w:basedOn w:val="1"/>
    <w:unhideWhenUsed/>
    <w:qFormat/>
    <w:uiPriority w:val="34"/>
    <w:pPr>
      <w:ind w:firstLine="420" w:firstLineChars="200"/>
    </w:pPr>
  </w:style>
  <w:style w:type="paragraph" w:styleId="8">
    <w:name w:val="Normal Indent"/>
    <w:basedOn w:val="1"/>
    <w:unhideWhenUsed/>
    <w:qFormat/>
    <w:uiPriority w:val="99"/>
    <w:pPr>
      <w:spacing w:line="590" w:lineRule="atLeast"/>
      <w:ind w:firstLine="420" w:firstLineChars="200"/>
    </w:pPr>
    <w:rPr>
      <w:rFonts w:ascii="Calibri" w:hAnsi="Calibri" w:cs="Calibri"/>
      <w:szCs w:val="21"/>
    </w:rPr>
  </w:style>
  <w:style w:type="paragraph" w:styleId="9">
    <w:name w:val="annotation text"/>
    <w:basedOn w:val="1"/>
    <w:link w:val="28"/>
    <w:qFormat/>
    <w:uiPriority w:val="99"/>
    <w:pPr>
      <w:jc w:val="left"/>
    </w:pPr>
  </w:style>
  <w:style w:type="paragraph" w:styleId="10">
    <w:name w:val="Balloon Text"/>
    <w:basedOn w:val="1"/>
    <w:link w:val="24"/>
    <w:qFormat/>
    <w:uiPriority w:val="0"/>
    <w:pPr>
      <w:spacing w:before="0" w:after="0"/>
    </w:pPr>
    <w:rPr>
      <w:sz w:val="18"/>
      <w:szCs w:val="18"/>
    </w:rPr>
  </w:style>
  <w:style w:type="paragraph" w:styleId="11">
    <w:name w:val="footer"/>
    <w:basedOn w:val="1"/>
    <w:link w:val="22"/>
    <w:qFormat/>
    <w:uiPriority w:val="99"/>
    <w:pPr>
      <w:tabs>
        <w:tab w:val="center" w:pos="4153"/>
        <w:tab w:val="right" w:pos="8306"/>
      </w:tabs>
      <w:snapToGrid w:val="0"/>
      <w:jc w:val="left"/>
    </w:pPr>
    <w:rPr>
      <w:sz w:val="18"/>
      <w:szCs w:val="18"/>
    </w:rPr>
  </w:style>
  <w:style w:type="paragraph" w:styleId="12">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sz w:val="24"/>
    </w:rPr>
  </w:style>
  <w:style w:type="paragraph" w:styleId="14">
    <w:name w:val="annotation subject"/>
    <w:basedOn w:val="9"/>
    <w:next w:val="9"/>
    <w:link w:val="29"/>
    <w:qFormat/>
    <w:uiPriority w:val="0"/>
    <w:rPr>
      <w:b/>
      <w:bCs/>
    </w:rPr>
  </w:style>
  <w:style w:type="table" w:styleId="16">
    <w:name w:val="Table Grid"/>
    <w:basedOn w:val="15"/>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7">
    <w:name w:val="Light Shading Accent 1"/>
    <w:basedOn w:val="15"/>
    <w:qFormat/>
    <w:uiPriority w:val="60"/>
    <w:rPr>
      <w:rFonts w:asciiTheme="minorHAnsi" w:hAnsiTheme="minorHAnsi" w:eastAsiaTheme="minorEastAsia" w:cstheme="minorBidi"/>
      <w:color w:val="2E75B6" w:themeColor="accent1" w:themeShade="BF"/>
      <w:sz w:val="22"/>
      <w:szCs w:val="22"/>
      <w:lang w:eastAsia="en-US"/>
    </w:rPr>
    <w:tblPr>
      <w:tblBorders>
        <w:top w:val="single" w:color="5B9BD5" w:themeColor="accent1" w:sz="8" w:space="0"/>
        <w:bottom w:val="single" w:color="5B9BD5" w:themeColor="accent1" w:sz="8" w:space="0"/>
      </w:tblBorders>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19">
    <w:name w:val="page number"/>
    <w:basedOn w:val="18"/>
    <w:qFormat/>
    <w:uiPriority w:val="0"/>
  </w:style>
  <w:style w:type="character" w:styleId="20">
    <w:name w:val="annotation reference"/>
    <w:basedOn w:val="18"/>
    <w:qFormat/>
    <w:uiPriority w:val="0"/>
    <w:rPr>
      <w:sz w:val="21"/>
      <w:szCs w:val="21"/>
    </w:rPr>
  </w:style>
  <w:style w:type="character" w:customStyle="1" w:styleId="21">
    <w:name w:val="页眉 Char"/>
    <w:basedOn w:val="18"/>
    <w:link w:val="12"/>
    <w:qFormat/>
    <w:uiPriority w:val="0"/>
    <w:rPr>
      <w:rFonts w:ascii="Palatino Linotype" w:hAnsi="Palatino Linotype" w:eastAsia="宋体" w:cs="Times New Roman"/>
      <w:sz w:val="18"/>
      <w:szCs w:val="18"/>
      <w:lang w:val="ru-RU" w:eastAsia="en-US"/>
    </w:rPr>
  </w:style>
  <w:style w:type="character" w:customStyle="1" w:styleId="22">
    <w:name w:val="页脚 Char"/>
    <w:basedOn w:val="18"/>
    <w:link w:val="11"/>
    <w:qFormat/>
    <w:uiPriority w:val="99"/>
    <w:rPr>
      <w:rFonts w:ascii="Palatino Linotype" w:hAnsi="Palatino Linotype" w:eastAsia="宋体" w:cs="Times New Roman"/>
      <w:sz w:val="18"/>
      <w:szCs w:val="18"/>
      <w:lang w:val="ru-RU" w:eastAsia="en-US"/>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Char"/>
    <w:basedOn w:val="18"/>
    <w:link w:val="10"/>
    <w:qFormat/>
    <w:uiPriority w:val="0"/>
    <w:rPr>
      <w:rFonts w:ascii="Palatino Linotype" w:hAnsi="Palatino Linotype" w:eastAsia="宋体" w:cs="Times New Roman"/>
      <w:sz w:val="18"/>
      <w:szCs w:val="18"/>
      <w:lang w:val="ru-RU" w:eastAsia="en-US"/>
    </w:rPr>
  </w:style>
  <w:style w:type="character" w:customStyle="1" w:styleId="25">
    <w:name w:val="font51"/>
    <w:basedOn w:val="18"/>
    <w:qFormat/>
    <w:uiPriority w:val="0"/>
    <w:rPr>
      <w:rFonts w:ascii="宋体" w:hAnsi="宋体" w:eastAsia="宋体" w:cs="宋体"/>
      <w:color w:val="000000"/>
      <w:sz w:val="24"/>
      <w:szCs w:val="24"/>
      <w:u w:val="none"/>
    </w:rPr>
  </w:style>
  <w:style w:type="character" w:customStyle="1" w:styleId="26">
    <w:name w:val="正文文本 Char"/>
    <w:basedOn w:val="18"/>
    <w:link w:val="2"/>
    <w:qFormat/>
    <w:uiPriority w:val="99"/>
    <w:rPr>
      <w:rFonts w:cs="宋体" w:asciiTheme="minorEastAsia" w:hAnsiTheme="minorEastAsia" w:eastAsiaTheme="minorEastAsia"/>
      <w:sz w:val="24"/>
      <w:szCs w:val="24"/>
    </w:rPr>
  </w:style>
  <w:style w:type="paragraph" w:customStyle="1" w:styleId="27">
    <w:name w:val="修订1"/>
    <w:hidden/>
    <w:semiHidden/>
    <w:qFormat/>
    <w:uiPriority w:val="99"/>
    <w:rPr>
      <w:rFonts w:ascii="Palatino Linotype" w:hAnsi="Palatino Linotype" w:eastAsia="宋体" w:cs="Times New Roman"/>
      <w:sz w:val="22"/>
      <w:szCs w:val="22"/>
      <w:lang w:val="ru-RU" w:eastAsia="en-US" w:bidi="ar-SA"/>
    </w:rPr>
  </w:style>
  <w:style w:type="character" w:customStyle="1" w:styleId="28">
    <w:name w:val="批注文字 Char"/>
    <w:basedOn w:val="18"/>
    <w:link w:val="9"/>
    <w:qFormat/>
    <w:uiPriority w:val="99"/>
    <w:rPr>
      <w:rFonts w:ascii="Palatino Linotype" w:hAnsi="Palatino Linotype"/>
      <w:sz w:val="22"/>
      <w:szCs w:val="22"/>
      <w:lang w:val="ru-RU" w:eastAsia="en-US"/>
    </w:rPr>
  </w:style>
  <w:style w:type="character" w:customStyle="1" w:styleId="29">
    <w:name w:val="批注主题 Char"/>
    <w:basedOn w:val="28"/>
    <w:link w:val="14"/>
    <w:qFormat/>
    <w:uiPriority w:val="0"/>
    <w:rPr>
      <w:rFonts w:ascii="Palatino Linotype" w:hAnsi="Palatino Linotype"/>
      <w:b/>
      <w:bCs/>
      <w:sz w:val="22"/>
      <w:szCs w:val="22"/>
      <w:lang w:val="ru-RU" w:eastAsia="en-US"/>
    </w:rPr>
  </w:style>
  <w:style w:type="paragraph" w:customStyle="1" w:styleId="30">
    <w:name w:val="修订2"/>
    <w:hidden/>
    <w:semiHidden/>
    <w:qFormat/>
    <w:uiPriority w:val="99"/>
    <w:rPr>
      <w:rFonts w:ascii="Palatino Linotype" w:hAnsi="Palatino Linotype" w:eastAsia="宋体" w:cs="Times New Roman"/>
      <w:sz w:val="22"/>
      <w:szCs w:val="22"/>
      <w:lang w:val="ru-RU" w:eastAsia="en-US" w:bidi="ar-SA"/>
    </w:rPr>
  </w:style>
  <w:style w:type="character" w:customStyle="1" w:styleId="31">
    <w:name w:val="标题 1 Char"/>
    <w:basedOn w:val="18"/>
    <w:link w:val="3"/>
    <w:qFormat/>
    <w:uiPriority w:val="0"/>
    <w:rPr>
      <w:rFonts w:ascii="宋体" w:hAnsi="宋体" w:cs="宋体"/>
      <w:b/>
      <w:bCs/>
      <w:sz w:val="24"/>
      <w:szCs w:val="24"/>
    </w:rPr>
  </w:style>
  <w:style w:type="character" w:customStyle="1" w:styleId="32">
    <w:name w:val="标题 2 Char"/>
    <w:basedOn w:val="18"/>
    <w:link w:val="5"/>
    <w:qFormat/>
    <w:uiPriority w:val="0"/>
    <w:rPr>
      <w:rFonts w:cs="宋体" w:asciiTheme="minorEastAsia" w:hAnsiTheme="minorEastAsia" w:eastAsiaTheme="minorEastAsia"/>
      <w:sz w:val="24"/>
      <w:szCs w:val="24"/>
    </w:rPr>
  </w:style>
  <w:style w:type="paragraph" w:customStyle="1" w:styleId="33">
    <w:name w:val="RS Body Text"/>
    <w:basedOn w:val="1"/>
    <w:link w:val="34"/>
    <w:qFormat/>
    <w:uiPriority w:val="0"/>
    <w:pPr>
      <w:spacing w:before="0"/>
      <w:jc w:val="left"/>
    </w:pPr>
    <w:rPr>
      <w:rFonts w:ascii="Times New Roman" w:hAnsi="Times New Roman" w:eastAsia="PMingLiU" w:cstheme="minorBidi"/>
      <w:sz w:val="24"/>
      <w:szCs w:val="24"/>
      <w:lang w:val="en-US"/>
    </w:rPr>
  </w:style>
  <w:style w:type="character" w:customStyle="1" w:styleId="34">
    <w:name w:val="RS Body Text Char"/>
    <w:basedOn w:val="18"/>
    <w:link w:val="33"/>
    <w:qFormat/>
    <w:uiPriority w:val="0"/>
    <w:rPr>
      <w:rFonts w:eastAsia="PMingLiU" w:cstheme="minorBidi"/>
      <w:sz w:val="24"/>
      <w:szCs w:val="24"/>
      <w:lang w:eastAsia="en-US"/>
    </w:rPr>
  </w:style>
  <w:style w:type="character" w:customStyle="1" w:styleId="35">
    <w:name w:val="标题 3 Char"/>
    <w:basedOn w:val="18"/>
    <w:link w:val="6"/>
    <w:qFormat/>
    <w:uiPriority w:val="0"/>
    <w:rPr>
      <w:rFonts w:cs="宋体" w:asciiTheme="minorEastAsia" w:hAnsiTheme="minorEastAsia" w:eastAsiaTheme="minorEastAsia"/>
      <w:sz w:val="24"/>
      <w:szCs w:val="24"/>
    </w:rPr>
  </w:style>
  <w:style w:type="character" w:customStyle="1" w:styleId="36">
    <w:name w:val="标题 4 Char"/>
    <w:basedOn w:val="18"/>
    <w:link w:val="7"/>
    <w:qFormat/>
    <w:uiPriority w:val="0"/>
    <w:rPr>
      <w:rFonts w:ascii="Palatino Linotype" w:hAnsi="Palatino Linotype"/>
      <w:sz w:val="22"/>
      <w:szCs w:val="22"/>
      <w:lang w:val="ru-RU"/>
    </w:rPr>
  </w:style>
  <w:style w:type="paragraph" w:customStyle="1" w:styleId="37">
    <w:name w:val="Decimal Aligned"/>
    <w:basedOn w:val="1"/>
    <w:qFormat/>
    <w:uiPriority w:val="40"/>
    <w:pPr>
      <w:tabs>
        <w:tab w:val="decimal" w:pos="360"/>
      </w:tabs>
      <w:spacing w:before="0" w:after="200" w:line="276" w:lineRule="auto"/>
      <w:jc w:val="left"/>
    </w:pPr>
    <w:rPr>
      <w:rFonts w:asciiTheme="minorHAnsi" w:hAnsiTheme="minorHAnsi" w:eastAsiaTheme="minorEastAsia"/>
      <w:lang w:val="en-US"/>
    </w:rPr>
  </w:style>
  <w:style w:type="character" w:customStyle="1" w:styleId="38">
    <w:name w:val="不明显强调1"/>
    <w:basedOn w:val="18"/>
    <w:qFormat/>
    <w:uiPriority w:val="19"/>
    <w:rPr>
      <w:i/>
      <w:i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5DF1A-0B5E-43E7-80AD-11A42CDADE35}">
  <ds:schemaRefs/>
</ds:datastoreItem>
</file>

<file path=docProps/app.xml><?xml version="1.0" encoding="utf-8"?>
<Properties xmlns="http://schemas.openxmlformats.org/officeDocument/2006/extended-properties" xmlns:vt="http://schemas.openxmlformats.org/officeDocument/2006/docPropsVTypes">
  <Template>Normal</Template>
  <Pages>2</Pages>
  <Words>1157</Words>
  <Characters>1216</Characters>
  <Lines>8</Lines>
  <Paragraphs>2</Paragraphs>
  <TotalTime>2</TotalTime>
  <ScaleCrop>false</ScaleCrop>
  <LinksUpToDate>false</LinksUpToDate>
  <CharactersWithSpaces>1235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2024-06-20T04:22:00Z</dcterms:created>
  <dc:creator>NH-222</dc:creator>
  <cp:lastModifiedBy>Administrator</cp:lastModifiedBy>
  <cp:lastPrinted>2025-07-24T00:55:00Z</cp:lastPrinted>
  <dcterms:modified xsi:type="dcterms:W3CDTF">2025-07-25T00:29:48Z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F1C0B1951EEA4310BF23D76F57D6F811</vt:lpwstr>
  </property>
  <property fmtid="{D5CDD505-2E9C-101B-9397-08002B2CF9AE}" pid="4" name="KSOTemplateDocerSaveRecord">
    <vt:lpwstr>eyJoZGlkIjoiMjBiM2RjZDQxMDBmNmI5ZjE2MTYzNTlmNzE4NGEzMTAifQ==</vt:lpwstr>
  </property>
</Properties>
</file>