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rPr>
          <w:bCs/>
        </w:rPr>
      </w:pPr>
      <w:bookmarkStart w:id="306" w:name="_GoBack"/>
      <w:bookmarkEnd w:id="306"/>
      <w:r>
        <w:rPr>
          <w:rFonts w:hint="eastAsia"/>
        </w:rPr>
        <w:t>公司代码：</w:t>
      </w:r>
      <w:sdt>
        <w:sdtPr>
          <w:rPr>
            <w:rFonts w:hint="eastAsia"/>
            <w:bCs/>
          </w:rPr>
          <w:alias w:val="公司代码"/>
          <w:tag w:val="_GBC_704b7b03ea3f4a93b8d4655a09b2ff61"/>
          <w:id w:val="-1254436386"/>
          <w:lock w:val="sdtLocked"/>
          <w:placeholder>
            <w:docPart w:val="GBC22222222222222222222222222222"/>
          </w:placeholder>
        </w:sdtPr>
        <w:sdtEndPr>
          <w:rPr>
            <w:rFonts w:hint="eastAsia"/>
            <w:bCs/>
          </w:rPr>
        </w:sdtEndPr>
        <w:sdtContent>
          <w:r>
            <w:rPr>
              <w:rFonts w:hint="eastAsia"/>
              <w:bCs/>
            </w:rPr>
            <w:t>600377</w:t>
          </w:r>
        </w:sdtContent>
      </w:sdt>
      <w:r>
        <w:rPr>
          <w:rFonts w:hint="eastAsia"/>
        </w:rPr>
        <w:t xml:space="preserve">                      　　　　　　　　　　公司简称：</w:t>
      </w:r>
      <w:sdt>
        <w:sdtPr>
          <w:rPr>
            <w:rFonts w:hint="eastAsia"/>
            <w:bCs/>
          </w:rPr>
          <w:alias w:val="公司简称"/>
          <w:tag w:val="_GBC_0384ae715a1e4b4894a29e4d27f5bef4"/>
          <w:id w:val="-1928337159"/>
          <w:lock w:val="sdtLocked"/>
          <w:placeholder>
            <w:docPart w:val="GBC22222222222222222222222222222"/>
          </w:placeholder>
        </w:sdtPr>
        <w:sdtEndPr>
          <w:rPr>
            <w:rFonts w:hint="eastAsia"/>
            <w:bCs/>
          </w:rPr>
        </w:sdtEndPr>
        <w:sdtContent>
          <w:r>
            <w:rPr>
              <w:rFonts w:hint="eastAsia"/>
              <w:bCs/>
            </w:rPr>
            <w:t>宁沪高速</w:t>
          </w:r>
        </w:sdtContent>
      </w:sdt>
    </w:p>
    <w:p>
      <w:pPr>
        <w:pStyle w:val="114"/>
      </w:pPr>
    </w:p>
    <w:p>
      <w:pPr>
        <w:pStyle w:val="114"/>
      </w:pPr>
    </w:p>
    <w:p>
      <w:pPr>
        <w:pStyle w:val="114"/>
      </w:pPr>
    </w:p>
    <w:p>
      <w:pPr>
        <w:pStyle w:val="114"/>
      </w:pPr>
    </w:p>
    <w:p>
      <w:pPr>
        <w:pStyle w:val="114"/>
      </w:pPr>
    </w:p>
    <w:p>
      <w:pPr>
        <w:pStyle w:val="114"/>
      </w:pPr>
    </w:p>
    <w:p>
      <w:pPr>
        <w:pStyle w:val="114"/>
      </w:pPr>
    </w:p>
    <w:p>
      <w:pPr>
        <w:jc w:val="center"/>
        <w:rPr>
          <w:rFonts w:ascii="黑体" w:hAnsi="黑体" w:eastAsia="黑体"/>
          <w:b/>
          <w:bCs/>
          <w:sz w:val="44"/>
          <w:szCs w:val="44"/>
        </w:rPr>
      </w:pPr>
      <w:sdt>
        <w:sdtPr>
          <w:rPr>
            <w:rFonts w:hint="eastAsia" w:ascii="黑体" w:hAnsi="黑体" w:eastAsia="黑体"/>
            <w:b/>
            <w:bCs/>
            <w:color w:val="FF0000"/>
            <w:sz w:val="44"/>
            <w:szCs w:val="44"/>
          </w:rPr>
          <w:alias w:val="公司法定中文名称"/>
          <w:tag w:val="_GBC_ef279e32efc14c6bb521c62ff1f265ba"/>
          <w:id w:val="-111295566"/>
          <w:lock w:val="sdtLocked"/>
          <w:placeholder>
            <w:docPart w:val="GBC22222222222222222222222222222"/>
          </w:placeholder>
          <w:dataBinding w:prefixMappings="xmlns:clcid-cgi='clcid-cgi'" w:xpath="/*/clcid-cgi:GongSiFaDingZhongWenMingCheng" w:storeItemID="{89EBAB94-44A0-46A2-B712-30D997D04A6D}"/>
          <w:text/>
        </w:sdtPr>
        <w:sdtEndPr>
          <w:rPr>
            <w:rFonts w:hint="eastAsia" w:ascii="黑体" w:hAnsi="黑体" w:eastAsia="黑体"/>
            <w:b/>
            <w:bCs/>
            <w:color w:val="FF0000"/>
            <w:sz w:val="44"/>
            <w:szCs w:val="44"/>
          </w:rPr>
        </w:sdtEndPr>
        <w:sdtContent>
          <w:r>
            <w:rPr>
              <w:rFonts w:hint="eastAsia" w:ascii="黑体" w:hAnsi="黑体" w:eastAsia="黑体"/>
              <w:b/>
              <w:bCs/>
              <w:color w:val="FF0000"/>
              <w:sz w:val="44"/>
              <w:szCs w:val="44"/>
            </w:rPr>
            <w:t>江苏宁沪高速公路股份有限公司</w:t>
          </w:r>
        </w:sdtContent>
      </w:sdt>
    </w:p>
    <w:p>
      <w:pPr>
        <w:jc w:val="center"/>
        <w:rPr>
          <w:rFonts w:ascii="黑体" w:hAnsi="黑体" w:eastAsia="黑体"/>
          <w:b/>
          <w:bCs/>
          <w:color w:val="FF0000"/>
          <w:sz w:val="44"/>
          <w:szCs w:val="44"/>
        </w:rPr>
      </w:pPr>
      <w:r>
        <w:rPr>
          <w:rFonts w:ascii="黑体" w:hAnsi="黑体" w:eastAsia="黑体"/>
          <w:b/>
          <w:color w:val="FF0000"/>
          <w:sz w:val="44"/>
          <w:szCs w:val="44"/>
        </w:rPr>
        <w:t>2023年</w:t>
      </w:r>
      <w:r>
        <w:rPr>
          <w:rFonts w:hint="eastAsia" w:ascii="黑体" w:hAnsi="黑体" w:eastAsia="黑体"/>
          <w:b/>
          <w:color w:val="FF0000"/>
          <w:sz w:val="44"/>
          <w:szCs w:val="44"/>
        </w:rPr>
        <w:t>半年度报告</w:t>
      </w:r>
    </w:p>
    <w:p>
      <w:pPr>
        <w:pStyle w:val="114"/>
      </w:pPr>
    </w:p>
    <w:p>
      <w:pPr>
        <w:pStyle w:val="114"/>
      </w:pPr>
    </w:p>
    <w:p>
      <w:pPr>
        <w:pStyle w:val="114"/>
      </w:pPr>
    </w:p>
    <w:p>
      <w:pPr>
        <w:pStyle w:val="114"/>
      </w:pPr>
    </w:p>
    <w:p>
      <w:pPr>
        <w:pStyle w:val="114"/>
      </w:pPr>
    </w:p>
    <w:p>
      <w:pPr>
        <w:pStyle w:val="114"/>
      </w:pPr>
    </w:p>
    <w:p>
      <w:pPr>
        <w:pStyle w:val="114"/>
      </w:pPr>
    </w:p>
    <w:p>
      <w:pPr>
        <w:pStyle w:val="114"/>
      </w:pPr>
      <w:r>
        <w:br w:type="page"/>
      </w:r>
    </w:p>
    <w:p>
      <w:pPr>
        <w:pStyle w:val="33"/>
        <w:spacing w:after="280" w:afterAutospacing="0"/>
        <w:jc w:val="center"/>
        <w:rPr>
          <w:b/>
          <w:bCs/>
          <w:sz w:val="28"/>
          <w:szCs w:val="28"/>
        </w:rPr>
      </w:pPr>
      <w:bookmarkStart w:id="0" w:name="_Toc387656034"/>
      <w:r>
        <w:rPr>
          <w:rFonts w:hint="eastAsia"/>
          <w:b/>
          <w:sz w:val="28"/>
          <w:szCs w:val="28"/>
        </w:rPr>
        <w:t>重要提示</w:t>
      </w:r>
      <w:bookmarkEnd w:id="0"/>
    </w:p>
    <w:sdt>
      <w:sdtPr>
        <w:rPr>
          <w:rFonts w:hint="eastAsia" w:ascii="宋体" w:hAnsi="宋体" w:cs="宋体"/>
          <w:b w:val="0"/>
          <w:bCs w:val="0"/>
          <w:kern w:val="0"/>
        </w:rPr>
        <w:alias w:val="选项模块:董事会及董事声明"/>
        <w:tag w:val="_SEC_d5e0e82062cc4f3cb5a290078031cbd7"/>
        <w:id w:val="94915539"/>
        <w:lock w:val="sdtLocked"/>
        <w:placeholder>
          <w:docPart w:val="GBC22222222222222222222222222222"/>
        </w:placeholder>
      </w:sdtPr>
      <w:sdtEndPr>
        <w:rPr>
          <w:rFonts w:hint="eastAsia" w:ascii="宋体" w:hAnsi="宋体" w:cs="宋体"/>
          <w:b w:val="0"/>
          <w:bCs w:val="0"/>
          <w:kern w:val="0"/>
        </w:rPr>
      </w:sdtEndPr>
      <w:sdtContent>
        <w:sdt>
          <w:sdtPr>
            <w:rPr>
              <w:rFonts w:hint="eastAsia" w:ascii="宋体" w:hAnsi="宋体" w:cs="宋体"/>
              <w:b w:val="0"/>
              <w:bCs w:val="0"/>
              <w:kern w:val="0"/>
            </w:rPr>
            <w:alias w:val="董事会及董事声明"/>
            <w:tag w:val="_GBC_6c6da163383e4e4c92758ff24076a138"/>
            <w:id w:val="-577523120"/>
            <w:lock w:val="sdtLocked"/>
            <w:placeholder>
              <w:docPart w:val="GBC22222222222222222222222222222"/>
            </w:placeholder>
          </w:sdtPr>
          <w:sdtEndPr>
            <w:rPr>
              <w:rFonts w:hint="eastAsia" w:ascii="宋体" w:hAnsi="宋体" w:cs="宋体"/>
              <w:b w:val="0"/>
              <w:bCs w:val="0"/>
              <w:kern w:val="0"/>
            </w:rPr>
          </w:sdtEndPr>
          <w:sdtContent>
            <w:p>
              <w:pPr>
                <w:pStyle w:val="3"/>
                <w:numPr>
                  <w:ilvl w:val="0"/>
                  <w:numId w:val="1"/>
                </w:numPr>
                <w:tabs>
                  <w:tab w:val="left" w:pos="434"/>
                </w:tabs>
                <w:spacing w:before="0" w:after="0" w:line="360" w:lineRule="auto"/>
                <w:ind w:left="368" w:hanging="367" w:hangingChars="175"/>
                <w:rPr>
                  <w:rFonts w:ascii="宋体" w:hAnsi="宋体" w:cs="宋体"/>
                </w:rPr>
              </w:pPr>
              <w:r>
                <w:rPr>
                  <w:rFonts w:ascii="宋体" w:hAnsi="宋体" w:cs="宋体"/>
                </w:rPr>
                <w:t>本公司董事会、监事会及董事、监事、高级管理人员保证</w:t>
              </w:r>
              <w:r>
                <w:rPr>
                  <w:rFonts w:hint="eastAsia" w:ascii="宋体" w:hAnsi="宋体" w:cs="宋体"/>
                </w:rPr>
                <w:t>半</w:t>
              </w:r>
              <w:r>
                <w:rPr>
                  <w:rFonts w:ascii="宋体" w:hAnsi="宋体" w:cs="宋体"/>
                </w:rPr>
                <w:t>年度报告内容的真实</w:t>
              </w:r>
              <w:r>
                <w:rPr>
                  <w:rFonts w:hint="eastAsia" w:ascii="宋体" w:hAnsi="宋体" w:cs="宋体"/>
                </w:rPr>
                <w:t>性</w:t>
              </w:r>
              <w:r>
                <w:rPr>
                  <w:rFonts w:ascii="宋体" w:hAnsi="宋体" w:cs="宋体"/>
                </w:rPr>
                <w:t>、准确</w:t>
              </w:r>
              <w:r>
                <w:rPr>
                  <w:rFonts w:hint="eastAsia" w:ascii="宋体" w:hAnsi="宋体" w:cs="宋体"/>
                </w:rPr>
                <w:t>性</w:t>
              </w:r>
              <w:r>
                <w:rPr>
                  <w:rFonts w:ascii="宋体" w:hAnsi="宋体" w:cs="宋体"/>
                </w:rPr>
                <w:t>、完整</w:t>
              </w:r>
              <w:r>
                <w:rPr>
                  <w:rFonts w:hint="eastAsia" w:ascii="宋体" w:hAnsi="宋体" w:cs="宋体"/>
                </w:rPr>
                <w:t>性</w:t>
              </w:r>
              <w:r>
                <w:rPr>
                  <w:rFonts w:ascii="宋体" w:hAnsi="宋体" w:cs="宋体"/>
                </w:rPr>
                <w:t>，不存在虚假记载、误导性陈述或重大遗漏，并承担个别和连带的法律责任。</w:t>
              </w:r>
            </w:p>
            <w:p>
              <w:pPr>
                <w:pStyle w:val="114"/>
              </w:pPr>
            </w:p>
          </w:sdtContent>
        </w:sdt>
      </w:sdtContent>
    </w:sdt>
    <w:sdt>
      <w:sdtPr>
        <w:rPr>
          <w:rFonts w:hint="eastAsia" w:ascii="宋体" w:hAnsi="宋体" w:cs="宋体"/>
          <w:b w:val="0"/>
          <w:bCs w:val="0"/>
          <w:kern w:val="0"/>
          <w:sz w:val="24"/>
          <w:szCs w:val="22"/>
        </w:rPr>
        <w:alias w:val="选项模块:公司全体董事出席董事会会议。"/>
        <w:tag w:val="_GBC_1b1325bf1ae840869be71054a10ad268"/>
        <w:id w:val="-1609967165"/>
        <w:lock w:val="sdtLocked"/>
        <w:placeholder>
          <w:docPart w:val="GBC22222222222222222222222222222"/>
        </w:placeholder>
      </w:sdtPr>
      <w:sdtEndPr>
        <w:rPr>
          <w:rFonts w:hint="default" w:ascii="Arial" w:hAnsi="Arial" w:cs="Times New Roman"/>
          <w:b/>
          <w:bCs/>
          <w:kern w:val="2"/>
          <w:sz w:val="21"/>
          <w:szCs w:val="21"/>
        </w:rPr>
      </w:sdtEndPr>
      <w:sdtContent>
        <w:p>
          <w:pPr>
            <w:pStyle w:val="3"/>
            <w:numPr>
              <w:ilvl w:val="0"/>
              <w:numId w:val="1"/>
            </w:numPr>
            <w:tabs>
              <w:tab w:val="left" w:pos="448"/>
            </w:tabs>
            <w:spacing w:before="0" w:after="0" w:line="360" w:lineRule="auto"/>
            <w:ind w:left="420" w:hangingChars="175"/>
            <w:rPr>
              <w:rFonts w:ascii="宋体" w:hAnsi="宋体"/>
            </w:rPr>
          </w:pPr>
          <w:r>
            <w:rPr>
              <w:rFonts w:hint="eastAsia" w:ascii="宋体" w:hAnsi="宋体"/>
            </w:rPr>
            <w:t>公司</w:t>
          </w:r>
          <w:sdt>
            <w:sdtPr>
              <w:rPr>
                <w:rFonts w:hint="eastAsia" w:ascii="宋体" w:hAnsi="宋体"/>
              </w:rPr>
              <w:tag w:val="_GBC_2e0ee33ebae04a83b92e8b1aa6754169"/>
              <w:id w:val="648325502"/>
              <w:lock w:val="sdtLocked"/>
              <w:placeholder>
                <w:docPart w:val="GBC22222222222222222222222222222"/>
              </w:placeholder>
            </w:sdtPr>
            <w:sdtEndPr>
              <w:rPr>
                <w:rFonts w:hint="eastAsia" w:ascii="宋体" w:hAnsi="宋体"/>
              </w:rPr>
            </w:sdtEndPr>
            <w:sdtContent>
              <w:r>
                <w:rPr>
                  <w:rFonts w:hint="eastAsia" w:ascii="宋体" w:hAnsi="宋体"/>
                </w:rPr>
                <w:t>全体董事出席</w:t>
              </w:r>
            </w:sdtContent>
          </w:sdt>
          <w:r>
            <w:rPr>
              <w:rFonts w:hint="eastAsia" w:ascii="宋体" w:hAnsi="宋体"/>
            </w:rPr>
            <w:t>董事会会议。</w:t>
          </w:r>
        </w:p>
      </w:sdtContent>
    </w:sdt>
    <w:p>
      <w:pPr>
        <w:pStyle w:val="114"/>
      </w:pPr>
    </w:p>
    <w:sdt>
      <w:sdtPr>
        <w:rPr>
          <w:rFonts w:hint="eastAsia" w:ascii="宋体" w:hAnsi="宋体" w:cs="宋体"/>
          <w:b w:val="0"/>
          <w:bCs w:val="0"/>
          <w:kern w:val="0"/>
          <w:sz w:val="24"/>
          <w:szCs w:val="24"/>
        </w:rPr>
        <w:alias w:val="选项模块:本年度报告未经审计。"/>
        <w:tag w:val="_GBC_07370c6ee32a4bea8271133440d087fd"/>
        <w:id w:val="266899367"/>
        <w:lock w:val="sdtLocked"/>
        <w:placeholder>
          <w:docPart w:val="GBC22222222222222222222222222222"/>
        </w:placeholder>
      </w:sdtPr>
      <w:sdtEndPr>
        <w:rPr>
          <w:rFonts w:hint="default" w:ascii="宋体" w:hAnsi="宋体" w:cs="宋体"/>
          <w:b w:val="0"/>
          <w:bCs w:val="0"/>
          <w:kern w:val="0"/>
          <w:sz w:val="21"/>
          <w:szCs w:val="21"/>
        </w:rPr>
      </w:sdtEndPr>
      <w:sdtContent>
        <w:p>
          <w:pPr>
            <w:pStyle w:val="3"/>
            <w:numPr>
              <w:ilvl w:val="0"/>
              <w:numId w:val="1"/>
            </w:numPr>
            <w:tabs>
              <w:tab w:val="left" w:pos="490"/>
            </w:tabs>
            <w:spacing w:before="0" w:after="0" w:line="360" w:lineRule="auto"/>
            <w:ind w:left="420" w:hangingChars="175"/>
            <w:rPr>
              <w:rFonts w:ascii="宋体" w:hAnsi="宋体"/>
            </w:rPr>
          </w:pPr>
          <w:r>
            <w:rPr>
              <w:rFonts w:hint="eastAsia" w:ascii="宋体" w:hAnsi="宋体"/>
            </w:rPr>
            <w:t>本半年度报告</w:t>
          </w:r>
          <w:sdt>
            <w:sdtPr>
              <w:rPr>
                <w:rFonts w:hint="eastAsia" w:ascii="宋体" w:hAnsi="宋体"/>
              </w:rPr>
              <w:tag w:val="_GBC_be15b7a71d95430e82193d4cab461623"/>
              <w:id w:val="1709216574"/>
              <w:lock w:val="sdtLocked"/>
              <w:placeholder>
                <w:docPart w:val="GBC22222222222222222222222222222"/>
              </w:placeholder>
            </w:sdtPr>
            <w:sdtEndPr>
              <w:rPr>
                <w:rFonts w:hint="eastAsia" w:ascii="宋体" w:hAnsi="宋体"/>
              </w:rPr>
            </w:sdtEndPr>
            <w:sdtContent>
              <w:r>
                <w:rPr>
                  <w:rFonts w:hint="eastAsia" w:ascii="宋体" w:hAnsi="宋体"/>
                </w:rPr>
                <w:t>未经审计</w:t>
              </w:r>
            </w:sdtContent>
          </w:sdt>
          <w:r>
            <w:rPr>
              <w:rFonts w:hint="eastAsia" w:ascii="宋体" w:hAnsi="宋体"/>
            </w:rPr>
            <w:t>。</w:t>
          </w:r>
        </w:p>
        <w:p>
          <w:pPr>
            <w:pStyle w:val="114"/>
          </w:pPr>
        </w:p>
      </w:sdtContent>
    </w:sdt>
    <w:sdt>
      <w:sdtPr>
        <w:rPr>
          <w:rFonts w:hint="eastAsia" w:ascii="宋体" w:hAnsi="宋体"/>
          <w:b w:val="0"/>
        </w:rPr>
        <w:alias w:val="模块:公司负责人等声明"/>
        <w:tag w:val="_GBC_04b137e7f87b43b8812b2c33bd605e04"/>
        <w:id w:val="780379160"/>
        <w:lock w:val="sdtLocked"/>
        <w:placeholder>
          <w:docPart w:val="GBC22222222222222222222222222222"/>
        </w:placeholder>
      </w:sdtPr>
      <w:sdtEndPr>
        <w:rPr>
          <w:rFonts w:hint="eastAsia" w:ascii="宋体" w:hAnsi="宋体"/>
          <w:b/>
        </w:rPr>
      </w:sdtEndPr>
      <w:sdtContent>
        <w:p>
          <w:pPr>
            <w:pStyle w:val="3"/>
            <w:numPr>
              <w:ilvl w:val="0"/>
              <w:numId w:val="1"/>
            </w:numPr>
            <w:tabs>
              <w:tab w:val="left" w:pos="434"/>
            </w:tabs>
            <w:spacing w:before="0" w:after="0" w:line="360" w:lineRule="auto"/>
            <w:ind w:left="368" w:hanging="367" w:hangingChars="175"/>
            <w:rPr>
              <w:rFonts w:ascii="宋体" w:hAnsi="宋体"/>
            </w:rPr>
          </w:pPr>
          <w:r>
            <w:rPr>
              <w:rFonts w:hint="eastAsia" w:ascii="宋体" w:hAnsi="宋体"/>
            </w:rPr>
            <w:t>公司负责人</w:t>
          </w:r>
          <w:sdt>
            <w:sdtPr>
              <w:rPr>
                <w:rFonts w:ascii="宋体" w:hAnsi="宋体"/>
              </w:rPr>
              <w:alias w:val="公司负责人姓名"/>
              <w:tag w:val="_GBC_ee6b72f666bb497bbe8fc037096654d2"/>
              <w:id w:val="1747536530"/>
              <w:lock w:val="sdtLocked"/>
              <w:placeholder>
                <w:docPart w:val="GBC22222222222222222222222222222"/>
              </w:placeholder>
              <w:dataBinding w:prefixMappings="xmlns:clcid-mr='clcid-mr'" w:xpath="/*/clcid-mr:GongSiFuZeRenXingMing[not(@periodRef)]" w:storeItemID="{89EBAB94-44A0-46A2-B712-30D997D04A6D}"/>
              <w:text/>
            </w:sdtPr>
            <w:sdtEndPr>
              <w:rPr>
                <w:rFonts w:ascii="宋体" w:hAnsi="宋体"/>
              </w:rPr>
            </w:sdtEndPr>
            <w:sdtContent>
              <w:r>
                <w:rPr>
                  <w:rFonts w:hint="eastAsia" w:ascii="宋体" w:hAnsi="宋体"/>
                </w:rPr>
                <w:t>陈云江</w:t>
              </w:r>
            </w:sdtContent>
          </w:sdt>
          <w:r>
            <w:rPr>
              <w:rFonts w:hint="eastAsia" w:ascii="宋体" w:hAnsi="宋体"/>
            </w:rPr>
            <w:t>、主管会计工作负责人</w:t>
          </w:r>
          <w:sdt>
            <w:sdtPr>
              <w:rPr>
                <w:rFonts w:hint="eastAsia" w:ascii="宋体" w:hAnsi="宋体"/>
              </w:rPr>
              <w:alias w:val="主管会计工作负责人姓名"/>
              <w:tag w:val="_GBC_51ed55c6ff134dadaa6756998c964cdf"/>
              <w:id w:val="352696814"/>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ascii="宋体" w:hAnsi="宋体"/>
              </w:rPr>
            </w:sdtEndPr>
            <w:sdtContent>
              <w:r>
                <w:rPr>
                  <w:rFonts w:hint="eastAsia" w:ascii="宋体" w:hAnsi="宋体"/>
                </w:rPr>
                <w:t>陈晋佳</w:t>
              </w:r>
            </w:sdtContent>
          </w:sdt>
          <w:r>
            <w:rPr>
              <w:rFonts w:hint="eastAsia" w:ascii="宋体" w:hAnsi="宋体"/>
            </w:rPr>
            <w:t>及会计机构负责人（会计主管人员）</w:t>
          </w:r>
          <w:sdt>
            <w:sdtPr>
              <w:rPr>
                <w:rFonts w:hint="eastAsia" w:ascii="宋体" w:hAnsi="宋体"/>
              </w:rPr>
              <w:alias w:val="会计机构负责人姓名"/>
              <w:tag w:val="_GBC_aa7d9e44d6e64b9abdcdefb4a3968427"/>
              <w:id w:val="1308980662"/>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ascii="宋体" w:hAnsi="宋体"/>
              </w:rPr>
            </w:sdtEndPr>
            <w:sdtContent>
              <w:r>
                <w:rPr>
                  <w:rFonts w:hint="eastAsia" w:ascii="宋体" w:hAnsi="宋体"/>
                </w:rPr>
                <w:t>姚群芳</w:t>
              </w:r>
            </w:sdtContent>
          </w:sdt>
          <w:r>
            <w:rPr>
              <w:rFonts w:hint="eastAsia" w:ascii="宋体" w:hAnsi="宋体"/>
            </w:rPr>
            <w:t>声明：保证半年度报告中财务报告的真实、准确、完整。</w:t>
          </w:r>
        </w:p>
      </w:sdtContent>
    </w:sdt>
    <w:p>
      <w:pPr>
        <w:pStyle w:val="114"/>
      </w:pPr>
    </w:p>
    <w:sdt>
      <w:sdtPr>
        <w:rPr>
          <w:rFonts w:ascii="宋体" w:hAnsi="宋体" w:cs="宋体"/>
          <w:b w:val="0"/>
          <w:bCs w:val="0"/>
          <w:kern w:val="0"/>
          <w:sz w:val="24"/>
          <w:szCs w:val="24"/>
        </w:rPr>
        <w:alias w:val="模块:经董事会审议的报告期利润分配预案或公积金转增股本预案"/>
        <w:tag w:val="_GBC_21c095fa67114a208ee8411405e3a22a"/>
        <w:id w:val="-1151906978"/>
        <w:lock w:val="sdtLocked"/>
        <w:placeholder>
          <w:docPart w:val="GBC22222222222222222222222222222"/>
        </w:placeholder>
      </w:sdtPr>
      <w:sdtEndPr>
        <w:rPr>
          <w:rFonts w:hint="eastAsia" w:ascii="宋体" w:hAnsi="宋体" w:cs="宋体"/>
          <w:b w:val="0"/>
          <w:bCs w:val="0"/>
          <w:kern w:val="0"/>
          <w:sz w:val="21"/>
          <w:szCs w:val="21"/>
          <w:shd w:val="pct10" w:color="auto" w:fill="FFFFFF"/>
        </w:rPr>
      </w:sdtEndPr>
      <w:sdtContent>
        <w:p>
          <w:pPr>
            <w:pStyle w:val="3"/>
            <w:numPr>
              <w:ilvl w:val="0"/>
              <w:numId w:val="1"/>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1907984619"/>
            <w:lock w:val="sdtLocked"/>
            <w:placeholder>
              <w:docPart w:val="GBC22222222222222222222222222222"/>
            </w:placeholder>
          </w:sdtPr>
          <w:sdtEndPr>
            <w:rPr>
              <w:rFonts w:hint="eastAsia"/>
              <w:shd w:val="pct10" w:color="auto" w:fill="FFFFFF"/>
            </w:rPr>
          </w:sdtEndPr>
          <w:sdtContent>
            <w:p>
              <w:pPr>
                <w:kinsoku w:val="0"/>
                <w:overflowPunct w:val="0"/>
                <w:autoSpaceDE w:val="0"/>
                <w:autoSpaceDN w:val="0"/>
                <w:adjustRightInd w:val="0"/>
                <w:snapToGrid w:val="0"/>
                <w:spacing w:line="360" w:lineRule="exact"/>
                <w:rPr>
                  <w:shd w:val="pct10" w:color="auto" w:fill="FFFFFF"/>
                </w:rPr>
              </w:pPr>
              <w:r>
                <w:rPr>
                  <w:rFonts w:hint="eastAsia"/>
                </w:rPr>
                <w:t>不适用</w:t>
              </w:r>
            </w:p>
          </w:sdtContent>
        </w:sdt>
      </w:sdtContent>
    </w:sdt>
    <w:p>
      <w:pPr>
        <w:kinsoku w:val="0"/>
        <w:overflowPunct w:val="0"/>
        <w:autoSpaceDE w:val="0"/>
        <w:autoSpaceDN w:val="0"/>
        <w:adjustRightInd w:val="0"/>
        <w:snapToGrid w:val="0"/>
        <w:spacing w:line="360" w:lineRule="exact"/>
        <w:rPr>
          <w:shd w:val="pct10" w:color="auto" w:fill="FFFFFF"/>
        </w:rPr>
      </w:pPr>
    </w:p>
    <w:sdt>
      <w:sdtPr>
        <w:rPr>
          <w:rFonts w:ascii="宋体" w:hAnsi="宋体" w:cs="宋体"/>
          <w:b w:val="0"/>
          <w:bCs w:val="0"/>
          <w:kern w:val="0"/>
          <w:sz w:val="24"/>
          <w:szCs w:val="24"/>
        </w:rPr>
        <w:alias w:val="模块:前瞻性陈述的风险声明"/>
        <w:tag w:val="_GBC_cc24ced211694e75b40a9765d2616e01"/>
        <w:id w:val="-1275018424"/>
        <w:lock w:val="sdtLocked"/>
        <w:placeholder>
          <w:docPart w:val="GBC22222222222222222222222222222"/>
        </w:placeholder>
      </w:sdtPr>
      <w:sdtEndPr>
        <w:rPr>
          <w:rFonts w:hint="eastAsia" w:ascii="宋体" w:hAnsi="宋体" w:cs="宋体"/>
          <w:b w:val="0"/>
          <w:bCs w:val="0"/>
          <w:kern w:val="0"/>
          <w:sz w:val="21"/>
          <w:szCs w:val="21"/>
          <w:shd w:val="pct10" w:color="auto" w:fill="FFFFFF"/>
        </w:rPr>
      </w:sdtEndPr>
      <w:sdtContent>
        <w:p>
          <w:pPr>
            <w:pStyle w:val="3"/>
            <w:numPr>
              <w:ilvl w:val="0"/>
              <w:numId w:val="1"/>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21342316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298300424"/>
            <w:lock w:val="sdtLocked"/>
            <w:placeholder>
              <w:docPart w:val="GBC22222222222222222222222222222"/>
            </w:placeholder>
          </w:sdtPr>
          <w:sdtEndPr>
            <w:rPr>
              <w:rFonts w:hint="eastAsia"/>
              <w:shd w:val="pct10" w:color="auto" w:fill="FFFFFF"/>
            </w:rPr>
          </w:sdtEndPr>
          <w:sdtContent>
            <w:p>
              <w:pPr>
                <w:kinsoku w:val="0"/>
                <w:overflowPunct w:val="0"/>
                <w:autoSpaceDE w:val="0"/>
                <w:autoSpaceDN w:val="0"/>
                <w:adjustRightInd w:val="0"/>
                <w:snapToGrid w:val="0"/>
                <w:spacing w:line="360" w:lineRule="exact"/>
                <w:ind w:firstLine="420" w:firstLineChars="200"/>
                <w:rPr>
                  <w:shd w:val="pct10" w:color="auto" w:fill="FFFFFF"/>
                </w:rPr>
              </w:pPr>
              <w:r>
                <w:rPr>
                  <w:rFonts w:hint="eastAsia"/>
                </w:rPr>
                <w:t>本半年度报告中所涉及的发展战略、未来计划等前瞻性描述不构成本公司对投资者的实质承诺，本公司未来的实际结果可能会与这些前瞻性陈述出现差异</w:t>
              </w:r>
              <w:r>
                <w:t>,敬请投资者及相关人士对此保持足够的风险认识，并请理解计划、预测与承诺之间的差异。</w:t>
              </w:r>
            </w:p>
          </w:sdtContent>
        </w:sdt>
      </w:sdtContent>
    </w:sdt>
    <w:p>
      <w:pPr>
        <w:kinsoku w:val="0"/>
        <w:overflowPunct w:val="0"/>
        <w:autoSpaceDE w:val="0"/>
        <w:autoSpaceDN w:val="0"/>
        <w:adjustRightInd w:val="0"/>
        <w:snapToGrid w:val="0"/>
        <w:spacing w:line="360" w:lineRule="exact"/>
        <w:rPr>
          <w:shd w:val="pct10" w:color="auto" w:fill="FFFFFF"/>
        </w:rPr>
      </w:pPr>
    </w:p>
    <w:sdt>
      <w:sdtPr>
        <w:rPr>
          <w:rFonts w:hint="eastAsia" w:ascii="宋体" w:hAnsi="宋体" w:cs="宋体"/>
          <w:b w:val="0"/>
          <w:bCs w:val="0"/>
          <w:kern w:val="0"/>
          <w:sz w:val="24"/>
          <w:szCs w:val="24"/>
          <w:shd w:val="pct10" w:color="auto" w:fill="FFFFFF"/>
        </w:rPr>
        <w:alias w:val="模块:是否存在被控股股东及其关联方非经营性占用资金情况"/>
        <w:tag w:val="_GBC_70f733efbc484640a48089ddc49bf2b9"/>
        <w:id w:val="1691492408"/>
        <w:lock w:val="sdtLocked"/>
        <w:placeholder>
          <w:docPart w:val="GBC22222222222222222222222222222"/>
        </w:placeholder>
      </w:sdtPr>
      <w:sdtEndPr>
        <w:rPr>
          <w:rFonts w:hint="eastAsia" w:ascii="宋体" w:hAnsi="宋体" w:cs="宋体"/>
          <w:b w:val="0"/>
          <w:bCs w:val="0"/>
          <w:kern w:val="0"/>
          <w:sz w:val="21"/>
          <w:szCs w:val="21"/>
          <w:shd w:val="clear" w:color="auto" w:fill="auto"/>
        </w:rPr>
      </w:sdtEndPr>
      <w:sdtContent>
        <w:p>
          <w:pPr>
            <w:pStyle w:val="3"/>
            <w:numPr>
              <w:ilvl w:val="0"/>
              <w:numId w:val="1"/>
            </w:numPr>
            <w:tabs>
              <w:tab w:val="left" w:pos="434"/>
              <w:tab w:val="left" w:pos="644"/>
            </w:tabs>
            <w:spacing w:before="0" w:after="0" w:line="360" w:lineRule="auto"/>
            <w:ind w:left="420" w:hangingChars="175"/>
            <w:rPr>
              <w:rFonts w:ascii="宋体" w:hAnsi="宋体"/>
            </w:rPr>
          </w:pPr>
          <w:r>
            <w:rPr>
              <w:rFonts w:ascii="宋体" w:hAnsi="宋体"/>
            </w:rPr>
            <w:t>是否存在被控股股东及其</w:t>
          </w:r>
          <w:r>
            <w:rPr>
              <w:rFonts w:hint="eastAsia" w:ascii="宋体" w:hAnsi="宋体"/>
            </w:rPr>
            <w:t>他</w:t>
          </w:r>
          <w:r>
            <w:rPr>
              <w:rFonts w:ascii="宋体" w:hAnsi="宋体"/>
            </w:rPr>
            <w:t>关联方非经营性占用资金情况</w:t>
          </w:r>
        </w:p>
        <w:sdt>
          <w:sdtPr>
            <w:rPr>
              <w:rFonts w:hint="eastAsia"/>
              <w:bCs/>
            </w:rPr>
            <w:alias w:val="本公司是否存在大股东占用资金情况"/>
            <w:tag w:val="_GBC_a32400ff33ee44d89632e0d79a7f2c42"/>
            <w:id w:val="102852189"/>
            <w:lock w:val="sdtLocked"/>
            <w:placeholder>
              <w:docPart w:val="GBC22222222222222222222222222222"/>
            </w:placeholder>
            <w:comboBox>
              <w:listItem w:displayText="是" w:value="true"/>
              <w:listItem w:displayText="否" w:value="false"/>
            </w:comboBox>
          </w:sdtPr>
          <w:sdtEndPr>
            <w:rPr>
              <w:rFonts w:hint="eastAsia"/>
              <w:bCs/>
            </w:rPr>
          </w:sdtEndPr>
          <w:sdtContent>
            <w:p>
              <w:pPr>
                <w:kinsoku w:val="0"/>
                <w:overflowPunct w:val="0"/>
                <w:autoSpaceDE w:val="0"/>
                <w:autoSpaceDN w:val="0"/>
                <w:adjustRightInd w:val="0"/>
                <w:snapToGrid w:val="0"/>
                <w:spacing w:line="360" w:lineRule="exact"/>
                <w:rPr>
                  <w:bCs/>
                </w:rPr>
              </w:pPr>
              <w:r>
                <w:rPr>
                  <w:rFonts w:hint="eastAsia"/>
                  <w:bCs/>
                </w:rPr>
                <w:t>否</w:t>
              </w:r>
            </w:p>
          </w:sdtContent>
        </w:sdt>
      </w:sdtContent>
    </w:sdt>
    <w:p>
      <w:pPr>
        <w:kinsoku w:val="0"/>
        <w:overflowPunct w:val="0"/>
        <w:autoSpaceDE w:val="0"/>
        <w:autoSpaceDN w:val="0"/>
        <w:adjustRightInd w:val="0"/>
        <w:snapToGrid w:val="0"/>
        <w:spacing w:line="360" w:lineRule="exact"/>
        <w:rPr>
          <w:shd w:val="pct10" w:color="auto" w:fill="FFFFFF"/>
        </w:rPr>
      </w:pPr>
    </w:p>
    <w:sdt>
      <w:sdtPr>
        <w:rPr>
          <w:rFonts w:ascii="宋体" w:hAnsi="宋体" w:cs="宋体"/>
          <w:b w:val="0"/>
          <w:bCs w:val="0"/>
          <w:kern w:val="0"/>
          <w:sz w:val="24"/>
          <w:szCs w:val="24"/>
        </w:rPr>
        <w:alias w:val="模块:是否存在违反规定决策程序对外提供担保的情况"/>
        <w:tag w:val="_GBC_0b5725dfa5c04f85874bece4083eddb4"/>
        <w:id w:val="-1225826068"/>
        <w:lock w:val="sdtLocked"/>
        <w:placeholder>
          <w:docPart w:val="GBC22222222222222222222222222222"/>
        </w:placeholder>
      </w:sdtPr>
      <w:sdtEndPr>
        <w:rPr>
          <w:rFonts w:hint="eastAsia" w:ascii="宋体" w:hAnsi="宋体" w:cs="宋体"/>
          <w:b w:val="0"/>
          <w:bCs w:val="0"/>
          <w:kern w:val="0"/>
          <w:sz w:val="21"/>
          <w:szCs w:val="21"/>
        </w:rPr>
      </w:sdtEndPr>
      <w:sdtContent>
        <w:p>
          <w:pPr>
            <w:pStyle w:val="3"/>
            <w:numPr>
              <w:ilvl w:val="0"/>
              <w:numId w:val="1"/>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1637062617"/>
            <w:lock w:val="sdtLocked"/>
            <w:placeholder>
              <w:docPart w:val="GBC22222222222222222222222222222"/>
            </w:placeholder>
            <w:comboBox>
              <w:listItem w:displayText="是" w:value="true"/>
              <w:listItem w:displayText="否" w:value="false"/>
            </w:comboBox>
          </w:sdtPr>
          <w:sdtEndPr>
            <w:rPr>
              <w:rFonts w:hint="eastAsia"/>
            </w:rPr>
          </w:sdtEndPr>
          <w:sdtContent>
            <w:p>
              <w:pPr>
                <w:pStyle w:val="114"/>
              </w:pPr>
              <w:r>
                <w:rPr>
                  <w:rFonts w:hint="eastAsia"/>
                </w:rPr>
                <w:t>否</w:t>
              </w:r>
            </w:p>
          </w:sdtContent>
        </w:sdt>
      </w:sdtContent>
    </w:sdt>
    <w:p>
      <w:pPr>
        <w:pStyle w:val="114"/>
      </w:pPr>
    </w:p>
    <w:sdt>
      <w:sdtPr>
        <w:rPr>
          <w:rFonts w:hint="eastAsia" w:ascii="宋体" w:hAnsi="宋体" w:cs="宋体"/>
          <w:b w:val="0"/>
          <w:bCs w:val="0"/>
          <w:kern w:val="0"/>
          <w:szCs w:val="24"/>
        </w:rPr>
        <w:alias w:val="模块:"/>
        <w:tag w:val="_SEC_f8924de2a90b4f29b727c0dcf0bfd58a"/>
        <w:id w:val="-808783832"/>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
            </w:numPr>
            <w:tabs>
              <w:tab w:val="left" w:pos="644"/>
            </w:tabs>
            <w:spacing w:before="0" w:after="0" w:line="360" w:lineRule="auto"/>
            <w:ind w:left="368" w:hanging="367" w:hangingChars="175"/>
            <w:rPr>
              <w:rFonts w:ascii="宋体" w:hAnsi="宋体" w:cs="宋体"/>
              <w:kern w:val="0"/>
            </w:rPr>
          </w:pPr>
          <w:bookmarkStart w:id="1" w:name="_Hlk72769553"/>
          <w:bookmarkStart w:id="2" w:name="_Hlk61881950"/>
          <w:r>
            <w:rPr>
              <w:rFonts w:ascii="宋体" w:hAnsi="宋体" w:cs="宋体"/>
              <w:kern w:val="0"/>
            </w:rPr>
            <w:t>是否存在半数</w:t>
          </w:r>
          <w:r>
            <w:rPr>
              <w:rFonts w:hint="eastAsia" w:ascii="宋体" w:hAnsi="宋体" w:cs="宋体"/>
              <w:kern w:val="0"/>
            </w:rPr>
            <w:t>以上</w:t>
          </w:r>
          <w:r>
            <w:rPr>
              <w:rFonts w:ascii="宋体" w:hAnsi="宋体" w:cs="宋体"/>
              <w:kern w:val="0"/>
            </w:rPr>
            <w:t>董事无法保证公司所披露</w:t>
          </w:r>
          <w:r>
            <w:rPr>
              <w:rFonts w:hint="eastAsia" w:ascii="宋体" w:hAnsi="宋体" w:cs="宋体"/>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1664239092"/>
            <w:lock w:val="sdtLocked"/>
            <w:placeholder>
              <w:docPart w:val="GBC22222222222222222222222222222"/>
            </w:placeholder>
            <w:comboBox>
              <w:listItem w:displayText="是" w:value="是"/>
              <w:listItem w:displayText="否" w:value="否"/>
            </w:comboBox>
          </w:sdtPr>
          <w:sdtEndPr>
            <w:rPr>
              <w:rFonts w:hint="eastAsia"/>
            </w:rPr>
          </w:sdtEndPr>
          <w:sdtContent>
            <w:p>
              <w:pPr>
                <w:pStyle w:val="114"/>
              </w:pPr>
              <w:r>
                <w:rPr>
                  <w:rFonts w:hint="eastAsia"/>
                </w:rPr>
                <w:t>否</w:t>
              </w:r>
            </w:p>
          </w:sdtContent>
        </w:sdt>
        <w:p>
          <w:pPr>
            <w:pStyle w:val="114"/>
          </w:pPr>
        </w:p>
      </w:sdtContent>
    </w:sdt>
    <w:bookmarkEnd w:id="1"/>
    <w:sdt>
      <w:sdtPr>
        <w:rPr>
          <w:rFonts w:ascii="宋体" w:hAnsi="宋体" w:cs="宋体"/>
          <w:b w:val="0"/>
          <w:bCs w:val="0"/>
          <w:kern w:val="0"/>
          <w:szCs w:val="24"/>
        </w:rPr>
        <w:alias w:val="模块:重大风险提示"/>
        <w:tag w:val="_SEC_765dd5e867e04417bfcc7ba07f902949"/>
        <w:id w:val="596825375"/>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
            </w:numPr>
            <w:tabs>
              <w:tab w:val="left" w:pos="644"/>
            </w:tabs>
            <w:spacing w:before="0" w:after="0" w:line="360" w:lineRule="auto"/>
            <w:ind w:left="368" w:hanging="367" w:hangingChars="175"/>
            <w:rPr>
              <w:rFonts w:ascii="宋体" w:hAnsi="宋体"/>
            </w:rPr>
          </w:pPr>
          <w:r>
            <w:rPr>
              <w:rFonts w:ascii="宋体" w:hAnsi="宋体"/>
            </w:rPr>
            <w:t>重大风险提示</w:t>
          </w:r>
        </w:p>
        <w:sdt>
          <w:sdtPr>
            <w:rPr>
              <w:rFonts w:hint="eastAsia"/>
            </w:rPr>
            <w:alias w:val="重大风险提示"/>
            <w:tag w:val="_GBC_d0220f8592e64dd1b898937e183da1e3"/>
            <w:id w:val="-1574272348"/>
            <w:lock w:val="sdtLocked"/>
            <w:placeholder>
              <w:docPart w:val="GBC22222222222222222222222222222"/>
            </w:placeholder>
          </w:sdtPr>
          <w:sdtEndPr>
            <w:rPr>
              <w:rFonts w:hint="eastAsia"/>
            </w:rPr>
          </w:sdtEndPr>
          <w:sdtContent>
            <w:p>
              <w:pPr>
                <w:pStyle w:val="114"/>
              </w:pPr>
              <w:r>
                <w:rPr>
                  <w:rFonts w:hint="eastAsia"/>
                </w:rPr>
                <w:t>不适用</w:t>
              </w:r>
            </w:p>
          </w:sdtContent>
        </w:sdt>
      </w:sdtContent>
    </w:sdt>
    <w:p>
      <w:pPr>
        <w:pStyle w:val="114"/>
      </w:pPr>
    </w:p>
    <w:sdt>
      <w:sdtPr>
        <w:rPr>
          <w:rFonts w:ascii="宋体" w:hAnsi="宋体" w:cs="宋体"/>
          <w:b w:val="0"/>
          <w:bCs w:val="0"/>
          <w:kern w:val="0"/>
          <w:sz w:val="24"/>
          <w:szCs w:val="24"/>
        </w:rPr>
        <w:alias w:val="模块:重要提示的其他情况说明"/>
        <w:tag w:val="_GBC_b8bb35c675b44fbdaf150c1114447d89"/>
        <w:id w:val="2085103767"/>
        <w:lock w:val="sdtLocked"/>
        <w:placeholder>
          <w:docPart w:val="GBC22222222222222222222222222222"/>
        </w:placeholder>
      </w:sdtPr>
      <w:sdtEndPr>
        <w:rPr>
          <w:rFonts w:ascii="宋体" w:hAnsi="宋体" w:cs="宋体"/>
          <w:b w:val="0"/>
          <w:bCs w:val="0"/>
          <w:kern w:val="0"/>
          <w:sz w:val="21"/>
          <w:szCs w:val="21"/>
        </w:rPr>
      </w:sdtEndPr>
      <w:sdtContent>
        <w:p>
          <w:pPr>
            <w:pStyle w:val="3"/>
            <w:numPr>
              <w:ilvl w:val="0"/>
              <w:numId w:val="1"/>
            </w:numPr>
            <w:tabs>
              <w:tab w:val="left" w:pos="588"/>
              <w:tab w:val="left" w:pos="644"/>
              <w:tab w:val="left" w:pos="672"/>
            </w:tabs>
            <w:spacing w:before="0" w:after="0" w:line="360" w:lineRule="auto"/>
            <w:ind w:left="420" w:hangingChars="175"/>
            <w:rPr>
              <w:rFonts w:ascii="宋体" w:hAnsi="宋体"/>
              <w:sz w:val="24"/>
              <w:szCs w:val="24"/>
            </w:rPr>
          </w:pPr>
          <w:r>
            <w:rPr>
              <w:rFonts w:hint="eastAsia" w:ascii="宋体" w:hAnsi="宋体"/>
              <w:sz w:val="24"/>
              <w:szCs w:val="24"/>
            </w:rPr>
            <w:t>其他</w:t>
          </w:r>
        </w:p>
        <w:sdt>
          <w:sdtPr>
            <w:alias w:val="是否适用：其他重要提示[双击切换]"/>
            <w:tag w:val="_GBC_3a91363d913942688077b069148debc5"/>
            <w:id w:val="174374956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重要提示的其他情况说明"/>
            <w:tag w:val="_GBC_d8e4ca6963364e3194f6533b437a5a96"/>
            <w:id w:val="-536969305"/>
            <w:lock w:val="sdtLocked"/>
            <w:placeholder>
              <w:docPart w:val="GBC22222222222222222222222222222"/>
            </w:placeholder>
          </w:sdtPr>
          <w:sdtContent>
            <w:p>
              <w:pPr>
                <w:spacing w:line="360" w:lineRule="exact"/>
              </w:pPr>
              <w:r>
                <w:rPr>
                  <w:rFonts w:hint="eastAsia"/>
                </w:rPr>
                <w:t>如无特别说明，本半年度报告所涉及财务数据均以人民币为计量币种。</w:t>
              </w:r>
            </w:p>
            <w:p>
              <w:pPr>
                <w:spacing w:line="360" w:lineRule="exact"/>
              </w:pPr>
              <w:r>
                <w:rPr>
                  <w:rFonts w:hint="eastAsia"/>
                </w:rPr>
                <w:t>本报告中可能存在个别数据加总后与相关数据汇总数存在尾差情况，系计算时四舍五入造成。</w:t>
              </w:r>
            </w:p>
          </w:sdtContent>
        </w:sdt>
      </w:sdtContent>
    </w:sdt>
    <w:p>
      <w:pPr>
        <w:sectPr>
          <w:headerReference r:id="rId4" w:type="default"/>
          <w:footerReference r:id="rId5" w:type="default"/>
          <w:pgSz w:w="11906" w:h="16838"/>
          <w:pgMar w:top="1525" w:right="1276" w:bottom="1440" w:left="1797" w:header="855" w:footer="992" w:gutter="0"/>
          <w:cols w:space="425" w:num="1"/>
          <w:docGrid w:linePitch="312" w:charSpace="0"/>
        </w:sectPr>
      </w:pPr>
    </w:p>
    <w:p>
      <w:pPr>
        <w:pStyle w:val="114"/>
      </w:pPr>
    </w:p>
    <w:p>
      <w:pPr>
        <w:kinsoku w:val="0"/>
        <w:overflowPunct w:val="0"/>
        <w:autoSpaceDE w:val="0"/>
        <w:autoSpaceDN w:val="0"/>
        <w:adjustRightInd w:val="0"/>
        <w:snapToGrid w:val="0"/>
        <w:spacing w:line="360" w:lineRule="auto"/>
        <w:jc w:val="center"/>
      </w:pPr>
      <w:r>
        <w:rPr>
          <w:rFonts w:hint="eastAsia"/>
          <w:b/>
          <w:sz w:val="32"/>
          <w:szCs w:val="32"/>
        </w:rPr>
        <w:t>目录</w:t>
      </w:r>
      <w:r>
        <w:rPr>
          <w:shd w:val="pct10" w:color="auto" w:fill="FFFFFF"/>
        </w:rPr>
        <w:fldChar w:fldCharType="begin"/>
      </w:r>
      <w:r>
        <w:rPr>
          <w:shd w:val="pct10" w:color="auto" w:fill="FFFFFF"/>
        </w:rPr>
        <w:instrText xml:space="preserve"> TOC \o "1-1" \h \z \u </w:instrText>
      </w:r>
      <w:r>
        <w:rPr>
          <w:shd w:val="pct10" w:color="auto" w:fill="FFFFFF"/>
        </w:rPr>
        <w:fldChar w:fldCharType="separate"/>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"_Toc76114272" </w:instrText>
      </w:r>
      <w:r>
        <w:fldChar w:fldCharType="separate"/>
      </w:r>
      <w:r>
        <w:rPr>
          <w:rStyle w:val="41"/>
          <w:rFonts w:ascii="黑体" w:hAnsi="黑体"/>
          <w:b/>
        </w:rPr>
        <w:t>第一节</w:t>
      </w:r>
      <w:r>
        <w:rPr>
          <w:rFonts w:asciiTheme="minorHAnsi" w:hAnsiTheme="minorHAnsi" w:eastAsiaTheme="minorEastAsia" w:cstheme="minorBidi"/>
          <w:szCs w:val="22"/>
        </w:rPr>
        <w:tab/>
      </w:r>
      <w:r>
        <w:rPr>
          <w:rStyle w:val="41"/>
          <w:rFonts w:ascii="黑体" w:hAnsi="黑体"/>
          <w:b/>
        </w:rPr>
        <w:t>释义</w:t>
      </w:r>
      <w:r>
        <w:tab/>
      </w:r>
      <w:r>
        <w:rPr>
          <w:bCs/>
        </w:rPr>
        <w:fldChar w:fldCharType="begin"/>
      </w:r>
      <w:r>
        <w:instrText xml:space="preserve"> PAGEREF _Toc76114272 \h </w:instrText>
      </w:r>
      <w:r>
        <w:rPr>
          <w:bCs/>
        </w:rPr>
        <w:fldChar w:fldCharType="separate"/>
      </w:r>
      <w:r>
        <w:t>4</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"_Toc76114273" </w:instrText>
      </w:r>
      <w:r>
        <w:fldChar w:fldCharType="separate"/>
      </w:r>
      <w:r>
        <w:rPr>
          <w:rStyle w:val="41"/>
          <w:rFonts w:ascii="黑体" w:hAnsi="黑体"/>
          <w:b/>
        </w:rPr>
        <w:t>第二节</w:t>
      </w:r>
      <w:r>
        <w:rPr>
          <w:rFonts w:asciiTheme="minorHAnsi" w:hAnsiTheme="minorHAnsi" w:eastAsiaTheme="minorEastAsia" w:cstheme="minorBidi"/>
          <w:szCs w:val="22"/>
        </w:rPr>
        <w:tab/>
      </w:r>
      <w:r>
        <w:rPr>
          <w:rStyle w:val="41"/>
          <w:rFonts w:ascii="黑体" w:hAnsi="黑体"/>
          <w:b/>
        </w:rPr>
        <w:t>公司简介和主要财务指标</w:t>
      </w:r>
      <w:r>
        <w:tab/>
      </w:r>
      <w:r>
        <w:rPr>
          <w:bCs/>
        </w:rPr>
        <w:fldChar w:fldCharType="begin"/>
      </w:r>
      <w:r>
        <w:instrText xml:space="preserve"> PAGEREF _Toc76114273 \h </w:instrText>
      </w:r>
      <w:r>
        <w:rPr>
          <w:bCs/>
        </w:rPr>
        <w:fldChar w:fldCharType="separate"/>
      </w:r>
      <w:r>
        <w:t>7</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"_Toc76114274" </w:instrText>
      </w:r>
      <w:r>
        <w:fldChar w:fldCharType="separate"/>
      </w:r>
      <w:r>
        <w:rPr>
          <w:rStyle w:val="41"/>
          <w:rFonts w:ascii="黑体" w:hAnsi="黑体"/>
          <w:b/>
        </w:rPr>
        <w:t>第三节</w:t>
      </w:r>
      <w:r>
        <w:rPr>
          <w:rFonts w:asciiTheme="minorHAnsi" w:hAnsiTheme="minorHAnsi" w:eastAsiaTheme="minorEastAsia" w:cstheme="minorBidi"/>
          <w:szCs w:val="22"/>
        </w:rPr>
        <w:tab/>
      </w:r>
      <w:r>
        <w:rPr>
          <w:rStyle w:val="41"/>
          <w:rFonts w:ascii="黑体" w:hAnsi="黑体"/>
          <w:b/>
        </w:rPr>
        <w:t>管理层讨论与分析</w:t>
      </w:r>
      <w:r>
        <w:tab/>
      </w:r>
      <w:r>
        <w:rPr>
          <w:bCs/>
        </w:rPr>
        <w:fldChar w:fldCharType="begin"/>
      </w:r>
      <w:r>
        <w:instrText xml:space="preserve"> PAGEREF _Toc76114274 \h </w:instrText>
      </w:r>
      <w:r>
        <w:rPr>
          <w:bCs/>
        </w:rPr>
        <w:fldChar w:fldCharType="separate"/>
      </w:r>
      <w:r>
        <w:t>11</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"_Toc76114275" </w:instrText>
      </w:r>
      <w:r>
        <w:fldChar w:fldCharType="separate"/>
      </w:r>
      <w:r>
        <w:rPr>
          <w:rStyle w:val="41"/>
          <w:rFonts w:ascii="黑体" w:hAnsi="黑体"/>
          <w:b/>
        </w:rPr>
        <w:t>第四节</w:t>
      </w:r>
      <w:r>
        <w:rPr>
          <w:rFonts w:asciiTheme="minorHAnsi" w:hAnsiTheme="minorHAnsi" w:eastAsiaTheme="minorEastAsia" w:cstheme="minorBidi"/>
          <w:szCs w:val="22"/>
        </w:rPr>
        <w:tab/>
      </w:r>
      <w:r>
        <w:rPr>
          <w:rStyle w:val="41"/>
          <w:rFonts w:ascii="黑体" w:hAnsi="黑体"/>
          <w:b/>
        </w:rPr>
        <w:t>公司治理</w:t>
      </w:r>
      <w:r>
        <w:tab/>
      </w:r>
      <w:r>
        <w:rPr>
          <w:bCs/>
        </w:rPr>
        <w:fldChar w:fldCharType="begin"/>
      </w:r>
      <w:r>
        <w:instrText xml:space="preserve"> PAGEREF _Toc76114275 \h </w:instrText>
      </w:r>
      <w:r>
        <w:rPr>
          <w:bCs/>
        </w:rPr>
        <w:fldChar w:fldCharType="separate"/>
      </w:r>
      <w:r>
        <w:t>34</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"_Toc76114276" </w:instrText>
      </w:r>
      <w:r>
        <w:fldChar w:fldCharType="separate"/>
      </w:r>
      <w:r>
        <w:rPr>
          <w:rStyle w:val="41"/>
          <w:rFonts w:ascii="黑体" w:hAnsi="黑体"/>
          <w:b/>
        </w:rPr>
        <w:t>第五节</w:t>
      </w:r>
      <w:r>
        <w:rPr>
          <w:rFonts w:asciiTheme="minorHAnsi" w:hAnsiTheme="minorHAnsi" w:eastAsiaTheme="minorEastAsia" w:cstheme="minorBidi"/>
          <w:szCs w:val="22"/>
        </w:rPr>
        <w:tab/>
      </w:r>
      <w:r>
        <w:rPr>
          <w:rStyle w:val="41"/>
          <w:rFonts w:ascii="黑体" w:hAnsi="黑体"/>
          <w:b/>
        </w:rPr>
        <w:t>环境与社会责任</w:t>
      </w:r>
      <w:r>
        <w:tab/>
      </w:r>
      <w:r>
        <w:rPr>
          <w:bCs/>
        </w:rPr>
        <w:fldChar w:fldCharType="begin"/>
      </w:r>
      <w:r>
        <w:instrText xml:space="preserve"> PAGEREF _Toc76114276 \h </w:instrText>
      </w:r>
      <w:r>
        <w:rPr>
          <w:bCs/>
        </w:rPr>
        <w:fldChar w:fldCharType="separate"/>
      </w:r>
      <w:r>
        <w:t>36</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"_Toc76114277" </w:instrText>
      </w:r>
      <w:r>
        <w:fldChar w:fldCharType="separate"/>
      </w:r>
      <w:r>
        <w:rPr>
          <w:rStyle w:val="41"/>
          <w:rFonts w:ascii="黑体" w:hAnsi="黑体"/>
          <w:b/>
        </w:rPr>
        <w:t>第六节</w:t>
      </w:r>
      <w:r>
        <w:rPr>
          <w:rFonts w:asciiTheme="minorHAnsi" w:hAnsiTheme="minorHAnsi" w:eastAsiaTheme="minorEastAsia" w:cstheme="minorBidi"/>
          <w:szCs w:val="22"/>
        </w:rPr>
        <w:tab/>
      </w:r>
      <w:r>
        <w:rPr>
          <w:rStyle w:val="41"/>
          <w:rFonts w:ascii="黑体" w:hAnsi="黑体"/>
          <w:b/>
        </w:rPr>
        <w:t>重要事项</w:t>
      </w:r>
      <w:r>
        <w:tab/>
      </w:r>
      <w:r>
        <w:rPr>
          <w:bCs/>
        </w:rPr>
        <w:fldChar w:fldCharType="begin"/>
      </w:r>
      <w:r>
        <w:instrText xml:space="preserve"> PAGEREF _Toc76114277 \h </w:instrText>
      </w:r>
      <w:r>
        <w:rPr>
          <w:bCs/>
        </w:rPr>
        <w:fldChar w:fldCharType="separate"/>
      </w:r>
      <w:r>
        <w:t>38</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"_Toc76114278" </w:instrText>
      </w:r>
      <w:r>
        <w:fldChar w:fldCharType="separate"/>
      </w:r>
      <w:r>
        <w:rPr>
          <w:rStyle w:val="41"/>
          <w:rFonts w:ascii="黑体" w:hAnsi="黑体"/>
          <w:b/>
        </w:rPr>
        <w:t>第七节</w:t>
      </w:r>
      <w:r>
        <w:rPr>
          <w:rFonts w:asciiTheme="minorHAnsi" w:hAnsiTheme="minorHAnsi" w:eastAsiaTheme="minorEastAsia" w:cstheme="minorBidi"/>
          <w:szCs w:val="22"/>
        </w:rPr>
        <w:tab/>
      </w:r>
      <w:r>
        <w:rPr>
          <w:rStyle w:val="41"/>
          <w:rFonts w:ascii="黑体" w:hAnsi="黑体"/>
          <w:b/>
        </w:rPr>
        <w:t>股份变动及股东情况</w:t>
      </w:r>
      <w:r>
        <w:tab/>
      </w:r>
      <w:r>
        <w:rPr>
          <w:bCs/>
        </w:rPr>
        <w:fldChar w:fldCharType="begin"/>
      </w:r>
      <w:r>
        <w:instrText xml:space="preserve"> PAGEREF _Toc76114278 \h </w:instrText>
      </w:r>
      <w:r>
        <w:rPr>
          <w:bCs/>
        </w:rPr>
        <w:fldChar w:fldCharType="separate"/>
      </w:r>
      <w:r>
        <w:t>64</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"_Toc76114279" </w:instrText>
      </w:r>
      <w:r>
        <w:fldChar w:fldCharType="separate"/>
      </w:r>
      <w:r>
        <w:rPr>
          <w:rStyle w:val="41"/>
          <w:rFonts w:ascii="黑体" w:hAnsi="黑体"/>
          <w:b/>
        </w:rPr>
        <w:t>第八节</w:t>
      </w:r>
      <w:r>
        <w:rPr>
          <w:rFonts w:asciiTheme="minorHAnsi" w:hAnsiTheme="minorHAnsi" w:eastAsiaTheme="minorEastAsia" w:cstheme="minorBidi"/>
          <w:szCs w:val="22"/>
        </w:rPr>
        <w:tab/>
      </w:r>
      <w:r>
        <w:rPr>
          <w:rStyle w:val="41"/>
          <w:rFonts w:ascii="黑体" w:hAnsi="黑体"/>
          <w:b/>
        </w:rPr>
        <w:t>优先股相关情况</w:t>
      </w:r>
      <w:r>
        <w:tab/>
      </w:r>
      <w:r>
        <w:rPr>
          <w:bCs/>
        </w:rPr>
        <w:fldChar w:fldCharType="begin"/>
      </w:r>
      <w:r>
        <w:instrText xml:space="preserve"> PAGEREF _Toc76114279 \h </w:instrText>
      </w:r>
      <w:r>
        <w:rPr>
          <w:bCs/>
        </w:rPr>
        <w:fldChar w:fldCharType="separate"/>
      </w:r>
      <w:r>
        <w:t>68</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"_Toc76114280" </w:instrText>
      </w:r>
      <w:r>
        <w:fldChar w:fldCharType="separate"/>
      </w:r>
      <w:r>
        <w:rPr>
          <w:rStyle w:val="41"/>
          <w:rFonts w:ascii="黑体" w:hAnsi="黑体"/>
          <w:b/>
        </w:rPr>
        <w:t>第九节</w:t>
      </w:r>
      <w:r>
        <w:rPr>
          <w:rFonts w:asciiTheme="minorHAnsi" w:hAnsiTheme="minorHAnsi" w:eastAsiaTheme="minorEastAsia" w:cstheme="minorBidi"/>
          <w:szCs w:val="22"/>
        </w:rPr>
        <w:tab/>
      </w:r>
      <w:r>
        <w:rPr>
          <w:rStyle w:val="41"/>
          <w:rFonts w:ascii="黑体" w:hAnsi="黑体"/>
          <w:b/>
        </w:rPr>
        <w:t>债券相关情况</w:t>
      </w:r>
      <w:r>
        <w:tab/>
      </w:r>
      <w:r>
        <w:rPr>
          <w:bCs/>
        </w:rPr>
        <w:fldChar w:fldCharType="begin"/>
      </w:r>
      <w:r>
        <w:instrText xml:space="preserve"> PAGEREF _Toc76114280 \h </w:instrText>
      </w:r>
      <w:r>
        <w:rPr>
          <w:bCs/>
        </w:rPr>
        <w:fldChar w:fldCharType="separate"/>
      </w:r>
      <w:r>
        <w:t>69</w:t>
      </w:r>
      <w:r>
        <w:rPr>
          <w:bCs/>
        </w:rPr>
        <w:fldChar w:fldCharType="end"/>
      </w:r>
      <w:r>
        <w:rPr>
          <w:bCs/>
        </w:rPr>
        <w:fldChar w:fldCharType="end"/>
      </w:r>
    </w:p>
    <w:p>
      <w:pPr>
        <w:pStyle w:val="27"/>
        <w:spacing w:line="360" w:lineRule="auto"/>
        <w:rPr>
          <w:rFonts w:asciiTheme="minorHAnsi" w:hAnsiTheme="minorHAnsi" w:eastAsiaTheme="minorEastAsia" w:cstheme="minorBidi"/>
          <w:bCs/>
          <w:szCs w:val="22"/>
        </w:rPr>
      </w:pPr>
      <w:r>
        <w:fldChar w:fldCharType="begin"/>
      </w:r>
      <w:r>
        <w:instrText xml:space="preserve"> HYPERLINK \l "_Toc76114281" </w:instrText>
      </w:r>
      <w:r>
        <w:fldChar w:fldCharType="separate"/>
      </w:r>
      <w:r>
        <w:rPr>
          <w:rStyle w:val="41"/>
          <w:rFonts w:ascii="黑体" w:hAnsi="黑体"/>
          <w:b/>
        </w:rPr>
        <w:t>第十节</w:t>
      </w:r>
      <w:r>
        <w:rPr>
          <w:rFonts w:asciiTheme="minorHAnsi" w:hAnsiTheme="minorHAnsi" w:eastAsiaTheme="minorEastAsia" w:cstheme="minorBidi"/>
          <w:szCs w:val="22"/>
        </w:rPr>
        <w:tab/>
      </w:r>
      <w:r>
        <w:rPr>
          <w:rStyle w:val="41"/>
          <w:rFonts w:ascii="黑体" w:hAnsi="黑体"/>
          <w:b/>
        </w:rPr>
        <w:t>财务报告</w:t>
      </w:r>
      <w:r>
        <w:tab/>
      </w:r>
      <w:r>
        <w:rPr>
          <w:bCs/>
        </w:rPr>
        <w:fldChar w:fldCharType="begin"/>
      </w:r>
      <w:r>
        <w:instrText xml:space="preserve"> PAGEREF _Toc76114281 \h </w:instrText>
      </w:r>
      <w:r>
        <w:rPr>
          <w:bCs/>
        </w:rPr>
        <w:fldChar w:fldCharType="separate"/>
      </w:r>
      <w:r>
        <w:t>79</w:t>
      </w:r>
      <w:r>
        <w:rPr>
          <w:bCs/>
        </w:rPr>
        <w:fldChar w:fldCharType="end"/>
      </w:r>
      <w:r>
        <w:rPr>
          <w:bCs/>
        </w:rPr>
        <w:fldChar w:fldCharType="end"/>
      </w:r>
    </w:p>
    <w:p>
      <w:pPr>
        <w:kinsoku w:val="0"/>
        <w:overflowPunct w:val="0"/>
        <w:autoSpaceDE w:val="0"/>
        <w:autoSpaceDN w:val="0"/>
        <w:adjustRightInd w:val="0"/>
        <w:snapToGrid w:val="0"/>
        <w:spacing w:line="360" w:lineRule="auto"/>
        <w:rPr>
          <w:shd w:val="pct10" w:color="auto" w:fill="FFFFFF"/>
        </w:rPr>
      </w:pPr>
      <w:r>
        <w:rPr>
          <w:shd w:val="pct10" w:color="auto" w:fill="FFFFFF"/>
        </w:rPr>
        <w:fldChar w:fldCharType="end"/>
      </w:r>
    </w:p>
    <w:sdt>
      <w:sdtPr>
        <w:rPr>
          <w:b/>
          <w:bCs/>
          <w:sz w:val="24"/>
        </w:rPr>
        <w:alias w:val="模块:备查文件目录"/>
        <w:tag w:val="_SEC_821e9eb80bde4a9883ae71815f226d98"/>
        <w:id w:val="1037860445"/>
        <w:lock w:val="sdtLocked"/>
        <w:placeholder>
          <w:docPart w:val="GBC22222222222222222222222222222"/>
        </w:placeholder>
      </w:sdtPr>
      <w:sdtEndPr>
        <w:rPr>
          <w:b w:val="0"/>
          <w:bCs w:val="0"/>
          <w:sz w:val="21"/>
        </w:rPr>
      </w:sdtEndPr>
      <w:sdtContent>
        <w:p>
          <w:pPr>
            <w:spacing w:line="360" w:lineRule="exact"/>
            <w:ind w:right="5"/>
            <w:rPr>
              <w:b/>
              <w:bCs/>
              <w:sz w:val="24"/>
            </w:rPr>
          </w:pPr>
          <w:bookmarkStart w:id="3" w:name="_Hlk76111741"/>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294"/>
            <w:gridCol w:w="6599"/>
          </w:tblGrid>
          <w:sdt>
            <w:sdtPr>
              <w:alias w:val="备查文件情况"/>
              <w:tag w:val="_TUP_d1defbbd2758417a8ea21948dd35feef"/>
              <w:id w:val="-1450160492"/>
              <w:placeholder>
                <w:docPart w:val="2341854804BE4A628335198F239862A1"/>
              </w:placeholder>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290" w:type="pct"/>
                    <w:vMerge w:val="restart"/>
                    <w:tcBorders>
                      <w:top w:val="single" w:color="auto" w:sz="4" w:space="0"/>
                      <w:left w:val="single" w:color="auto" w:sz="4" w:space="0"/>
                      <w:bottom w:val="single" w:color="auto" w:sz="4" w:space="0"/>
                      <w:right w:val="single" w:color="auto" w:sz="4" w:space="0"/>
                    </w:tcBorders>
                    <w:vAlign w:val="center"/>
                  </w:tcPr>
                  <w:sdt>
                    <w:sdtPr>
                      <w:tag w:val="_PLD_4dedc5664132424db8ffece735208815"/>
                      <w:id w:val="581504334"/>
                      <w:lock w:val="sdtLocked"/>
                    </w:sdtPr>
                    <w:sdtContent>
                      <w:p>
                        <w:pPr>
                          <w:autoSpaceDE w:val="0"/>
                          <w:autoSpaceDN w:val="0"/>
                          <w:adjustRightInd w:val="0"/>
                          <w:jc w:val="center"/>
                        </w:pPr>
                        <w:r>
                          <w:t>备查文件目录</w:t>
                        </w:r>
                      </w:p>
                    </w:sdtContent>
                  </w:sdt>
                </w:tc>
                <w:sdt>
                  <w:sdtPr>
                    <w:alias w:val="备查文件目录"/>
                    <w:tag w:val="_GBC_b75b724a20654c669c9ce009a20dc247"/>
                    <w:id w:val="-1108116919"/>
                    <w:lock w:val="sdtLocked"/>
                  </w:sdtPr>
                  <w:sdtContent>
                    <w:tc>
                      <w:tcPr>
                        <w:tcW w:w="3710"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载有董事长亲笔签名的半年度报告文本</w:t>
                        </w:r>
                      </w:p>
                    </w:tc>
                  </w:sdtContent>
                </w:sdt>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290" w:type="pct"/>
                <w:vMerge w:val="continue"/>
                <w:tcBorders>
                  <w:top w:val="single" w:color="auto" w:sz="4" w:space="0"/>
                  <w:left w:val="single" w:color="auto" w:sz="4" w:space="0"/>
                  <w:bottom w:val="single" w:color="auto" w:sz="4" w:space="0"/>
                  <w:right w:val="single" w:color="auto" w:sz="4" w:space="0"/>
                </w:tcBorders>
                <w:vAlign w:val="center"/>
              </w:tcPr>
              <w:p>
                <w:pPr>
                  <w:pStyle w:val="114"/>
                </w:pPr>
              </w:p>
            </w:tc>
            <w:sdt>
              <w:sdtPr>
                <w:alias w:val="备查文件目录"/>
                <w:tag w:val="_GBC_b75b724a20654c669c9ce009a20dc247"/>
                <w:id w:val="-965352699"/>
                <w:lock w:val="sdtLocked"/>
              </w:sdtPr>
              <w:sdtContent>
                <w:tc>
                  <w:tcPr>
                    <w:tcW w:w="3710"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载有法定代表人、主管会计工作负责人、会计机构负责人签名并盖章的会计报表</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290" w:type="pct"/>
                <w:vMerge w:val="continue"/>
                <w:tcBorders>
                  <w:top w:val="single" w:color="auto" w:sz="4" w:space="0"/>
                  <w:left w:val="single" w:color="auto" w:sz="4" w:space="0"/>
                  <w:bottom w:val="single" w:color="auto" w:sz="4" w:space="0"/>
                  <w:right w:val="single" w:color="auto" w:sz="4" w:space="0"/>
                </w:tcBorders>
                <w:vAlign w:val="center"/>
              </w:tcPr>
              <w:p>
                <w:pPr>
                  <w:pStyle w:val="114"/>
                </w:pPr>
              </w:p>
            </w:tc>
            <w:sdt>
              <w:sdtPr>
                <w:alias w:val="备查文件目录"/>
                <w:tag w:val="_GBC_b75b724a20654c669c9ce009a20dc247"/>
                <w:id w:val="-1891875267"/>
                <w:lock w:val="sdtLocked"/>
              </w:sdtPr>
              <w:sdtContent>
                <w:tc>
                  <w:tcPr>
                    <w:tcW w:w="3710"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报告期内在中国证监会指定报刊上公开披露过的所有公司文件的正本及公告原稿</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290" w:type="pct"/>
                <w:vMerge w:val="continue"/>
                <w:tcBorders>
                  <w:top w:val="single" w:color="auto" w:sz="4" w:space="0"/>
                  <w:left w:val="single" w:color="auto" w:sz="4" w:space="0"/>
                  <w:bottom w:val="single" w:color="auto" w:sz="4" w:space="0"/>
                  <w:right w:val="single" w:color="auto" w:sz="4" w:space="0"/>
                </w:tcBorders>
                <w:vAlign w:val="center"/>
              </w:tcPr>
              <w:p>
                <w:pPr>
                  <w:pStyle w:val="114"/>
                </w:pPr>
              </w:p>
            </w:tc>
            <w:sdt>
              <w:sdtPr>
                <w:alias w:val="备查文件目录"/>
                <w:tag w:val="_GBC_b75b724a20654c669c9ce009a20dc247"/>
                <w:id w:val="-647205903"/>
                <w:lock w:val="sdtLocked"/>
              </w:sdtPr>
              <w:sdtContent>
                <w:tc>
                  <w:tcPr>
                    <w:tcW w:w="3710"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公司</w:t>
                    </w:r>
                    <w:r>
                      <w:t>章程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290" w:type="pct"/>
                <w:vMerge w:val="continue"/>
                <w:tcBorders>
                  <w:top w:val="single" w:color="auto" w:sz="4" w:space="0"/>
                  <w:left w:val="single" w:color="auto" w:sz="4" w:space="0"/>
                  <w:bottom w:val="single" w:color="auto" w:sz="4" w:space="0"/>
                  <w:right w:val="single" w:color="auto" w:sz="4" w:space="0"/>
                </w:tcBorders>
                <w:vAlign w:val="center"/>
              </w:tcPr>
              <w:p>
                <w:pPr>
                  <w:pStyle w:val="114"/>
                </w:pPr>
              </w:p>
            </w:tc>
            <w:sdt>
              <w:sdtPr>
                <w:alias w:val="备查文件目录"/>
                <w:tag w:val="_GBC_b75b724a20654c669c9ce009a20dc247"/>
                <w:id w:val="1137149782"/>
                <w:lock w:val="sdtLocked"/>
              </w:sdtPr>
              <w:sdtContent>
                <w:tc>
                  <w:tcPr>
                    <w:tcW w:w="3710"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在其他证券市场公布的半年度报告文本</w:t>
                    </w:r>
                  </w:p>
                </w:tc>
              </w:sdtContent>
            </w:sdt>
          </w:tr>
        </w:tbl>
        <w:p>
          <w:pPr>
            <w:pStyle w:val="114"/>
          </w:pPr>
        </w:p>
      </w:sdtContent>
    </w:sdt>
    <w:bookmarkEnd w:id="3"/>
    <w:p>
      <w:pPr>
        <w:kinsoku w:val="0"/>
        <w:overflowPunct w:val="0"/>
        <w:autoSpaceDE w:val="0"/>
        <w:autoSpaceDN w:val="0"/>
        <w:adjustRightInd w:val="0"/>
        <w:snapToGrid w:val="0"/>
        <w:spacing w:line="360" w:lineRule="exact"/>
        <w:rPr>
          <w:shd w:val="pct10" w:color="auto" w:fill="FFFFFF"/>
        </w:rPr>
      </w:pPr>
    </w:p>
    <w:p>
      <w:pPr>
        <w:pStyle w:val="114"/>
      </w:pPr>
      <w:r>
        <w:br w:type="page"/>
      </w:r>
    </w:p>
    <w:p>
      <w:pPr>
        <w:pStyle w:val="2"/>
        <w:numPr>
          <w:ilvl w:val="0"/>
          <w:numId w:val="2"/>
        </w:numPr>
        <w:rPr>
          <w:rFonts w:ascii="黑体" w:hAnsi="黑体"/>
        </w:rPr>
      </w:pPr>
      <w:bookmarkStart w:id="4" w:name="_Toc76114272"/>
      <w:bookmarkStart w:id="5" w:name="_Toc342565880"/>
      <w:r>
        <w:rPr>
          <w:rFonts w:hint="eastAsia" w:ascii="黑体" w:hAnsi="黑体"/>
        </w:rPr>
        <w:t>释义</w:t>
      </w:r>
      <w:bookmarkEnd w:id="4"/>
    </w:p>
    <w:sdt>
      <w:sdtPr>
        <w:rPr>
          <w:b/>
          <w:bCs/>
          <w:sz w:val="24"/>
          <w:szCs w:val="22"/>
        </w:rPr>
        <w:alias w:val="模块:释义"/>
        <w:tag w:val="_GBC_5d2d156d1e654b289921f6ca279d0332"/>
        <w:id w:val="-1647816717"/>
        <w:lock w:val="sdtLocked"/>
        <w:placeholder>
          <w:docPart w:val="GBC22222222222222222222222222222"/>
        </w:placeholder>
      </w:sdtPr>
      <w:sdtEndPr>
        <w:rPr>
          <w:b w:val="0"/>
          <w:bCs w:val="0"/>
          <w:sz w:val="21"/>
          <w:szCs w:val="21"/>
        </w:rPr>
      </w:sdtEndPr>
      <w:sdtContent>
        <w:p>
          <w:pPr>
            <w:pStyle w:val="114"/>
          </w:pPr>
          <w:r>
            <w:t>在本报告书中，除非文义另有所指，下列词语具有如下含义：</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992"/>
            <w:gridCol w:w="5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73bff14187b49a1b1c86b56316c5e47"/>
                <w:id w:val="148095862"/>
                <w:lock w:val="sdtLocked"/>
              </w:sdtPr>
              <w:sdtContent>
                <w:tc>
                  <w:tcPr>
                    <w:tcW w:w="9048" w:type="dxa"/>
                    <w:gridSpan w:val="3"/>
                  </w:tcPr>
                  <w:p>
                    <w:pPr>
                      <w:pStyle w:val="114"/>
                      <w:widowControl w:val="0"/>
                      <w:jc w:val="both"/>
                      <w:rPr>
                        <w:rFonts w:ascii="Times New Roman" w:hAnsi="Times New Roman"/>
                      </w:rPr>
                    </w:pPr>
                    <w:r>
                      <w:rPr>
                        <w:rFonts w:ascii="Times New Roman" w:hAnsi="Times New Roman"/>
                      </w:rPr>
                      <w:t>常用词语释义</w:t>
                    </w:r>
                  </w:p>
                </w:tc>
              </w:sdtContent>
            </w:sdt>
          </w:tr>
          <w:sdt>
            <w:sdtPr>
              <w:rPr>
                <w:rFonts w:hint="eastAsia" w:ascii="宋体" w:hAnsi="宋体" w:eastAsiaTheme="minorEastAsia" w:cstheme="minorBidi"/>
                <w:bCs/>
                <w:kern w:val="2"/>
                <w:szCs w:val="22"/>
              </w:rPr>
              <w:alias w:val="释义"/>
              <w:tag w:val="_GBC_ca5c2cb7a4e545e2b2d9d1b94b528746"/>
              <w:id w:val="38955119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本公司、公司</w:t>
                    </w:r>
                  </w:p>
                </w:tc>
                <w:tc>
                  <w:tcPr>
                    <w:tcW w:w="992" w:type="dxa"/>
                  </w:tcPr>
                  <w:sdt>
                    <w:sdtPr>
                      <w:rPr>
                        <w:rFonts w:hint="eastAsia" w:ascii="Times New Roman" w:hAnsi="Times New Roman"/>
                      </w:rPr>
                      <w:tag w:val="_PLD_289cf7e5c3a845d59c038a21dcd4a571"/>
                      <w:id w:val="-1484510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2155392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江苏宁沪高速公路股份有限公司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5773172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本集团、集团</w:t>
                    </w:r>
                  </w:p>
                </w:tc>
                <w:tc>
                  <w:tcPr>
                    <w:tcW w:w="992" w:type="dxa"/>
                  </w:tcPr>
                  <w:sdt>
                    <w:sdtPr>
                      <w:rPr>
                        <w:rFonts w:hint="eastAsia" w:ascii="Times New Roman" w:hAnsi="Times New Roman"/>
                      </w:rPr>
                      <w:tag w:val="_PLD_289cf7e5c3a845d59c038a21dcd4a571"/>
                      <w:id w:val="57371510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4748960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本公司及子公司</w:t>
                        </w:r>
                      </w:p>
                    </w:tc>
                  </w:sdtContent>
                </w:sdt>
              </w:tr>
            </w:sdtContent>
          </w:sdt>
          <w:sdt>
            <w:sdtPr>
              <w:rPr>
                <w:rFonts w:hint="eastAsia" w:ascii="宋体" w:hAnsi="宋体" w:eastAsiaTheme="minorEastAsia" w:cstheme="minorBidi"/>
                <w:bCs/>
                <w:kern w:val="2"/>
                <w:szCs w:val="22"/>
              </w:rPr>
              <w:alias w:val="释义"/>
              <w:tag w:val="_GBC_ca5c2cb7a4e545e2b2d9d1b94b528746"/>
              <w:id w:val="-206270328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控股股东、江苏交控</w:t>
                    </w:r>
                  </w:p>
                </w:tc>
                <w:tc>
                  <w:tcPr>
                    <w:tcW w:w="992" w:type="dxa"/>
                  </w:tcPr>
                  <w:sdt>
                    <w:sdtPr>
                      <w:rPr>
                        <w:rFonts w:hint="eastAsia" w:ascii="Times New Roman" w:hAnsi="Times New Roman"/>
                      </w:rPr>
                      <w:tag w:val="_PLD_289cf7e5c3a845d59c038a21dcd4a571"/>
                      <w:id w:val="127860851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3807949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江苏交通控股有限公司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55643651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招商局公路</w:t>
                    </w:r>
                  </w:p>
                </w:tc>
                <w:tc>
                  <w:tcPr>
                    <w:tcW w:w="992" w:type="dxa"/>
                  </w:tcPr>
                  <w:sdt>
                    <w:sdtPr>
                      <w:rPr>
                        <w:rFonts w:hint="eastAsia" w:ascii="Times New Roman" w:hAnsi="Times New Roman"/>
                      </w:rPr>
                      <w:tag w:val="_PLD_289cf7e5c3a845d59c038a21dcd4a571"/>
                      <w:id w:val="144627425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2808747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招商局公路网络科技控股股份有限公司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19407260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宁常镇溧公司</w:t>
                    </w:r>
                  </w:p>
                </w:tc>
                <w:tc>
                  <w:tcPr>
                    <w:tcW w:w="992" w:type="dxa"/>
                  </w:tcPr>
                  <w:sdt>
                    <w:sdtPr>
                      <w:rPr>
                        <w:rFonts w:hint="eastAsia" w:ascii="Times New Roman" w:hAnsi="Times New Roman"/>
                      </w:rPr>
                      <w:tag w:val="_PLD_289cf7e5c3a845d59c038a21dcd4a571"/>
                      <w:id w:val="-95055624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3828142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江苏宁常镇溧高速公路有限公司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1085467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宁沪国际公司</w:t>
                    </w:r>
                  </w:p>
                </w:tc>
                <w:tc>
                  <w:tcPr>
                    <w:tcW w:w="992" w:type="dxa"/>
                  </w:tcPr>
                  <w:sdt>
                    <w:sdtPr>
                      <w:rPr>
                        <w:rFonts w:hint="eastAsia" w:ascii="Times New Roman" w:hAnsi="Times New Roman"/>
                      </w:rPr>
                      <w:tag w:val="_PLD_289cf7e5c3a845d59c038a21dcd4a571"/>
                      <w:id w:val="-22213704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7625525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江苏宁沪国际（香港）有限公司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598082140"/>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扬子江管理公司</w:t>
                    </w:r>
                  </w:p>
                </w:tc>
                <w:tc>
                  <w:tcPr>
                    <w:tcW w:w="992" w:type="dxa"/>
                  </w:tcPr>
                  <w:sdt>
                    <w:sdtPr>
                      <w:rPr>
                        <w:rFonts w:hint="eastAsia" w:ascii="Times New Roman" w:hAnsi="Times New Roman"/>
                      </w:rPr>
                      <w:tag w:val="_PLD_289cf7e5c3a845d59c038a21dcd4a571"/>
                      <w:id w:val="-158714180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8348409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江苏扬子江高速通道管理有限公司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29555866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宁沪投资公司</w:t>
                    </w:r>
                  </w:p>
                </w:tc>
                <w:tc>
                  <w:tcPr>
                    <w:tcW w:w="992" w:type="dxa"/>
                  </w:tcPr>
                  <w:sdt>
                    <w:sdtPr>
                      <w:rPr>
                        <w:rFonts w:hint="eastAsia" w:ascii="Times New Roman" w:hAnsi="Times New Roman"/>
                      </w:rPr>
                      <w:tag w:val="_PLD_289cf7e5c3a845d59c038a21dcd4a571"/>
                      <w:id w:val="177760336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1960123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江苏宁沪投资发展有限责任公司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210168572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保理公司</w:t>
                    </w:r>
                  </w:p>
                </w:tc>
                <w:tc>
                  <w:tcPr>
                    <w:tcW w:w="992" w:type="dxa"/>
                  </w:tcPr>
                  <w:sdt>
                    <w:sdtPr>
                      <w:rPr>
                        <w:rFonts w:hint="eastAsia" w:ascii="Times New Roman" w:hAnsi="Times New Roman"/>
                      </w:rPr>
                      <w:tag w:val="_PLD_289cf7e5c3a845d59c038a21dcd4a571"/>
                      <w:id w:val="170721821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5726978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宁沪商业保理（广州）有限公司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12697108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宁沪置业公司</w:t>
                    </w:r>
                  </w:p>
                </w:tc>
                <w:tc>
                  <w:tcPr>
                    <w:tcW w:w="992" w:type="dxa"/>
                  </w:tcPr>
                  <w:sdt>
                    <w:sdtPr>
                      <w:rPr>
                        <w:rFonts w:hint="eastAsia" w:ascii="Times New Roman" w:hAnsi="Times New Roman"/>
                      </w:rPr>
                      <w:tag w:val="_PLD_289cf7e5c3a845d59c038a21dcd4a571"/>
                      <w:id w:val="118740763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1848803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江苏宁沪置业有限责任公司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85580389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瀚威公司</w:t>
                    </w:r>
                  </w:p>
                </w:tc>
                <w:tc>
                  <w:tcPr>
                    <w:tcW w:w="992" w:type="dxa"/>
                  </w:tcPr>
                  <w:sdt>
                    <w:sdtPr>
                      <w:rPr>
                        <w:rFonts w:hint="eastAsia" w:ascii="Times New Roman" w:hAnsi="Times New Roman"/>
                      </w:rPr>
                      <w:tag w:val="_PLD_289cf7e5c3a845d59c038a21dcd4a571"/>
                      <w:id w:val="-160525898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0041585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南京瀚威房地产开发有限公司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45568516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长江商能公司</w:t>
                    </w:r>
                  </w:p>
                </w:tc>
                <w:tc>
                  <w:tcPr>
                    <w:tcW w:w="992" w:type="dxa"/>
                  </w:tcPr>
                  <w:sdt>
                    <w:sdtPr>
                      <w:rPr>
                        <w:rFonts w:hint="eastAsia" w:ascii="Times New Roman" w:hAnsi="Times New Roman"/>
                      </w:rPr>
                      <w:tag w:val="_PLD_289cf7e5c3a845d59c038a21dcd4a571"/>
                      <w:id w:val="72919122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0060081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江苏长江商业能源有限公司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65191281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广靖锡澄公司</w:t>
                    </w:r>
                  </w:p>
                </w:tc>
                <w:tc>
                  <w:tcPr>
                    <w:tcW w:w="992" w:type="dxa"/>
                  </w:tcPr>
                  <w:sdt>
                    <w:sdtPr>
                      <w:rPr>
                        <w:rFonts w:hint="eastAsia" w:ascii="Times New Roman" w:hAnsi="Times New Roman"/>
                      </w:rPr>
                      <w:tag w:val="_PLD_289cf7e5c3a845d59c038a21dcd4a571"/>
                      <w:id w:val="123682225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0663704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江苏广靖锡澄高速公路有限责任公司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82026777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云杉清能公司</w:t>
                    </w:r>
                  </w:p>
                </w:tc>
                <w:tc>
                  <w:tcPr>
                    <w:tcW w:w="992" w:type="dxa"/>
                  </w:tcPr>
                  <w:sdt>
                    <w:sdtPr>
                      <w:rPr>
                        <w:rFonts w:hint="eastAsia" w:ascii="Times New Roman" w:hAnsi="Times New Roman"/>
                      </w:rPr>
                      <w:tag w:val="_PLD_289cf7e5c3a845d59c038a21dcd4a571"/>
                      <w:id w:val="27329344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7577686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江苏云杉清洁能源投资控股有限公司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31561349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云杉清能集团</w:t>
                    </w:r>
                  </w:p>
                </w:tc>
                <w:tc>
                  <w:tcPr>
                    <w:tcW w:w="992" w:type="dxa"/>
                  </w:tcPr>
                  <w:sdt>
                    <w:sdtPr>
                      <w:rPr>
                        <w:rFonts w:hint="eastAsia" w:ascii="Times New Roman" w:hAnsi="Times New Roman"/>
                      </w:rPr>
                      <w:tag w:val="_PLD_289cf7e5c3a845d59c038a21dcd4a571"/>
                      <w:id w:val="-165521342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02562595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云杉清能公司连同其10家附属公司和3家参股公司</w:t>
                        </w:r>
                      </w:p>
                    </w:tc>
                  </w:sdtContent>
                </w:sdt>
              </w:tr>
            </w:sdtContent>
          </w:sdt>
          <w:sdt>
            <w:sdtPr>
              <w:rPr>
                <w:rFonts w:hint="eastAsia" w:ascii="宋体" w:hAnsi="宋体" w:eastAsiaTheme="minorEastAsia" w:cstheme="minorBidi"/>
                <w:bCs/>
                <w:kern w:val="2"/>
                <w:szCs w:val="22"/>
              </w:rPr>
              <w:alias w:val="释义"/>
              <w:tag w:val="_GBC_ca5c2cb7a4e545e2b2d9d1b94b528746"/>
              <w:id w:val="31091408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云杉资本</w:t>
                    </w:r>
                  </w:p>
                </w:tc>
                <w:tc>
                  <w:tcPr>
                    <w:tcW w:w="992" w:type="dxa"/>
                  </w:tcPr>
                  <w:sdt>
                    <w:sdtPr>
                      <w:rPr>
                        <w:rFonts w:hint="eastAsia" w:ascii="Times New Roman" w:hAnsi="Times New Roman"/>
                      </w:rPr>
                      <w:tag w:val="_PLD_289cf7e5c3a845d59c038a21dcd4a571"/>
                      <w:id w:val="108588604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72062794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江苏云杉资本管理有限公司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3618268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南通天电公司</w:t>
                    </w:r>
                  </w:p>
                </w:tc>
                <w:tc>
                  <w:tcPr>
                    <w:tcW w:w="992" w:type="dxa"/>
                  </w:tcPr>
                  <w:sdt>
                    <w:sdtPr>
                      <w:rPr>
                        <w:rFonts w:hint="eastAsia" w:ascii="Times New Roman" w:hAnsi="Times New Roman"/>
                      </w:rPr>
                      <w:tag w:val="_PLD_289cf7e5c3a845d59c038a21dcd4a571"/>
                      <w:id w:val="213836276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3066208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南通天电新兴能源有限公司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55274315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苏交控清能江苏公司</w:t>
                    </w:r>
                  </w:p>
                </w:tc>
                <w:tc>
                  <w:tcPr>
                    <w:tcW w:w="992" w:type="dxa"/>
                  </w:tcPr>
                  <w:sdt>
                    <w:sdtPr>
                      <w:rPr>
                        <w:rFonts w:hint="eastAsia" w:ascii="Times New Roman" w:hAnsi="Times New Roman"/>
                      </w:rPr>
                      <w:tag w:val="_PLD_289cf7e5c3a845d59c038a21dcd4a571"/>
                      <w:id w:val="60307943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1347969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苏交控清洁能源江苏有限公司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62265898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hint="eastAsia" w:ascii="宋体" w:hAnsi="宋体" w:eastAsiaTheme="minorEastAsia" w:cstheme="minorBidi"/>
                        <w:bCs/>
                        <w:kern w:val="2"/>
                        <w:szCs w:val="22"/>
                      </w:rPr>
                      <w:t>三峡南通公司</w:t>
                    </w:r>
                  </w:p>
                </w:tc>
                <w:tc>
                  <w:tcPr>
                    <w:tcW w:w="992" w:type="dxa"/>
                  </w:tcPr>
                  <w:sdt>
                    <w:sdtPr>
                      <w:rPr>
                        <w:rFonts w:hint="eastAsia" w:ascii="Times New Roman" w:hAnsi="Times New Roman"/>
                      </w:rPr>
                      <w:tag w:val="_PLD_289cf7e5c3a845d59c038a21dcd4a571"/>
                      <w:id w:val="-87408182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7715141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三峡新能源南通有限公司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85930844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如东公司</w:t>
                    </w:r>
                  </w:p>
                </w:tc>
                <w:tc>
                  <w:tcPr>
                    <w:tcW w:w="992" w:type="dxa"/>
                  </w:tcPr>
                  <w:sdt>
                    <w:sdtPr>
                      <w:rPr>
                        <w:rFonts w:hint="eastAsia" w:ascii="Times New Roman" w:hAnsi="Times New Roman"/>
                      </w:rPr>
                      <w:tag w:val="_PLD_289cf7e5c3a845d59c038a21dcd4a571"/>
                      <w:id w:val="81028359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95230949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苏交控如东海上风力发电有限公司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84046720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hint="eastAsia" w:ascii="宋体" w:hAnsi="宋体" w:eastAsiaTheme="minorEastAsia" w:cstheme="minorBidi"/>
                        <w:bCs/>
                        <w:kern w:val="2"/>
                        <w:szCs w:val="22"/>
                      </w:rPr>
                      <w:t>通湖物流园</w:t>
                    </w:r>
                  </w:p>
                </w:tc>
                <w:tc>
                  <w:tcPr>
                    <w:tcW w:w="992" w:type="dxa"/>
                  </w:tcPr>
                  <w:sdt>
                    <w:sdtPr>
                      <w:rPr>
                        <w:rFonts w:hint="eastAsia" w:ascii="Times New Roman" w:hAnsi="Times New Roman"/>
                      </w:rPr>
                      <w:tag w:val="_PLD_289cf7e5c3a845d59c038a21dcd4a571"/>
                      <w:id w:val="92337799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5765306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江苏通湖物流园有限公司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31653729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hint="eastAsia" w:ascii="宋体" w:hAnsi="宋体" w:eastAsiaTheme="minorEastAsia" w:cstheme="minorBidi"/>
                        <w:bCs/>
                        <w:kern w:val="2"/>
                        <w:szCs w:val="22"/>
                      </w:rPr>
                      <w:t>宿迁公司</w:t>
                    </w:r>
                  </w:p>
                </w:tc>
                <w:tc>
                  <w:tcPr>
                    <w:tcW w:w="992" w:type="dxa"/>
                  </w:tcPr>
                  <w:sdt>
                    <w:sdtPr>
                      <w:rPr>
                        <w:rFonts w:hint="eastAsia" w:ascii="Times New Roman" w:hAnsi="Times New Roman"/>
                      </w:rPr>
                      <w:tag w:val="_PLD_289cf7e5c3a845d59c038a21dcd4a571"/>
                      <w:id w:val="171307732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5737728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苏交控清洁能源宿迁有限公司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0778385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镇丹公司</w:t>
                    </w:r>
                  </w:p>
                </w:tc>
                <w:tc>
                  <w:tcPr>
                    <w:tcW w:w="992" w:type="dxa"/>
                  </w:tcPr>
                  <w:sdt>
                    <w:sdtPr>
                      <w:rPr>
                        <w:rFonts w:hint="eastAsia" w:ascii="Times New Roman" w:hAnsi="Times New Roman"/>
                      </w:rPr>
                      <w:tag w:val="_PLD_289cf7e5c3a845d59c038a21dcd4a571"/>
                      <w:id w:val="23791077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4103051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江苏镇丹高速公路有限公司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2173552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五峰山大桥公司</w:t>
                    </w:r>
                  </w:p>
                </w:tc>
                <w:tc>
                  <w:tcPr>
                    <w:tcW w:w="992" w:type="dxa"/>
                  </w:tcPr>
                  <w:sdt>
                    <w:sdtPr>
                      <w:rPr>
                        <w:rFonts w:hint="eastAsia" w:ascii="Times New Roman" w:hAnsi="Times New Roman"/>
                      </w:rPr>
                      <w:tag w:val="_PLD_289cf7e5c3a845d59c038a21dcd4a571"/>
                      <w:id w:val="-109239055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81239586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江苏五峰山大桥有限公司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99116298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龙潭大桥公司</w:t>
                    </w:r>
                  </w:p>
                </w:tc>
                <w:tc>
                  <w:tcPr>
                    <w:tcW w:w="992" w:type="dxa"/>
                  </w:tcPr>
                  <w:sdt>
                    <w:sdtPr>
                      <w:rPr>
                        <w:rFonts w:hint="eastAsia" w:ascii="Times New Roman" w:hAnsi="Times New Roman"/>
                      </w:rPr>
                      <w:tag w:val="_PLD_289cf7e5c3a845d59c038a21dcd4a571"/>
                      <w:id w:val="34584094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9500720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江苏龙潭大桥有限公司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39570510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悦鑫公司</w:t>
                    </w:r>
                  </w:p>
                </w:tc>
                <w:tc>
                  <w:tcPr>
                    <w:tcW w:w="992" w:type="dxa"/>
                  </w:tcPr>
                  <w:sdt>
                    <w:sdtPr>
                      <w:rPr>
                        <w:rFonts w:hint="eastAsia" w:ascii="Times New Roman" w:hAnsi="Times New Roman"/>
                      </w:rPr>
                      <w:tag w:val="_PLD_289cf7e5c3a845d59c038a21dcd4a571"/>
                      <w:id w:val="13901224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11192884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江苏悦鑫宁沪天然气有限公司（前称江苏协鑫宁沪天然气有限公司）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3118957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快鹿公司</w:t>
                    </w:r>
                  </w:p>
                </w:tc>
                <w:tc>
                  <w:tcPr>
                    <w:tcW w:w="992" w:type="dxa"/>
                  </w:tcPr>
                  <w:sdt>
                    <w:sdtPr>
                      <w:rPr>
                        <w:rFonts w:hint="eastAsia" w:ascii="Times New Roman" w:hAnsi="Times New Roman"/>
                      </w:rPr>
                      <w:tag w:val="_PLD_289cf7e5c3a845d59c038a21dcd4a571"/>
                      <w:id w:val="-209369182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9419211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江苏快鹿汽车运输股份有限公司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14473899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苏州高速公司</w:t>
                    </w:r>
                  </w:p>
                </w:tc>
                <w:tc>
                  <w:tcPr>
                    <w:tcW w:w="992" w:type="dxa"/>
                  </w:tcPr>
                  <w:sdt>
                    <w:sdtPr>
                      <w:rPr>
                        <w:rFonts w:hint="eastAsia" w:ascii="Times New Roman" w:hAnsi="Times New Roman"/>
                      </w:rPr>
                      <w:tag w:val="_PLD_289cf7e5c3a845d59c038a21dcd4a571"/>
                      <w:id w:val="171769295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4482836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苏州市高速公路管理有限公司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6420759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扬子大桥公司</w:t>
                    </w:r>
                  </w:p>
                </w:tc>
                <w:tc>
                  <w:tcPr>
                    <w:tcW w:w="992" w:type="dxa"/>
                  </w:tcPr>
                  <w:sdt>
                    <w:sdtPr>
                      <w:rPr>
                        <w:rFonts w:hint="eastAsia" w:ascii="Times New Roman" w:hAnsi="Times New Roman"/>
                      </w:rPr>
                      <w:tag w:val="_PLD_289cf7e5c3a845d59c038a21dcd4a571"/>
                      <w:id w:val="-190182320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4099821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江苏扬子大桥股份有限公司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3810193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沪通大桥公司</w:t>
                    </w:r>
                  </w:p>
                </w:tc>
                <w:tc>
                  <w:tcPr>
                    <w:tcW w:w="992" w:type="dxa"/>
                  </w:tcPr>
                  <w:sdt>
                    <w:sdtPr>
                      <w:rPr>
                        <w:rFonts w:hint="eastAsia" w:ascii="Times New Roman" w:hAnsi="Times New Roman"/>
                      </w:rPr>
                      <w:tag w:val="_PLD_289cf7e5c3a845d59c038a21dcd4a571"/>
                      <w:id w:val="-130601258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9681871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江苏沪通大桥有限责任公司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124114487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财务公司</w:t>
                    </w:r>
                  </w:p>
                </w:tc>
                <w:tc>
                  <w:tcPr>
                    <w:tcW w:w="992" w:type="dxa"/>
                  </w:tcPr>
                  <w:sdt>
                    <w:sdtPr>
                      <w:rPr>
                        <w:rFonts w:hint="eastAsia" w:ascii="Times New Roman" w:hAnsi="Times New Roman"/>
                      </w:rPr>
                      <w:tag w:val="_PLD_289cf7e5c3a845d59c038a21dcd4a571"/>
                      <w:id w:val="-59602050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2587249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江苏交通控股集团财务有限公司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68173823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交通传媒公司</w:t>
                    </w:r>
                  </w:p>
                </w:tc>
                <w:tc>
                  <w:tcPr>
                    <w:tcW w:w="992" w:type="dxa"/>
                  </w:tcPr>
                  <w:sdt>
                    <w:sdtPr>
                      <w:rPr>
                        <w:rFonts w:hint="eastAsia" w:ascii="Times New Roman" w:hAnsi="Times New Roman"/>
                      </w:rPr>
                      <w:tag w:val="_PLD_289cf7e5c3a845d59c038a21dcd4a571"/>
                      <w:id w:val="-45039728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40915591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江苏交通文化传媒有限公司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8225008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数研院</w:t>
                    </w:r>
                  </w:p>
                </w:tc>
                <w:tc>
                  <w:tcPr>
                    <w:tcW w:w="992" w:type="dxa"/>
                  </w:tcPr>
                  <w:sdt>
                    <w:sdtPr>
                      <w:rPr>
                        <w:rFonts w:hint="eastAsia" w:ascii="Times New Roman" w:hAnsi="Times New Roman"/>
                      </w:rPr>
                      <w:tag w:val="_PLD_289cf7e5c3a845d59c038a21dcd4a571"/>
                      <w:id w:val="9953134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1734484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江苏交控数字交通研究院有限公司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20891720"/>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现代路桥公司</w:t>
                    </w:r>
                  </w:p>
                </w:tc>
                <w:tc>
                  <w:tcPr>
                    <w:tcW w:w="992" w:type="dxa"/>
                  </w:tcPr>
                  <w:sdt>
                    <w:sdtPr>
                      <w:rPr>
                        <w:rFonts w:hint="eastAsia" w:ascii="Times New Roman" w:hAnsi="Times New Roman"/>
                      </w:rPr>
                      <w:tag w:val="_PLD_289cf7e5c3a845d59c038a21dcd4a571"/>
                      <w:id w:val="-35951243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7840816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江苏现代路桥有限责任公司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42623380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联网公司</w:t>
                    </w:r>
                  </w:p>
                </w:tc>
                <w:tc>
                  <w:tcPr>
                    <w:tcW w:w="992" w:type="dxa"/>
                  </w:tcPr>
                  <w:sdt>
                    <w:sdtPr>
                      <w:rPr>
                        <w:rFonts w:hint="eastAsia" w:ascii="Times New Roman" w:hAnsi="Times New Roman"/>
                      </w:rPr>
                      <w:tag w:val="_PLD_289cf7e5c3a845d59c038a21dcd4a571"/>
                      <w:id w:val="125262667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2099229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江苏高速公路联网营运管理有限公司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76508140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江苏银行公司</w:t>
                    </w:r>
                  </w:p>
                </w:tc>
                <w:tc>
                  <w:tcPr>
                    <w:tcW w:w="992" w:type="dxa"/>
                  </w:tcPr>
                  <w:sdt>
                    <w:sdtPr>
                      <w:rPr>
                        <w:rFonts w:hint="eastAsia" w:ascii="Times New Roman" w:hAnsi="Times New Roman"/>
                      </w:rPr>
                      <w:tag w:val="_PLD_289cf7e5c3a845d59c038a21dcd4a571"/>
                      <w:id w:val="-195708396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8558117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江苏银行股份有限公司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5504845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紫金信托公司</w:t>
                    </w:r>
                  </w:p>
                </w:tc>
                <w:tc>
                  <w:tcPr>
                    <w:tcW w:w="992" w:type="dxa"/>
                  </w:tcPr>
                  <w:sdt>
                    <w:sdtPr>
                      <w:rPr>
                        <w:rFonts w:hint="eastAsia" w:ascii="Times New Roman" w:hAnsi="Times New Roman"/>
                      </w:rPr>
                      <w:tag w:val="_PLD_289cf7e5c3a845d59c038a21dcd4a571"/>
                      <w:id w:val="-39736012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0646641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紫金信托有限责任公司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182997789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宜长公司</w:t>
                    </w:r>
                  </w:p>
                </w:tc>
                <w:tc>
                  <w:tcPr>
                    <w:tcW w:w="992" w:type="dxa"/>
                  </w:tcPr>
                  <w:sdt>
                    <w:sdtPr>
                      <w:rPr>
                        <w:rFonts w:hint="eastAsia" w:ascii="Times New Roman" w:hAnsi="Times New Roman"/>
                      </w:rPr>
                      <w:tag w:val="_PLD_289cf7e5c3a845d59c038a21dcd4a571"/>
                      <w:id w:val="97079301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6575723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江苏宜长高速公路有限公司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6758255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常宜公司</w:t>
                    </w:r>
                  </w:p>
                </w:tc>
                <w:tc>
                  <w:tcPr>
                    <w:tcW w:w="992" w:type="dxa"/>
                  </w:tcPr>
                  <w:sdt>
                    <w:sdtPr>
                      <w:rPr>
                        <w:rFonts w:hint="eastAsia" w:ascii="Times New Roman" w:hAnsi="Times New Roman"/>
                      </w:rPr>
                      <w:tag w:val="_PLD_289cf7e5c3a845d59c038a21dcd4a571"/>
                      <w:id w:val="-111952146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6421448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江苏常宜高速公路有限公司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98354463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苏锡常南部高速公司</w:t>
                    </w:r>
                  </w:p>
                </w:tc>
                <w:tc>
                  <w:tcPr>
                    <w:tcW w:w="992" w:type="dxa"/>
                  </w:tcPr>
                  <w:sdt>
                    <w:sdtPr>
                      <w:rPr>
                        <w:rFonts w:hint="eastAsia" w:ascii="Times New Roman" w:hAnsi="Times New Roman"/>
                      </w:rPr>
                      <w:tag w:val="_PLD_289cf7e5c3a845d59c038a21dcd4a571"/>
                      <w:id w:val="-67943308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7013640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江苏苏锡常南部高速公路有限公司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35839082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南林饭店公司</w:t>
                    </w:r>
                  </w:p>
                </w:tc>
                <w:tc>
                  <w:tcPr>
                    <w:tcW w:w="992" w:type="dxa"/>
                  </w:tcPr>
                  <w:sdt>
                    <w:sdtPr>
                      <w:rPr>
                        <w:rFonts w:hint="eastAsia" w:ascii="Times New Roman" w:hAnsi="Times New Roman"/>
                      </w:rPr>
                      <w:tag w:val="_PLD_289cf7e5c3a845d59c038a21dcd4a571"/>
                      <w:id w:val="1945565111"/>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06471613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苏州金陵南林饭店有限责任公司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89910103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沿江公司</w:t>
                    </w:r>
                  </w:p>
                </w:tc>
                <w:tc>
                  <w:tcPr>
                    <w:tcW w:w="992" w:type="dxa"/>
                  </w:tcPr>
                  <w:sdt>
                    <w:sdtPr>
                      <w:rPr>
                        <w:rFonts w:hint="eastAsia" w:ascii="Times New Roman" w:hAnsi="Times New Roman"/>
                      </w:rPr>
                      <w:tag w:val="_PLD_289cf7e5c3a845d59c038a21dcd4a571"/>
                      <w:id w:val="-167679540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49563823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江苏沿江高速公路有限公司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91639750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江苏租赁公司</w:t>
                    </w:r>
                  </w:p>
                </w:tc>
                <w:tc>
                  <w:tcPr>
                    <w:tcW w:w="992" w:type="dxa"/>
                  </w:tcPr>
                  <w:sdt>
                    <w:sdtPr>
                      <w:rPr>
                        <w:rFonts w:hint="eastAsia" w:ascii="Times New Roman" w:hAnsi="Times New Roman"/>
                      </w:rPr>
                      <w:tag w:val="_PLD_289cf7e5c3a845d59c038a21dcd4a571"/>
                      <w:id w:val="-112669578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0757674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江苏金融租赁股份有限公司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49784941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铁集公司</w:t>
                    </w:r>
                  </w:p>
                </w:tc>
                <w:tc>
                  <w:tcPr>
                    <w:tcW w:w="992" w:type="dxa"/>
                  </w:tcPr>
                  <w:sdt>
                    <w:sdtPr>
                      <w:rPr>
                        <w:rFonts w:hint="eastAsia" w:ascii="Times New Roman" w:hAnsi="Times New Roman"/>
                      </w:rPr>
                      <w:tag w:val="_PLD_289cf7e5c3a845d59c038a21dcd4a571"/>
                      <w:id w:val="213420817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089896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江苏省铁路集团有限公司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40349011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通行宝公司</w:t>
                    </w:r>
                  </w:p>
                </w:tc>
                <w:tc>
                  <w:tcPr>
                    <w:tcW w:w="992" w:type="dxa"/>
                  </w:tcPr>
                  <w:sdt>
                    <w:sdtPr>
                      <w:rPr>
                        <w:rFonts w:hint="eastAsia" w:ascii="Times New Roman" w:hAnsi="Times New Roman"/>
                      </w:rPr>
                      <w:tag w:val="_PLD_289cf7e5c3a845d59c038a21dcd4a571"/>
                      <w:id w:val="-171465079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53558039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江苏通行宝智慧交通科技股份有限公司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2451310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京沪公司</w:t>
                    </w:r>
                  </w:p>
                </w:tc>
                <w:tc>
                  <w:tcPr>
                    <w:tcW w:w="992" w:type="dxa"/>
                  </w:tcPr>
                  <w:sdt>
                    <w:sdtPr>
                      <w:rPr>
                        <w:rFonts w:hint="eastAsia" w:ascii="Times New Roman" w:hAnsi="Times New Roman"/>
                      </w:rPr>
                      <w:tag w:val="_PLD_289cf7e5c3a845d59c038a21dcd4a571"/>
                      <w:id w:val="-203517888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4299342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江苏京沪高速公路有限公司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0659003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高速石油公司</w:t>
                    </w:r>
                    <w:r>
                      <w:rPr>
                        <w:rFonts w:hint="eastAsia" w:ascii="Times New Roman" w:hAnsi="Times New Roman"/>
                      </w:rPr>
                      <w:t>、高速能源公司</w:t>
                    </w:r>
                  </w:p>
                </w:tc>
                <w:tc>
                  <w:tcPr>
                    <w:tcW w:w="992" w:type="dxa"/>
                  </w:tcPr>
                  <w:sdt>
                    <w:sdtPr>
                      <w:rPr>
                        <w:rFonts w:hint="eastAsia" w:ascii="Times New Roman" w:hAnsi="Times New Roman"/>
                      </w:rPr>
                      <w:tag w:val="_PLD_289cf7e5c3a845d59c038a21dcd4a571"/>
                      <w:id w:val="-659765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8761092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江苏高速公路能源发展有限公司(前称江苏高速公路石油发展有限公司)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49770298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泰兴油品公司</w:t>
                    </w:r>
                  </w:p>
                </w:tc>
                <w:tc>
                  <w:tcPr>
                    <w:tcW w:w="992" w:type="dxa"/>
                  </w:tcPr>
                  <w:sdt>
                    <w:sdtPr>
                      <w:rPr>
                        <w:rFonts w:hint="eastAsia" w:ascii="Times New Roman" w:hAnsi="Times New Roman"/>
                      </w:rPr>
                      <w:tag w:val="_PLD_289cf7e5c3a845d59c038a21dcd4a571"/>
                      <w:id w:val="304278331"/>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9708880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泰兴市和畅油品销售有限公司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83080476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远东海运公司</w:t>
                    </w:r>
                  </w:p>
                </w:tc>
                <w:tc>
                  <w:tcPr>
                    <w:tcW w:w="992" w:type="dxa"/>
                  </w:tcPr>
                  <w:sdt>
                    <w:sdtPr>
                      <w:rPr>
                        <w:rFonts w:hint="eastAsia" w:ascii="Times New Roman" w:hAnsi="Times New Roman"/>
                      </w:rPr>
                      <w:tag w:val="_PLD_289cf7e5c3a845d59c038a21dcd4a571"/>
                      <w:id w:val="74044955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891146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江苏远东海运有限公司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1838762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高速信息公司</w:t>
                    </w:r>
                  </w:p>
                </w:tc>
                <w:tc>
                  <w:tcPr>
                    <w:tcW w:w="992" w:type="dxa"/>
                  </w:tcPr>
                  <w:sdt>
                    <w:sdtPr>
                      <w:rPr>
                        <w:rFonts w:hint="eastAsia" w:ascii="Times New Roman" w:hAnsi="Times New Roman"/>
                      </w:rPr>
                      <w:tag w:val="_PLD_289cf7e5c3a845d59c038a21dcd4a571"/>
                      <w:id w:val="-36999793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877303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江苏高速公路信息工程有限公司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85508539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养护技术公司</w:t>
                    </w:r>
                  </w:p>
                </w:tc>
                <w:tc>
                  <w:tcPr>
                    <w:tcW w:w="992" w:type="dxa"/>
                  </w:tcPr>
                  <w:sdt>
                    <w:sdtPr>
                      <w:rPr>
                        <w:rFonts w:hint="eastAsia" w:ascii="Times New Roman" w:hAnsi="Times New Roman"/>
                      </w:rPr>
                      <w:tag w:val="_PLD_289cf7e5c3a845d59c038a21dcd4a571"/>
                      <w:id w:val="157724019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8687666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江苏高速公路工程养护技术有限公司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9197315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工程养护公司</w:t>
                    </w:r>
                  </w:p>
                </w:tc>
                <w:tc>
                  <w:tcPr>
                    <w:tcW w:w="992" w:type="dxa"/>
                  </w:tcPr>
                  <w:sdt>
                    <w:sdtPr>
                      <w:rPr>
                        <w:rFonts w:hint="eastAsia" w:ascii="Times New Roman" w:hAnsi="Times New Roman"/>
                      </w:rPr>
                      <w:tag w:val="_PLD_289cf7e5c3a845d59c038a21dcd4a571"/>
                      <w:id w:val="139215643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9428949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江苏高速公路工程养护有限公司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07041598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交控人力资源公司</w:t>
                    </w:r>
                  </w:p>
                </w:tc>
                <w:tc>
                  <w:tcPr>
                    <w:tcW w:w="992" w:type="dxa"/>
                  </w:tcPr>
                  <w:sdt>
                    <w:sdtPr>
                      <w:rPr>
                        <w:rFonts w:hint="eastAsia" w:ascii="Times New Roman" w:hAnsi="Times New Roman"/>
                      </w:rPr>
                      <w:tag w:val="_PLD_289cf7e5c3a845d59c038a21dcd4a571"/>
                      <w:id w:val="-77054558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04770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江苏交控人力资源发展有限公司（前称江苏交控培训有限公司）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4144476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东方路桥公司</w:t>
                    </w:r>
                  </w:p>
                </w:tc>
                <w:tc>
                  <w:tcPr>
                    <w:tcW w:w="992" w:type="dxa"/>
                  </w:tcPr>
                  <w:sdt>
                    <w:sdtPr>
                      <w:rPr>
                        <w:rFonts w:hint="eastAsia" w:ascii="Times New Roman" w:hAnsi="Times New Roman"/>
                      </w:rPr>
                      <w:tag w:val="_PLD_289cf7e5c3a845d59c038a21dcd4a571"/>
                      <w:id w:val="181035730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6328865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江苏东方路桥建设养护有限公司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2652362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交控商运公司</w:t>
                    </w:r>
                  </w:p>
                </w:tc>
                <w:tc>
                  <w:tcPr>
                    <w:tcW w:w="992" w:type="dxa"/>
                  </w:tcPr>
                  <w:sdt>
                    <w:sdtPr>
                      <w:rPr>
                        <w:rFonts w:hint="eastAsia" w:ascii="Times New Roman" w:hAnsi="Times New Roman"/>
                      </w:rPr>
                      <w:tag w:val="_PLD_289cf7e5c3a845d59c038a21dcd4a571"/>
                      <w:id w:val="-143813711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93158601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江苏交控商业运营管理有限公司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92881040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锡泰公司、</w:t>
                    </w:r>
                    <w:r>
                      <w:rPr>
                        <w:rFonts w:hint="eastAsia" w:ascii="Times New Roman" w:hAnsi="Times New Roman"/>
                      </w:rPr>
                      <w:t>锡泰隧道公司</w:t>
                    </w:r>
                  </w:p>
                </w:tc>
                <w:tc>
                  <w:tcPr>
                    <w:tcW w:w="992" w:type="dxa"/>
                  </w:tcPr>
                  <w:sdt>
                    <w:sdtPr>
                      <w:rPr>
                        <w:rFonts w:hint="eastAsia" w:ascii="Times New Roman" w:hAnsi="Times New Roman"/>
                      </w:rPr>
                      <w:tag w:val="_PLD_289cf7e5c3a845d59c038a21dcd4a571"/>
                      <w:id w:val="21408700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2914336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江苏锡泰隧道有限责任公司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13021545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翠屏山宾馆</w:t>
                    </w:r>
                  </w:p>
                </w:tc>
                <w:tc>
                  <w:tcPr>
                    <w:tcW w:w="992" w:type="dxa"/>
                  </w:tcPr>
                  <w:sdt>
                    <w:sdtPr>
                      <w:rPr>
                        <w:rFonts w:hint="eastAsia" w:ascii="Times New Roman" w:hAnsi="Times New Roman"/>
                      </w:rPr>
                      <w:tag w:val="_PLD_289cf7e5c3a845d59c038a21dcd4a571"/>
                      <w:id w:val="-3666552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56098201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江苏翠屏山宾馆管理有限公司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59929768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洛德基金公司</w:t>
                    </w:r>
                  </w:p>
                </w:tc>
                <w:tc>
                  <w:tcPr>
                    <w:tcW w:w="992" w:type="dxa"/>
                  </w:tcPr>
                  <w:sdt>
                    <w:sdtPr>
                      <w:rPr>
                        <w:rFonts w:hint="eastAsia" w:ascii="Times New Roman" w:hAnsi="Times New Roman"/>
                      </w:rPr>
                      <w:tag w:val="_PLD_289cf7e5c3a845d59c038a21dcd4a571"/>
                      <w:id w:val="-17165414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7950165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江苏洛德股权投资基金管理有限公司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33081916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中北致远基金</w:t>
                    </w:r>
                  </w:p>
                </w:tc>
                <w:tc>
                  <w:tcPr>
                    <w:tcW w:w="992" w:type="dxa"/>
                  </w:tcPr>
                  <w:sdt>
                    <w:sdtPr>
                      <w:rPr>
                        <w:rFonts w:hint="eastAsia" w:ascii="Times New Roman" w:hAnsi="Times New Roman"/>
                      </w:rPr>
                      <w:tag w:val="_PLD_289cf7e5c3a845d59c038a21dcd4a571"/>
                      <w:id w:val="-161698111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87688963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南京洛德中北致远股权投资合伙企业（有限合伙）</w:t>
                        </w:r>
                      </w:p>
                    </w:tc>
                  </w:sdtContent>
                </w:sdt>
              </w:tr>
            </w:sdtContent>
          </w:sdt>
          <w:sdt>
            <w:sdtPr>
              <w:rPr>
                <w:rFonts w:hint="eastAsia" w:ascii="宋体" w:hAnsi="宋体" w:eastAsiaTheme="minorEastAsia" w:cstheme="minorBidi"/>
                <w:bCs/>
                <w:kern w:val="2"/>
                <w:szCs w:val="22"/>
              </w:rPr>
              <w:alias w:val="释义"/>
              <w:tag w:val="_GBC_ca5c2cb7a4e545e2b2d9d1b94b528746"/>
              <w:id w:val="-79845027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洛德汇智基金</w:t>
                    </w:r>
                  </w:p>
                </w:tc>
                <w:tc>
                  <w:tcPr>
                    <w:tcW w:w="992" w:type="dxa"/>
                  </w:tcPr>
                  <w:sdt>
                    <w:sdtPr>
                      <w:rPr>
                        <w:rFonts w:hint="eastAsia" w:ascii="Times New Roman" w:hAnsi="Times New Roman"/>
                      </w:rPr>
                      <w:tag w:val="_PLD_289cf7e5c3a845d59c038a21dcd4a571"/>
                      <w:id w:val="41112865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7855456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南京洛德汇智股权投资合伙企业（有限合伙）</w:t>
                        </w:r>
                      </w:p>
                    </w:tc>
                  </w:sdtContent>
                </w:sdt>
              </w:tr>
            </w:sdtContent>
          </w:sdt>
          <w:sdt>
            <w:sdtPr>
              <w:rPr>
                <w:rFonts w:hint="eastAsia" w:ascii="宋体" w:hAnsi="宋体" w:eastAsiaTheme="minorEastAsia" w:cstheme="minorBidi"/>
                <w:bCs/>
                <w:kern w:val="2"/>
                <w:szCs w:val="22"/>
              </w:rPr>
              <w:alias w:val="释义"/>
              <w:tag w:val="_GBC_ca5c2cb7a4e545e2b2d9d1b94b528746"/>
              <w:id w:val="-174578619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宁杭公司</w:t>
                    </w:r>
                  </w:p>
                </w:tc>
                <w:tc>
                  <w:tcPr>
                    <w:tcW w:w="992" w:type="dxa"/>
                  </w:tcPr>
                  <w:sdt>
                    <w:sdtPr>
                      <w:rPr>
                        <w:rFonts w:hint="eastAsia" w:ascii="Times New Roman" w:hAnsi="Times New Roman"/>
                      </w:rPr>
                      <w:tag w:val="_PLD_289cf7e5c3a845d59c038a21dcd4a571"/>
                      <w:id w:val="204131237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2909747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江苏宁杭高速公路有限公司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46581698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宁杭文旅公司</w:t>
                    </w:r>
                  </w:p>
                </w:tc>
                <w:tc>
                  <w:tcPr>
                    <w:tcW w:w="992" w:type="dxa"/>
                  </w:tcPr>
                  <w:sdt>
                    <w:sdtPr>
                      <w:rPr>
                        <w:rFonts w:hint="eastAsia" w:ascii="Times New Roman" w:hAnsi="Times New Roman"/>
                      </w:rPr>
                      <w:tag w:val="_PLD_289cf7e5c3a845d59c038a21dcd4a571"/>
                      <w:id w:val="114918173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1298479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江苏宁杭文化旅游发展有限公司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5202986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沪苏浙公司</w:t>
                    </w:r>
                  </w:p>
                </w:tc>
                <w:tc>
                  <w:tcPr>
                    <w:tcW w:w="992" w:type="dxa"/>
                  </w:tcPr>
                  <w:sdt>
                    <w:sdtPr>
                      <w:rPr>
                        <w:rFonts w:hint="eastAsia" w:ascii="Times New Roman" w:hAnsi="Times New Roman"/>
                      </w:rPr>
                      <w:tag w:val="_PLD_289cf7e5c3a845d59c038a21dcd4a571"/>
                      <w:id w:val="179270649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2809800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江苏沪苏浙高速公路有限公司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79116162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华通工程公司</w:t>
                    </w:r>
                  </w:p>
                </w:tc>
                <w:tc>
                  <w:tcPr>
                    <w:tcW w:w="992" w:type="dxa"/>
                  </w:tcPr>
                  <w:sdt>
                    <w:sdtPr>
                      <w:rPr>
                        <w:rFonts w:hint="eastAsia" w:ascii="Times New Roman" w:hAnsi="Times New Roman"/>
                      </w:rPr>
                      <w:tag w:val="_PLD_289cf7e5c3a845d59c038a21dcd4a571"/>
                      <w:id w:val="-147529225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3605968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江苏华通工程检测有限公司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56322745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苏通大桥公司</w:t>
                    </w:r>
                  </w:p>
                </w:tc>
                <w:tc>
                  <w:tcPr>
                    <w:tcW w:w="992" w:type="dxa"/>
                  </w:tcPr>
                  <w:sdt>
                    <w:sdtPr>
                      <w:rPr>
                        <w:rFonts w:hint="eastAsia" w:ascii="Times New Roman" w:hAnsi="Times New Roman"/>
                      </w:rPr>
                      <w:tag w:val="_PLD_289cf7e5c3a845d59c038a21dcd4a571"/>
                      <w:id w:val="-119846813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34918482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江苏苏通大桥有限责任公司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209204015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现代检测公司</w:t>
                    </w:r>
                  </w:p>
                </w:tc>
                <w:tc>
                  <w:tcPr>
                    <w:tcW w:w="992" w:type="dxa"/>
                  </w:tcPr>
                  <w:sdt>
                    <w:sdtPr>
                      <w:rPr>
                        <w:rFonts w:hint="eastAsia" w:ascii="Times New Roman" w:hAnsi="Times New Roman"/>
                      </w:rPr>
                      <w:tag w:val="_PLD_289cf7e5c3a845d59c038a21dcd4a571"/>
                      <w:id w:val="-212267990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7009229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江苏现代工程检测有限公司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12083322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感动科技公司</w:t>
                    </w:r>
                  </w:p>
                </w:tc>
                <w:tc>
                  <w:tcPr>
                    <w:tcW w:w="992" w:type="dxa"/>
                  </w:tcPr>
                  <w:sdt>
                    <w:sdtPr>
                      <w:rPr>
                        <w:rFonts w:hint="eastAsia" w:ascii="Times New Roman" w:hAnsi="Times New Roman"/>
                      </w:rPr>
                      <w:tag w:val="_PLD_289cf7e5c3a845d59c038a21dcd4a571"/>
                      <w:id w:val="-209284909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7582097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南京感动科技有限公司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82693244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通昌置业投资公司</w:t>
                    </w:r>
                  </w:p>
                </w:tc>
                <w:tc>
                  <w:tcPr>
                    <w:tcW w:w="992" w:type="dxa"/>
                  </w:tcPr>
                  <w:sdt>
                    <w:sdtPr>
                      <w:rPr>
                        <w:rFonts w:hint="eastAsia" w:ascii="Times New Roman" w:hAnsi="Times New Roman"/>
                      </w:rPr>
                      <w:tag w:val="_PLD_289cf7e5c3a845d59c038a21dcd4a571"/>
                      <w:id w:val="18008755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93883633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江苏通昌置业投资有限公司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108071472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hint="eastAsia" w:ascii="宋体" w:hAnsi="宋体" w:eastAsiaTheme="minorEastAsia" w:cstheme="minorBidi"/>
                        <w:bCs/>
                        <w:kern w:val="2"/>
                        <w:szCs w:val="22"/>
                      </w:rPr>
                      <w:t>张靖皋公司</w:t>
                    </w:r>
                  </w:p>
                </w:tc>
                <w:tc>
                  <w:tcPr>
                    <w:tcW w:w="992" w:type="dxa"/>
                  </w:tcPr>
                  <w:sdt>
                    <w:sdtPr>
                      <w:rPr>
                        <w:rFonts w:hint="eastAsia" w:ascii="Times New Roman" w:hAnsi="Times New Roman"/>
                      </w:rPr>
                      <w:tag w:val="_PLD_289cf7e5c3a845d59c038a21dcd4a571"/>
                      <w:id w:val="257188474"/>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3159116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江苏张靖皋大桥有限责任公司</w:t>
                        </w:r>
                      </w:p>
                    </w:tc>
                  </w:sdtContent>
                </w:sdt>
              </w:tr>
            </w:sdtContent>
          </w:sdt>
          <w:sdt>
            <w:sdtPr>
              <w:rPr>
                <w:rFonts w:hint="eastAsia" w:ascii="宋体" w:hAnsi="宋体" w:eastAsiaTheme="minorEastAsia" w:cstheme="minorBidi"/>
                <w:bCs/>
                <w:kern w:val="2"/>
                <w:szCs w:val="22"/>
              </w:rPr>
              <w:alias w:val="释义"/>
              <w:tag w:val="_GBC_ca5c2cb7a4e545e2b2d9d1b94b528746"/>
              <w:id w:val="192877000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国创开元二期基金</w:t>
                    </w:r>
                  </w:p>
                </w:tc>
                <w:tc>
                  <w:tcPr>
                    <w:tcW w:w="992" w:type="dxa"/>
                  </w:tcPr>
                  <w:sdt>
                    <w:sdtPr>
                      <w:rPr>
                        <w:rFonts w:hint="eastAsia" w:ascii="Times New Roman" w:hAnsi="Times New Roman"/>
                      </w:rPr>
                      <w:tag w:val="_PLD_289cf7e5c3a845d59c038a21dcd4a571"/>
                      <w:id w:val="12089214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2840916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苏州工业园区国创开元二期投资中心（有限合伙）</w:t>
                        </w:r>
                      </w:p>
                    </w:tc>
                  </w:sdtContent>
                </w:sdt>
              </w:tr>
            </w:sdtContent>
          </w:sdt>
          <w:sdt>
            <w:sdtPr>
              <w:rPr>
                <w:rFonts w:hint="eastAsia" w:ascii="宋体" w:hAnsi="宋体" w:eastAsiaTheme="minorEastAsia" w:cstheme="minorBidi"/>
                <w:bCs/>
                <w:kern w:val="2"/>
                <w:szCs w:val="22"/>
              </w:rPr>
              <w:alias w:val="释义"/>
              <w:tag w:val="_GBC_ca5c2cb7a4e545e2b2d9d1b94b528746"/>
              <w:id w:val="-192856537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PPP</w:t>
                    </w:r>
                  </w:p>
                </w:tc>
                <w:tc>
                  <w:tcPr>
                    <w:tcW w:w="992" w:type="dxa"/>
                  </w:tcPr>
                  <w:sdt>
                    <w:sdtPr>
                      <w:rPr>
                        <w:rFonts w:hint="eastAsia" w:ascii="Times New Roman" w:hAnsi="Times New Roman"/>
                      </w:rPr>
                      <w:tag w:val="_PLD_289cf7e5c3a845d59c038a21dcd4a571"/>
                      <w:id w:val="26837157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622956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Public–Private–Partnership即政府和社会资本合作模式</w:t>
                        </w:r>
                      </w:p>
                    </w:tc>
                  </w:sdtContent>
                </w:sdt>
              </w:tr>
            </w:sdtContent>
          </w:sdt>
          <w:sdt>
            <w:sdtPr>
              <w:rPr>
                <w:rFonts w:hint="eastAsia" w:ascii="宋体" w:hAnsi="宋体" w:eastAsiaTheme="minorEastAsia" w:cstheme="minorBidi"/>
                <w:bCs/>
                <w:kern w:val="2"/>
                <w:szCs w:val="22"/>
              </w:rPr>
              <w:alias w:val="释义"/>
              <w:tag w:val="_GBC_ca5c2cb7a4e545e2b2d9d1b94b528746"/>
              <w:id w:val="-148593062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沪宁高速</w:t>
                    </w:r>
                  </w:p>
                </w:tc>
                <w:tc>
                  <w:tcPr>
                    <w:tcW w:w="992" w:type="dxa"/>
                  </w:tcPr>
                  <w:sdt>
                    <w:sdtPr>
                      <w:rPr>
                        <w:rFonts w:hint="eastAsia" w:ascii="Times New Roman" w:hAnsi="Times New Roman"/>
                      </w:rPr>
                      <w:tag w:val="_PLD_289cf7e5c3a845d59c038a21dcd4a571"/>
                      <w:id w:val="-122544348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902894912"/>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上海至南京高速公路江苏段</w:t>
                        </w:r>
                      </w:p>
                    </w:tc>
                  </w:sdtContent>
                </w:sdt>
              </w:tr>
            </w:sdtContent>
          </w:sdt>
          <w:sdt>
            <w:sdtPr>
              <w:rPr>
                <w:rFonts w:hint="eastAsia" w:ascii="宋体" w:hAnsi="宋体" w:eastAsiaTheme="minorEastAsia" w:cstheme="minorBidi"/>
                <w:bCs/>
                <w:kern w:val="2"/>
                <w:szCs w:val="22"/>
              </w:rPr>
              <w:alias w:val="释义"/>
              <w:tag w:val="_GBC_ca5c2cb7a4e545e2b2d9d1b94b528746"/>
              <w:id w:val="119342137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广靖高速</w:t>
                    </w:r>
                  </w:p>
                </w:tc>
                <w:tc>
                  <w:tcPr>
                    <w:tcW w:w="992" w:type="dxa"/>
                  </w:tcPr>
                  <w:sdt>
                    <w:sdtPr>
                      <w:rPr>
                        <w:rFonts w:hint="eastAsia" w:ascii="Times New Roman" w:hAnsi="Times New Roman"/>
                      </w:rPr>
                      <w:tag w:val="_PLD_289cf7e5c3a845d59c038a21dcd4a571"/>
                      <w:id w:val="23267172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8904010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江阴长江公路大桥北接线，广陵至靖江段</w:t>
                        </w:r>
                      </w:p>
                    </w:tc>
                  </w:sdtContent>
                </w:sdt>
              </w:tr>
            </w:sdtContent>
          </w:sdt>
          <w:sdt>
            <w:sdtPr>
              <w:rPr>
                <w:rFonts w:hint="eastAsia" w:ascii="宋体" w:hAnsi="宋体" w:eastAsiaTheme="minorEastAsia" w:cstheme="minorBidi"/>
                <w:bCs/>
                <w:kern w:val="2"/>
                <w:szCs w:val="22"/>
              </w:rPr>
              <w:alias w:val="释义"/>
              <w:tag w:val="_GBC_ca5c2cb7a4e545e2b2d9d1b94b528746"/>
              <w:id w:val="-186056700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锡澄高速</w:t>
                    </w:r>
                  </w:p>
                </w:tc>
                <w:tc>
                  <w:tcPr>
                    <w:tcW w:w="992" w:type="dxa"/>
                  </w:tcPr>
                  <w:sdt>
                    <w:sdtPr>
                      <w:rPr>
                        <w:rFonts w:hint="eastAsia" w:ascii="Times New Roman" w:hAnsi="Times New Roman"/>
                      </w:rPr>
                      <w:tag w:val="_PLD_289cf7e5c3a845d59c038a21dcd4a571"/>
                      <w:id w:val="188382518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78338279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江阴长江公路大桥南接线，江阴至无锡段</w:t>
                        </w:r>
                      </w:p>
                    </w:tc>
                  </w:sdtContent>
                </w:sdt>
              </w:tr>
            </w:sdtContent>
          </w:sdt>
          <w:sdt>
            <w:sdtPr>
              <w:rPr>
                <w:rFonts w:hint="eastAsia" w:ascii="宋体" w:hAnsi="宋体" w:eastAsiaTheme="minorEastAsia" w:cstheme="minorBidi"/>
                <w:bCs/>
                <w:kern w:val="2"/>
                <w:szCs w:val="22"/>
              </w:rPr>
              <w:alias w:val="释义"/>
              <w:tag w:val="_GBC_ca5c2cb7a4e545e2b2d9d1b94b528746"/>
              <w:id w:val="-65791128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江阴大桥</w:t>
                    </w:r>
                  </w:p>
                </w:tc>
                <w:tc>
                  <w:tcPr>
                    <w:tcW w:w="992" w:type="dxa"/>
                  </w:tcPr>
                  <w:sdt>
                    <w:sdtPr>
                      <w:rPr>
                        <w:rFonts w:hint="eastAsia" w:ascii="Times New Roman" w:hAnsi="Times New Roman"/>
                      </w:rPr>
                      <w:tag w:val="_PLD_289cf7e5c3a845d59c038a21dcd4a571"/>
                      <w:id w:val="-14883255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1297838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江阴长江公路大桥</w:t>
                        </w:r>
                      </w:p>
                    </w:tc>
                  </w:sdtContent>
                </w:sdt>
              </w:tr>
            </w:sdtContent>
          </w:sdt>
          <w:sdt>
            <w:sdtPr>
              <w:rPr>
                <w:rFonts w:hint="eastAsia" w:ascii="宋体" w:hAnsi="宋体" w:eastAsiaTheme="minorEastAsia" w:cstheme="minorBidi"/>
                <w:bCs/>
                <w:kern w:val="2"/>
                <w:szCs w:val="22"/>
              </w:rPr>
              <w:alias w:val="释义"/>
              <w:tag w:val="_GBC_ca5c2cb7a4e545e2b2d9d1b94b528746"/>
              <w:id w:val="142629918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苏嘉杭高速</w:t>
                    </w:r>
                  </w:p>
                </w:tc>
                <w:tc>
                  <w:tcPr>
                    <w:tcW w:w="992" w:type="dxa"/>
                  </w:tcPr>
                  <w:sdt>
                    <w:sdtPr>
                      <w:rPr>
                        <w:rFonts w:hint="eastAsia" w:ascii="Times New Roman" w:hAnsi="Times New Roman"/>
                      </w:rPr>
                      <w:tag w:val="_PLD_289cf7e5c3a845d59c038a21dcd4a571"/>
                      <w:id w:val="-154320416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5771513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苏州至嘉兴、杭州高速公路江苏段</w:t>
                        </w:r>
                      </w:p>
                    </w:tc>
                  </w:sdtContent>
                </w:sdt>
              </w:tr>
            </w:sdtContent>
          </w:sdt>
          <w:sdt>
            <w:sdtPr>
              <w:rPr>
                <w:rFonts w:hint="eastAsia" w:ascii="宋体" w:hAnsi="宋体" w:eastAsiaTheme="minorEastAsia" w:cstheme="minorBidi"/>
                <w:bCs/>
                <w:kern w:val="2"/>
                <w:szCs w:val="22"/>
              </w:rPr>
              <w:alias w:val="释义"/>
              <w:tag w:val="_GBC_ca5c2cb7a4e545e2b2d9d1b94b528746"/>
              <w:id w:val="188382591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沿江高速</w:t>
                    </w:r>
                  </w:p>
                </w:tc>
                <w:tc>
                  <w:tcPr>
                    <w:tcW w:w="992" w:type="dxa"/>
                  </w:tcPr>
                  <w:sdt>
                    <w:sdtPr>
                      <w:rPr>
                        <w:rFonts w:hint="eastAsia" w:ascii="Times New Roman" w:hAnsi="Times New Roman"/>
                      </w:rPr>
                      <w:tag w:val="_PLD_289cf7e5c3a845d59c038a21dcd4a571"/>
                      <w:id w:val="-62114520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2619173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常州至太仓高速公路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87600031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常嘉高速</w:t>
                    </w:r>
                  </w:p>
                </w:tc>
                <w:tc>
                  <w:tcPr>
                    <w:tcW w:w="992" w:type="dxa"/>
                  </w:tcPr>
                  <w:sdt>
                    <w:sdtPr>
                      <w:rPr>
                        <w:rFonts w:hint="eastAsia" w:ascii="Times New Roman" w:hAnsi="Times New Roman"/>
                      </w:rPr>
                      <w:tag w:val="_PLD_289cf7e5c3a845d59c038a21dcd4a571"/>
                      <w:id w:val="-88355927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7356307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常熟至嘉兴高速公路昆山至吴江段</w:t>
                        </w:r>
                      </w:p>
                    </w:tc>
                  </w:sdtContent>
                </w:sdt>
              </w:tr>
            </w:sdtContent>
          </w:sdt>
          <w:sdt>
            <w:sdtPr>
              <w:rPr>
                <w:rFonts w:hint="eastAsia" w:ascii="宋体" w:hAnsi="宋体" w:eastAsiaTheme="minorEastAsia" w:cstheme="minorBidi"/>
                <w:bCs/>
                <w:kern w:val="2"/>
                <w:szCs w:val="22"/>
              </w:rPr>
              <w:alias w:val="释义"/>
              <w:tag w:val="_GBC_ca5c2cb7a4e545e2b2d9d1b94b528746"/>
              <w:id w:val="-94168140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镇丹高速</w:t>
                    </w:r>
                  </w:p>
                </w:tc>
                <w:tc>
                  <w:tcPr>
                    <w:tcW w:w="992" w:type="dxa"/>
                  </w:tcPr>
                  <w:sdt>
                    <w:sdtPr>
                      <w:rPr>
                        <w:rFonts w:hint="eastAsia" w:ascii="Times New Roman" w:hAnsi="Times New Roman"/>
                      </w:rPr>
                      <w:tag w:val="_PLD_289cf7e5c3a845d59c038a21dcd4a571"/>
                      <w:id w:val="-151676228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449770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镇江至丹阳高速公路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96446367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宁常高速</w:t>
                    </w:r>
                  </w:p>
                </w:tc>
                <w:tc>
                  <w:tcPr>
                    <w:tcW w:w="992" w:type="dxa"/>
                  </w:tcPr>
                  <w:sdt>
                    <w:sdtPr>
                      <w:rPr>
                        <w:rFonts w:hint="eastAsia" w:ascii="Times New Roman" w:hAnsi="Times New Roman"/>
                      </w:rPr>
                      <w:tag w:val="_PLD_289cf7e5c3a845d59c038a21dcd4a571"/>
                      <w:id w:val="-5793333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18200302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溧水桂庄枢纽至常州南互通高速公路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69232931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镇溧高速</w:t>
                    </w:r>
                  </w:p>
                </w:tc>
                <w:tc>
                  <w:tcPr>
                    <w:tcW w:w="992" w:type="dxa"/>
                  </w:tcPr>
                  <w:sdt>
                    <w:sdtPr>
                      <w:rPr>
                        <w:rFonts w:hint="eastAsia" w:ascii="Times New Roman" w:hAnsi="Times New Roman"/>
                      </w:rPr>
                      <w:tag w:val="_PLD_289cf7e5c3a845d59c038a21dcd4a571"/>
                      <w:id w:val="-1580971169"/>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3194113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丹徒枢纽至溧阳前马枢纽高速公路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30677612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锡宜高速</w:t>
                    </w:r>
                  </w:p>
                </w:tc>
                <w:tc>
                  <w:tcPr>
                    <w:tcW w:w="992" w:type="dxa"/>
                  </w:tcPr>
                  <w:sdt>
                    <w:sdtPr>
                      <w:rPr>
                        <w:rFonts w:hint="eastAsia" w:ascii="Times New Roman" w:hAnsi="Times New Roman"/>
                      </w:rPr>
                      <w:tag w:val="_PLD_289cf7e5c3a845d59c038a21dcd4a571"/>
                      <w:id w:val="-86366891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98951573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无锡北枢纽至宜兴西坞枢纽高速公路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962157830"/>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无锡环太湖公路</w:t>
                    </w:r>
                  </w:p>
                </w:tc>
                <w:tc>
                  <w:tcPr>
                    <w:tcW w:w="992" w:type="dxa"/>
                  </w:tcPr>
                  <w:sdt>
                    <w:sdtPr>
                      <w:rPr>
                        <w:rFonts w:hint="eastAsia" w:ascii="Times New Roman" w:hAnsi="Times New Roman"/>
                      </w:rPr>
                      <w:tag w:val="_PLD_289cf7e5c3a845d59c038a21dcd4a571"/>
                      <w:id w:val="972642721"/>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96789454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无锡硕放枢纽至无锡南泉互通高速公路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11690633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苏嘉甬高速</w:t>
                    </w:r>
                  </w:p>
                </w:tc>
                <w:tc>
                  <w:tcPr>
                    <w:tcW w:w="992" w:type="dxa"/>
                  </w:tcPr>
                  <w:sdt>
                    <w:sdtPr>
                      <w:rPr>
                        <w:rFonts w:hint="eastAsia" w:ascii="Times New Roman" w:hAnsi="Times New Roman"/>
                      </w:rPr>
                      <w:tag w:val="_PLD_289cf7e5c3a845d59c038a21dcd4a571"/>
                      <w:id w:val="219562986"/>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0047205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苏州经嘉兴至宁波高速公路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47613075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五峰山大桥</w:t>
                    </w:r>
                  </w:p>
                </w:tc>
                <w:tc>
                  <w:tcPr>
                    <w:tcW w:w="992" w:type="dxa"/>
                  </w:tcPr>
                  <w:sdt>
                    <w:sdtPr>
                      <w:rPr>
                        <w:rFonts w:hint="eastAsia" w:ascii="Times New Roman" w:hAnsi="Times New Roman"/>
                      </w:rPr>
                      <w:tag w:val="_PLD_289cf7e5c3a845d59c038a21dcd4a571"/>
                      <w:id w:val="115874265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2072580243"/>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五峰山公路大桥及南北接线项目</w:t>
                        </w:r>
                      </w:p>
                    </w:tc>
                  </w:sdtContent>
                </w:sdt>
              </w:tr>
            </w:sdtContent>
          </w:sdt>
          <w:sdt>
            <w:sdtPr>
              <w:rPr>
                <w:rFonts w:hint="eastAsia" w:ascii="宋体" w:hAnsi="宋体" w:eastAsiaTheme="minorEastAsia" w:cstheme="minorBidi"/>
                <w:bCs/>
                <w:kern w:val="2"/>
                <w:szCs w:val="22"/>
              </w:rPr>
              <w:alias w:val="释义"/>
              <w:tag w:val="_GBC_ca5c2cb7a4e545e2b2d9d1b94b528746"/>
              <w:id w:val="938570681"/>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常宜高速</w:t>
                    </w:r>
                  </w:p>
                </w:tc>
                <w:tc>
                  <w:tcPr>
                    <w:tcW w:w="992" w:type="dxa"/>
                  </w:tcPr>
                  <w:sdt>
                    <w:sdtPr>
                      <w:rPr>
                        <w:rFonts w:hint="eastAsia" w:ascii="Times New Roman" w:hAnsi="Times New Roman"/>
                      </w:rPr>
                      <w:tag w:val="_PLD_289cf7e5c3a845d59c038a21dcd4a571"/>
                      <w:id w:val="-7520600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8302129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常州至宜兴高速公路</w:t>
                        </w:r>
                      </w:p>
                    </w:tc>
                  </w:sdtContent>
                </w:sdt>
              </w:tr>
            </w:sdtContent>
          </w:sdt>
          <w:sdt>
            <w:sdtPr>
              <w:rPr>
                <w:rFonts w:hint="eastAsia" w:ascii="宋体" w:hAnsi="宋体" w:eastAsiaTheme="minorEastAsia" w:cstheme="minorBidi"/>
                <w:bCs/>
                <w:kern w:val="2"/>
                <w:szCs w:val="22"/>
              </w:rPr>
              <w:alias w:val="释义"/>
              <w:tag w:val="_GBC_ca5c2cb7a4e545e2b2d9d1b94b528746"/>
              <w:id w:val="-135055839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宜长高速</w:t>
                    </w:r>
                  </w:p>
                </w:tc>
                <w:tc>
                  <w:tcPr>
                    <w:tcW w:w="992" w:type="dxa"/>
                  </w:tcPr>
                  <w:sdt>
                    <w:sdtPr>
                      <w:rPr>
                        <w:rFonts w:hint="eastAsia" w:ascii="Times New Roman" w:hAnsi="Times New Roman"/>
                      </w:rPr>
                      <w:tag w:val="_PLD_289cf7e5c3a845d59c038a21dcd4a571"/>
                      <w:id w:val="-336307671"/>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3770600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宜兴到长兴高速公路江苏段</w:t>
                        </w:r>
                      </w:p>
                    </w:tc>
                  </w:sdtContent>
                </w:sdt>
              </w:tr>
            </w:sdtContent>
          </w:sdt>
          <w:sdt>
            <w:sdtPr>
              <w:rPr>
                <w:rFonts w:hint="eastAsia" w:ascii="宋体" w:hAnsi="宋体" w:eastAsiaTheme="minorEastAsia" w:cstheme="minorBidi"/>
                <w:bCs/>
                <w:kern w:val="2"/>
                <w:szCs w:val="22"/>
              </w:rPr>
              <w:alias w:val="释义"/>
              <w:tag w:val="_GBC_ca5c2cb7a4e545e2b2d9d1b94b528746"/>
              <w:id w:val="-84355122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苏锡常高速</w:t>
                    </w:r>
                  </w:p>
                </w:tc>
                <w:tc>
                  <w:tcPr>
                    <w:tcW w:w="992" w:type="dxa"/>
                  </w:tcPr>
                  <w:sdt>
                    <w:sdtPr>
                      <w:rPr>
                        <w:rFonts w:hint="eastAsia" w:ascii="Times New Roman" w:hAnsi="Times New Roman"/>
                      </w:rPr>
                      <w:tag w:val="_PLD_289cf7e5c3a845d59c038a21dcd4a571"/>
                      <w:id w:val="208432930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6691022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常州前黄枢纽至无锡南泉水枢纽段</w:t>
                        </w:r>
                      </w:p>
                    </w:tc>
                  </w:sdtContent>
                </w:sdt>
              </w:tr>
            </w:sdtContent>
          </w:sdt>
          <w:sdt>
            <w:sdtPr>
              <w:rPr>
                <w:rFonts w:hint="eastAsia" w:ascii="宋体" w:hAnsi="宋体" w:eastAsiaTheme="minorEastAsia" w:cstheme="minorBidi"/>
                <w:bCs/>
                <w:kern w:val="2"/>
                <w:szCs w:val="22"/>
              </w:rPr>
              <w:alias w:val="释义"/>
              <w:tag w:val="_GBC_ca5c2cb7a4e545e2b2d9d1b94b528746"/>
              <w:id w:val="72504021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龙潭大桥北接线项目</w:t>
                    </w:r>
                  </w:p>
                </w:tc>
                <w:tc>
                  <w:tcPr>
                    <w:tcW w:w="992" w:type="dxa"/>
                  </w:tcPr>
                  <w:sdt>
                    <w:sdtPr>
                      <w:rPr>
                        <w:rFonts w:hint="eastAsia" w:ascii="Times New Roman" w:hAnsi="Times New Roman"/>
                      </w:rPr>
                      <w:tag w:val="_PLD_289cf7e5c3a845d59c038a21dcd4a571"/>
                      <w:id w:val="-103094242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5823763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仪征至禄口机场高速公路沪陕高速至长江北大堤段工程</w:t>
                        </w:r>
                      </w:p>
                    </w:tc>
                  </w:sdtContent>
                </w:sdt>
              </w:tr>
            </w:sdtContent>
          </w:sdt>
          <w:sdt>
            <w:sdtPr>
              <w:rPr>
                <w:rFonts w:hint="eastAsia" w:ascii="宋体" w:hAnsi="宋体" w:eastAsiaTheme="minorEastAsia" w:cstheme="minorBidi"/>
                <w:bCs/>
                <w:kern w:val="2"/>
                <w:szCs w:val="22"/>
              </w:rPr>
              <w:alias w:val="释义"/>
              <w:tag w:val="_GBC_ca5c2cb7a4e545e2b2d9d1b94b528746"/>
              <w:id w:val="-1172555692"/>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锡宜高速公路南段扩建项目</w:t>
                    </w:r>
                  </w:p>
                </w:tc>
                <w:tc>
                  <w:tcPr>
                    <w:tcW w:w="992" w:type="dxa"/>
                  </w:tcPr>
                  <w:sdt>
                    <w:sdtPr>
                      <w:rPr>
                        <w:rFonts w:hint="eastAsia" w:ascii="Times New Roman" w:hAnsi="Times New Roman"/>
                      </w:rPr>
                      <w:tag w:val="_PLD_289cf7e5c3a845d59c038a21dcd4a571"/>
                      <w:id w:val="-51184560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925711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无锡至宜兴高速公路雪堰枢纽至西坞枢纽段扩建工程</w:t>
                        </w:r>
                      </w:p>
                    </w:tc>
                  </w:sdtContent>
                </w:sdt>
              </w:tr>
            </w:sdtContent>
          </w:sdt>
          <w:sdt>
            <w:sdtPr>
              <w:rPr>
                <w:rFonts w:hint="eastAsia" w:ascii="宋体" w:hAnsi="宋体" w:eastAsiaTheme="minorEastAsia" w:cstheme="minorBidi"/>
                <w:bCs/>
                <w:kern w:val="2"/>
                <w:szCs w:val="22"/>
              </w:rPr>
              <w:alias w:val="释义"/>
              <w:tag w:val="_GBC_ca5c2cb7a4e545e2b2d9d1b94b528746"/>
              <w:id w:val="-139434288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ROE</w:t>
                    </w:r>
                  </w:p>
                </w:tc>
                <w:tc>
                  <w:tcPr>
                    <w:tcW w:w="992" w:type="dxa"/>
                  </w:tcPr>
                  <w:sdt>
                    <w:sdtPr>
                      <w:rPr>
                        <w:rFonts w:hint="eastAsia" w:ascii="Times New Roman" w:hAnsi="Times New Roman"/>
                      </w:rPr>
                      <w:tag w:val="_PLD_289cf7e5c3a845d59c038a21dcd4a571"/>
                      <w:id w:val="127860197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05099475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净资产收益率，计算公式为ROE=净利润/净资产</w:t>
                        </w:r>
                      </w:p>
                    </w:tc>
                  </w:sdtContent>
                </w:sdt>
              </w:tr>
            </w:sdtContent>
          </w:sdt>
          <w:sdt>
            <w:sdtPr>
              <w:rPr>
                <w:rFonts w:hint="eastAsia" w:ascii="宋体" w:hAnsi="宋体" w:eastAsiaTheme="minorEastAsia" w:cstheme="minorBidi"/>
                <w:bCs/>
                <w:kern w:val="2"/>
                <w:szCs w:val="22"/>
              </w:rPr>
              <w:alias w:val="释义"/>
              <w:tag w:val="_GBC_ca5c2cb7a4e545e2b2d9d1b94b528746"/>
              <w:id w:val="-998652000"/>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报告期</w:t>
                    </w:r>
                  </w:p>
                </w:tc>
                <w:tc>
                  <w:tcPr>
                    <w:tcW w:w="992" w:type="dxa"/>
                  </w:tcPr>
                  <w:sdt>
                    <w:sdtPr>
                      <w:rPr>
                        <w:rFonts w:hint="eastAsia" w:ascii="Times New Roman" w:hAnsi="Times New Roman"/>
                      </w:rPr>
                      <w:tag w:val="_PLD_289cf7e5c3a845d59c038a21dcd4a571"/>
                      <w:id w:val="140479575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335339671"/>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2023年1月1日至2023年6月30日止</w:t>
                        </w:r>
                      </w:p>
                    </w:tc>
                  </w:sdtContent>
                </w:sdt>
              </w:tr>
            </w:sdtContent>
          </w:sdt>
          <w:sdt>
            <w:sdtPr>
              <w:rPr>
                <w:rFonts w:hint="eastAsia" w:ascii="宋体" w:hAnsi="宋体" w:eastAsiaTheme="minorEastAsia" w:cstheme="minorBidi"/>
                <w:bCs/>
                <w:kern w:val="2"/>
                <w:szCs w:val="22"/>
              </w:rPr>
              <w:alias w:val="释义"/>
              <w:tag w:val="_GBC_ca5c2cb7a4e545e2b2d9d1b94b528746"/>
              <w:id w:val="123928360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同比</w:t>
                    </w:r>
                  </w:p>
                </w:tc>
                <w:tc>
                  <w:tcPr>
                    <w:tcW w:w="992" w:type="dxa"/>
                  </w:tcPr>
                  <w:sdt>
                    <w:sdtPr>
                      <w:rPr>
                        <w:rFonts w:hint="eastAsia" w:ascii="Times New Roman" w:hAnsi="Times New Roman"/>
                      </w:rPr>
                      <w:tag w:val="_PLD_289cf7e5c3a845d59c038a21dcd4a571"/>
                      <w:id w:val="-128935220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5412877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与2022年同期相比</w:t>
                        </w:r>
                      </w:p>
                    </w:tc>
                  </w:sdtContent>
                </w:sdt>
              </w:tr>
            </w:sdtContent>
          </w:sdt>
          <w:sdt>
            <w:sdtPr>
              <w:rPr>
                <w:rFonts w:hint="eastAsia" w:ascii="宋体" w:hAnsi="宋体" w:eastAsiaTheme="minorEastAsia" w:cstheme="minorBidi"/>
                <w:bCs/>
                <w:kern w:val="2"/>
                <w:szCs w:val="22"/>
              </w:rPr>
              <w:alias w:val="释义"/>
              <w:tag w:val="_GBC_ca5c2cb7a4e545e2b2d9d1b94b528746"/>
              <w:id w:val="78632452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中国证监会</w:t>
                    </w:r>
                  </w:p>
                </w:tc>
                <w:tc>
                  <w:tcPr>
                    <w:tcW w:w="992" w:type="dxa"/>
                  </w:tcPr>
                  <w:sdt>
                    <w:sdtPr>
                      <w:rPr>
                        <w:rFonts w:hint="eastAsia" w:ascii="Times New Roman" w:hAnsi="Times New Roman"/>
                      </w:rPr>
                      <w:tag w:val="_PLD_289cf7e5c3a845d59c038a21dcd4a571"/>
                      <w:id w:val="204963826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94598659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中国证券监督管理委员会</w:t>
                        </w:r>
                      </w:p>
                    </w:tc>
                  </w:sdtContent>
                </w:sdt>
              </w:tr>
            </w:sdtContent>
          </w:sdt>
          <w:sdt>
            <w:sdtPr>
              <w:rPr>
                <w:rFonts w:hint="eastAsia" w:ascii="宋体" w:hAnsi="宋体" w:eastAsiaTheme="minorEastAsia" w:cstheme="minorBidi"/>
                <w:bCs/>
                <w:kern w:val="2"/>
                <w:szCs w:val="22"/>
              </w:rPr>
              <w:alias w:val="释义"/>
              <w:tag w:val="_GBC_ca5c2cb7a4e545e2b2d9d1b94b528746"/>
              <w:id w:val="1520738926"/>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香港证监会</w:t>
                    </w:r>
                  </w:p>
                </w:tc>
                <w:tc>
                  <w:tcPr>
                    <w:tcW w:w="992" w:type="dxa"/>
                  </w:tcPr>
                  <w:sdt>
                    <w:sdtPr>
                      <w:rPr>
                        <w:rFonts w:hint="eastAsia" w:ascii="Times New Roman" w:hAnsi="Times New Roman"/>
                      </w:rPr>
                      <w:tag w:val="_PLD_289cf7e5c3a845d59c038a21dcd4a571"/>
                      <w:id w:val="5382605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56905489"/>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香港证券及期货事务监察委员会</w:t>
                        </w:r>
                      </w:p>
                    </w:tc>
                  </w:sdtContent>
                </w:sdt>
              </w:tr>
            </w:sdtContent>
          </w:sdt>
          <w:sdt>
            <w:sdtPr>
              <w:rPr>
                <w:rFonts w:hint="eastAsia" w:ascii="宋体" w:hAnsi="宋体" w:eastAsiaTheme="minorEastAsia" w:cstheme="minorBidi"/>
                <w:bCs/>
                <w:kern w:val="2"/>
                <w:szCs w:val="22"/>
              </w:rPr>
              <w:alias w:val="释义"/>
              <w:tag w:val="_GBC_ca5c2cb7a4e545e2b2d9d1b94b528746"/>
              <w:id w:val="-1294214720"/>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上交所</w:t>
                    </w:r>
                  </w:p>
                </w:tc>
                <w:tc>
                  <w:tcPr>
                    <w:tcW w:w="992" w:type="dxa"/>
                  </w:tcPr>
                  <w:sdt>
                    <w:sdtPr>
                      <w:rPr>
                        <w:rFonts w:hint="eastAsia" w:ascii="Times New Roman" w:hAnsi="Times New Roman"/>
                      </w:rPr>
                      <w:tag w:val="_PLD_289cf7e5c3a845d59c038a21dcd4a571"/>
                      <w:id w:val="-144291790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81740669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上海证券交易所</w:t>
                        </w:r>
                      </w:p>
                    </w:tc>
                  </w:sdtContent>
                </w:sdt>
              </w:tr>
            </w:sdtContent>
          </w:sdt>
          <w:sdt>
            <w:sdtPr>
              <w:rPr>
                <w:rFonts w:hint="eastAsia" w:ascii="宋体" w:hAnsi="宋体" w:eastAsiaTheme="minorEastAsia" w:cstheme="minorBidi"/>
                <w:bCs/>
                <w:kern w:val="2"/>
                <w:szCs w:val="22"/>
              </w:rPr>
              <w:alias w:val="释义"/>
              <w:tag w:val="_GBC_ca5c2cb7a4e545e2b2d9d1b94b528746"/>
              <w:id w:val="85963935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联交所</w:t>
                    </w:r>
                  </w:p>
                </w:tc>
                <w:tc>
                  <w:tcPr>
                    <w:tcW w:w="992" w:type="dxa"/>
                  </w:tcPr>
                  <w:sdt>
                    <w:sdtPr>
                      <w:rPr>
                        <w:rFonts w:hint="eastAsia" w:ascii="Times New Roman" w:hAnsi="Times New Roman"/>
                      </w:rPr>
                      <w:tag w:val="_PLD_289cf7e5c3a845d59c038a21dcd4a571"/>
                      <w:id w:val="3786476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827594655"/>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香港联合交易所有限公司</w:t>
                        </w:r>
                      </w:p>
                    </w:tc>
                  </w:sdtContent>
                </w:sdt>
              </w:tr>
            </w:sdtContent>
          </w:sdt>
          <w:sdt>
            <w:sdtPr>
              <w:rPr>
                <w:rFonts w:hint="eastAsia" w:ascii="宋体" w:hAnsi="宋体" w:eastAsiaTheme="minorEastAsia" w:cstheme="minorBidi"/>
                <w:bCs/>
                <w:kern w:val="2"/>
                <w:szCs w:val="22"/>
              </w:rPr>
              <w:alias w:val="释义"/>
              <w:tag w:val="_GBC_ca5c2cb7a4e545e2b2d9d1b94b528746"/>
              <w:id w:val="-212105238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A股</w:t>
                    </w:r>
                  </w:p>
                </w:tc>
                <w:tc>
                  <w:tcPr>
                    <w:tcW w:w="992" w:type="dxa"/>
                  </w:tcPr>
                  <w:sdt>
                    <w:sdtPr>
                      <w:rPr>
                        <w:rFonts w:hint="eastAsia" w:ascii="Times New Roman" w:hAnsi="Times New Roman"/>
                      </w:rPr>
                      <w:tag w:val="_PLD_289cf7e5c3a845d59c038a21dcd4a571"/>
                      <w:id w:val="-50197076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2087832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本公司于上交所发行并上市的人民币普通股</w:t>
                        </w:r>
                      </w:p>
                    </w:tc>
                  </w:sdtContent>
                </w:sdt>
              </w:tr>
            </w:sdtContent>
          </w:sdt>
          <w:sdt>
            <w:sdtPr>
              <w:rPr>
                <w:rFonts w:hint="eastAsia" w:ascii="宋体" w:hAnsi="宋体" w:eastAsiaTheme="minorEastAsia" w:cstheme="minorBidi"/>
                <w:bCs/>
                <w:kern w:val="2"/>
                <w:szCs w:val="22"/>
              </w:rPr>
              <w:alias w:val="释义"/>
              <w:tag w:val="_GBC_ca5c2cb7a4e545e2b2d9d1b94b528746"/>
              <w:id w:val="-802692204"/>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H股</w:t>
                    </w:r>
                  </w:p>
                </w:tc>
                <w:tc>
                  <w:tcPr>
                    <w:tcW w:w="992" w:type="dxa"/>
                  </w:tcPr>
                  <w:sdt>
                    <w:sdtPr>
                      <w:rPr>
                        <w:rFonts w:hint="eastAsia" w:ascii="Times New Roman" w:hAnsi="Times New Roman"/>
                      </w:rPr>
                      <w:tag w:val="_PLD_289cf7e5c3a845d59c038a21dcd4a571"/>
                      <w:id w:val="-110369791"/>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89878448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本公司于联交所发行并上市的境外上市外资股</w:t>
                        </w:r>
                      </w:p>
                    </w:tc>
                  </w:sdtContent>
                </w:sdt>
              </w:tr>
            </w:sdtContent>
          </w:sdt>
          <w:sdt>
            <w:sdtPr>
              <w:rPr>
                <w:rFonts w:hint="eastAsia" w:ascii="宋体" w:hAnsi="宋体" w:eastAsiaTheme="minorEastAsia" w:cstheme="minorBidi"/>
                <w:bCs/>
                <w:kern w:val="2"/>
                <w:szCs w:val="22"/>
              </w:rPr>
              <w:alias w:val="释义"/>
              <w:tag w:val="_GBC_ca5c2cb7a4e545e2b2d9d1b94b528746"/>
              <w:id w:val="-27780713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ADR</w:t>
                    </w:r>
                  </w:p>
                </w:tc>
                <w:tc>
                  <w:tcPr>
                    <w:tcW w:w="992" w:type="dxa"/>
                  </w:tcPr>
                  <w:sdt>
                    <w:sdtPr>
                      <w:rPr>
                        <w:rFonts w:hint="eastAsia" w:ascii="Times New Roman" w:hAnsi="Times New Roman"/>
                      </w:rPr>
                      <w:tag w:val="_PLD_289cf7e5c3a845d59c038a21dcd4a571"/>
                      <w:id w:val="569319047"/>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62118557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本公司于美国场外市场挂牌交易的第一级预托证券凭证</w:t>
                        </w:r>
                      </w:p>
                    </w:tc>
                  </w:sdtContent>
                </w:sdt>
              </w:tr>
            </w:sdtContent>
          </w:sdt>
          <w:sdt>
            <w:sdtPr>
              <w:rPr>
                <w:rFonts w:hint="eastAsia" w:ascii="宋体" w:hAnsi="宋体" w:eastAsiaTheme="minorEastAsia" w:cstheme="minorBidi"/>
                <w:bCs/>
                <w:kern w:val="2"/>
                <w:szCs w:val="22"/>
              </w:rPr>
              <w:alias w:val="释义"/>
              <w:tag w:val="_GBC_ca5c2cb7a4e545e2b2d9d1b94b528746"/>
              <w:id w:val="176981835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上市规则</w:t>
                    </w:r>
                  </w:p>
                </w:tc>
                <w:tc>
                  <w:tcPr>
                    <w:tcW w:w="992" w:type="dxa"/>
                  </w:tcPr>
                  <w:sdt>
                    <w:sdtPr>
                      <w:rPr>
                        <w:rFonts w:hint="eastAsia" w:ascii="Times New Roman" w:hAnsi="Times New Roman"/>
                      </w:rPr>
                      <w:tag w:val="_PLD_289cf7e5c3a845d59c038a21dcd4a571"/>
                      <w:id w:val="190740746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567148134"/>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上交所上市规则及/或香港上市规则</w:t>
                        </w:r>
                      </w:p>
                    </w:tc>
                  </w:sdtContent>
                </w:sdt>
              </w:tr>
            </w:sdtContent>
          </w:sdt>
          <w:sdt>
            <w:sdtPr>
              <w:rPr>
                <w:rFonts w:hint="eastAsia" w:ascii="宋体" w:hAnsi="宋体" w:eastAsiaTheme="minorEastAsia" w:cstheme="minorBidi"/>
                <w:bCs/>
                <w:kern w:val="2"/>
                <w:szCs w:val="22"/>
              </w:rPr>
              <w:alias w:val="释义"/>
              <w:tag w:val="_GBC_ca5c2cb7a4e545e2b2d9d1b94b528746"/>
              <w:id w:val="1220480495"/>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上交所上市规则</w:t>
                    </w:r>
                  </w:p>
                </w:tc>
                <w:tc>
                  <w:tcPr>
                    <w:tcW w:w="992" w:type="dxa"/>
                  </w:tcPr>
                  <w:sdt>
                    <w:sdtPr>
                      <w:rPr>
                        <w:rFonts w:hint="eastAsia" w:ascii="Times New Roman" w:hAnsi="Times New Roman"/>
                      </w:rPr>
                      <w:tag w:val="_PLD_289cf7e5c3a845d59c038a21dcd4a571"/>
                      <w:id w:val="727186020"/>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7443788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上海证券交易所股票上市规则</w:t>
                        </w:r>
                      </w:p>
                    </w:tc>
                  </w:sdtContent>
                </w:sdt>
              </w:tr>
            </w:sdtContent>
          </w:sdt>
          <w:sdt>
            <w:sdtPr>
              <w:rPr>
                <w:rFonts w:hint="eastAsia" w:ascii="宋体" w:hAnsi="宋体" w:eastAsiaTheme="minorEastAsia" w:cstheme="minorBidi"/>
                <w:bCs/>
                <w:kern w:val="2"/>
                <w:szCs w:val="22"/>
              </w:rPr>
              <w:alias w:val="释义"/>
              <w:tag w:val="_GBC_ca5c2cb7a4e545e2b2d9d1b94b528746"/>
              <w:id w:val="1092667267"/>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香港上市规则</w:t>
                    </w:r>
                  </w:p>
                </w:tc>
                <w:tc>
                  <w:tcPr>
                    <w:tcW w:w="992" w:type="dxa"/>
                  </w:tcPr>
                  <w:sdt>
                    <w:sdtPr>
                      <w:rPr>
                        <w:rFonts w:hint="eastAsia" w:ascii="Times New Roman" w:hAnsi="Times New Roman"/>
                      </w:rPr>
                      <w:tag w:val="_PLD_289cf7e5c3a845d59c038a21dcd4a571"/>
                      <w:id w:val="-622543858"/>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674727780"/>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香港联合交易所有限公司证券上市规则</w:t>
                        </w:r>
                      </w:p>
                    </w:tc>
                  </w:sdtContent>
                </w:sdt>
              </w:tr>
            </w:sdtContent>
          </w:sdt>
          <w:sdt>
            <w:sdtPr>
              <w:rPr>
                <w:rFonts w:hint="eastAsia" w:ascii="宋体" w:hAnsi="宋体" w:eastAsiaTheme="minorEastAsia" w:cstheme="minorBidi"/>
                <w:bCs/>
                <w:kern w:val="2"/>
                <w:szCs w:val="22"/>
              </w:rPr>
              <w:alias w:val="释义"/>
              <w:tag w:val="_GBC_ca5c2cb7a4e545e2b2d9d1b94b528746"/>
              <w:id w:val="-1421025573"/>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中国会计准则</w:t>
                    </w:r>
                  </w:p>
                </w:tc>
                <w:tc>
                  <w:tcPr>
                    <w:tcW w:w="992" w:type="dxa"/>
                  </w:tcPr>
                  <w:sdt>
                    <w:sdtPr>
                      <w:rPr>
                        <w:rFonts w:hint="eastAsia" w:ascii="Times New Roman" w:hAnsi="Times New Roman"/>
                      </w:rPr>
                      <w:tag w:val="_PLD_289cf7e5c3a845d59c038a21dcd4a571"/>
                      <w:id w:val="1653398935"/>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1206832716"/>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中华人民共和国财政部颁布的企业会计准则及相关规定</w:t>
                        </w:r>
                      </w:p>
                    </w:tc>
                  </w:sdtContent>
                </w:sdt>
              </w:tr>
            </w:sdtContent>
          </w:sdt>
          <w:sdt>
            <w:sdtPr>
              <w:rPr>
                <w:rFonts w:hint="eastAsia" w:ascii="宋体" w:hAnsi="宋体" w:eastAsiaTheme="minorEastAsia" w:cstheme="minorBidi"/>
                <w:bCs/>
                <w:kern w:val="2"/>
                <w:szCs w:val="22"/>
              </w:rPr>
              <w:alias w:val="释义"/>
              <w:tag w:val="_GBC_ca5c2cb7a4e545e2b2d9d1b94b528746"/>
              <w:id w:val="-338464869"/>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毕马威、核数师</w:t>
                    </w:r>
                  </w:p>
                </w:tc>
                <w:tc>
                  <w:tcPr>
                    <w:tcW w:w="992" w:type="dxa"/>
                  </w:tcPr>
                  <w:sdt>
                    <w:sdtPr>
                      <w:rPr>
                        <w:rFonts w:hint="eastAsia" w:ascii="Times New Roman" w:hAnsi="Times New Roman"/>
                      </w:rPr>
                      <w:tag w:val="_PLD_289cf7e5c3a845d59c038a21dcd4a571"/>
                      <w:id w:val="-463122422"/>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99040487"/>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毕马威华振会计师事务所（特殊普通合伙）</w:t>
                        </w:r>
                      </w:p>
                    </w:tc>
                  </w:sdtContent>
                </w:sdt>
              </w:tr>
            </w:sdtContent>
          </w:sdt>
          <w:sdt>
            <w:sdtPr>
              <w:rPr>
                <w:rFonts w:hint="eastAsia" w:ascii="宋体" w:hAnsi="宋体" w:eastAsiaTheme="minorEastAsia" w:cstheme="minorBidi"/>
                <w:bCs/>
                <w:kern w:val="2"/>
                <w:szCs w:val="22"/>
              </w:rPr>
              <w:alias w:val="释义"/>
              <w:tag w:val="_GBC_ca5c2cb7a4e545e2b2d9d1b94b528746"/>
              <w:id w:val="-1445995558"/>
              <w:lock w:val="sdtLocked"/>
            </w:sdtPr>
            <w:sdtEndPr>
              <w:rPr>
                <w:rFonts w:hint="eastAsia" w:ascii="宋体" w:hAnsi="宋体" w:eastAsiaTheme="minorEastAsia" w:cstheme="minorBidi"/>
                <w:bCs/>
                <w:kern w:val="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pStyle w:val="114"/>
                      <w:widowControl w:val="0"/>
                      <w:jc w:val="both"/>
                      <w:rPr>
                        <w:rFonts w:ascii="Times New Roman" w:hAnsi="Times New Roman"/>
                      </w:rPr>
                    </w:pPr>
                    <w:r>
                      <w:rPr>
                        <w:rFonts w:ascii="Times New Roman" w:hAnsi="Times New Roman"/>
                      </w:rPr>
                      <w:t>企业管治守则</w:t>
                    </w:r>
                  </w:p>
                </w:tc>
                <w:tc>
                  <w:tcPr>
                    <w:tcW w:w="992" w:type="dxa"/>
                  </w:tcPr>
                  <w:sdt>
                    <w:sdtPr>
                      <w:rPr>
                        <w:rFonts w:hint="eastAsia" w:ascii="Times New Roman" w:hAnsi="Times New Roman"/>
                      </w:rPr>
                      <w:tag w:val="_PLD_289cf7e5c3a845d59c038a21dcd4a571"/>
                      <w:id w:val="-225994063"/>
                      <w:lock w:val="sdtLocked"/>
                    </w:sdtPr>
                    <w:sdtEndPr>
                      <w:rPr>
                        <w:rFonts w:hint="eastAsia" w:ascii="Times New Roman" w:hAnsi="Times New Roman"/>
                      </w:rPr>
                    </w:sdtEndPr>
                    <w:sdtContent>
                      <w:p>
                        <w:pPr>
                          <w:widowControl w:val="0"/>
                          <w:jc w:val="center"/>
                          <w:rPr>
                            <w:rFonts w:ascii="Times New Roman" w:hAnsi="Times New Roman"/>
                            <w:highlight w:val="lightGray"/>
                          </w:rPr>
                        </w:pPr>
                        <w:r>
                          <w:rPr>
                            <w:rFonts w:hint="eastAsia" w:ascii="Times New Roman" w:hAnsi="Times New Roman"/>
                          </w:rPr>
                          <w:t>指</w:t>
                        </w:r>
                      </w:p>
                    </w:sdtContent>
                  </w:sdt>
                </w:tc>
                <w:sdt>
                  <w:sdtPr>
                    <w:rPr>
                      <w:rFonts w:hint="eastAsia" w:ascii="Times New Roman" w:hAnsi="Times New Roman"/>
                    </w:rPr>
                    <w:alias w:val="常用词语释义"/>
                    <w:tag w:val="_GBC_b625dd71b03542c3b074c2ce59de70ad"/>
                    <w:id w:val="-460881768"/>
                    <w:lock w:val="sdtLocked"/>
                  </w:sdtPr>
                  <w:sdtEndPr>
                    <w:rPr>
                      <w:rFonts w:hint="eastAsia" w:ascii="Times New Roman" w:hAnsi="Times New Roman"/>
                    </w:rPr>
                  </w:sdtEndPr>
                  <w:sdtContent>
                    <w:tc>
                      <w:tcPr>
                        <w:tcW w:w="5396" w:type="dxa"/>
                      </w:tcPr>
                      <w:p>
                        <w:pPr>
                          <w:pStyle w:val="114"/>
                          <w:widowControl w:val="0"/>
                          <w:jc w:val="both"/>
                          <w:rPr>
                            <w:rFonts w:ascii="Times New Roman" w:hAnsi="Times New Roman"/>
                          </w:rPr>
                        </w:pPr>
                        <w:r>
                          <w:rPr>
                            <w:rFonts w:hint="eastAsia" w:ascii="Times New Roman" w:hAnsi="Times New Roman"/>
                          </w:rPr>
                          <w:t>香港上市规则附录14所载之《企业管治守则》</w:t>
                        </w:r>
                      </w:p>
                    </w:tc>
                  </w:sdtContent>
                </w:sdt>
              </w:tr>
            </w:sdtContent>
          </w:sdt>
        </w:tbl>
        <w:p>
          <w:pPr>
            <w:pStyle w:val="114"/>
          </w:pPr>
        </w:p>
        <w:p>
          <w:pPr>
            <w:pStyle w:val="114"/>
          </w:pPr>
        </w:p>
      </w:sdtContent>
    </w:sdt>
    <w:p>
      <w:r>
        <w:br w:type="page"/>
      </w:r>
    </w:p>
    <w:p>
      <w:pPr>
        <w:pStyle w:val="2"/>
        <w:numPr>
          <w:ilvl w:val="0"/>
          <w:numId w:val="2"/>
        </w:numPr>
        <w:rPr>
          <w:rFonts w:ascii="黑体" w:hAnsi="黑体"/>
          <w:color w:val="FF0000"/>
          <w:u w:val="single"/>
        </w:rPr>
      </w:pPr>
      <w:bookmarkStart w:id="6" w:name="_Toc76114273"/>
      <w:r>
        <w:rPr>
          <w:rFonts w:hint="eastAsia" w:ascii="黑体" w:hAnsi="黑体"/>
        </w:rPr>
        <w:t>公司简介</w:t>
      </w:r>
      <w:bookmarkEnd w:id="5"/>
      <w:r>
        <w:rPr>
          <w:rFonts w:hint="eastAsia" w:ascii="黑体" w:hAnsi="黑体"/>
        </w:rPr>
        <w:t>和主要财务指标</w:t>
      </w:r>
      <w:bookmarkEnd w:id="6"/>
    </w:p>
    <w:sdt>
      <w:sdtPr>
        <w:rPr>
          <w:rFonts w:hint="eastAsia" w:ascii="宋体" w:hAnsi="宋体" w:cs="宋体"/>
          <w:b w:val="0"/>
          <w:bCs w:val="0"/>
          <w:kern w:val="0"/>
          <w:szCs w:val="24"/>
        </w:rPr>
        <w:alias w:val="模块:公司信息"/>
        <w:tag w:val="_GBC_aa763dfc67ed4eac9000c019cc1ff258"/>
        <w:id w:val="420303690"/>
        <w:lock w:val="sdtLocked"/>
        <w:placeholder>
          <w:docPart w:val="GBC22222222222222222222222222222"/>
        </w:placeholder>
      </w:sdtPr>
      <w:sdtEndPr>
        <w:rPr>
          <w:rFonts w:hint="default" w:ascii="宋体" w:hAnsi="宋体" w:cs="宋体"/>
          <w:b w:val="0"/>
          <w:bCs w:val="0"/>
          <w:kern w:val="0"/>
          <w:szCs w:val="21"/>
        </w:rPr>
      </w:sdtEndPr>
      <w:sdtContent>
        <w:p>
          <w:pPr>
            <w:pStyle w:val="3"/>
            <w:numPr>
              <w:ilvl w:val="0"/>
              <w:numId w:val="3"/>
            </w:numPr>
            <w:ind w:firstLineChars="0"/>
          </w:pPr>
          <w:bookmarkStart w:id="7" w:name="_Toc342051041"/>
          <w:bookmarkStart w:id="8" w:name="_Toc342565881"/>
          <w:r>
            <w:rPr>
              <w:rFonts w:hint="eastAsia"/>
            </w:rPr>
            <w:t>公司信息</w:t>
          </w:r>
          <w:bookmarkEnd w:id="7"/>
          <w:bookmarkEnd w:id="8"/>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30" w:type="dxa"/>
              <w:bottom w:w="0" w:type="dxa"/>
              <w:right w:w="30" w:type="dxa"/>
            </w:tblCellMar>
          </w:tblPr>
          <w:tblGrid>
            <w:gridCol w:w="3858"/>
            <w:gridCol w:w="5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372cd7a5ecc1420488735479d42bf939"/>
                <w:id w:val="2137976365"/>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352805431"/>
                <w:lock w:val="sdtLocked"/>
                <w:dataBinding w:prefixMappings="xmlns:clcid-cgi='clcid-cgi'" w:xpath="/*/clcid-cgi:GongSiFaDingZhongWenMingCheng[not(@periodRef)]" w:storeItemID="{89EBAB94-44A0-46A2-B712-30D997D04A6D}"/>
                <w:text/>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rPr>
                        <w:color w:val="FFC000"/>
                      </w:rPr>
                    </w:pPr>
                    <w:r>
                      <w:rPr>
                        <w:rFonts w:hint="eastAsia"/>
                      </w:rPr>
                      <w:t>江苏宁沪高速公路股份有限公司</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8eb858f464044693a8d56b2fb5bf4064"/>
                <w:id w:val="744073503"/>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rPr>
                        <w:rFonts w:hint="eastAsia"/>
                      </w:rPr>
                      <w:t>公司的中文简称</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宁沪高速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d0fcb2dfd03a44bfb413f503945ba2fb"/>
                <w:id w:val="1637688414"/>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公司的外文名称</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Jiangsu Expressway Company Limited</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b5f89c94b3dc4510b2035a96ac69493a"/>
                <w:id w:val="1874570620"/>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公司的外文名称缩写</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Jiangsu Expressway</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af8be2c600724acab3e545cfcbaa3ccf"/>
                <w:id w:val="-906233235"/>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1966799876"/>
                <w:lock w:val="sdtLocked"/>
                <w:dataBinding w:prefixMappings="xmlns:clcid-cgi='clcid-cgi'" w:xpath="/*/clcid-cgi:GongSiFaDingDaiBiaoRen[not(@periodRef)]" w:storeItemID="{89EBAB94-44A0-46A2-B712-30D997D04A6D}"/>
                <w:text/>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陈云江</w:t>
                    </w:r>
                  </w:p>
                </w:tc>
              </w:sdtContent>
            </w:sdt>
          </w:tr>
        </w:tbl>
        <w:p>
          <w:pPr>
            <w:pStyle w:val="114"/>
          </w:pPr>
        </w:p>
      </w:sdtContent>
    </w:sdt>
    <w:sdt>
      <w:sdtPr>
        <w:rPr>
          <w:rFonts w:hint="eastAsia" w:ascii="宋体" w:hAnsi="宋体" w:cs="宋体"/>
          <w:b w:val="0"/>
          <w:bCs w:val="0"/>
          <w:kern w:val="0"/>
          <w:szCs w:val="24"/>
        </w:rPr>
        <w:alias w:val="模块:联系人和联系方式"/>
        <w:tag w:val="_GBC_c68db6bd18a148f3a9683d04b791123b"/>
        <w:id w:val="1010413609"/>
        <w:lock w:val="sdtLocked"/>
        <w:placeholder>
          <w:docPart w:val="GBC22222222222222222222222222222"/>
        </w:placeholder>
      </w:sdtPr>
      <w:sdtEndPr>
        <w:rPr>
          <w:rFonts w:hint="default" w:ascii="宋体" w:hAnsi="宋体" w:cs="宋体"/>
          <w:b w:val="0"/>
          <w:bCs w:val="0"/>
          <w:kern w:val="0"/>
          <w:szCs w:val="21"/>
        </w:rPr>
      </w:sdtEndPr>
      <w:sdtContent>
        <w:p>
          <w:pPr>
            <w:pStyle w:val="3"/>
            <w:numPr>
              <w:ilvl w:val="0"/>
              <w:numId w:val="3"/>
            </w:numPr>
            <w:ind w:firstLineChars="0"/>
          </w:pPr>
          <w:bookmarkStart w:id="9" w:name="_Toc342565882"/>
          <w:bookmarkStart w:id="10" w:name="_Toc342051042"/>
          <w:r>
            <w:rPr>
              <w:rFonts w:hint="eastAsia"/>
            </w:rPr>
            <w:t>联系人和联系方式</w:t>
          </w:r>
          <w:bookmarkEnd w:id="9"/>
          <w:bookmarkEnd w:id="10"/>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0" w:type="dxa"/>
              <w:bottom w:w="0" w:type="dxa"/>
              <w:right w:w="30" w:type="dxa"/>
            </w:tblCellMar>
          </w:tblPr>
          <w:tblGrid>
            <w:gridCol w:w="2963"/>
            <w:gridCol w:w="2965"/>
            <w:gridCol w:w="29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p>
            </w:tc>
            <w:tc>
              <w:tcPr>
                <w:tcW w:w="1667" w:type="pct"/>
                <w:tcBorders>
                  <w:top w:val="single" w:color="auto" w:sz="4" w:space="0"/>
                  <w:left w:val="single" w:color="auto" w:sz="4" w:space="0"/>
                  <w:bottom w:val="single" w:color="auto" w:sz="4" w:space="0"/>
                  <w:right w:val="single" w:color="auto" w:sz="4" w:space="0"/>
                </w:tcBorders>
                <w:shd w:val="clear" w:color="auto" w:fill="auto"/>
              </w:tcPr>
              <w:p>
                <w:pPr>
                  <w:pStyle w:val="15"/>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1773699341"/>
                    <w:lock w:val="sdtLocked"/>
                  </w:sdtPr>
                  <w:sdtEndPr>
                    <w:rPr>
                      <w:rFonts w:ascii="宋体" w:hAnsi="宋体"/>
                    </w:rPr>
                  </w:sdtEndPr>
                  <w:sdtContent>
                    <w:r>
                      <w:rPr>
                        <w:rFonts w:hint="eastAsia" w:ascii="宋体" w:hAnsi="宋体" w:cs="宋体"/>
                      </w:rPr>
                      <w:t>董事会秘书</w:t>
                    </w:r>
                  </w:sdtContent>
                </w:sdt>
                <w:r>
                  <w:rPr>
                    <w:rFonts w:ascii="宋体" w:hAnsi="宋体"/>
                  </w:rPr>
                  <w:t xml:space="preserve"> </w:t>
                </w:r>
              </w:p>
            </w:tc>
            <w:sdt>
              <w:sdtPr>
                <w:rPr>
                  <w:rFonts w:ascii="宋体" w:hAnsi="宋体"/>
                </w:rPr>
                <w:tag w:val="_PLD_3a25396416c14d2cb0688ae0ac8a1d4d"/>
                <w:id w:val="-1781254261"/>
                <w:lock w:val="sdtLocked"/>
              </w:sdtPr>
              <w:sdtEndPr>
                <w:rPr>
                  <w:rFonts w:ascii="宋体" w:hAnsi="宋体"/>
                </w:rPr>
              </w:sdtEndPr>
              <w:sdtContent>
                <w:tc>
                  <w:tcPr>
                    <w:tcW w:w="1667" w:type="pct"/>
                    <w:tcBorders>
                      <w:top w:val="single" w:color="auto" w:sz="4" w:space="0"/>
                      <w:left w:val="single" w:color="auto" w:sz="4" w:space="0"/>
                      <w:bottom w:val="single" w:color="auto" w:sz="4" w:space="0"/>
                    </w:tcBorders>
                    <w:shd w:val="clear" w:color="auto" w:fill="auto"/>
                  </w:tcPr>
                  <w:p>
                    <w:pPr>
                      <w:pStyle w:val="15"/>
                      <w:kinsoku w:val="0"/>
                      <w:overflowPunct w:val="0"/>
                      <w:autoSpaceDE w:val="0"/>
                      <w:autoSpaceDN w:val="0"/>
                      <w:adjustRightInd w:val="0"/>
                      <w:snapToGrid w:val="0"/>
                      <w:jc w:val="center"/>
                      <w:rPr>
                        <w:rFonts w:ascii="宋体" w:hAnsi="宋体" w:cs="宋体"/>
                      </w:rPr>
                    </w:pPr>
                    <w:r>
                      <w:rPr>
                        <w:rFonts w:hint="eastAsia" w:ascii="宋体" w:hAnsi="宋体" w:cs="宋体"/>
                      </w:rPr>
                      <w:t>证券事务代表</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sdt>
              <w:sdtPr>
                <w:tag w:val="_PLD_c18fe8824f6a4cb6b9318e599fe71657"/>
                <w:id w:val="786786708"/>
                <w:lock w:val="sdtLocked"/>
              </w:sdtPr>
              <w:sdtContent>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rPr>
                        <w:rFonts w:hint="eastAsia"/>
                      </w:rPr>
                      <w:t>姓名</w:t>
                    </w:r>
                  </w:p>
                </w:tc>
              </w:sdtContent>
            </w:sdt>
            <w:tc>
              <w:tcPr>
                <w:tcW w:w="1667" w:type="pct"/>
                <w:tcBorders>
                  <w:top w:val="single" w:color="auto" w:sz="4" w:space="0"/>
                  <w:left w:val="single" w:color="auto" w:sz="4" w:space="0"/>
                  <w:bottom w:val="single" w:color="auto" w:sz="4" w:space="0"/>
                  <w:right w:val="single" w:color="auto" w:sz="4" w:space="0"/>
                </w:tcBorders>
              </w:tcPr>
              <w:p>
                <w:pPr>
                  <w:kinsoku w:val="0"/>
                  <w:overflowPunct w:val="0"/>
                  <w:autoSpaceDE w:val="0"/>
                  <w:autoSpaceDN w:val="0"/>
                  <w:adjustRightInd w:val="0"/>
                  <w:snapToGrid w:val="0"/>
                </w:pPr>
                <w:r>
                  <w:rPr>
                    <w:rFonts w:hint="eastAsia"/>
                  </w:rPr>
                  <w:t>陈晋佳（代行）</w:t>
                </w:r>
              </w:p>
            </w:tc>
            <w:tc>
              <w:tcPr>
                <w:tcW w:w="1667"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屠骏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sdt>
              <w:sdtPr>
                <w:tag w:val="_PLD_7d3032f58380420991f3cbceac5e81fd"/>
                <w:id w:val="-1187364795"/>
                <w:lock w:val="sdtLocked"/>
              </w:sdtPr>
              <w:sdtContent>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rPr>
                        <w:rFonts w:hint="eastAsia"/>
                      </w:rPr>
                      <w:t>联系地址</w:t>
                    </w:r>
                  </w:p>
                </w:tc>
              </w:sdtContent>
            </w:sdt>
            <w:tc>
              <w:tcPr>
                <w:tcW w:w="1667" w:type="pct"/>
                <w:tcBorders>
                  <w:top w:val="single" w:color="auto" w:sz="4" w:space="0"/>
                  <w:left w:val="single" w:color="auto" w:sz="4" w:space="0"/>
                  <w:bottom w:val="single" w:color="auto" w:sz="4" w:space="0"/>
                  <w:right w:val="single" w:color="auto" w:sz="4" w:space="0"/>
                </w:tcBorders>
              </w:tcPr>
              <w:p>
                <w:pPr>
                  <w:kinsoku w:val="0"/>
                  <w:overflowPunct w:val="0"/>
                  <w:autoSpaceDE w:val="0"/>
                  <w:autoSpaceDN w:val="0"/>
                  <w:adjustRightInd w:val="0"/>
                  <w:snapToGrid w:val="0"/>
                </w:pPr>
                <w:r>
                  <w:rPr>
                    <w:rFonts w:hint="eastAsia"/>
                  </w:rPr>
                  <w:t>中国江苏省南京市仙林大道</w:t>
                </w:r>
                <w:r>
                  <w:t>6号</w:t>
                </w:r>
              </w:p>
            </w:tc>
            <w:tc>
              <w:tcPr>
                <w:tcW w:w="1667"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中国江苏省南京市仙林大道</w:t>
                </w:r>
                <w:r>
                  <w:t>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sdt>
              <w:sdtPr>
                <w:tag w:val="_PLD_84ed4619f9cd46ba8ed261c2524b976d"/>
                <w:id w:val="-511994095"/>
                <w:lock w:val="sdtLocked"/>
              </w:sdtPr>
              <w:sdtContent>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电话</w:t>
                    </w:r>
                  </w:p>
                </w:tc>
              </w:sdtContent>
            </w:sdt>
            <w:tc>
              <w:tcPr>
                <w:tcW w:w="1667" w:type="pct"/>
                <w:tcBorders>
                  <w:top w:val="single" w:color="auto" w:sz="4" w:space="0"/>
                  <w:left w:val="single" w:color="auto" w:sz="4" w:space="0"/>
                  <w:bottom w:val="single" w:color="auto" w:sz="4" w:space="0"/>
                  <w:right w:val="single" w:color="auto" w:sz="4" w:space="0"/>
                </w:tcBorders>
              </w:tcPr>
              <w:p>
                <w:pPr>
                  <w:kinsoku w:val="0"/>
                  <w:overflowPunct w:val="0"/>
                  <w:autoSpaceDE w:val="0"/>
                  <w:autoSpaceDN w:val="0"/>
                  <w:adjustRightInd w:val="0"/>
                  <w:snapToGrid w:val="0"/>
                </w:pPr>
                <w:r>
                  <w:t>8625-84362700-301838</w:t>
                </w:r>
              </w:p>
            </w:tc>
            <w:tc>
              <w:tcPr>
                <w:tcW w:w="1667"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8625-84362700-301835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sdt>
              <w:sdtPr>
                <w:tag w:val="_PLD_53ff1b9808534a99b3bbc1bc09dac246"/>
                <w:id w:val="-1075275148"/>
                <w:lock w:val="sdtLocked"/>
              </w:sdtPr>
              <w:sdtContent>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传真</w:t>
                    </w:r>
                  </w:p>
                </w:tc>
              </w:sdtContent>
            </w:sdt>
            <w:tc>
              <w:tcPr>
                <w:tcW w:w="1667" w:type="pct"/>
                <w:tcBorders>
                  <w:top w:val="single" w:color="auto" w:sz="4" w:space="0"/>
                  <w:left w:val="single" w:color="auto" w:sz="4" w:space="0"/>
                  <w:bottom w:val="single" w:color="auto" w:sz="4" w:space="0"/>
                  <w:right w:val="single" w:color="auto" w:sz="4" w:space="0"/>
                </w:tcBorders>
              </w:tcPr>
              <w:p>
                <w:pPr>
                  <w:kinsoku w:val="0"/>
                  <w:overflowPunct w:val="0"/>
                  <w:autoSpaceDE w:val="0"/>
                  <w:autoSpaceDN w:val="0"/>
                  <w:adjustRightInd w:val="0"/>
                  <w:snapToGrid w:val="0"/>
                </w:pPr>
                <w:r>
                  <w:t>8625-84207788</w:t>
                </w:r>
              </w:p>
            </w:tc>
            <w:tc>
              <w:tcPr>
                <w:tcW w:w="1667"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8625-84466643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sdt>
              <w:sdtPr>
                <w:tag w:val="_PLD_18165b6e55e1423db094125dc7ac3ad0"/>
                <w:id w:val="-1313024692"/>
                <w:lock w:val="sdtLocked"/>
              </w:sdtPr>
              <w:sdtContent>
                <w:tc>
                  <w:tcPr>
                    <w:tcW w:w="1666"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电子信箱</w:t>
                    </w:r>
                  </w:p>
                </w:tc>
              </w:sdtContent>
            </w:sdt>
            <w:tc>
              <w:tcPr>
                <w:tcW w:w="1667" w:type="pct"/>
                <w:tcBorders>
                  <w:top w:val="single" w:color="auto" w:sz="4" w:space="0"/>
                  <w:left w:val="single" w:color="auto" w:sz="4" w:space="0"/>
                  <w:bottom w:val="single" w:color="auto" w:sz="4" w:space="0"/>
                  <w:right w:val="single" w:color="auto" w:sz="4" w:space="0"/>
                </w:tcBorders>
              </w:tcPr>
              <w:p>
                <w:pPr>
                  <w:kinsoku w:val="0"/>
                  <w:overflowPunct w:val="0"/>
                  <w:autoSpaceDE w:val="0"/>
                  <w:autoSpaceDN w:val="0"/>
                  <w:adjustRightInd w:val="0"/>
                  <w:snapToGrid w:val="0"/>
                </w:pPr>
                <w:r>
                  <w:t>jsnh@jsexpwy.com</w:t>
                </w:r>
              </w:p>
            </w:tc>
            <w:tc>
              <w:tcPr>
                <w:tcW w:w="1667"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tujun@jsexpwy.com</w:t>
                </w:r>
              </w:p>
            </w:tc>
          </w:tr>
        </w:tbl>
        <w:p>
          <w:pPr>
            <w:pStyle w:val="114"/>
          </w:pPr>
        </w:p>
      </w:sdtContent>
    </w:sdt>
    <w:sdt>
      <w:sdtPr>
        <w:rPr>
          <w:rFonts w:ascii="宋体" w:hAnsi="宋体" w:cs="宋体"/>
          <w:b w:val="0"/>
          <w:bCs w:val="0"/>
          <w:kern w:val="0"/>
          <w:szCs w:val="24"/>
        </w:rPr>
        <w:alias w:val="模块:基本情况变更简介公司注册地址公司注册地址的邮政编码（..."/>
        <w:tag w:val="_SEC_3b2e98069dfe4938a93e32b37561ce15"/>
        <w:id w:val="2067221246"/>
        <w:lock w:val="sdtLocked"/>
        <w:placeholder>
          <w:docPart w:val="GBC22222222222222222222222222222"/>
        </w:placeholder>
      </w:sdtPr>
      <w:sdtEndPr>
        <w:rPr>
          <w:rFonts w:ascii="宋体" w:hAnsi="宋体" w:cs="宋体"/>
          <w:b w:val="0"/>
          <w:bCs w:val="0"/>
          <w:kern w:val="0"/>
          <w:szCs w:val="21"/>
        </w:rPr>
      </w:sdtEndPr>
      <w:sdtContent>
        <w:p>
          <w:pPr>
            <w:pStyle w:val="3"/>
            <w:numPr>
              <w:ilvl w:val="0"/>
              <w:numId w:val="3"/>
            </w:numPr>
            <w:ind w:firstLineChars="0"/>
          </w:pPr>
          <w:r>
            <w:t>基本情况变更简介</w:t>
          </w:r>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30" w:type="dxa"/>
              <w:bottom w:w="0" w:type="dxa"/>
              <w:right w:w="30" w:type="dxa"/>
            </w:tblCellMar>
          </w:tblPr>
          <w:tblGrid>
            <w:gridCol w:w="3858"/>
            <w:gridCol w:w="5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85d89a4aa7974727a1dc32c53cb7ca26"/>
                <w:id w:val="-2092222513"/>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公司注册地址</w:t>
                    </w:r>
                  </w:p>
                </w:tc>
              </w:sdtContent>
            </w:sdt>
            <w:sdt>
              <w:sdtPr>
                <w:alias w:val="公司注册地址"/>
                <w:tag w:val="_GBC_176149bee7bf41819b29097eb854f331"/>
                <w:id w:val="1641999555"/>
                <w:lock w:val="sdtLocked"/>
              </w:sdt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中国江苏省南京市仙林大道</w:t>
                    </w:r>
                    <w:r>
                      <w:t>6号</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tc>
              <w:tcPr>
                <w:tcW w:w="2169" w:type="pct"/>
                <w:tcBorders>
                  <w:top w:val="single" w:color="auto" w:sz="4" w:space="0"/>
                  <w:bottom w:val="single" w:color="auto" w:sz="4" w:space="0"/>
                  <w:right w:val="single" w:color="auto" w:sz="4" w:space="0"/>
                </w:tcBorders>
                <w:shd w:val="clear" w:color="auto" w:fill="auto"/>
              </w:tcPr>
              <w:sdt>
                <w:sdtPr>
                  <w:rPr>
                    <w:rFonts w:hint="eastAsia"/>
                  </w:rPr>
                  <w:tag w:val="_PLD_86df6b07c3cb4a49842ab34107a073eb"/>
                  <w:id w:val="1566609647"/>
                  <w:lock w:val="sdtLocked"/>
                </w:sdtPr>
                <w:sdtEndPr>
                  <w:rPr>
                    <w:rFonts w:hint="eastAsia"/>
                  </w:rPr>
                </w:sdtEndPr>
                <w:sdtContent>
                  <w:p>
                    <w:pPr>
                      <w:kinsoku w:val="0"/>
                      <w:overflowPunct w:val="0"/>
                      <w:autoSpaceDE w:val="0"/>
                      <w:autoSpaceDN w:val="0"/>
                      <w:adjustRightInd w:val="0"/>
                      <w:snapToGrid w:val="0"/>
                    </w:pPr>
                    <w:r>
                      <w:rPr>
                        <w:rFonts w:hint="eastAsia"/>
                      </w:rPr>
                      <w:t>公司注册地址的历史变更情况</w:t>
                    </w:r>
                  </w:p>
                </w:sdtContent>
              </w:sdt>
            </w:tc>
            <w:sdt>
              <w:sdtPr>
                <w:alias w:val="公司注册地址的历史变更情况"/>
                <w:tag w:val="_GBC_1ae6dbe87be04682949409d4dbd0335e"/>
                <w:id w:val="1965608847"/>
                <w:lock w:val="sdtLocked"/>
              </w:sdt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afb934b530604b0a8d7df0bf16875d49"/>
                <w:id w:val="-151914242"/>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公司办公地址</w:t>
                    </w:r>
                  </w:p>
                </w:tc>
              </w:sdtContent>
            </w:sdt>
            <w:sdt>
              <w:sdtPr>
                <w:rPr>
                  <w:rFonts w:hint="eastAsia"/>
                </w:rPr>
                <w:alias w:val="公司办公地址"/>
                <w:tag w:val="_GBC_5d7ed1a91af0489a99a8b9a1eb39057e"/>
                <w:id w:val="-1591692467"/>
                <w:lock w:val="sdtLocked"/>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中国江苏省南京市仙林大道</w:t>
                    </w:r>
                    <w:r>
                      <w:t>6号</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0b92629df2db4d92969852a0afee64f9"/>
                <w:id w:val="-277420175"/>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公司办公地址的邮政编码</w:t>
                    </w:r>
                  </w:p>
                </w:tc>
              </w:sdtContent>
            </w:sdt>
            <w:sdt>
              <w:sdtPr>
                <w:rPr>
                  <w:rFonts w:hint="eastAsia"/>
                </w:rPr>
                <w:alias w:val="公司办公地址邮政编码"/>
                <w:tag w:val="_GBC_0b586d6a76e74eb5bfd69803dd5b3f21"/>
                <w:id w:val="1091049836"/>
                <w:lock w:val="sdtLocked"/>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210049</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0d67a69c3a1340c3a07767557b490fe5"/>
                <w:id w:val="-1937820276"/>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公司网址</w:t>
                    </w:r>
                  </w:p>
                </w:tc>
              </w:sdtContent>
            </w:sdt>
            <w:sdt>
              <w:sdtPr>
                <w:rPr>
                  <w:rFonts w:hint="eastAsia"/>
                </w:rPr>
                <w:alias w:val="公司国际互联网网址"/>
                <w:tag w:val="_GBC_7230b5ca49734fc2ad410245ff685045"/>
                <w:id w:val="-2000187962"/>
                <w:lock w:val="sdtLocked"/>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http://www.jsexpressway.com</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f90a226f402046c6b34fcce5cb28265b"/>
                <w:id w:val="849524821"/>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电子信箱</w:t>
                    </w:r>
                  </w:p>
                </w:tc>
              </w:sdtContent>
            </w:sdt>
            <w:sdt>
              <w:sdtPr>
                <w:rPr>
                  <w:rFonts w:hint="eastAsia"/>
                </w:rPr>
                <w:alias w:val="公司电子信箱"/>
                <w:tag w:val="_GBC_229dc578e23341bbaf9302c6a1aaeb1e"/>
                <w:id w:val="-419647875"/>
                <w:lock w:val="sdtLocked"/>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jsnh@jsexpwy.com</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780e327206de42a7a09f77e6debfb7d1"/>
                <w:id w:val="1350071302"/>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报告期内变更情况查询索引</w:t>
                    </w:r>
                  </w:p>
                </w:tc>
              </w:sdtContent>
            </w:sdt>
            <w:sdt>
              <w:sdtPr>
                <w:rPr>
                  <w:rFonts w:hint="eastAsia"/>
                </w:rPr>
                <w:alias w:val="公司基本情况报告期内变更查询索引"/>
                <w:tag w:val="_GBC_faa254795096437fb73ed03d5cbc1c7e"/>
                <w:id w:val="1979724835"/>
                <w:lock w:val="sdtLocked"/>
              </w:sdtPr>
              <w:sdtEndPr>
                <w:rPr>
                  <w:rFonts w:hint="eastAsia"/>
                </w:rPr>
              </w:sdtEnd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w:t>
                    </w:r>
                  </w:p>
                </w:tc>
              </w:sdtContent>
            </w:sdt>
          </w:tr>
        </w:tbl>
        <w:p>
          <w:pPr>
            <w:pStyle w:val="114"/>
          </w:pPr>
        </w:p>
      </w:sdtContent>
    </w:sdt>
    <w:p>
      <w:pPr>
        <w:kinsoku w:val="0"/>
        <w:overflowPunct w:val="0"/>
        <w:autoSpaceDE w:val="0"/>
        <w:autoSpaceDN w:val="0"/>
        <w:adjustRightInd w:val="0"/>
        <w:snapToGrid w:val="0"/>
      </w:pPr>
    </w:p>
    <w:sdt>
      <w:sdtPr>
        <w:rPr>
          <w:rFonts w:ascii="宋体" w:hAnsi="宋体" w:cs="宋体"/>
          <w:b w:val="0"/>
          <w:bCs w:val="0"/>
          <w:kern w:val="0"/>
          <w:szCs w:val="24"/>
        </w:rPr>
        <w:alias w:val="模块:信息披露及备置地点变更情况简介"/>
        <w:tag w:val="_GBC_20a39c6141734cc19616660ebf1a0dfa"/>
        <w:id w:val="-67958847"/>
        <w:lock w:val="sdtLocked"/>
        <w:placeholder>
          <w:docPart w:val="GBC22222222222222222222222222222"/>
        </w:placeholder>
      </w:sdtPr>
      <w:sdtEndPr>
        <w:rPr>
          <w:rFonts w:ascii="宋体" w:hAnsi="宋体" w:cs="宋体"/>
          <w:b w:val="0"/>
          <w:bCs w:val="0"/>
          <w:kern w:val="0"/>
          <w:szCs w:val="21"/>
        </w:rPr>
      </w:sdtEndPr>
      <w:sdtContent>
        <w:p>
          <w:pPr>
            <w:pStyle w:val="3"/>
            <w:numPr>
              <w:ilvl w:val="0"/>
              <w:numId w:val="3"/>
            </w:numPr>
            <w:ind w:firstLineChars="0"/>
          </w:pPr>
          <w:r>
            <w:t>信息披露及备置地点变更情况简介</w:t>
          </w:r>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30" w:type="dxa"/>
              <w:bottom w:w="0" w:type="dxa"/>
              <w:right w:w="30" w:type="dxa"/>
            </w:tblCellMar>
          </w:tblPr>
          <w:tblGrid>
            <w:gridCol w:w="3858"/>
            <w:gridCol w:w="5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5a9e1277ac2b48eb8d7aa1b69c532d31"/>
                <w:id w:val="1202064032"/>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734008445"/>
                <w:lock w:val="sdtLocked"/>
              </w:sdtPr>
              <w:sdtConten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《中国证券报》</w:t>
                    </w:r>
                  </w:p>
                  <w:p>
                    <w:pPr>
                      <w:kinsoku w:val="0"/>
                      <w:overflowPunct w:val="0"/>
                      <w:autoSpaceDE w:val="0"/>
                      <w:autoSpaceDN w:val="0"/>
                      <w:adjustRightInd w:val="0"/>
                      <w:snapToGrid w:val="0"/>
                    </w:pPr>
                    <w:r>
                      <w:rPr>
                        <w:rFonts w:hint="eastAsia"/>
                      </w:rPr>
                      <w:t>《证券时报》</w:t>
                    </w:r>
                  </w:p>
                  <w:p>
                    <w:pPr>
                      <w:kinsoku w:val="0"/>
                      <w:overflowPunct w:val="0"/>
                      <w:autoSpaceDE w:val="0"/>
                      <w:autoSpaceDN w:val="0"/>
                      <w:adjustRightInd w:val="0"/>
                      <w:snapToGrid w:val="0"/>
                    </w:pPr>
                    <w:r>
                      <w:rPr>
                        <w:rFonts w:hint="eastAsia"/>
                      </w:rPr>
                      <w:t>《上海证券报》</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34ad3e071c96488fa36dcc1913587c39"/>
                <w:id w:val="1872031117"/>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登载半年度报告的</w:t>
                    </w:r>
                    <w:r>
                      <w:rPr>
                        <w:rFonts w:hint="eastAsia"/>
                      </w:rPr>
                      <w:t>网站地</w:t>
                    </w:r>
                    <w:r>
                      <w:t>址</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www.sse.com.cn</w:t>
                </w:r>
              </w:p>
              <w:p>
                <w:pPr>
                  <w:kinsoku w:val="0"/>
                  <w:overflowPunct w:val="0"/>
                  <w:autoSpaceDE w:val="0"/>
                  <w:autoSpaceDN w:val="0"/>
                  <w:adjustRightInd w:val="0"/>
                  <w:snapToGrid w:val="0"/>
                </w:pPr>
                <w:r>
                  <w:t>www.hkexnews.hk</w:t>
                </w:r>
              </w:p>
              <w:p>
                <w:pPr>
                  <w:kinsoku w:val="0"/>
                  <w:overflowPunct w:val="0"/>
                  <w:autoSpaceDE w:val="0"/>
                  <w:autoSpaceDN w:val="0"/>
                  <w:adjustRightInd w:val="0"/>
                  <w:snapToGrid w:val="0"/>
                </w:pPr>
                <w:r>
                  <w:t>www.jsexpressway.com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533f230e5c504d15b6024014067b6306"/>
                <w:id w:val="-1705013303"/>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公司半年度报告备置地点</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rPr>
                    <w:rFonts w:hint="eastAsia"/>
                  </w:rPr>
                  <w:t>上海市浦东南路</w:t>
                </w:r>
                <w:r>
                  <w:t>528号上海证券交易所；</w:t>
                </w:r>
              </w:p>
              <w:p>
                <w:pPr>
                  <w:kinsoku w:val="0"/>
                  <w:overflowPunct w:val="0"/>
                  <w:autoSpaceDE w:val="0"/>
                  <w:autoSpaceDN w:val="0"/>
                  <w:adjustRightInd w:val="0"/>
                  <w:snapToGrid w:val="0"/>
                </w:pPr>
                <w:r>
                  <w:rPr>
                    <w:rFonts w:hint="eastAsia"/>
                  </w:rPr>
                  <w:t>香港湾仔皇后大道东</w:t>
                </w:r>
                <w:r>
                  <w:t>183号合和中心17楼1712-1716室香港证券登记有限公司；</w:t>
                </w:r>
              </w:p>
              <w:p>
                <w:pPr>
                  <w:kinsoku w:val="0"/>
                  <w:overflowPunct w:val="0"/>
                  <w:autoSpaceDE w:val="0"/>
                  <w:autoSpaceDN w:val="0"/>
                  <w:adjustRightInd w:val="0"/>
                  <w:snapToGrid w:val="0"/>
                </w:pPr>
                <w:r>
                  <w:rPr>
                    <w:rFonts w:hint="eastAsia"/>
                  </w:rPr>
                  <w:t>香港鲗鱼涌华兰路</w:t>
                </w:r>
                <w:r>
                  <w:t>18号太古坊港岛东中心17楼公司香港注册办事处；</w:t>
                </w:r>
              </w:p>
              <w:p>
                <w:pPr>
                  <w:kinsoku w:val="0"/>
                  <w:overflowPunct w:val="0"/>
                  <w:autoSpaceDE w:val="0"/>
                  <w:autoSpaceDN w:val="0"/>
                  <w:adjustRightInd w:val="0"/>
                  <w:snapToGrid w:val="0"/>
                </w:pPr>
                <w:r>
                  <w:rPr>
                    <w:rFonts w:hint="eastAsia"/>
                  </w:rPr>
                  <w:t>中国江苏省南京市仙林大道</w:t>
                </w:r>
                <w:r>
                  <w:t>6号公司本部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71b3b22b33f543709c7346090ee03414"/>
                <w:id w:val="1802653293"/>
                <w:lock w:val="sdtLocked"/>
              </w:sdtPr>
              <w:sdtContent>
                <w:tc>
                  <w:tcPr>
                    <w:tcW w:w="2169"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报告期内变更情况查询索引</w:t>
                    </w:r>
                  </w:p>
                </w:tc>
              </w:sdtContent>
            </w:sdt>
            <w:tc>
              <w:tcPr>
                <w:tcW w:w="2831" w:type="pct"/>
                <w:tcBorders>
                  <w:top w:val="single" w:color="auto" w:sz="4" w:space="0"/>
                  <w:left w:val="single" w:color="auto" w:sz="4" w:space="0"/>
                  <w:bottom w:val="single" w:color="auto" w:sz="4" w:space="0"/>
                </w:tcBorders>
              </w:tcPr>
              <w:p>
                <w:pPr>
                  <w:kinsoku w:val="0"/>
                  <w:overflowPunct w:val="0"/>
                  <w:autoSpaceDE w:val="0"/>
                  <w:autoSpaceDN w:val="0"/>
                  <w:adjustRightInd w:val="0"/>
                  <w:snapToGrid w:val="0"/>
                </w:pPr>
                <w:r>
                  <w:t>-</w:t>
                </w:r>
              </w:p>
            </w:tc>
          </w:tr>
        </w:tbl>
        <w:p>
          <w:pPr>
            <w:pStyle w:val="114"/>
          </w:pPr>
        </w:p>
      </w:sdtContent>
    </w:sdt>
    <w:sdt>
      <w:sdtPr>
        <w:rPr>
          <w:rFonts w:hint="eastAsia" w:ascii="宋体" w:hAnsi="宋体" w:cs="宋体"/>
          <w:b w:val="0"/>
          <w:bCs w:val="0"/>
          <w:kern w:val="0"/>
          <w:szCs w:val="24"/>
        </w:rPr>
        <w:alias w:val="模块:公司股票简况"/>
        <w:tag w:val="_GBC_f73e31215837403db78d7a2ed15723c6"/>
        <w:id w:val="900027864"/>
        <w:lock w:val="sdtLocked"/>
        <w:placeholder>
          <w:docPart w:val="GBC22222222222222222222222222222"/>
        </w:placeholder>
      </w:sdtPr>
      <w:sdtEndPr>
        <w:rPr>
          <w:rFonts w:hint="eastAsia" w:ascii="宋体" w:hAnsi="宋体" w:cs="宋体"/>
          <w:b w:val="0"/>
          <w:bCs w:val="0"/>
          <w:color w:val="0070C0"/>
          <w:kern w:val="0"/>
          <w:szCs w:val="21"/>
        </w:rPr>
      </w:sdtEndPr>
      <w:sdtContent>
        <w:p>
          <w:pPr>
            <w:pStyle w:val="3"/>
            <w:numPr>
              <w:ilvl w:val="0"/>
              <w:numId w:val="3"/>
            </w:numPr>
            <w:ind w:firstLineChars="0"/>
          </w:pPr>
          <w:bookmarkStart w:id="11" w:name="_Toc342565885"/>
          <w:bookmarkStart w:id="12" w:name="_Toc342051045"/>
          <w:r>
            <w:rPr>
              <w:rFonts w:hint="eastAsia"/>
            </w:rPr>
            <w:t>公司股票简况</w:t>
          </w:r>
          <w:bookmarkEnd w:id="11"/>
          <w:bookmarkEnd w:id="12"/>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0" w:type="dxa"/>
              <w:bottom w:w="0" w:type="dxa"/>
              <w:right w:w="30" w:type="dxa"/>
            </w:tblCellMar>
          </w:tblPr>
          <w:tblGrid>
            <w:gridCol w:w="1778"/>
            <w:gridCol w:w="1778"/>
            <w:gridCol w:w="1779"/>
            <w:gridCol w:w="1779"/>
            <w:gridCol w:w="17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136d907086394f5eaee0ec7d22ac5510"/>
                <w:id w:val="-905756775"/>
                <w:lock w:val="sdtLocked"/>
              </w:sdtPr>
              <w:sdtContent>
                <w:tc>
                  <w:tcPr>
                    <w:tcW w:w="1000"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646559145"/>
                <w:lock w:val="sdtLocked"/>
              </w:sdtPr>
              <w:sdtContent>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1944657409"/>
                <w:lock w:val="sdtLocked"/>
              </w:sdtPr>
              <w:sdtContent>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1618491905"/>
                <w:lock w:val="sdtLocked"/>
              </w:sdtPr>
              <w:sdtContent>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2092766617"/>
                <w:lock w:val="sdtLocked"/>
              </w:sdtPr>
              <w:sdtContent>
                <w:tc>
                  <w:tcPr>
                    <w:tcW w:w="1000" w:type="pct"/>
                    <w:tcBorders>
                      <w:top w:val="single" w:color="auto" w:sz="4" w:space="0"/>
                      <w:left w:val="single" w:color="auto" w:sz="4" w:space="0"/>
                      <w:bottom w:val="single" w:color="auto" w:sz="4" w:space="0"/>
                    </w:tcBorders>
                    <w:shd w:val="clear" w:color="auto" w:fill="auto"/>
                  </w:tcPr>
                  <w:p>
                    <w:pPr>
                      <w:kinsoku w:val="0"/>
                      <w:overflowPunct w:val="0"/>
                      <w:autoSpaceDE w:val="0"/>
                      <w:autoSpaceDN w:val="0"/>
                      <w:adjustRightInd w:val="0"/>
                      <w:snapToGrid w:val="0"/>
                      <w:jc w:val="center"/>
                    </w:pPr>
                    <w:r>
                      <w:rPr>
                        <w:rFonts w:hint="eastAsia"/>
                      </w:rPr>
                      <w:t>变更前股票简称</w:t>
                    </w:r>
                  </w:p>
                </w:tc>
              </w:sdtContent>
            </w:sdt>
          </w:tr>
          <w:sdt>
            <w:sdtPr>
              <w:rPr>
                <w:rFonts w:hint="eastAsia"/>
              </w:rPr>
              <w:alias w:val="公司其他股票简况"/>
              <w:tag w:val="_GBC_4e064b55e0734b1d9be1e41379a353e2"/>
              <w:id w:val="-72923037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tc>
                  <w:tcPr>
                    <w:tcW w:w="1000"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A股</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上海证券交易所</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宁沪高速</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600377</w:t>
                    </w:r>
                  </w:p>
                </w:tc>
                <w:tc>
                  <w:tcPr>
                    <w:tcW w:w="1000" w:type="pct"/>
                    <w:tcBorders>
                      <w:top w:val="single" w:color="auto" w:sz="4" w:space="0"/>
                      <w:left w:val="single" w:color="auto" w:sz="4" w:space="0"/>
                      <w:bottom w:val="single" w:color="auto" w:sz="4" w:space="0"/>
                    </w:tcBorders>
                    <w:shd w:val="clear" w:color="auto" w:fill="auto"/>
                  </w:tcPr>
                  <w:p>
                    <w:pPr>
                      <w:kinsoku w:val="0"/>
                      <w:overflowPunct w:val="0"/>
                      <w:autoSpaceDE w:val="0"/>
                      <w:autoSpaceDN w:val="0"/>
                      <w:adjustRightInd w:val="0"/>
                      <w:snapToGrid w:val="0"/>
                    </w:pPr>
                    <w:r>
                      <w:t>-</w:t>
                    </w:r>
                  </w:p>
                </w:tc>
              </w:tr>
            </w:sdtContent>
          </w:sdt>
          <w:sdt>
            <w:sdtPr>
              <w:rPr>
                <w:rFonts w:hint="eastAsia"/>
              </w:rPr>
              <w:alias w:val="公司其他股票简况"/>
              <w:tag w:val="_GBC_4e064b55e0734b1d9be1e41379a353e2"/>
              <w:id w:val="-62669963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tc>
                  <w:tcPr>
                    <w:tcW w:w="1000"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H股</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香港联合交易所有限公司</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江苏宁沪高速公路</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00177</w:t>
                    </w:r>
                  </w:p>
                </w:tc>
                <w:tc>
                  <w:tcPr>
                    <w:tcW w:w="1000" w:type="pct"/>
                    <w:tcBorders>
                      <w:top w:val="single" w:color="auto" w:sz="4" w:space="0"/>
                      <w:left w:val="single" w:color="auto" w:sz="4" w:space="0"/>
                      <w:bottom w:val="single" w:color="auto" w:sz="4" w:space="0"/>
                    </w:tcBorders>
                    <w:shd w:val="clear" w:color="auto" w:fill="auto"/>
                  </w:tcPr>
                  <w:p>
                    <w:pPr>
                      <w:kinsoku w:val="0"/>
                      <w:overflowPunct w:val="0"/>
                      <w:autoSpaceDE w:val="0"/>
                      <w:autoSpaceDN w:val="0"/>
                      <w:adjustRightInd w:val="0"/>
                      <w:snapToGrid w:val="0"/>
                    </w:pPr>
                    <w:r>
                      <w:t>-</w:t>
                    </w:r>
                  </w:p>
                </w:tc>
              </w:tr>
            </w:sdtContent>
          </w:sdt>
          <w:sdt>
            <w:sdtPr>
              <w:rPr>
                <w:rFonts w:hint="eastAsia"/>
              </w:rPr>
              <w:alias w:val="公司其他股票简况"/>
              <w:tag w:val="_GBC_4e064b55e0734b1d9be1e41379a353e2"/>
              <w:id w:val="207292501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tc>
                  <w:tcPr>
                    <w:tcW w:w="1000" w:type="pct"/>
                    <w:tcBorders>
                      <w:top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ADR</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美国</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JEXYY</w:t>
                    </w:r>
                  </w:p>
                </w:tc>
                <w:tc>
                  <w:tcPr>
                    <w:tcW w:w="1000" w:type="pct"/>
                    <w:tcBorders>
                      <w:top w:val="single" w:color="auto" w:sz="4" w:space="0"/>
                      <w:left w:val="single" w:color="auto" w:sz="4" w:space="0"/>
                      <w:bottom w:val="single" w:color="auto" w:sz="4" w:space="0"/>
                      <w:right w:val="single" w:color="auto" w:sz="4" w:space="0"/>
                    </w:tcBorders>
                    <w:shd w:val="clear" w:color="auto" w:fill="auto"/>
                  </w:tcPr>
                  <w:p>
                    <w:pPr>
                      <w:kinsoku w:val="0"/>
                      <w:overflowPunct w:val="0"/>
                      <w:autoSpaceDE w:val="0"/>
                      <w:autoSpaceDN w:val="0"/>
                      <w:adjustRightInd w:val="0"/>
                      <w:snapToGrid w:val="0"/>
                    </w:pPr>
                    <w:r>
                      <w:t>477373104</w:t>
                    </w:r>
                  </w:p>
                </w:tc>
                <w:tc>
                  <w:tcPr>
                    <w:tcW w:w="1000" w:type="pct"/>
                    <w:tcBorders>
                      <w:top w:val="single" w:color="auto" w:sz="4" w:space="0"/>
                      <w:left w:val="single" w:color="auto" w:sz="4" w:space="0"/>
                      <w:bottom w:val="single" w:color="auto" w:sz="4" w:space="0"/>
                    </w:tcBorders>
                    <w:shd w:val="clear" w:color="auto" w:fill="auto"/>
                  </w:tcPr>
                  <w:p>
                    <w:pPr>
                      <w:kinsoku w:val="0"/>
                      <w:overflowPunct w:val="0"/>
                      <w:autoSpaceDE w:val="0"/>
                      <w:autoSpaceDN w:val="0"/>
                      <w:adjustRightInd w:val="0"/>
                      <w:snapToGrid w:val="0"/>
                    </w:pPr>
                    <w:r>
                      <w:t>-</w:t>
                    </w:r>
                  </w:p>
                </w:tc>
              </w:tr>
            </w:sdtContent>
          </w:sdt>
        </w:tbl>
        <w:p>
          <w:pPr>
            <w:kinsoku w:val="0"/>
            <w:overflowPunct w:val="0"/>
            <w:autoSpaceDE w:val="0"/>
            <w:autoSpaceDN w:val="0"/>
            <w:adjustRightInd w:val="0"/>
            <w:snapToGrid w:val="0"/>
            <w:rPr>
              <w:color w:val="0070C0"/>
            </w:rPr>
          </w:pPr>
        </w:p>
      </w:sdtContent>
    </w:sdt>
    <w:sdt>
      <w:sdtPr>
        <w:rPr>
          <w:rFonts w:ascii="宋体" w:hAnsi="宋体" w:cs="宋体"/>
          <w:b w:val="0"/>
          <w:bCs w:val="0"/>
          <w:kern w:val="0"/>
          <w:szCs w:val="24"/>
        </w:rPr>
        <w:alias w:val="模块:其他有关资料"/>
        <w:tag w:val="_GBC_cd186ef4acaf4e28b71fed998e691ebd"/>
        <w:id w:val="935798585"/>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3"/>
            </w:numPr>
            <w:ind w:firstLineChars="0"/>
          </w:pPr>
          <w:r>
            <w:t>其他有关资料</w:t>
          </w:r>
        </w:p>
        <w:sdt>
          <w:sdtPr>
            <w:alias w:val="是否适用：其他有关资料[双击切换]"/>
            <w:tag w:val="_GBC_78c3cc115c0d4dd3bf5e7c57142e5e68"/>
            <w:id w:val="-195492590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bdr w:val="single" w:color="auto" w:sz="4" w:space="0"/>
        </w:rPr>
      </w:pPr>
    </w:p>
    <w:p>
      <w:pPr>
        <w:pStyle w:val="3"/>
        <w:numPr>
          <w:ilvl w:val="0"/>
          <w:numId w:val="3"/>
        </w:numPr>
        <w:ind w:firstLineChars="0"/>
      </w:pPr>
      <w:bookmarkStart w:id="13" w:name="_Toc342056397"/>
      <w:bookmarkStart w:id="14" w:name="_Toc342565889"/>
      <w:r>
        <w:rPr>
          <w:rFonts w:hint="eastAsia"/>
        </w:rPr>
        <w:t>公司主要会计数据和财务指标</w:t>
      </w:r>
      <w:bookmarkEnd w:id="13"/>
      <w:bookmarkEnd w:id="14"/>
    </w:p>
    <w:p>
      <w:pPr>
        <w:pStyle w:val="4"/>
        <w:numPr>
          <w:ilvl w:val="1"/>
          <w:numId w:val="4"/>
        </w:numPr>
        <w:rPr>
          <w:rFonts w:ascii="宋体" w:hAnsi="宋体"/>
        </w:rPr>
      </w:pPr>
      <w:r>
        <w:rPr>
          <w:rFonts w:hint="eastAsia" w:ascii="宋体" w:hAnsi="宋体"/>
        </w:rPr>
        <w:t>主要会计数据</w:t>
      </w:r>
    </w:p>
    <w:p>
      <w:pPr>
        <w:jc w:val="right"/>
      </w:pPr>
      <w:r>
        <w:rPr>
          <w:rFonts w:hint="eastAsia"/>
        </w:rPr>
        <w:t>单位：</w:t>
      </w:r>
      <w:sdt>
        <w:sdtPr>
          <w:rPr>
            <w:rFonts w:hint="eastAsia"/>
          </w:rPr>
          <w:alias w:val="单位：报告期末公司前三年主要会计数据和财务指标"/>
          <w:tag w:val="_GBC_c7cd0dd826b247dbba8cc8b1a811aefb"/>
          <w:id w:val="3102174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报告期末公司前三年主要会计数据和财务指标"/>
          <w:tag w:val="_GBC_2df6a5d441324c13bcf6c4c54ac41eb0"/>
          <w:id w:val="-1239561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sdt>
      <w:sdtPr>
        <w:rPr>
          <w:rFonts w:hint="eastAsia"/>
        </w:rPr>
        <w:tag w:val="_GBC_f3826dda988749e78931d3af98058157"/>
        <w:id w:val="-1922176775"/>
        <w:lock w:val="sdtLocked"/>
        <w:placeholder>
          <w:docPart w:val="GBC22222222222222222222222222222"/>
        </w:placeholder>
      </w:sdtPr>
      <w:sdtEndPr>
        <w:rPr>
          <w:rFonts w:hint="default"/>
        </w:rPr>
      </w:sdtEndPr>
      <w:sdtContent>
        <w:tbl>
          <w:tblPr>
            <w:tblStyle w:val="4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2"/>
            <w:gridCol w:w="2001"/>
            <w:gridCol w:w="2001"/>
            <w:gridCol w:w="2001"/>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62" w:type="dxa"/>
                <w:vMerge w:val="restart"/>
                <w:vAlign w:val="center"/>
              </w:tcPr>
              <w:p>
                <w:pPr>
                  <w:kinsoku w:val="0"/>
                  <w:overflowPunct w:val="0"/>
                  <w:autoSpaceDE w:val="0"/>
                  <w:autoSpaceDN w:val="0"/>
                  <w:adjustRightInd w:val="0"/>
                  <w:snapToGrid w:val="0"/>
                  <w:jc w:val="center"/>
                </w:pPr>
                <w:bookmarkStart w:id="15" w:name="_Hlk72769913"/>
                <w:sdt>
                  <w:sdtPr>
                    <w:rPr>
                      <w:rFonts w:hint="eastAsia"/>
                    </w:rPr>
                    <w:tag w:val="_PLD_9a892ddb7f784060a3faccb4c3beadce"/>
                    <w:id w:val="62851330"/>
                    <w:lock w:val="sdtLocked"/>
                  </w:sdtPr>
                  <w:sdtEndPr>
                    <w:rPr>
                      <w:rFonts w:hint="default"/>
                    </w:rPr>
                  </w:sdtEndPr>
                  <w:sdtContent>
                    <w:r>
                      <w:rPr>
                        <w:rFonts w:hint="eastAsia"/>
                      </w:rPr>
                      <w:t>主要会计数据</w:t>
                    </w:r>
                  </w:sdtContent>
                </w:sdt>
              </w:p>
            </w:tc>
            <w:sdt>
              <w:sdtPr>
                <w:tag w:val="_PLD_c1037fd91103435795ea62def760a024"/>
                <w:id w:val="-729155575"/>
                <w:lock w:val="sdtLocked"/>
              </w:sdtPr>
              <w:sdtContent>
                <w:tc>
                  <w:tcPr>
                    <w:tcW w:w="2001" w:type="dxa"/>
                    <w:vMerge w:val="restart"/>
                    <w:vAlign w:val="center"/>
                  </w:tcPr>
                  <w:p>
                    <w:pPr>
                      <w:kinsoku w:val="0"/>
                      <w:overflowPunct w:val="0"/>
                      <w:autoSpaceDE w:val="0"/>
                      <w:autoSpaceDN w:val="0"/>
                      <w:adjustRightInd w:val="0"/>
                      <w:snapToGrid w:val="0"/>
                      <w:jc w:val="center"/>
                    </w:pPr>
                    <w:r>
                      <w:rPr>
                        <w:rFonts w:hint="eastAsia"/>
                      </w:rPr>
                      <w:t>本</w:t>
                    </w:r>
                    <w:r>
                      <w:t>报告期</w:t>
                    </w:r>
                  </w:p>
                  <w:p>
                    <w:pPr>
                      <w:kinsoku w:val="0"/>
                      <w:overflowPunct w:val="0"/>
                      <w:autoSpaceDE w:val="0"/>
                      <w:autoSpaceDN w:val="0"/>
                      <w:adjustRightInd w:val="0"/>
                      <w:snapToGrid w:val="0"/>
                      <w:jc w:val="center"/>
                    </w:pPr>
                    <w:r>
                      <w:t>（1－6月）</w:t>
                    </w:r>
                  </w:p>
                </w:tc>
              </w:sdtContent>
            </w:sdt>
            <w:sdt>
              <w:sdtPr>
                <w:tag w:val="_PLD_bab30e1b543c4fbf9c30f9a629245ebf"/>
                <w:id w:val="-324971182"/>
                <w:lock w:val="sdtLocked"/>
              </w:sdtPr>
              <w:sdtContent>
                <w:tc>
                  <w:tcPr>
                    <w:tcW w:w="4002" w:type="dxa"/>
                    <w:gridSpan w:val="2"/>
                    <w:vAlign w:val="center"/>
                  </w:tcPr>
                  <w:p>
                    <w:pPr>
                      <w:kinsoku w:val="0"/>
                      <w:overflowPunct w:val="0"/>
                      <w:autoSpaceDE w:val="0"/>
                      <w:autoSpaceDN w:val="0"/>
                      <w:adjustRightInd w:val="0"/>
                      <w:snapToGrid w:val="0"/>
                      <w:jc w:val="center"/>
                    </w:pPr>
                    <w:r>
                      <w:t>上年同期</w:t>
                    </w:r>
                  </w:p>
                </w:tc>
              </w:sdtContent>
            </w:sdt>
            <w:sdt>
              <w:sdtPr>
                <w:tag w:val="_PLD_939281d443df430dae16ace9baf8e6ea"/>
                <w:id w:val="1997301195"/>
                <w:lock w:val="sdtLocked"/>
              </w:sdtPr>
              <w:sdtContent>
                <w:tc>
                  <w:tcPr>
                    <w:tcW w:w="1084" w:type="dxa"/>
                    <w:vMerge w:val="restart"/>
                    <w:vAlign w:val="center"/>
                  </w:tcPr>
                  <w:p>
                    <w:pPr>
                      <w:kinsoku w:val="0"/>
                      <w:overflowPunct w:val="0"/>
                      <w:autoSpaceDE w:val="0"/>
                      <w:autoSpaceDN w:val="0"/>
                      <w:adjustRightInd w:val="0"/>
                      <w:snapToGrid w:val="0"/>
                      <w:jc w:val="center"/>
                    </w:pPr>
                    <w:r>
                      <w:t>本报告期比上年同期增减(%)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62" w:type="dxa"/>
                <w:vMerge w:val="continue"/>
              </w:tcPr>
              <w:p>
                <w:pPr>
                  <w:kinsoku w:val="0"/>
                  <w:overflowPunct w:val="0"/>
                  <w:autoSpaceDE w:val="0"/>
                  <w:autoSpaceDN w:val="0"/>
                  <w:adjustRightInd w:val="0"/>
                  <w:snapToGrid w:val="0"/>
                  <w:jc w:val="center"/>
                </w:pPr>
              </w:p>
            </w:tc>
            <w:tc>
              <w:tcPr>
                <w:tcW w:w="2001" w:type="dxa"/>
                <w:vMerge w:val="continue"/>
              </w:tcPr>
              <w:p>
                <w:pPr>
                  <w:kinsoku w:val="0"/>
                  <w:overflowPunct w:val="0"/>
                  <w:autoSpaceDE w:val="0"/>
                  <w:autoSpaceDN w:val="0"/>
                  <w:adjustRightInd w:val="0"/>
                  <w:snapToGrid w:val="0"/>
                </w:pPr>
              </w:p>
            </w:tc>
            <w:sdt>
              <w:sdtPr>
                <w:tag w:val="_PLD_ea077e6e667b40c889b036ebdde32f06"/>
                <w:id w:val="1754009572"/>
                <w:lock w:val="sdtLocked"/>
              </w:sdtPr>
              <w:sdtContent>
                <w:tc>
                  <w:tcPr>
                    <w:tcW w:w="2001" w:type="dxa"/>
                  </w:tcPr>
                  <w:p>
                    <w:pPr>
                      <w:kinsoku w:val="0"/>
                      <w:overflowPunct w:val="0"/>
                      <w:autoSpaceDE w:val="0"/>
                      <w:autoSpaceDN w:val="0"/>
                      <w:adjustRightInd w:val="0"/>
                      <w:snapToGrid w:val="0"/>
                      <w:jc w:val="center"/>
                    </w:pPr>
                    <w:r>
                      <w:rPr>
                        <w:rFonts w:hint="eastAsia"/>
                      </w:rPr>
                      <w:t>调整后</w:t>
                    </w:r>
                  </w:p>
                </w:tc>
              </w:sdtContent>
            </w:sdt>
            <w:sdt>
              <w:sdtPr>
                <w:tag w:val="_PLD_8d00c2e24647428c8ce791bbc0b90f87"/>
                <w:id w:val="-230931197"/>
                <w:lock w:val="sdtLocked"/>
              </w:sdtPr>
              <w:sdtContent>
                <w:tc>
                  <w:tcPr>
                    <w:tcW w:w="2001" w:type="dxa"/>
                  </w:tcPr>
                  <w:p>
                    <w:pPr>
                      <w:kinsoku w:val="0"/>
                      <w:overflowPunct w:val="0"/>
                      <w:autoSpaceDE w:val="0"/>
                      <w:autoSpaceDN w:val="0"/>
                      <w:adjustRightInd w:val="0"/>
                      <w:snapToGrid w:val="0"/>
                      <w:jc w:val="center"/>
                    </w:pPr>
                    <w:r>
                      <w:rPr>
                        <w:rFonts w:hint="eastAsia"/>
                      </w:rPr>
                      <w:t>调整前</w:t>
                    </w:r>
                  </w:p>
                </w:tc>
              </w:sdtContent>
            </w:sdt>
            <w:tc>
              <w:tcPr>
                <w:tcW w:w="1084" w:type="dxa"/>
                <w:vMerge w:val="continue"/>
              </w:tcPr>
              <w:p>
                <w:pPr>
                  <w:kinsoku w:val="0"/>
                  <w:overflowPunct w:val="0"/>
                  <w:autoSpaceDE w:val="0"/>
                  <w:autoSpaceDN w:val="0"/>
                  <w:adjustRightInd w:val="0"/>
                  <w:snapToGrid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d6fe8f04567e4b74ba93eab901204586"/>
                <w:id w:val="-402610839"/>
                <w:lock w:val="sdtLocked"/>
              </w:sdtPr>
              <w:sdtContent>
                <w:tc>
                  <w:tcPr>
                    <w:tcW w:w="1962" w:type="dxa"/>
                  </w:tcPr>
                  <w:p>
                    <w:pPr>
                      <w:kinsoku w:val="0"/>
                      <w:overflowPunct w:val="0"/>
                      <w:autoSpaceDE w:val="0"/>
                      <w:autoSpaceDN w:val="0"/>
                      <w:adjustRightInd w:val="0"/>
                      <w:snapToGrid w:val="0"/>
                    </w:pPr>
                    <w:r>
                      <w:rPr>
                        <w:rFonts w:hint="eastAsia"/>
                      </w:rPr>
                      <w:t>营业收入</w:t>
                    </w:r>
                  </w:p>
                </w:tc>
              </w:sdtContent>
            </w:sdt>
            <w:tc>
              <w:tcPr>
                <w:tcW w:w="2001" w:type="dxa"/>
                <w:vAlign w:val="center"/>
              </w:tcPr>
              <w:p>
                <w:pPr>
                  <w:jc w:val="center"/>
                  <w:rPr>
                    <w:sz w:val="24"/>
                    <w:szCs w:val="24"/>
                  </w:rPr>
                </w:pPr>
                <w:r>
                  <w:rPr>
                    <w:rFonts w:hint="eastAsia"/>
                  </w:rPr>
                  <w:t>7,136,011,953.47</w:t>
                </w:r>
              </w:p>
            </w:tc>
            <w:tc>
              <w:tcPr>
                <w:tcW w:w="2001" w:type="dxa"/>
                <w:vAlign w:val="center"/>
              </w:tcPr>
              <w:p>
                <w:pPr>
                  <w:jc w:val="center"/>
                  <w:rPr>
                    <w:sz w:val="24"/>
                    <w:szCs w:val="24"/>
                  </w:rPr>
                </w:pPr>
                <w:r>
                  <w:rPr>
                    <w:rFonts w:hint="eastAsia"/>
                  </w:rPr>
                  <w:t>4,875,399,621.13</w:t>
                </w:r>
              </w:p>
            </w:tc>
            <w:tc>
              <w:tcPr>
                <w:tcW w:w="2001" w:type="dxa"/>
                <w:vAlign w:val="center"/>
              </w:tcPr>
              <w:p>
                <w:pPr>
                  <w:kinsoku w:val="0"/>
                  <w:overflowPunct w:val="0"/>
                  <w:autoSpaceDE w:val="0"/>
                  <w:autoSpaceDN w:val="0"/>
                  <w:adjustRightInd w:val="0"/>
                  <w:snapToGrid w:val="0"/>
                  <w:jc w:val="center"/>
                  <w:rPr>
                    <w:bCs/>
                  </w:rPr>
                </w:pPr>
                <w:r>
                  <w:rPr>
                    <w:rFonts w:hint="eastAsia"/>
                    <w:bCs/>
                  </w:rPr>
                  <w:t>4,553,627,185.10</w:t>
                </w:r>
              </w:p>
            </w:tc>
            <w:tc>
              <w:tcPr>
                <w:tcW w:w="1084" w:type="dxa"/>
                <w:vAlign w:val="center"/>
              </w:tcPr>
              <w:p>
                <w:pPr>
                  <w:kinsoku w:val="0"/>
                  <w:overflowPunct w:val="0"/>
                  <w:autoSpaceDE w:val="0"/>
                  <w:autoSpaceDN w:val="0"/>
                  <w:adjustRightInd w:val="0"/>
                  <w:snapToGrid w:val="0"/>
                  <w:jc w:val="center"/>
                </w:pPr>
                <w:r>
                  <w:rPr>
                    <w:rFonts w:hint="eastAsia"/>
                  </w:rPr>
                  <w:t>46.37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992c24f1e02e446b8aefeb9054d25359"/>
                <w:id w:val="-25483610"/>
                <w:lock w:val="sdtLocked"/>
              </w:sdtPr>
              <w:sdtContent>
                <w:tc>
                  <w:tcPr>
                    <w:tcW w:w="1962" w:type="dxa"/>
                  </w:tcPr>
                  <w:p>
                    <w:pPr>
                      <w:kinsoku w:val="0"/>
                      <w:overflowPunct w:val="0"/>
                      <w:autoSpaceDE w:val="0"/>
                      <w:autoSpaceDN w:val="0"/>
                      <w:adjustRightInd w:val="0"/>
                      <w:snapToGrid w:val="0"/>
                    </w:pPr>
                    <w:r>
                      <w:rPr>
                        <w:rFonts w:hint="eastAsia"/>
                      </w:rPr>
                      <w:t>归属于上市公司股东的净利润</w:t>
                    </w:r>
                  </w:p>
                </w:tc>
              </w:sdtContent>
            </w:sdt>
            <w:tc>
              <w:tcPr>
                <w:tcW w:w="2001" w:type="dxa"/>
                <w:vAlign w:val="center"/>
              </w:tcPr>
              <w:p>
                <w:pPr>
                  <w:jc w:val="center"/>
                  <w:rPr>
                    <w:sz w:val="24"/>
                    <w:szCs w:val="24"/>
                  </w:rPr>
                </w:pPr>
                <w:r>
                  <w:rPr>
                    <w:rFonts w:hint="eastAsia"/>
                  </w:rPr>
                  <w:t>2,481,895,375.62</w:t>
                </w:r>
              </w:p>
            </w:tc>
            <w:tc>
              <w:tcPr>
                <w:tcW w:w="2001" w:type="dxa"/>
                <w:vAlign w:val="center"/>
              </w:tcPr>
              <w:p>
                <w:pPr>
                  <w:jc w:val="center"/>
                  <w:rPr>
                    <w:sz w:val="24"/>
                    <w:szCs w:val="24"/>
                  </w:rPr>
                </w:pPr>
                <w:r>
                  <w:rPr>
                    <w:rFonts w:hint="eastAsia"/>
                  </w:rPr>
                  <w:t>1,828,611,453.21</w:t>
                </w:r>
              </w:p>
            </w:tc>
            <w:tc>
              <w:tcPr>
                <w:tcW w:w="2001" w:type="dxa"/>
                <w:vAlign w:val="center"/>
              </w:tcPr>
              <w:p>
                <w:pPr>
                  <w:kinsoku w:val="0"/>
                  <w:overflowPunct w:val="0"/>
                  <w:autoSpaceDE w:val="0"/>
                  <w:autoSpaceDN w:val="0"/>
                  <w:adjustRightInd w:val="0"/>
                  <w:snapToGrid w:val="0"/>
                  <w:jc w:val="center"/>
                  <w:rPr>
                    <w:bCs/>
                  </w:rPr>
                </w:pPr>
                <w:r>
                  <w:rPr>
                    <w:rFonts w:hint="eastAsia"/>
                    <w:bCs/>
                  </w:rPr>
                  <w:t>1,748,339,678.13</w:t>
                </w:r>
              </w:p>
            </w:tc>
            <w:tc>
              <w:tcPr>
                <w:tcW w:w="1084" w:type="dxa"/>
                <w:vAlign w:val="center"/>
              </w:tcPr>
              <w:p>
                <w:pPr>
                  <w:kinsoku w:val="0"/>
                  <w:overflowPunct w:val="0"/>
                  <w:autoSpaceDE w:val="0"/>
                  <w:autoSpaceDN w:val="0"/>
                  <w:adjustRightInd w:val="0"/>
                  <w:snapToGrid w:val="0"/>
                  <w:jc w:val="center"/>
                </w:pPr>
                <w:r>
                  <w:rPr>
                    <w:rFonts w:hint="eastAsia"/>
                  </w:rPr>
                  <w:t>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5881cdcf54224948be30960900f28cf5"/>
                <w:id w:val="111861775"/>
                <w:lock w:val="sdtLocked"/>
              </w:sdtPr>
              <w:sdtContent>
                <w:tc>
                  <w:tcPr>
                    <w:tcW w:w="1962" w:type="dxa"/>
                  </w:tcPr>
                  <w:p>
                    <w:pPr>
                      <w:kinsoku w:val="0"/>
                      <w:overflowPunct w:val="0"/>
                      <w:autoSpaceDE w:val="0"/>
                      <w:autoSpaceDN w:val="0"/>
                      <w:adjustRightInd w:val="0"/>
                      <w:snapToGrid w:val="0"/>
                    </w:pPr>
                    <w:r>
                      <w:rPr>
                        <w:rFonts w:hint="eastAsia"/>
                      </w:rPr>
                      <w:t>归属于上市公司股东的扣除非经常性损益的净利润</w:t>
                    </w:r>
                  </w:p>
                </w:tc>
              </w:sdtContent>
            </w:sdt>
            <w:tc>
              <w:tcPr>
                <w:tcW w:w="2001" w:type="dxa"/>
                <w:vAlign w:val="center"/>
              </w:tcPr>
              <w:p>
                <w:pPr>
                  <w:jc w:val="center"/>
                  <w:rPr>
                    <w:sz w:val="24"/>
                    <w:szCs w:val="24"/>
                  </w:rPr>
                </w:pPr>
                <w:r>
                  <w:rPr>
                    <w:rFonts w:hint="eastAsia"/>
                  </w:rPr>
                  <w:t>2,348,162,479.70</w:t>
                </w:r>
              </w:p>
            </w:tc>
            <w:tc>
              <w:tcPr>
                <w:tcW w:w="2001" w:type="dxa"/>
                <w:vAlign w:val="center"/>
              </w:tcPr>
              <w:p>
                <w:pPr>
                  <w:jc w:val="center"/>
                  <w:rPr>
                    <w:sz w:val="24"/>
                    <w:szCs w:val="24"/>
                  </w:rPr>
                </w:pPr>
                <w:r>
                  <w:rPr>
                    <w:rFonts w:hint="eastAsia"/>
                  </w:rPr>
                  <w:t>1,691,952,952.90</w:t>
                </w:r>
              </w:p>
            </w:tc>
            <w:tc>
              <w:tcPr>
                <w:tcW w:w="2001" w:type="dxa"/>
                <w:vAlign w:val="center"/>
              </w:tcPr>
              <w:p>
                <w:pPr>
                  <w:kinsoku w:val="0"/>
                  <w:overflowPunct w:val="0"/>
                  <w:autoSpaceDE w:val="0"/>
                  <w:autoSpaceDN w:val="0"/>
                  <w:adjustRightInd w:val="0"/>
                  <w:snapToGrid w:val="0"/>
                  <w:jc w:val="center"/>
                  <w:rPr>
                    <w:bCs/>
                  </w:rPr>
                </w:pPr>
                <w:r>
                  <w:rPr>
                    <w:rFonts w:hint="eastAsia"/>
                    <w:bCs/>
                  </w:rPr>
                  <w:t>1,628,796,407.56</w:t>
                </w:r>
              </w:p>
            </w:tc>
            <w:tc>
              <w:tcPr>
                <w:tcW w:w="1084" w:type="dxa"/>
                <w:vAlign w:val="center"/>
              </w:tcPr>
              <w:p>
                <w:pPr>
                  <w:kinsoku w:val="0"/>
                  <w:overflowPunct w:val="0"/>
                  <w:autoSpaceDE w:val="0"/>
                  <w:autoSpaceDN w:val="0"/>
                  <w:adjustRightInd w:val="0"/>
                  <w:snapToGrid w:val="0"/>
                  <w:jc w:val="center"/>
                </w:pPr>
                <w:r>
                  <w:rPr>
                    <w:rFonts w:hint="eastAsia"/>
                  </w:rPr>
                  <w:t>38.78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dcc7a40166e74d48ae3a32c7262060e1"/>
                <w:id w:val="26533376"/>
                <w:lock w:val="sdtLocked"/>
              </w:sdtPr>
              <w:sdtContent>
                <w:tc>
                  <w:tcPr>
                    <w:tcW w:w="1962" w:type="dxa"/>
                  </w:tcPr>
                  <w:p>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2001" w:type="dxa"/>
                <w:vAlign w:val="center"/>
              </w:tcPr>
              <w:p>
                <w:pPr>
                  <w:jc w:val="center"/>
                  <w:rPr>
                    <w:sz w:val="24"/>
                    <w:szCs w:val="24"/>
                  </w:rPr>
                </w:pPr>
                <w:r>
                  <w:t>3,630,954,437.28</w:t>
                </w:r>
              </w:p>
            </w:tc>
            <w:tc>
              <w:tcPr>
                <w:tcW w:w="2001" w:type="dxa"/>
                <w:vAlign w:val="center"/>
              </w:tcPr>
              <w:p>
                <w:pPr>
                  <w:jc w:val="center"/>
                  <w:rPr>
                    <w:sz w:val="24"/>
                    <w:szCs w:val="24"/>
                  </w:rPr>
                </w:pPr>
                <w:r>
                  <w:rPr>
                    <w:rFonts w:hint="eastAsia"/>
                  </w:rPr>
                  <w:t>2,323,712,815.35</w:t>
                </w:r>
              </w:p>
            </w:tc>
            <w:tc>
              <w:tcPr>
                <w:tcW w:w="2001" w:type="dxa"/>
                <w:vAlign w:val="center"/>
              </w:tcPr>
              <w:p>
                <w:pPr>
                  <w:kinsoku w:val="0"/>
                  <w:overflowPunct w:val="0"/>
                  <w:autoSpaceDE w:val="0"/>
                  <w:autoSpaceDN w:val="0"/>
                  <w:adjustRightInd w:val="0"/>
                  <w:snapToGrid w:val="0"/>
                  <w:jc w:val="center"/>
                </w:pPr>
                <w:r>
                  <w:rPr>
                    <w:rFonts w:hint="eastAsia"/>
                  </w:rPr>
                  <w:t>2,168,829,015.43</w:t>
                </w:r>
              </w:p>
            </w:tc>
            <w:tc>
              <w:tcPr>
                <w:tcW w:w="1084" w:type="dxa"/>
                <w:vAlign w:val="center"/>
              </w:tcPr>
              <w:p>
                <w:pPr>
                  <w:kinsoku w:val="0"/>
                  <w:overflowPunct w:val="0"/>
                  <w:autoSpaceDE w:val="0"/>
                  <w:autoSpaceDN w:val="0"/>
                  <w:adjustRightInd w:val="0"/>
                  <w:snapToGrid w:val="0"/>
                  <w:jc w:val="center"/>
                </w:pPr>
                <w:r>
                  <w:rPr>
                    <w:rFonts w:hint="eastAsia"/>
                  </w:rPr>
                  <w:t>56.26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62" w:type="dxa"/>
                <w:vMerge w:val="restart"/>
                <w:vAlign w:val="center"/>
              </w:tcPr>
              <w:p>
                <w:pPr>
                  <w:kinsoku w:val="0"/>
                  <w:overflowPunct w:val="0"/>
                  <w:autoSpaceDE w:val="0"/>
                  <w:autoSpaceDN w:val="0"/>
                  <w:adjustRightInd w:val="0"/>
                  <w:snapToGrid w:val="0"/>
                  <w:jc w:val="center"/>
                </w:pPr>
              </w:p>
            </w:tc>
            <w:sdt>
              <w:sdtPr>
                <w:tag w:val="_PLD_c7b7068cbc2d423f9bca32e0ef1279a4"/>
                <w:id w:val="-22102727"/>
                <w:lock w:val="sdtLocked"/>
              </w:sdtPr>
              <w:sdtContent>
                <w:tc>
                  <w:tcPr>
                    <w:tcW w:w="2001" w:type="dxa"/>
                    <w:vMerge w:val="restart"/>
                    <w:vAlign w:val="center"/>
                  </w:tcPr>
                  <w:p>
                    <w:pPr>
                      <w:kinsoku w:val="0"/>
                      <w:overflowPunct w:val="0"/>
                      <w:autoSpaceDE w:val="0"/>
                      <w:autoSpaceDN w:val="0"/>
                      <w:adjustRightInd w:val="0"/>
                      <w:snapToGrid w:val="0"/>
                      <w:jc w:val="center"/>
                    </w:pPr>
                    <w:r>
                      <w:t>本报告期末</w:t>
                    </w:r>
                  </w:p>
                </w:tc>
              </w:sdtContent>
            </w:sdt>
            <w:sdt>
              <w:sdtPr>
                <w:tag w:val="_PLD_8051a782c26646bb91b35d3d6e9b3f15"/>
                <w:id w:val="-1882785954"/>
                <w:lock w:val="sdtLocked"/>
              </w:sdtPr>
              <w:sdtContent>
                <w:tc>
                  <w:tcPr>
                    <w:tcW w:w="4002" w:type="dxa"/>
                    <w:gridSpan w:val="2"/>
                    <w:vAlign w:val="center"/>
                  </w:tcPr>
                  <w:p>
                    <w:pPr>
                      <w:kinsoku w:val="0"/>
                      <w:overflowPunct w:val="0"/>
                      <w:autoSpaceDE w:val="0"/>
                      <w:autoSpaceDN w:val="0"/>
                      <w:adjustRightInd w:val="0"/>
                      <w:snapToGrid w:val="0"/>
                      <w:jc w:val="center"/>
                    </w:pPr>
                    <w:r>
                      <w:t>上年度末</w:t>
                    </w:r>
                  </w:p>
                </w:tc>
              </w:sdtContent>
            </w:sdt>
            <w:sdt>
              <w:sdtPr>
                <w:tag w:val="_PLD_8358d5c4e2fb4bba98618c7ec8bb3fc2"/>
                <w:id w:val="1236513791"/>
                <w:lock w:val="sdtLocked"/>
              </w:sdtPr>
              <w:sdtContent>
                <w:tc>
                  <w:tcPr>
                    <w:tcW w:w="1084" w:type="dxa"/>
                    <w:vMerge w:val="restart"/>
                    <w:vAlign w:val="center"/>
                  </w:tcPr>
                  <w:p>
                    <w:pPr>
                      <w:kinsoku w:val="0"/>
                      <w:overflowPunct w:val="0"/>
                      <w:autoSpaceDE w:val="0"/>
                      <w:autoSpaceDN w:val="0"/>
                      <w:adjustRightInd w:val="0"/>
                      <w:snapToGrid w:val="0"/>
                      <w:jc w:val="center"/>
                    </w:pPr>
                    <w:r>
                      <w:t>本报告期末比上年度末增减(%)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62" w:type="dxa"/>
                <w:vMerge w:val="continue"/>
              </w:tcPr>
              <w:p>
                <w:pPr>
                  <w:kinsoku w:val="0"/>
                  <w:overflowPunct w:val="0"/>
                  <w:autoSpaceDE w:val="0"/>
                  <w:autoSpaceDN w:val="0"/>
                  <w:adjustRightInd w:val="0"/>
                  <w:snapToGrid w:val="0"/>
                </w:pPr>
              </w:p>
            </w:tc>
            <w:tc>
              <w:tcPr>
                <w:tcW w:w="2001" w:type="dxa"/>
                <w:vMerge w:val="continue"/>
              </w:tcPr>
              <w:p>
                <w:pPr>
                  <w:kinsoku w:val="0"/>
                  <w:overflowPunct w:val="0"/>
                  <w:autoSpaceDE w:val="0"/>
                  <w:autoSpaceDN w:val="0"/>
                  <w:adjustRightInd w:val="0"/>
                  <w:snapToGrid w:val="0"/>
                </w:pPr>
              </w:p>
            </w:tc>
            <w:sdt>
              <w:sdtPr>
                <w:rPr>
                  <w:rFonts w:ascii="宋体" w:hAnsi="宋体" w:eastAsia="宋体"/>
                </w:rPr>
                <w:tag w:val="_PLD_afd37870086f47d9b2dbc63bd02cb0d5"/>
                <w:id w:val="-1634858477"/>
                <w:lock w:val="sdtLocked"/>
              </w:sdtPr>
              <w:sdtEndPr>
                <w:rPr>
                  <w:rFonts w:ascii="宋体" w:hAnsi="宋体" w:eastAsia="宋体"/>
                </w:rPr>
              </w:sdtEndPr>
              <w:sdtContent>
                <w:tc>
                  <w:tcPr>
                    <w:tcW w:w="2001" w:type="dxa"/>
                    <w:vAlign w:val="center"/>
                  </w:tcPr>
                  <w:p>
                    <w:pPr>
                      <w:pStyle w:val="54"/>
                      <w:kinsoku w:val="0"/>
                      <w:overflowPunct w:val="0"/>
                      <w:autoSpaceDE w:val="0"/>
                      <w:autoSpaceDN w:val="0"/>
                      <w:adjustRightInd w:val="0"/>
                      <w:snapToGrid w:val="0"/>
                      <w:spacing w:before="0" w:after="0"/>
                      <w:jc w:val="center"/>
                      <w:rPr>
                        <w:rFonts w:ascii="宋体" w:hAnsi="宋体" w:eastAsia="宋体"/>
                        <w:kern w:val="2"/>
                        <w:sz w:val="21"/>
                        <w:szCs w:val="21"/>
                      </w:rPr>
                    </w:pPr>
                    <w:r>
                      <w:rPr>
                        <w:rFonts w:hint="eastAsia" w:ascii="宋体" w:hAnsi="宋体" w:eastAsia="宋体"/>
                        <w:sz w:val="21"/>
                        <w:szCs w:val="21"/>
                      </w:rPr>
                      <w:t>调整后</w:t>
                    </w:r>
                  </w:p>
                </w:tc>
              </w:sdtContent>
            </w:sdt>
            <w:sdt>
              <w:sdtPr>
                <w:tag w:val="_PLD_5ac02f67d8c64007ab312248cec82d6d"/>
                <w:id w:val="-930200381"/>
                <w:lock w:val="sdtLocked"/>
              </w:sdtPr>
              <w:sdtContent>
                <w:tc>
                  <w:tcPr>
                    <w:tcW w:w="2001" w:type="dxa"/>
                    <w:vAlign w:val="center"/>
                  </w:tcPr>
                  <w:p>
                    <w:pPr>
                      <w:kinsoku w:val="0"/>
                      <w:overflowPunct w:val="0"/>
                      <w:autoSpaceDE w:val="0"/>
                      <w:autoSpaceDN w:val="0"/>
                      <w:adjustRightInd w:val="0"/>
                      <w:snapToGrid w:val="0"/>
                      <w:jc w:val="center"/>
                    </w:pPr>
                    <w:r>
                      <w:rPr>
                        <w:rFonts w:hint="eastAsia"/>
                      </w:rPr>
                      <w:t>调整前</w:t>
                    </w:r>
                  </w:p>
                </w:tc>
              </w:sdtContent>
            </w:sdt>
            <w:tc>
              <w:tcPr>
                <w:tcW w:w="1084" w:type="dxa"/>
                <w:vMerge w:val="continue"/>
                <w:vAlign w:val="center"/>
              </w:tcPr>
              <w:p>
                <w:pPr>
                  <w:kinsoku w:val="0"/>
                  <w:overflowPunct w:val="0"/>
                  <w:autoSpaceDE w:val="0"/>
                  <w:autoSpaceDN w:val="0"/>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649c619a12754e7e88c2829af2557897"/>
                <w:id w:val="1263182765"/>
                <w:lock w:val="sdtLocked"/>
              </w:sdtPr>
              <w:sdtContent>
                <w:tc>
                  <w:tcPr>
                    <w:tcW w:w="1962" w:type="dxa"/>
                  </w:tcPr>
                  <w:p>
                    <w:pPr>
                      <w:kinsoku w:val="0"/>
                      <w:overflowPunct w:val="0"/>
                      <w:autoSpaceDE w:val="0"/>
                      <w:autoSpaceDN w:val="0"/>
                      <w:adjustRightInd w:val="0"/>
                      <w:snapToGrid w:val="0"/>
                    </w:pPr>
                    <w:r>
                      <w:rPr>
                        <w:rFonts w:hint="eastAsia"/>
                      </w:rPr>
                      <w:t>归属于上市公司股东的净资产</w:t>
                    </w:r>
                  </w:p>
                </w:tc>
              </w:sdtContent>
            </w:sdt>
            <w:tc>
              <w:tcPr>
                <w:tcW w:w="2001" w:type="dxa"/>
                <w:vAlign w:val="center"/>
              </w:tcPr>
              <w:p>
                <w:pPr>
                  <w:rPr>
                    <w:sz w:val="24"/>
                    <w:szCs w:val="24"/>
                  </w:rPr>
                </w:pPr>
                <w:r>
                  <w:rPr>
                    <w:rFonts w:hint="eastAsia"/>
                  </w:rPr>
                  <w:t>32,209,573,562.07</w:t>
                </w:r>
              </w:p>
            </w:tc>
            <w:tc>
              <w:tcPr>
                <w:tcW w:w="2001" w:type="dxa"/>
                <w:vAlign w:val="center"/>
              </w:tcPr>
              <w:p>
                <w:pPr>
                  <w:rPr>
                    <w:sz w:val="24"/>
                    <w:szCs w:val="24"/>
                  </w:rPr>
                </w:pPr>
                <w:r>
                  <w:rPr>
                    <w:rFonts w:hint="eastAsia"/>
                  </w:rPr>
                  <w:t>31,940,807,710.11</w:t>
                </w:r>
              </w:p>
            </w:tc>
            <w:tc>
              <w:tcPr>
                <w:tcW w:w="2001" w:type="dxa"/>
                <w:vAlign w:val="center"/>
              </w:tcPr>
              <w:p>
                <w:pPr>
                  <w:kinsoku w:val="0"/>
                  <w:overflowPunct w:val="0"/>
                  <w:autoSpaceDE w:val="0"/>
                  <w:autoSpaceDN w:val="0"/>
                  <w:adjustRightInd w:val="0"/>
                  <w:snapToGrid w:val="0"/>
                  <w:jc w:val="right"/>
                  <w:rPr>
                    <w:bCs/>
                  </w:rPr>
                </w:pPr>
                <w:r>
                  <w:rPr>
                    <w:rFonts w:hint="eastAsia"/>
                    <w:bCs/>
                  </w:rPr>
                  <w:t>31,940,807,710.11</w:t>
                </w:r>
              </w:p>
            </w:tc>
            <w:tc>
              <w:tcPr>
                <w:tcW w:w="1084" w:type="dxa"/>
                <w:vAlign w:val="center"/>
              </w:tcPr>
              <w:p>
                <w:pPr>
                  <w:kinsoku w:val="0"/>
                  <w:overflowPunct w:val="0"/>
                  <w:autoSpaceDE w:val="0"/>
                  <w:autoSpaceDN w:val="0"/>
                  <w:adjustRightInd w:val="0"/>
                  <w:snapToGrid w:val="0"/>
                  <w:jc w:val="right"/>
                </w:pPr>
                <w:r>
                  <w:rPr>
                    <w:rFonts w:hint="eastAsia"/>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8fe1d1223da1450492e298a0b1a56014"/>
                <w:id w:val="-2075271036"/>
                <w:lock w:val="sdtLocked"/>
              </w:sdtPr>
              <w:sdtContent>
                <w:tc>
                  <w:tcPr>
                    <w:tcW w:w="1962" w:type="dxa"/>
                  </w:tcPr>
                  <w:p>
                    <w:pPr>
                      <w:kinsoku w:val="0"/>
                      <w:overflowPunct w:val="0"/>
                      <w:autoSpaceDE w:val="0"/>
                      <w:autoSpaceDN w:val="0"/>
                      <w:adjustRightInd w:val="0"/>
                      <w:snapToGrid w:val="0"/>
                    </w:pPr>
                    <w:r>
                      <w:rPr>
                        <w:rFonts w:hint="eastAsia"/>
                      </w:rPr>
                      <w:t>总资产</w:t>
                    </w:r>
                  </w:p>
                </w:tc>
              </w:sdtContent>
            </w:sdt>
            <w:tc>
              <w:tcPr>
                <w:tcW w:w="2001" w:type="dxa"/>
                <w:vAlign w:val="center"/>
              </w:tcPr>
              <w:p>
                <w:pPr>
                  <w:rPr>
                    <w:sz w:val="24"/>
                    <w:szCs w:val="24"/>
                  </w:rPr>
                </w:pPr>
                <w:r>
                  <w:t>79,787,685,491.3</w:t>
                </w:r>
                <w:r>
                  <w:rPr>
                    <w:rFonts w:hint="eastAsia"/>
                  </w:rPr>
                  <w:t>4</w:t>
                </w:r>
              </w:p>
            </w:tc>
            <w:tc>
              <w:tcPr>
                <w:tcW w:w="2001" w:type="dxa"/>
                <w:vAlign w:val="center"/>
              </w:tcPr>
              <w:p>
                <w:pPr>
                  <w:rPr>
                    <w:sz w:val="24"/>
                    <w:szCs w:val="24"/>
                  </w:rPr>
                </w:pPr>
                <w:r>
                  <w:rPr>
                    <w:rFonts w:hint="eastAsia"/>
                  </w:rPr>
                  <w:t>78,458,345,074.07</w:t>
                </w:r>
              </w:p>
            </w:tc>
            <w:tc>
              <w:tcPr>
                <w:tcW w:w="2001" w:type="dxa"/>
              </w:tcPr>
              <w:p>
                <w:pPr>
                  <w:kinsoku w:val="0"/>
                  <w:overflowPunct w:val="0"/>
                  <w:autoSpaceDE w:val="0"/>
                  <w:autoSpaceDN w:val="0"/>
                  <w:adjustRightInd w:val="0"/>
                  <w:snapToGrid w:val="0"/>
                  <w:jc w:val="right"/>
                  <w:rPr>
                    <w:bCs/>
                  </w:rPr>
                </w:pPr>
                <w:r>
                  <w:rPr>
                    <w:rFonts w:hint="eastAsia"/>
                    <w:bCs/>
                  </w:rPr>
                  <w:t>78,458,345,074.07</w:t>
                </w:r>
              </w:p>
            </w:tc>
            <w:tc>
              <w:tcPr>
                <w:tcW w:w="1084" w:type="dxa"/>
              </w:tcPr>
              <w:p>
                <w:pPr>
                  <w:kinsoku w:val="0"/>
                  <w:overflowPunct w:val="0"/>
                  <w:autoSpaceDE w:val="0"/>
                  <w:autoSpaceDN w:val="0"/>
                  <w:adjustRightInd w:val="0"/>
                  <w:snapToGrid w:val="0"/>
                  <w:jc w:val="right"/>
                </w:pPr>
                <w:r>
                  <w:rPr>
                    <w:rFonts w:hint="eastAsia"/>
                  </w:rPr>
                  <w:t>1.69</w:t>
                </w:r>
              </w:p>
            </w:tc>
          </w:tr>
        </w:tbl>
        <w:p>
          <w:pPr>
            <w:pStyle w:val="114"/>
          </w:pPr>
        </w:p>
      </w:sdtContent>
    </w:sdt>
    <w:p>
      <w:pPr>
        <w:pStyle w:val="4"/>
        <w:numPr>
          <w:ilvl w:val="1"/>
          <w:numId w:val="4"/>
        </w:numPr>
        <w:rPr>
          <w:rFonts w:ascii="宋体" w:hAnsi="宋体"/>
          <w:szCs w:val="21"/>
        </w:rPr>
      </w:pPr>
      <w:r>
        <w:rPr>
          <w:rFonts w:ascii="宋体" w:hAnsi="宋体"/>
        </w:rPr>
        <w:t>主要财务指标</w:t>
      </w:r>
    </w:p>
    <w:bookmarkEnd w:id="15"/>
    <w:sdt>
      <w:sdtPr>
        <w:tag w:val="_GBC_f2e015828f0e4c85978a15defdf078a0"/>
        <w:id w:val="-1096864348"/>
        <w:lock w:val="sdtLocked"/>
        <w:placeholder>
          <w:docPart w:val="GBC22222222222222222222222222222"/>
        </w:placeholder>
      </w:sdtPr>
      <w:sdtContent>
        <w:tbl>
          <w:tblPr>
            <w:tblStyle w:val="4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1377"/>
            <w:gridCol w:w="1318"/>
            <w:gridCol w:w="1333"/>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397" w:type="dxa"/>
                <w:vMerge w:val="restart"/>
                <w:vAlign w:val="center"/>
              </w:tcPr>
              <w:p>
                <w:pPr>
                  <w:kinsoku w:val="0"/>
                  <w:overflowPunct w:val="0"/>
                  <w:autoSpaceDE w:val="0"/>
                  <w:autoSpaceDN w:val="0"/>
                  <w:adjustRightInd w:val="0"/>
                  <w:snapToGrid w:val="0"/>
                  <w:jc w:val="center"/>
                </w:pPr>
                <w:sdt>
                  <w:sdtPr>
                    <w:tag w:val="_PLD_6d7b3bceaaf34a96ba27ea0ea25e3754"/>
                    <w:id w:val="-58246867"/>
                    <w:lock w:val="sdtLocked"/>
                  </w:sdtPr>
                  <w:sdtContent>
                    <w:r>
                      <w:t>主要财务指标</w:t>
                    </w:r>
                  </w:sdtContent>
                </w:sdt>
              </w:p>
            </w:tc>
            <w:sdt>
              <w:sdtPr>
                <w:tag w:val="_PLD_6cbdd89f333d439db5e4664ea2fa7505"/>
                <w:id w:val="-1282790520"/>
                <w:lock w:val="sdtLocked"/>
              </w:sdtPr>
              <w:sdtContent>
                <w:tc>
                  <w:tcPr>
                    <w:tcW w:w="1377" w:type="dxa"/>
                    <w:vMerge w:val="restart"/>
                    <w:vAlign w:val="center"/>
                  </w:tcPr>
                  <w:p>
                    <w:pPr>
                      <w:kinsoku w:val="0"/>
                      <w:overflowPunct w:val="0"/>
                      <w:autoSpaceDE w:val="0"/>
                      <w:autoSpaceDN w:val="0"/>
                      <w:adjustRightInd w:val="0"/>
                      <w:snapToGrid w:val="0"/>
                      <w:jc w:val="center"/>
                    </w:pPr>
                    <w:r>
                      <w:t>本报告期</w:t>
                    </w:r>
                  </w:p>
                  <w:p>
                    <w:pPr>
                      <w:kinsoku w:val="0"/>
                      <w:overflowPunct w:val="0"/>
                      <w:autoSpaceDE w:val="0"/>
                      <w:autoSpaceDN w:val="0"/>
                      <w:adjustRightInd w:val="0"/>
                      <w:snapToGrid w:val="0"/>
                      <w:jc w:val="center"/>
                    </w:pPr>
                    <w:r>
                      <w:t>（1－6月）</w:t>
                    </w:r>
                  </w:p>
                </w:tc>
              </w:sdtContent>
            </w:sdt>
            <w:sdt>
              <w:sdtPr>
                <w:tag w:val="_PLD_e1230dd33a1d4fd998be9bc3948d5d04"/>
                <w:id w:val="1614085245"/>
                <w:lock w:val="sdtLocked"/>
              </w:sdtPr>
              <w:sdtContent>
                <w:tc>
                  <w:tcPr>
                    <w:tcW w:w="2651" w:type="dxa"/>
                    <w:gridSpan w:val="2"/>
                    <w:vAlign w:val="center"/>
                  </w:tcPr>
                  <w:p>
                    <w:pPr>
                      <w:kinsoku w:val="0"/>
                      <w:overflowPunct w:val="0"/>
                      <w:autoSpaceDE w:val="0"/>
                      <w:autoSpaceDN w:val="0"/>
                      <w:adjustRightInd w:val="0"/>
                      <w:snapToGrid w:val="0"/>
                      <w:jc w:val="center"/>
                    </w:pPr>
                    <w:r>
                      <w:t>上年同期</w:t>
                    </w:r>
                  </w:p>
                </w:tc>
              </w:sdtContent>
            </w:sdt>
            <w:sdt>
              <w:sdtPr>
                <w:tag w:val="_PLD_aabe4942f79647c28adb31e2e1670f48"/>
                <w:id w:val="-1407603071"/>
                <w:lock w:val="sdtLocked"/>
              </w:sdtPr>
              <w:sdtContent>
                <w:tc>
                  <w:tcPr>
                    <w:tcW w:w="1398" w:type="dxa"/>
                    <w:vMerge w:val="restart"/>
                    <w:vAlign w:val="center"/>
                  </w:tcPr>
                  <w:p>
                    <w:pPr>
                      <w:kinsoku w:val="0"/>
                      <w:overflowPunct w:val="0"/>
                      <w:autoSpaceDE w:val="0"/>
                      <w:autoSpaceDN w:val="0"/>
                      <w:adjustRightInd w:val="0"/>
                      <w:snapToGrid w:val="0"/>
                      <w:jc w:val="center"/>
                    </w:pPr>
                    <w:r>
                      <w:t>本报告期比上年同期增减(%)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vMerge w:val="continue"/>
              </w:tcPr>
              <w:p>
                <w:pPr>
                  <w:kinsoku w:val="0"/>
                  <w:overflowPunct w:val="0"/>
                  <w:autoSpaceDE w:val="0"/>
                  <w:autoSpaceDN w:val="0"/>
                  <w:adjustRightInd w:val="0"/>
                  <w:snapToGrid w:val="0"/>
                </w:pPr>
              </w:p>
            </w:tc>
            <w:tc>
              <w:tcPr>
                <w:tcW w:w="1377" w:type="dxa"/>
                <w:vMerge w:val="continue"/>
              </w:tcPr>
              <w:p>
                <w:pPr>
                  <w:kinsoku w:val="0"/>
                  <w:overflowPunct w:val="0"/>
                  <w:autoSpaceDE w:val="0"/>
                  <w:autoSpaceDN w:val="0"/>
                  <w:adjustRightInd w:val="0"/>
                  <w:snapToGrid w:val="0"/>
                </w:pPr>
              </w:p>
            </w:tc>
            <w:sdt>
              <w:sdtPr>
                <w:tag w:val="_PLD_402d0455fb6c423a9b6175ae7803ccd9"/>
                <w:id w:val="-254903656"/>
                <w:lock w:val="sdtLocked"/>
              </w:sdtPr>
              <w:sdtContent>
                <w:tc>
                  <w:tcPr>
                    <w:tcW w:w="1318" w:type="dxa"/>
                    <w:vAlign w:val="center"/>
                  </w:tcPr>
                  <w:p>
                    <w:pPr>
                      <w:kinsoku w:val="0"/>
                      <w:overflowPunct w:val="0"/>
                      <w:autoSpaceDE w:val="0"/>
                      <w:autoSpaceDN w:val="0"/>
                      <w:adjustRightInd w:val="0"/>
                      <w:snapToGrid w:val="0"/>
                      <w:jc w:val="center"/>
                    </w:pPr>
                    <w:r>
                      <w:t>调整后</w:t>
                    </w:r>
                  </w:p>
                </w:tc>
              </w:sdtContent>
            </w:sdt>
            <w:sdt>
              <w:sdtPr>
                <w:tag w:val="_PLD_6bfef4b21a324688ae42fb4419ff855c"/>
                <w:id w:val="1843667796"/>
                <w:lock w:val="sdtLocked"/>
              </w:sdtPr>
              <w:sdtContent>
                <w:tc>
                  <w:tcPr>
                    <w:tcW w:w="1333" w:type="dxa"/>
                    <w:vAlign w:val="center"/>
                  </w:tcPr>
                  <w:p>
                    <w:pPr>
                      <w:kinsoku w:val="0"/>
                      <w:overflowPunct w:val="0"/>
                      <w:autoSpaceDE w:val="0"/>
                      <w:autoSpaceDN w:val="0"/>
                      <w:adjustRightInd w:val="0"/>
                      <w:snapToGrid w:val="0"/>
                      <w:jc w:val="center"/>
                    </w:pPr>
                    <w:r>
                      <w:t>调整</w:t>
                    </w:r>
                    <w:r>
                      <w:rPr>
                        <w:rFonts w:hint="eastAsia"/>
                      </w:rPr>
                      <w:t>前</w:t>
                    </w:r>
                  </w:p>
                </w:tc>
              </w:sdtContent>
            </w:sdt>
            <w:tc>
              <w:tcPr>
                <w:tcW w:w="1398" w:type="dxa"/>
                <w:vMerge w:val="continue"/>
              </w:tcPr>
              <w:p>
                <w:pPr>
                  <w:kinsoku w:val="0"/>
                  <w:overflowPunct w:val="0"/>
                  <w:autoSpaceDE w:val="0"/>
                  <w:autoSpaceDN w:val="0"/>
                  <w:adjustRightInd w:val="0"/>
                  <w:snapToGrid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2a9a64fe9c042fcaad92acda96451ea"/>
                <w:id w:val="-1942753325"/>
                <w:lock w:val="sdtLocked"/>
              </w:sdtPr>
              <w:sdtContent>
                <w:tc>
                  <w:tcPr>
                    <w:tcW w:w="3397" w:type="dxa"/>
                  </w:tcPr>
                  <w:p>
                    <w:pPr>
                      <w:kinsoku w:val="0"/>
                      <w:overflowPunct w:val="0"/>
                      <w:autoSpaceDE w:val="0"/>
                      <w:autoSpaceDN w:val="0"/>
                      <w:adjustRightInd w:val="0"/>
                      <w:snapToGrid w:val="0"/>
                    </w:pPr>
                    <w:r>
                      <w:t>基本每股收益（元／股）</w:t>
                    </w:r>
                  </w:p>
                </w:tc>
              </w:sdtContent>
            </w:sdt>
            <w:tc>
              <w:tcPr>
                <w:tcW w:w="1377" w:type="dxa"/>
                <w:vAlign w:val="center"/>
              </w:tcPr>
              <w:p>
                <w:pPr>
                  <w:jc w:val="right"/>
                  <w:rPr>
                    <w:sz w:val="24"/>
                    <w:szCs w:val="24"/>
                  </w:rPr>
                </w:pPr>
                <w:r>
                  <w:rPr>
                    <w:rFonts w:hint="eastAsia"/>
                  </w:rPr>
                  <w:t>0.4927</w:t>
                </w:r>
              </w:p>
            </w:tc>
            <w:tc>
              <w:tcPr>
                <w:tcW w:w="1318" w:type="dxa"/>
                <w:vAlign w:val="center"/>
              </w:tcPr>
              <w:p>
                <w:pPr>
                  <w:jc w:val="right"/>
                  <w:rPr>
                    <w:sz w:val="24"/>
                    <w:szCs w:val="24"/>
                  </w:rPr>
                </w:pPr>
                <w:r>
                  <w:rPr>
                    <w:rFonts w:hint="eastAsia"/>
                  </w:rPr>
                  <w:t>0.3630</w:t>
                </w:r>
              </w:p>
            </w:tc>
            <w:tc>
              <w:tcPr>
                <w:tcW w:w="1333" w:type="dxa"/>
                <w:vAlign w:val="center"/>
              </w:tcPr>
              <w:p>
                <w:pPr>
                  <w:jc w:val="right"/>
                  <w:rPr>
                    <w:sz w:val="24"/>
                    <w:szCs w:val="24"/>
                  </w:rPr>
                </w:pPr>
                <w:r>
                  <w:rPr>
                    <w:rFonts w:hint="eastAsia"/>
                  </w:rPr>
                  <w:t>0.3470</w:t>
                </w:r>
              </w:p>
            </w:tc>
            <w:tc>
              <w:tcPr>
                <w:tcW w:w="1398" w:type="dxa"/>
                <w:vAlign w:val="center"/>
              </w:tcPr>
              <w:p>
                <w:pPr>
                  <w:kinsoku w:val="0"/>
                  <w:overflowPunct w:val="0"/>
                  <w:autoSpaceDE w:val="0"/>
                  <w:autoSpaceDN w:val="0"/>
                  <w:adjustRightInd w:val="0"/>
                  <w:snapToGrid w:val="0"/>
                  <w:jc w:val="right"/>
                </w:pPr>
                <w:r>
                  <w:rPr>
                    <w:rFonts w:hint="eastAsia"/>
                  </w:rPr>
                  <w:t>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c6b8202d696467bb8dec8c0454e4bc6"/>
                <w:id w:val="-424723494"/>
                <w:lock w:val="sdtLocked"/>
              </w:sdtPr>
              <w:sdtContent>
                <w:tc>
                  <w:tcPr>
                    <w:tcW w:w="3397" w:type="dxa"/>
                  </w:tcPr>
                  <w:p>
                    <w:pPr>
                      <w:kinsoku w:val="0"/>
                      <w:overflowPunct w:val="0"/>
                      <w:autoSpaceDE w:val="0"/>
                      <w:autoSpaceDN w:val="0"/>
                      <w:adjustRightInd w:val="0"/>
                      <w:snapToGrid w:val="0"/>
                    </w:pPr>
                    <w:r>
                      <w:t>稀释每股收益（元／股）</w:t>
                    </w:r>
                  </w:p>
                </w:tc>
              </w:sdtContent>
            </w:sdt>
            <w:tc>
              <w:tcPr>
                <w:tcW w:w="1377" w:type="dxa"/>
                <w:vAlign w:val="center"/>
              </w:tcPr>
              <w:p>
                <w:pPr>
                  <w:jc w:val="right"/>
                  <w:rPr>
                    <w:sz w:val="24"/>
                    <w:szCs w:val="24"/>
                  </w:rPr>
                </w:pPr>
                <w:r>
                  <w:rPr>
                    <w:rFonts w:hint="eastAsia"/>
                  </w:rPr>
                  <w:t>0.4927</w:t>
                </w:r>
              </w:p>
            </w:tc>
            <w:tc>
              <w:tcPr>
                <w:tcW w:w="1318" w:type="dxa"/>
                <w:vAlign w:val="center"/>
              </w:tcPr>
              <w:p>
                <w:pPr>
                  <w:jc w:val="right"/>
                  <w:rPr>
                    <w:sz w:val="24"/>
                    <w:szCs w:val="24"/>
                  </w:rPr>
                </w:pPr>
                <w:r>
                  <w:rPr>
                    <w:rFonts w:hint="eastAsia"/>
                  </w:rPr>
                  <w:t>0.3630</w:t>
                </w:r>
              </w:p>
            </w:tc>
            <w:tc>
              <w:tcPr>
                <w:tcW w:w="1333" w:type="dxa"/>
                <w:vAlign w:val="center"/>
              </w:tcPr>
              <w:p>
                <w:pPr>
                  <w:jc w:val="right"/>
                  <w:rPr>
                    <w:sz w:val="24"/>
                    <w:szCs w:val="24"/>
                  </w:rPr>
                </w:pPr>
                <w:r>
                  <w:rPr>
                    <w:rFonts w:hint="eastAsia"/>
                  </w:rPr>
                  <w:t>0.3470</w:t>
                </w:r>
              </w:p>
            </w:tc>
            <w:tc>
              <w:tcPr>
                <w:tcW w:w="1398" w:type="dxa"/>
                <w:vAlign w:val="center"/>
              </w:tcPr>
              <w:p>
                <w:pPr>
                  <w:kinsoku w:val="0"/>
                  <w:overflowPunct w:val="0"/>
                  <w:autoSpaceDE w:val="0"/>
                  <w:autoSpaceDN w:val="0"/>
                  <w:adjustRightInd w:val="0"/>
                  <w:snapToGrid w:val="0"/>
                  <w:jc w:val="right"/>
                </w:pPr>
                <w:r>
                  <w:rPr>
                    <w:rFonts w:hint="eastAsia"/>
                  </w:rPr>
                  <w:t>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fb315b9a9094f35b16230c45756d137"/>
                <w:id w:val="2083636091"/>
                <w:lock w:val="sdtLocked"/>
              </w:sdtPr>
              <w:sdtContent>
                <w:tc>
                  <w:tcPr>
                    <w:tcW w:w="3397" w:type="dxa"/>
                  </w:tcPr>
                  <w:p>
                    <w:pPr>
                      <w:kinsoku w:val="0"/>
                      <w:overflowPunct w:val="0"/>
                      <w:autoSpaceDE w:val="0"/>
                      <w:autoSpaceDN w:val="0"/>
                      <w:adjustRightInd w:val="0"/>
                      <w:snapToGrid w:val="0"/>
                    </w:pPr>
                    <w:r>
                      <w:t>扣除非经常性损益后的基本每股收益（元／股）</w:t>
                    </w:r>
                  </w:p>
                </w:tc>
              </w:sdtContent>
            </w:sdt>
            <w:tc>
              <w:tcPr>
                <w:tcW w:w="1377" w:type="dxa"/>
                <w:vAlign w:val="center"/>
              </w:tcPr>
              <w:p>
                <w:pPr>
                  <w:jc w:val="right"/>
                  <w:rPr>
                    <w:sz w:val="24"/>
                    <w:szCs w:val="24"/>
                  </w:rPr>
                </w:pPr>
                <w:r>
                  <w:rPr>
                    <w:rFonts w:hint="eastAsia"/>
                  </w:rPr>
                  <w:t>0.4661</w:t>
                </w:r>
              </w:p>
            </w:tc>
            <w:tc>
              <w:tcPr>
                <w:tcW w:w="1318" w:type="dxa"/>
                <w:vAlign w:val="center"/>
              </w:tcPr>
              <w:p>
                <w:pPr>
                  <w:jc w:val="right"/>
                  <w:rPr>
                    <w:sz w:val="24"/>
                    <w:szCs w:val="24"/>
                  </w:rPr>
                </w:pPr>
                <w:r>
                  <w:rPr>
                    <w:rFonts w:hint="eastAsia"/>
                  </w:rPr>
                  <w:t>0.3359</w:t>
                </w:r>
              </w:p>
            </w:tc>
            <w:tc>
              <w:tcPr>
                <w:tcW w:w="1333" w:type="dxa"/>
                <w:vAlign w:val="center"/>
              </w:tcPr>
              <w:p>
                <w:pPr>
                  <w:jc w:val="right"/>
                  <w:rPr>
                    <w:sz w:val="24"/>
                    <w:szCs w:val="24"/>
                  </w:rPr>
                </w:pPr>
                <w:r>
                  <w:rPr>
                    <w:rFonts w:hint="eastAsia"/>
                  </w:rPr>
                  <w:t>0.3233</w:t>
                </w:r>
              </w:p>
            </w:tc>
            <w:tc>
              <w:tcPr>
                <w:tcW w:w="1398" w:type="dxa"/>
                <w:vAlign w:val="center"/>
              </w:tcPr>
              <w:p>
                <w:pPr>
                  <w:kinsoku w:val="0"/>
                  <w:overflowPunct w:val="0"/>
                  <w:autoSpaceDE w:val="0"/>
                  <w:autoSpaceDN w:val="0"/>
                  <w:adjustRightInd w:val="0"/>
                  <w:snapToGrid w:val="0"/>
                  <w:jc w:val="right"/>
                </w:pPr>
                <w:r>
                  <w:rPr>
                    <w:rFonts w:hint="eastAsia"/>
                  </w:rPr>
                  <w:t>38.76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18a1757a4d246178676bae5be46a7cc"/>
                <w:id w:val="-1673948156"/>
                <w:lock w:val="sdtLocked"/>
              </w:sdtPr>
              <w:sdtContent>
                <w:tc>
                  <w:tcPr>
                    <w:tcW w:w="3397" w:type="dxa"/>
                  </w:tcPr>
                  <w:p>
                    <w:pPr>
                      <w:kinsoku w:val="0"/>
                      <w:overflowPunct w:val="0"/>
                      <w:autoSpaceDE w:val="0"/>
                      <w:autoSpaceDN w:val="0"/>
                      <w:adjustRightInd w:val="0"/>
                      <w:snapToGrid w:val="0"/>
                    </w:pPr>
                    <w:r>
                      <w:t>加权平均净资产收益率（%）</w:t>
                    </w:r>
                  </w:p>
                </w:tc>
              </w:sdtContent>
            </w:sdt>
            <w:tc>
              <w:tcPr>
                <w:tcW w:w="1377" w:type="dxa"/>
                <w:vAlign w:val="center"/>
              </w:tcPr>
              <w:p>
                <w:pPr>
                  <w:kinsoku w:val="0"/>
                  <w:overflowPunct w:val="0"/>
                  <w:autoSpaceDE w:val="0"/>
                  <w:autoSpaceDN w:val="0"/>
                  <w:adjustRightInd w:val="0"/>
                  <w:snapToGrid w:val="0"/>
                  <w:jc w:val="right"/>
                </w:pPr>
                <w:r>
                  <w:rPr>
                    <w:rFonts w:hint="eastAsia"/>
                  </w:rPr>
                  <w:t>7.47</w:t>
                </w:r>
              </w:p>
            </w:tc>
            <w:tc>
              <w:tcPr>
                <w:tcW w:w="1318" w:type="dxa"/>
                <w:vAlign w:val="center"/>
              </w:tcPr>
              <w:p>
                <w:pPr>
                  <w:kinsoku w:val="0"/>
                  <w:overflowPunct w:val="0"/>
                  <w:autoSpaceDE w:val="0"/>
                  <w:autoSpaceDN w:val="0"/>
                  <w:adjustRightInd w:val="0"/>
                  <w:snapToGrid w:val="0"/>
                  <w:jc w:val="right"/>
                </w:pPr>
                <w:r>
                  <w:rPr>
                    <w:rFonts w:hint="eastAsia"/>
                  </w:rPr>
                  <w:t>5.49</w:t>
                </w:r>
              </w:p>
            </w:tc>
            <w:tc>
              <w:tcPr>
                <w:tcW w:w="1333" w:type="dxa"/>
                <w:vAlign w:val="center"/>
              </w:tcPr>
              <w:p>
                <w:pPr>
                  <w:jc w:val="right"/>
                  <w:rPr>
                    <w:sz w:val="24"/>
                    <w:szCs w:val="24"/>
                  </w:rPr>
                </w:pPr>
                <w:r>
                  <w:rPr>
                    <w:rFonts w:hint="eastAsia"/>
                  </w:rPr>
                  <w:t>5.55</w:t>
                </w:r>
              </w:p>
            </w:tc>
            <w:tc>
              <w:tcPr>
                <w:tcW w:w="1398" w:type="dxa"/>
                <w:vAlign w:val="center"/>
              </w:tcPr>
              <w:p>
                <w:pPr>
                  <w:kinsoku w:val="0"/>
                  <w:overflowPunct w:val="0"/>
                  <w:autoSpaceDE w:val="0"/>
                  <w:autoSpaceDN w:val="0"/>
                  <w:adjustRightInd w:val="0"/>
                  <w:snapToGrid w:val="0"/>
                  <w:jc w:val="right"/>
                </w:pPr>
                <w:r>
                  <w:rPr>
                    <w:rFonts w:hint="eastAsia"/>
                  </w:rPr>
                  <w:t>增加</w:t>
                </w:r>
                <w:r>
                  <w:t>1.98个百分点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9e03256cb984f7683140d10985296fd"/>
                <w:id w:val="-1306770534"/>
                <w:lock w:val="sdtLocked"/>
              </w:sdtPr>
              <w:sdtContent>
                <w:tc>
                  <w:tcPr>
                    <w:tcW w:w="3397" w:type="dxa"/>
                  </w:tcPr>
                  <w:p>
                    <w:pPr>
                      <w:kinsoku w:val="0"/>
                      <w:overflowPunct w:val="0"/>
                      <w:autoSpaceDE w:val="0"/>
                      <w:autoSpaceDN w:val="0"/>
                      <w:adjustRightInd w:val="0"/>
                      <w:snapToGrid w:val="0"/>
                    </w:pPr>
                    <w:r>
                      <w:t>扣除非经常性损益后的加权平均净资产收益率（%）</w:t>
                    </w:r>
                  </w:p>
                </w:tc>
              </w:sdtContent>
            </w:sdt>
            <w:tc>
              <w:tcPr>
                <w:tcW w:w="1377" w:type="dxa"/>
                <w:vAlign w:val="center"/>
              </w:tcPr>
              <w:p>
                <w:pPr>
                  <w:kinsoku w:val="0"/>
                  <w:overflowPunct w:val="0"/>
                  <w:autoSpaceDE w:val="0"/>
                  <w:autoSpaceDN w:val="0"/>
                  <w:adjustRightInd w:val="0"/>
                  <w:snapToGrid w:val="0"/>
                  <w:jc w:val="right"/>
                </w:pPr>
                <w:r>
                  <w:rPr>
                    <w:rFonts w:hint="eastAsia"/>
                  </w:rPr>
                  <w:t>7.08</w:t>
                </w:r>
              </w:p>
            </w:tc>
            <w:tc>
              <w:tcPr>
                <w:tcW w:w="1318" w:type="dxa"/>
                <w:vAlign w:val="center"/>
              </w:tcPr>
              <w:p>
                <w:pPr>
                  <w:kinsoku w:val="0"/>
                  <w:overflowPunct w:val="0"/>
                  <w:autoSpaceDE w:val="0"/>
                  <w:autoSpaceDN w:val="0"/>
                  <w:adjustRightInd w:val="0"/>
                  <w:snapToGrid w:val="0"/>
                  <w:jc w:val="right"/>
                </w:pPr>
                <w:r>
                  <w:rPr>
                    <w:rFonts w:hint="eastAsia"/>
                  </w:rPr>
                  <w:t>5.09</w:t>
                </w:r>
              </w:p>
            </w:tc>
            <w:tc>
              <w:tcPr>
                <w:tcW w:w="1333" w:type="dxa"/>
                <w:vAlign w:val="center"/>
              </w:tcPr>
              <w:p>
                <w:pPr>
                  <w:jc w:val="right"/>
                  <w:rPr>
                    <w:sz w:val="24"/>
                    <w:szCs w:val="24"/>
                  </w:rPr>
                </w:pPr>
                <w:r>
                  <w:rPr>
                    <w:rFonts w:hint="eastAsia"/>
                  </w:rPr>
                  <w:t>5.18</w:t>
                </w:r>
              </w:p>
            </w:tc>
            <w:tc>
              <w:tcPr>
                <w:tcW w:w="1398" w:type="dxa"/>
                <w:vAlign w:val="center"/>
              </w:tcPr>
              <w:p>
                <w:pPr>
                  <w:kinsoku w:val="0"/>
                  <w:overflowPunct w:val="0"/>
                  <w:autoSpaceDE w:val="0"/>
                  <w:autoSpaceDN w:val="0"/>
                  <w:adjustRightInd w:val="0"/>
                  <w:snapToGrid w:val="0"/>
                  <w:jc w:val="right"/>
                </w:pPr>
                <w:r>
                  <w:rPr>
                    <w:rFonts w:hint="eastAsia"/>
                  </w:rPr>
                  <w:t>增加1.99个百分点</w:t>
                </w:r>
              </w:p>
            </w:tc>
          </w:tr>
        </w:tbl>
        <w:p>
          <w:pPr>
            <w:pStyle w:val="114"/>
          </w:pPr>
          <w:r>
            <w:rPr>
              <w:rFonts w:hint="eastAsia"/>
            </w:rPr>
            <w:t>注：本报告期，本公司不存在稀释性的潜在普通股，稀释每股收益与基本每股收益相同。</w:t>
          </w:r>
        </w:p>
        <w:p>
          <w:pPr>
            <w:pStyle w:val="114"/>
          </w:pPr>
          <w:r>
            <w:rPr>
              <w:rFonts w:hint="eastAsia"/>
            </w:rPr>
            <w:t>追溯调整或重述的原因说明：</w:t>
          </w:r>
        </w:p>
        <w:p>
          <w:pPr>
            <w:ind w:firstLine="420" w:firstLineChars="200"/>
          </w:pPr>
          <w:bookmarkStart w:id="16" w:name="_Hlk143250907"/>
          <w:r>
            <w:rPr>
              <w:rFonts w:hint="eastAsia"/>
            </w:rPr>
            <w:t>经</w:t>
          </w:r>
          <w:r>
            <w:t>2021年年度股东大会审议通过，本公司出资人民币2,457,000千元收购云杉清能公司100%股权。于2022年7月，云杉清能公司股权交割工作及工商变更登记工作完成。由于本公司收购云杉清能公司100%股权前后，本公司及云杉清能公司均受</w:t>
          </w:r>
          <w:r>
            <w:rPr>
              <w:rFonts w:hint="eastAsia"/>
            </w:rPr>
            <w:t>江苏</w:t>
          </w:r>
          <w:r>
            <w:t>交控控制且该控制并非暂时性的，本公司根据中国会计准则合并云杉清能公司，并对前期比较报表数据进行相应追溯调整。</w:t>
          </w:r>
        </w:p>
        <w:p>
          <w:pPr>
            <w:ind w:firstLine="420" w:firstLineChars="200"/>
          </w:pPr>
        </w:p>
      </w:sdtContent>
    </w:sdt>
    <w:bookmarkEnd w:id="16"/>
    <w:sdt>
      <w:sdtPr>
        <w:alias w:val="模块:公司主要会计数据和财务指标的说明"/>
        <w:tag w:val="_GBC_89dd4b4cf79140928f55be83e164f009"/>
        <w:id w:val="-471983566"/>
        <w:lock w:val="sdtLocked"/>
        <w:placeholder>
          <w:docPart w:val="GBC22222222222222222222222222222"/>
        </w:placeholder>
      </w:sdtPr>
      <w:sdtContent>
        <w:p>
          <w:pPr>
            <w:pStyle w:val="114"/>
          </w:pPr>
          <w:bookmarkStart w:id="17" w:name="_Toc342565890"/>
          <w:bookmarkStart w:id="18" w:name="_Toc342056398"/>
          <w:r>
            <w:t>公司主要会计数据和财务指标的说明</w:t>
          </w:r>
        </w:p>
        <w:sdt>
          <w:sdtPr>
            <w:alias w:val="是否适用：公司主要会计数据和财务指标的说明[双击切换]"/>
            <w:tag w:val="_GBC_cfe99dae5f804f6f8f02eb429483f98a"/>
            <w:id w:val="82347581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数据和财务指标的说明"/>
            <w:tag w:val="_GBC_97608ceee0dd4babbeaf5daeb2216ce1"/>
            <w:id w:val="-343471550"/>
            <w:lock w:val="sdtLocked"/>
            <w:placeholder>
              <w:docPart w:val="GBC22222222222222222222222222222"/>
            </w:placeholder>
          </w:sdtPr>
          <w:sdtContent>
            <w:p>
              <w:pPr>
                <w:ind w:firstLine="420" w:firstLineChars="200"/>
              </w:pPr>
              <w:r>
                <w:rPr>
                  <w:rFonts w:hint="eastAsia"/>
                </w:rPr>
                <w:t>本报告期，受益于经营路网通行量上升等因素影响，公司路桥主业经营收入相应增长，路桥收费业务及服务区配套业务营业毛利润同比增加，路桥板块联营企业经营业绩上升，导致公司营业收入、归属于上市公司股东的净利润、归属于上市公司股东的扣除非经常性损益的净利润、基本每股收益、扣除非经常性损益后的基本每股收益、经营活动产生的现金流量净额同比增长。</w:t>
              </w:r>
            </w:p>
          </w:sdtContent>
        </w:sdt>
      </w:sdtContent>
    </w:sdt>
    <w:p>
      <w:pPr>
        <w:pStyle w:val="114"/>
      </w:pPr>
    </w:p>
    <w:p>
      <w:pPr>
        <w:pStyle w:val="3"/>
        <w:numPr>
          <w:ilvl w:val="0"/>
          <w:numId w:val="3"/>
        </w:numPr>
        <w:ind w:firstLineChars="0"/>
      </w:pPr>
      <w:r>
        <w:rPr>
          <w:rFonts w:hint="eastAsia"/>
        </w:rPr>
        <w:t>境内外会计准则下会计数据差异</w:t>
      </w:r>
      <w:bookmarkEnd w:id="17"/>
      <w:bookmarkEnd w:id="18"/>
    </w:p>
    <w:sdt>
      <w:sdtPr>
        <w:alias w:val="是否适用：境内外会计准则下会计数据差异[双击切换]"/>
        <w:tag w:val="_GBC_bdabc18d82504a7696c49b78e67b7ce4"/>
        <w:id w:val="91082180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
      <w:sdtPr>
        <w:rPr>
          <w:rFonts w:ascii="宋体" w:hAnsi="宋体" w:cs="宋体"/>
          <w:b w:val="0"/>
          <w:bCs w:val="0"/>
          <w:kern w:val="0"/>
        </w:rPr>
        <w:alias w:val="模块:非经常性损益项目和金额"/>
        <w:tag w:val="_SEC_6b3a30f21554473ebcafb7d5a1e81dd0"/>
        <w:id w:val="-1855103188"/>
        <w:lock w:val="sdtLocked"/>
        <w:placeholder>
          <w:docPart w:val="GBC22222222222222222222222222222"/>
        </w:placeholder>
      </w:sdtPr>
      <w:sdtEndPr>
        <w:rPr>
          <w:rFonts w:ascii="宋体" w:hAnsi="宋体" w:cs="宋体"/>
          <w:b w:val="0"/>
          <w:bCs w:val="0"/>
          <w:kern w:val="0"/>
          <w:sz w:val="18"/>
          <w:szCs w:val="18"/>
        </w:rPr>
      </w:sdtEndPr>
      <w:sdtContent>
        <w:p>
          <w:pPr>
            <w:pStyle w:val="3"/>
            <w:numPr>
              <w:ilvl w:val="0"/>
              <w:numId w:val="3"/>
            </w:numPr>
            <w:ind w:firstLineChars="0"/>
          </w:pPr>
          <w:bookmarkStart w:id="19" w:name="_Hlk106610622"/>
          <w:bookmarkStart w:id="20" w:name="_Hlk10207943"/>
          <w:r>
            <w:t>非经常性损益项目和金额</w:t>
          </w:r>
        </w:p>
        <w:sdt>
          <w:sdtPr>
            <w:alias w:val="是否适用：扣除非经常性损益项目和金额[双击切换]"/>
            <w:tag w:val="_GBC_bc78671916014205bbfc392258152912"/>
            <w:id w:val="-9787223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扣除非经常性损益项目和金额"/>
              <w:tag w:val="_GBC_4497c66c3489445f8a80354fda58d159"/>
              <w:id w:val="-18113882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扣除非经常性损益项目和金额"/>
              <w:tag w:val="_GBC_2aa6121c6e8246c1ac7efaa703bbb535"/>
              <w:id w:val="366105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bookmarkEnd w:id="20"/>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2663"/>
            <w:gridCol w:w="3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dd0f021143b049e192aaf03bb11e14c9"/>
                <w:id w:val="1491213588"/>
                <w:lock w:val="sdtLocked"/>
              </w:sdtPr>
              <w:sdtEndPr>
                <w:rPr>
                  <w:rFonts w:ascii="宋体" w:hAnsi="宋体"/>
                </w:rPr>
              </w:sdtEndPr>
              <w:sdtContent>
                <w:tc>
                  <w:tcPr>
                    <w:tcW w:w="3369" w:type="dxa"/>
                  </w:tcPr>
                  <w:p>
                    <w:pPr>
                      <w:pStyle w:val="55"/>
                      <w:ind w:firstLine="0" w:firstLineChars="0"/>
                      <w:jc w:val="center"/>
                      <w:rPr>
                        <w:rFonts w:ascii="宋体" w:hAnsi="宋体"/>
                      </w:rPr>
                    </w:pPr>
                    <w:r>
                      <w:rPr>
                        <w:rFonts w:hint="eastAsia" w:ascii="宋体" w:hAnsi="宋体"/>
                      </w:rPr>
                      <w:t>非经常性损益项目</w:t>
                    </w:r>
                  </w:p>
                </w:tc>
              </w:sdtContent>
            </w:sdt>
            <w:sdt>
              <w:sdtPr>
                <w:rPr>
                  <w:rFonts w:ascii="宋体" w:hAnsi="宋体"/>
                </w:rPr>
                <w:tag w:val="_PLD_25148e78c70c4fef9bce211e92400e27"/>
                <w:id w:val="-796445371"/>
                <w:lock w:val="sdtLocked"/>
              </w:sdtPr>
              <w:sdtEndPr>
                <w:rPr>
                  <w:rFonts w:ascii="宋体" w:hAnsi="宋体"/>
                </w:rPr>
              </w:sdtEndPr>
              <w:sdtContent>
                <w:tc>
                  <w:tcPr>
                    <w:tcW w:w="2663" w:type="dxa"/>
                  </w:tcPr>
                  <w:p>
                    <w:pPr>
                      <w:pStyle w:val="55"/>
                      <w:ind w:firstLine="0" w:firstLineChars="0"/>
                      <w:jc w:val="center"/>
                      <w:rPr>
                        <w:rFonts w:ascii="宋体" w:hAnsi="宋体"/>
                      </w:rPr>
                    </w:pPr>
                    <w:r>
                      <w:rPr>
                        <w:rFonts w:hint="eastAsia" w:ascii="宋体" w:hAnsi="宋体"/>
                      </w:rPr>
                      <w:t>金额</w:t>
                    </w:r>
                  </w:p>
                </w:tc>
              </w:sdtContent>
            </w:sdt>
            <w:sdt>
              <w:sdtPr>
                <w:rPr>
                  <w:rFonts w:ascii="宋体" w:hAnsi="宋体"/>
                </w:rPr>
                <w:tag w:val="_PLD_7a487bd3e0ad4b26b1200cece2aad319"/>
                <w:id w:val="-689071430"/>
                <w:lock w:val="sdtLocked"/>
              </w:sdtPr>
              <w:sdtEndPr>
                <w:rPr>
                  <w:rFonts w:ascii="宋体" w:hAnsi="宋体"/>
                </w:rPr>
              </w:sdtEndPr>
              <w:sdtContent>
                <w:tc>
                  <w:tcPr>
                    <w:tcW w:w="3016" w:type="dxa"/>
                  </w:tcPr>
                  <w:p>
                    <w:pPr>
                      <w:pStyle w:val="55"/>
                      <w:ind w:firstLine="0" w:firstLineChars="0"/>
                      <w:jc w:val="center"/>
                      <w:rPr>
                        <w:rFonts w:ascii="宋体" w:hAnsi="宋体"/>
                      </w:rPr>
                    </w:pPr>
                    <w:r>
                      <w:rPr>
                        <w:rFonts w:hint="eastAsia" w:ascii="宋体" w:hAnsi="宋体"/>
                      </w:rPr>
                      <w:t>附注（如适用）</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6a118f38a13d4b0183ea52b44d633f3b"/>
                <w:id w:val="766350998"/>
                <w:lock w:val="sdtLocked"/>
              </w:sdtPr>
              <w:sdtEndPr>
                <w:rPr>
                  <w:rFonts w:ascii="宋体" w:hAnsi="宋体"/>
                </w:rPr>
              </w:sdtEndPr>
              <w:sdtContent>
                <w:tc>
                  <w:tcPr>
                    <w:tcW w:w="3369" w:type="dxa"/>
                  </w:tcPr>
                  <w:p>
                    <w:pPr>
                      <w:pStyle w:val="55"/>
                      <w:ind w:firstLine="0" w:firstLineChars="0"/>
                      <w:jc w:val="left"/>
                      <w:rPr>
                        <w:rFonts w:ascii="宋体" w:hAnsi="宋体"/>
                      </w:rPr>
                    </w:pPr>
                    <w:r>
                      <w:rPr>
                        <w:rFonts w:ascii="宋体" w:hAnsi="宋体"/>
                      </w:rPr>
                      <w:t>非流动资产处置损益</w:t>
                    </w:r>
                  </w:p>
                </w:tc>
              </w:sdtContent>
            </w:sdt>
            <w:tc>
              <w:tcPr>
                <w:tcW w:w="2663" w:type="dxa"/>
                <w:vAlign w:val="center"/>
              </w:tcPr>
              <w:p>
                <w:pPr>
                  <w:widowControl w:val="0"/>
                  <w:jc w:val="right"/>
                  <w:rPr>
                    <w:rFonts w:asciiTheme="minorEastAsia" w:hAnsiTheme="minorEastAsia" w:eastAsiaTheme="minorEastAsia"/>
                  </w:rPr>
                </w:pPr>
                <w:r>
                  <w:rPr>
                    <w:rFonts w:asciiTheme="minorEastAsia" w:hAnsiTheme="minorEastAsia" w:eastAsiaTheme="minorEastAsia"/>
                  </w:rPr>
                  <w:t>4,789,530.84</w:t>
                </w:r>
              </w:p>
            </w:tc>
            <w:tc>
              <w:tcPr>
                <w:tcW w:w="3016" w:type="dxa"/>
                <w:vAlign w:val="center"/>
              </w:tcPr>
              <w:p>
                <w:pPr>
                  <w:widowControl w:val="0"/>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30c310b702c14efda840649e76632a09"/>
                <w:id w:val="1308738985"/>
                <w:lock w:val="sdtLocked"/>
              </w:sdtPr>
              <w:sdtEndPr>
                <w:rPr>
                  <w:rFonts w:ascii="宋体" w:hAnsi="宋体"/>
                </w:rPr>
              </w:sdtEndPr>
              <w:sdtContent>
                <w:tc>
                  <w:tcPr>
                    <w:tcW w:w="3369" w:type="dxa"/>
                  </w:tcPr>
                  <w:p>
                    <w:pPr>
                      <w:pStyle w:val="55"/>
                      <w:ind w:firstLine="0" w:firstLineChars="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2663" w:type="dxa"/>
                <w:vAlign w:val="center"/>
              </w:tcPr>
              <w:p>
                <w:pPr>
                  <w:widowControl w:val="0"/>
                  <w:jc w:val="right"/>
                  <w:rPr>
                    <w:rFonts w:asciiTheme="minorEastAsia" w:hAnsiTheme="minorEastAsia" w:eastAsiaTheme="minorEastAsia"/>
                  </w:rPr>
                </w:pPr>
                <w:r>
                  <w:rPr>
                    <w:rFonts w:cs="Arial" w:asciiTheme="minorEastAsia" w:hAnsiTheme="minorEastAsia" w:eastAsiaTheme="minorEastAsia"/>
                  </w:rPr>
                  <w:t>11,806,394.00</w:t>
                </w:r>
              </w:p>
            </w:tc>
            <w:tc>
              <w:tcPr>
                <w:tcW w:w="3016" w:type="dxa"/>
                <w:vAlign w:val="center"/>
              </w:tcPr>
              <w:p>
                <w:pPr>
                  <w:widowControl w:val="0"/>
                  <w:jc w:val="left"/>
                  <w:rPr>
                    <w:rFonts w:ascii="Times New Roman" w:hAnsi="Times New Roman"/>
                  </w:rPr>
                </w:pPr>
                <w:r>
                  <w:rPr>
                    <w:rFonts w:hint="eastAsia" w:ascii="Times New Roman" w:hAnsi="Times New Roman"/>
                  </w:rPr>
                  <w:t>主要是本报告期确认的宁常高速建设补偿金、增值税加计抵扣部分，以及高速公路省界收费站改造工程建设补助金等。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Align w:val="center"/>
              </w:tcPr>
              <w:sdt>
                <w:sdtPr>
                  <w:rPr>
                    <w:rFonts w:hint="eastAsia" w:ascii="宋体" w:hAnsi="宋体"/>
                  </w:rPr>
                  <w:tag w:val="_PLD_2180f2edb7c14e3dae9397e8d5894037"/>
                  <w:id w:val="1174150397"/>
                  <w:lock w:val="sdtLocked"/>
                </w:sdtPr>
                <w:sdtEndPr>
                  <w:rPr>
                    <w:rFonts w:hint="eastAsia" w:ascii="宋体" w:hAnsi="宋体"/>
                  </w:rPr>
                </w:sdtEndPr>
                <w:sdtContent>
                  <w:p>
                    <w:pPr>
                      <w:pStyle w:val="55"/>
                      <w:ind w:firstLine="0" w:firstLineChars="0"/>
                      <w:rPr>
                        <w:rFonts w:ascii="宋体" w:hAnsi="宋体"/>
                      </w:rPr>
                    </w:pPr>
                    <w:r>
                      <w:rPr>
                        <w:rFonts w:hint="eastAsia" w:ascii="宋体" w:hAnsi="宋体"/>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2663" w:type="dxa"/>
                <w:vAlign w:val="center"/>
              </w:tcPr>
              <w:p>
                <w:pPr>
                  <w:widowControl w:val="0"/>
                  <w:jc w:val="right"/>
                  <w:rPr>
                    <w:rFonts w:asciiTheme="minorEastAsia" w:hAnsiTheme="minorEastAsia" w:eastAsiaTheme="minorEastAsia"/>
                  </w:rPr>
                </w:pPr>
                <w:r>
                  <w:rPr>
                    <w:rFonts w:asciiTheme="minorEastAsia" w:hAnsiTheme="minorEastAsia" w:eastAsiaTheme="minorEastAsia"/>
                  </w:rPr>
                  <w:t>145,489,738</w:t>
                </w:r>
                <w:r>
                  <w:rPr>
                    <w:rFonts w:hint="eastAsia" w:cs="Times New Roman" w:asciiTheme="minorEastAsia" w:hAnsiTheme="minorEastAsia" w:eastAsiaTheme="minorEastAsia"/>
                  </w:rPr>
                  <w:t>.00</w:t>
                </w:r>
              </w:p>
            </w:tc>
            <w:tc>
              <w:tcPr>
                <w:tcW w:w="3016" w:type="dxa"/>
                <w:vAlign w:val="center"/>
              </w:tcPr>
              <w:p>
                <w:pPr>
                  <w:widowControl w:val="0"/>
                  <w:jc w:val="both"/>
                  <w:rPr>
                    <w:rFonts w:ascii="Times New Roman" w:hAnsi="Times New Roman"/>
                  </w:rPr>
                </w:pPr>
                <w:r>
                  <w:rPr>
                    <w:rFonts w:hint="eastAsia" w:ascii="Times New Roman" w:hAnsi="Times New Roman"/>
                  </w:rPr>
                  <w:t>主要是本报告期子公司持有的其他非流动金融资产等确认公允价值变动收益约人民币</w:t>
                </w:r>
                <w:r>
                  <w:rPr>
                    <w:rFonts w:hint="eastAsia" w:ascii="Times New Roman" w:hAnsi="Times New Roman" w:cs="Times New Roman"/>
                  </w:rPr>
                  <w:t>75,602</w:t>
                </w:r>
                <w:r>
                  <w:rPr>
                    <w:rFonts w:ascii="Times New Roman" w:hAnsi="Times New Roman"/>
                  </w:rPr>
                  <w:t>千元（注）和国创开元二期基金分红收益约人民币</w:t>
                </w:r>
                <w:r>
                  <w:rPr>
                    <w:rFonts w:hint="eastAsia" w:ascii="Times New Roman" w:hAnsi="Times New Roman" w:cs="Times New Roman"/>
                  </w:rPr>
                  <w:t>31,971</w:t>
                </w:r>
                <w:r>
                  <w:rPr>
                    <w:rFonts w:ascii="Times New Roman" w:hAnsi="Times New Roman"/>
                  </w:rPr>
                  <w:t>千元，以及银行短期理财等收益约人民币</w:t>
                </w:r>
                <w:r>
                  <w:rPr>
                    <w:rFonts w:hint="eastAsia" w:ascii="Times New Roman" w:hAnsi="Times New Roman" w:cs="Times New Roman"/>
                  </w:rPr>
                  <w:t>37,916</w:t>
                </w:r>
                <w:r>
                  <w:rPr>
                    <w:rFonts w:ascii="Times New Roman" w:hAnsi="Times New Roman"/>
                  </w:rPr>
                  <w:t>千元。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2de63adf28f549a4ab5df2a1b0e26451"/>
                <w:id w:val="1851062193"/>
                <w:lock w:val="sdtLocked"/>
              </w:sdtPr>
              <w:sdtEndPr>
                <w:rPr>
                  <w:rFonts w:ascii="宋体" w:hAnsi="宋体"/>
                </w:rPr>
              </w:sdtEndPr>
              <w:sdtContent>
                <w:tc>
                  <w:tcPr>
                    <w:tcW w:w="3369" w:type="dxa"/>
                  </w:tcPr>
                  <w:p>
                    <w:pPr>
                      <w:pStyle w:val="55"/>
                      <w:ind w:firstLine="0" w:firstLineChars="0"/>
                      <w:jc w:val="left"/>
                      <w:rPr>
                        <w:rFonts w:ascii="宋体" w:hAnsi="宋体"/>
                      </w:rPr>
                    </w:pPr>
                    <w:r>
                      <w:rPr>
                        <w:rFonts w:ascii="宋体" w:hAnsi="宋体"/>
                      </w:rPr>
                      <w:t>受托经营取得的托管费收入</w:t>
                    </w:r>
                  </w:p>
                </w:tc>
              </w:sdtContent>
            </w:sdt>
            <w:tc>
              <w:tcPr>
                <w:tcW w:w="2663" w:type="dxa"/>
                <w:vAlign w:val="center"/>
              </w:tcPr>
              <w:p>
                <w:pPr>
                  <w:widowControl w:val="0"/>
                  <w:jc w:val="right"/>
                  <w:rPr>
                    <w:rFonts w:asciiTheme="minorEastAsia" w:hAnsiTheme="minorEastAsia" w:eastAsiaTheme="minorEastAsia"/>
                  </w:rPr>
                </w:pPr>
                <w:r>
                  <w:rPr>
                    <w:rFonts w:asciiTheme="minorEastAsia" w:hAnsiTheme="minorEastAsia" w:eastAsiaTheme="minorEastAsia"/>
                  </w:rPr>
                  <w:t>25,071,566.88</w:t>
                </w:r>
              </w:p>
            </w:tc>
            <w:tc>
              <w:tcPr>
                <w:tcW w:w="3016" w:type="dxa"/>
                <w:vAlign w:val="center"/>
              </w:tcPr>
              <w:p>
                <w:pPr>
                  <w:widowControl w:val="0"/>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ca98a99cfc2544a4a6aabd261429fda0"/>
                <w:id w:val="-1346397190"/>
                <w:lock w:val="sdtLocked"/>
              </w:sdtPr>
              <w:sdtEndPr>
                <w:rPr>
                  <w:rFonts w:ascii="宋体" w:hAnsi="宋体"/>
                </w:rPr>
              </w:sdtEndPr>
              <w:sdtContent>
                <w:tc>
                  <w:tcPr>
                    <w:tcW w:w="3369" w:type="dxa"/>
                  </w:tcPr>
                  <w:p>
                    <w:pPr>
                      <w:pStyle w:val="55"/>
                      <w:ind w:firstLine="0" w:firstLineChars="0"/>
                      <w:jc w:val="left"/>
                      <w:rPr>
                        <w:rFonts w:ascii="宋体" w:hAnsi="宋体"/>
                      </w:rPr>
                    </w:pPr>
                    <w:r>
                      <w:rPr>
                        <w:rFonts w:ascii="宋体" w:hAnsi="宋体"/>
                      </w:rPr>
                      <w:t>除上述各项之外的其他营业外收入和支出</w:t>
                    </w:r>
                  </w:p>
                </w:tc>
              </w:sdtContent>
            </w:sdt>
            <w:tc>
              <w:tcPr>
                <w:tcW w:w="2663" w:type="dxa"/>
                <w:vAlign w:val="center"/>
              </w:tcPr>
              <w:p>
                <w:pPr>
                  <w:widowControl w:val="0"/>
                  <w:jc w:val="right"/>
                  <w:rPr>
                    <w:rFonts w:asciiTheme="minorEastAsia" w:hAnsiTheme="minorEastAsia" w:eastAsiaTheme="minorEastAsia"/>
                  </w:rPr>
                </w:pPr>
                <w:r>
                  <w:rPr>
                    <w:rFonts w:hint="eastAsia" w:cs="Times New Roman" w:asciiTheme="minorEastAsia" w:hAnsiTheme="minorEastAsia" w:eastAsiaTheme="minorEastAsia"/>
                  </w:rPr>
                  <w:t>-</w:t>
                </w:r>
                <w:r>
                  <w:rPr>
                    <w:rFonts w:asciiTheme="minorEastAsia" w:hAnsiTheme="minorEastAsia" w:eastAsiaTheme="minorEastAsia"/>
                  </w:rPr>
                  <w:t>2,654,584.33</w:t>
                </w:r>
              </w:p>
            </w:tc>
            <w:tc>
              <w:tcPr>
                <w:tcW w:w="3016" w:type="dxa"/>
                <w:vAlign w:val="center"/>
              </w:tcPr>
              <w:p>
                <w:pPr>
                  <w:widowControl w:val="0"/>
                  <w:jc w:val="left"/>
                  <w:rPr>
                    <w:rFonts w:ascii="Times New Roman" w:hAnsi="Times New Roman"/>
                  </w:rPr>
                </w:pPr>
                <w:r>
                  <w:rPr>
                    <w:rFonts w:hint="eastAsia" w:ascii="Times New Roman" w:hAnsi="Times New Roman"/>
                  </w:rPr>
                  <w:t>主要是本报告期发生的路产损坏修复支出等。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a636e866a8bc4d7387a7b56e221f9e7d"/>
                <w:id w:val="673776942"/>
                <w:lock w:val="sdtLocked"/>
              </w:sdtPr>
              <w:sdtEndPr>
                <w:rPr>
                  <w:rFonts w:ascii="宋体" w:hAnsi="宋体"/>
                </w:rPr>
              </w:sdtEndPr>
              <w:sdtContent>
                <w:tc>
                  <w:tcPr>
                    <w:tcW w:w="3369" w:type="dxa"/>
                  </w:tcPr>
                  <w:p>
                    <w:pPr>
                      <w:pStyle w:val="55"/>
                      <w:ind w:firstLine="0" w:firstLineChars="0"/>
                      <w:jc w:val="left"/>
                      <w:rPr>
                        <w:rFonts w:ascii="宋体" w:hAnsi="宋体"/>
                      </w:rPr>
                    </w:pPr>
                    <w:r>
                      <w:rPr>
                        <w:rFonts w:hint="eastAsia" w:ascii="宋体" w:hAnsi="宋体"/>
                      </w:rPr>
                      <w:t>减：</w:t>
                    </w:r>
                    <w:r>
                      <w:rPr>
                        <w:rFonts w:ascii="宋体" w:hAnsi="宋体"/>
                      </w:rPr>
                      <w:t>所得税影响额</w:t>
                    </w:r>
                  </w:p>
                </w:tc>
              </w:sdtContent>
            </w:sdt>
            <w:tc>
              <w:tcPr>
                <w:tcW w:w="2663" w:type="dxa"/>
                <w:vAlign w:val="center"/>
              </w:tcPr>
              <w:p>
                <w:pPr>
                  <w:widowControl w:val="0"/>
                  <w:jc w:val="right"/>
                  <w:rPr>
                    <w:rFonts w:asciiTheme="minorEastAsia" w:hAnsiTheme="minorEastAsia" w:eastAsiaTheme="minorEastAsia"/>
                  </w:rPr>
                </w:pPr>
                <w:r>
                  <w:rPr>
                    <w:rFonts w:cs="Arial" w:asciiTheme="minorEastAsia" w:hAnsiTheme="minorEastAsia" w:eastAsiaTheme="minorEastAsia"/>
                  </w:rPr>
                  <w:t>46,125,661.35</w:t>
                </w:r>
              </w:p>
            </w:tc>
            <w:tc>
              <w:tcPr>
                <w:tcW w:w="3016" w:type="dxa"/>
                <w:vAlign w:val="center"/>
              </w:tcPr>
              <w:p>
                <w:pPr>
                  <w:widowControl w:val="0"/>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pPr>
                  <w:pStyle w:val="55"/>
                  <w:jc w:val="left"/>
                  <w:rPr>
                    <w:rFonts w:ascii="宋体" w:hAnsi="宋体"/>
                  </w:rPr>
                </w:pPr>
                <w:sdt>
                  <w:sdtPr>
                    <w:rPr>
                      <w:rFonts w:ascii="宋体" w:hAnsi="宋体"/>
                    </w:rPr>
                    <w:tag w:val="_PLD_9dff7a1ba5e94bbda7f7973f9f8b7455"/>
                    <w:id w:val="-312415648"/>
                    <w:lock w:val="sdtLocked"/>
                  </w:sdtPr>
                  <w:sdtEndPr>
                    <w:rPr>
                      <w:rFonts w:ascii="宋体" w:hAnsi="宋体"/>
                    </w:rPr>
                  </w:sdtEndPr>
                  <w:sdtContent>
                    <w:r>
                      <w:rPr>
                        <w:rFonts w:ascii="宋体" w:hAnsi="宋体"/>
                      </w:rPr>
                      <w:t>少数股东权益影响额</w:t>
                    </w:r>
                    <w:r>
                      <w:rPr>
                        <w:rFonts w:hint="eastAsia" w:ascii="宋体" w:hAnsi="宋体"/>
                      </w:rPr>
                      <w:t>（税后）</w:t>
                    </w:r>
                  </w:sdtContent>
                </w:sdt>
              </w:p>
            </w:tc>
            <w:tc>
              <w:tcPr>
                <w:tcW w:w="2663" w:type="dxa"/>
                <w:vAlign w:val="center"/>
              </w:tcPr>
              <w:p>
                <w:pPr>
                  <w:widowControl w:val="0"/>
                  <w:jc w:val="right"/>
                  <w:rPr>
                    <w:rFonts w:asciiTheme="minorEastAsia" w:hAnsiTheme="minorEastAsia" w:eastAsiaTheme="minorEastAsia"/>
                  </w:rPr>
                </w:pPr>
                <w:r>
                  <w:rPr>
                    <w:rFonts w:cs="Arial" w:asciiTheme="minorEastAsia" w:hAnsiTheme="minorEastAsia" w:eastAsiaTheme="minorEastAsia"/>
                  </w:rPr>
                  <w:t>4,644,088.12</w:t>
                </w:r>
              </w:p>
            </w:tc>
            <w:tc>
              <w:tcPr>
                <w:tcW w:w="3016" w:type="dxa"/>
                <w:vAlign w:val="center"/>
              </w:tcPr>
              <w:p>
                <w:pPr>
                  <w:widowControl w:val="0"/>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6c82e72977284822bf15cd34b91fcd04"/>
                <w:id w:val="-1025549327"/>
                <w:lock w:val="sdtLocked"/>
              </w:sdtPr>
              <w:sdtEndPr>
                <w:rPr>
                  <w:rFonts w:ascii="宋体" w:hAnsi="宋体"/>
                </w:rPr>
              </w:sdtEndPr>
              <w:sdtContent>
                <w:tc>
                  <w:tcPr>
                    <w:tcW w:w="3369" w:type="dxa"/>
                  </w:tcPr>
                  <w:p>
                    <w:pPr>
                      <w:pStyle w:val="55"/>
                      <w:ind w:firstLine="0" w:firstLineChars="0"/>
                      <w:jc w:val="left"/>
                      <w:rPr>
                        <w:rFonts w:ascii="宋体" w:hAnsi="宋体"/>
                      </w:rPr>
                    </w:pPr>
                    <w:r>
                      <w:rPr>
                        <w:rFonts w:ascii="宋体" w:hAnsi="宋体"/>
                      </w:rPr>
                      <w:t>合计</w:t>
                    </w:r>
                  </w:p>
                </w:tc>
              </w:sdtContent>
            </w:sdt>
            <w:tc>
              <w:tcPr>
                <w:tcW w:w="2663" w:type="dxa"/>
                <w:vAlign w:val="center"/>
              </w:tcPr>
              <w:p>
                <w:pPr>
                  <w:widowControl w:val="0"/>
                  <w:jc w:val="right"/>
                  <w:rPr>
                    <w:rFonts w:asciiTheme="minorEastAsia" w:hAnsiTheme="minorEastAsia" w:eastAsiaTheme="minorEastAsia"/>
                  </w:rPr>
                </w:pPr>
                <w:r>
                  <w:rPr>
                    <w:rFonts w:asciiTheme="minorEastAsia" w:hAnsiTheme="minorEastAsia" w:eastAsiaTheme="minorEastAsia"/>
                  </w:rPr>
                  <w:t>133,732,895.92</w:t>
                </w:r>
              </w:p>
            </w:tc>
            <w:tc>
              <w:tcPr>
                <w:tcW w:w="3016" w:type="dxa"/>
                <w:vAlign w:val="center"/>
              </w:tcPr>
              <w:p>
                <w:pPr>
                  <w:widowControl w:val="0"/>
                  <w:jc w:val="left"/>
                  <w:rPr>
                    <w:rFonts w:ascii="Times New Roman" w:hAnsi="Times New Roman"/>
                  </w:rPr>
                </w:pPr>
              </w:p>
            </w:tc>
          </w:tr>
        </w:tbl>
        <w:p>
          <w:pPr>
            <w:pStyle w:val="114"/>
            <w:rPr>
              <w:sz w:val="18"/>
              <w:szCs w:val="18"/>
            </w:rPr>
          </w:pPr>
          <w:r>
            <w:rPr>
              <w:rFonts w:hint="eastAsia"/>
              <w:sz w:val="18"/>
              <w:szCs w:val="18"/>
            </w:rPr>
            <w:t>注：本报告期子公司持有的其他非流动金融资产等确认公允价值变动收益约人民币</w:t>
          </w:r>
          <w:r>
            <w:rPr>
              <w:sz w:val="18"/>
              <w:szCs w:val="18"/>
            </w:rPr>
            <w:t>75,602千元，其中国创开元二期基金约人民币24,803千元、中北致远基金约人民币32千元、洛德汇智基金约人民币17,496千元、江苏租赁公司可转债约人民币31,940千元、富安达优势成长基金约人民币1,331千元。</w:t>
          </w:r>
        </w:p>
        <w:p>
          <w:pPr>
            <w:pStyle w:val="114"/>
            <w:rPr>
              <w:sz w:val="18"/>
              <w:szCs w:val="18"/>
            </w:rPr>
          </w:pPr>
        </w:p>
      </w:sdtContent>
    </w:sdt>
    <w:bookmarkEnd w:id="19"/>
    <w:sdt>
      <w:sdtPr>
        <w:rPr>
          <w:rFonts w:hAnsi="宋体" w:cs="宋体"/>
          <w:kern w:val="0"/>
          <w:szCs w:val="21"/>
        </w:rPr>
        <w:alias w:val="模块:将《公开发行证券的公司信息披露解释性公告第1号——非经常性损..."/>
        <w:tag w:val="_SEC_3fbc22adf9774d23a74dc1230c514eff"/>
        <w:id w:val="1882206581"/>
        <w:lock w:val="sdtLocked"/>
        <w:placeholder>
          <w:docPart w:val="GBC22222222222222222222222222222"/>
        </w:placeholder>
      </w:sdtPr>
      <w:sdtEndPr>
        <w:rPr>
          <w:rFonts w:hAnsi="宋体" w:cs="宋体"/>
          <w:kern w:val="0"/>
          <w:szCs w:val="21"/>
        </w:rPr>
      </w:sdtEndPr>
      <w:sdtContent>
        <w:p>
          <w:pPr>
            <w:pStyle w:val="20"/>
            <w:adjustRightInd w:val="0"/>
            <w:snapToGrid w:val="0"/>
            <w:spacing w:line="200" w:lineRule="atLeast"/>
            <w:rPr>
              <w:rFonts w:hAnsi="宋体"/>
              <w:kern w:val="0"/>
              <w:szCs w:val="21"/>
            </w:rPr>
          </w:pPr>
          <w:bookmarkStart w:id="21" w:name="_Hlk89096484"/>
          <w:bookmarkStart w:id="22" w:name="_Hlk41379873"/>
          <w:bookmarkStart w:id="23" w:name="_Hlk137045432"/>
          <w:bookmarkStart w:id="24" w:name="_Hlk105685044"/>
          <w:r>
            <w:rPr>
              <w:rFonts w:hint="eastAsia" w:hAnsi="宋体" w:cs="宋体"/>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2fced4d4c7b049209a471cd2040fe574"/>
            <w:id w:val="211778314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
    <w:bookmarkEnd w:id="22"/>
    <w:bookmarkEnd w:id="23"/>
    <w:p>
      <w:pPr>
        <w:pStyle w:val="114"/>
      </w:pPr>
    </w:p>
    <w:bookmarkEnd w:id="24"/>
    <w:sdt>
      <w:sdtPr>
        <w:rPr>
          <w:rFonts w:hint="eastAsia" w:ascii="宋体" w:hAnsi="宋体" w:cs="宋体"/>
          <w:b w:val="0"/>
          <w:bCs w:val="0"/>
          <w:kern w:val="0"/>
          <w:szCs w:val="24"/>
        </w:rPr>
        <w:alias w:val="模块:其他财务和业务数据"/>
        <w:tag w:val="_GBC_129e81c113f94ab2b6af974b5d24abc6"/>
        <w:id w:val="1140075946"/>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3"/>
            </w:numPr>
            <w:ind w:firstLineChars="0"/>
          </w:pPr>
          <w:r>
            <w:rPr>
              <w:rFonts w:hint="eastAsia"/>
            </w:rPr>
            <w:t>其他</w:t>
          </w:r>
        </w:p>
        <w:sdt>
          <w:sdtPr>
            <w:alias w:val="是否适用：公司简介和主要财务指标其他说明[双击切换]"/>
            <w:tag w:val="_GBC_5b4104dc5c2c4501bc2420c70be30c2a"/>
            <w:id w:val="-124941764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
        <w:br w:type="page"/>
      </w:r>
    </w:p>
    <w:p>
      <w:pPr>
        <w:pStyle w:val="2"/>
        <w:numPr>
          <w:ilvl w:val="0"/>
          <w:numId w:val="2"/>
        </w:numPr>
        <w:rPr>
          <w:rFonts w:ascii="黑体" w:hAnsi="黑体"/>
          <w:szCs w:val="21"/>
        </w:rPr>
      </w:pPr>
      <w:bookmarkStart w:id="25" w:name="_Toc76114274"/>
      <w:r>
        <w:rPr>
          <w:rFonts w:hint="eastAsia" w:ascii="黑体" w:hAnsi="黑体"/>
          <w:szCs w:val="21"/>
        </w:rPr>
        <w:t>管理层讨论与分析</w:t>
      </w:r>
      <w:bookmarkEnd w:id="25"/>
    </w:p>
    <w:sdt>
      <w:sdtPr>
        <w:rPr>
          <w:rFonts w:hint="eastAsia" w:ascii="宋体" w:hAnsi="宋体" w:cs="宋体"/>
          <w:b w:val="0"/>
          <w:bCs w:val="0"/>
          <w:kern w:val="0"/>
          <w:szCs w:val="24"/>
        </w:rPr>
        <w:alias w:val="模块:报告期内公司所从事的主要业务、经营模式及行业情况说明"/>
        <w:tag w:val="_SEC_30613ac4c1d74a918acca2b58acc457d"/>
        <w:id w:val="628982459"/>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5"/>
            </w:numPr>
            <w:tabs>
              <w:tab w:val="left" w:pos="426"/>
            </w:tabs>
            <w:jc w:val="left"/>
            <w:rPr>
              <w:rFonts w:ascii="宋体" w:hAnsi="宋体"/>
            </w:rPr>
          </w:pPr>
          <w:r>
            <w:rPr>
              <w:rFonts w:hint="eastAsia" w:ascii="宋体" w:hAnsi="宋体"/>
            </w:rPr>
            <w:t>报告期内公司所属行业及主营业务情况说明</w:t>
          </w:r>
        </w:p>
        <w:sdt>
          <w:sdtPr>
            <w:rPr>
              <w:rFonts w:hint="eastAsia"/>
            </w:rPr>
            <w:alias w:val="报告期内公司所从事的主要业务、经营模式及行业情况说明"/>
            <w:tag w:val="_GBC_5c28d6f46eea48f892bed0c5fc99ab60"/>
            <w:id w:val="837039738"/>
            <w:lock w:val="sdtLocked"/>
            <w:placeholder>
              <w:docPart w:val="GBC22222222222222222222222222222"/>
            </w:placeholder>
          </w:sdtPr>
          <w:sdtEndPr>
            <w:rPr>
              <w:rFonts w:hint="eastAsia"/>
            </w:rPr>
          </w:sdtEndPr>
          <w:sdtContent>
            <w:p>
              <w:pPr>
                <w:ind w:firstLine="420" w:firstLineChars="200"/>
              </w:pPr>
              <w:r>
                <w:rPr>
                  <w:rFonts w:hint="eastAsia"/>
                </w:rPr>
                <w:t>本集团于1992年8月1日在中华人民共和国江苏省注册成立，是江苏省唯一的上市路桥公司。1997年6月27日本集团发行的12.22亿股H股在联交所上市。2001年1月16日本集团发行的1.5亿股A股在上交所上市。2002年12月23日本集团建立一级美国预托证券凭证计划（ADR），在美国场外市场进行买卖。截至本报告期末，本集团总股本为5,037,747,500股，每股面值人民币1元。</w:t>
              </w:r>
            </w:p>
            <w:p>
              <w:pPr>
                <w:ind w:firstLine="420" w:firstLineChars="200"/>
              </w:pPr>
              <w:r>
                <w:rPr>
                  <w:rFonts w:hint="eastAsia"/>
                </w:rPr>
                <w:t>本集团主营业务为江苏省境内收费路桥的投资、建设、经营及管理，并开发高速公路沿线的服务区配套经营业务，除沪宁高速江苏段外，集团还拥有宁常高速、镇溧高速、广靖高速、锡澄高速、锡宜高速、镇丹高速、沿江高速、江阴大桥、苏嘉杭高速、常宜高速、宜长高速以及五峰山大桥等位于江苏省内的收费路桥全部或部分权益。截至本报告期末，本集团直接参与经营和投资的路桥项目达到17个，拥有或参股的已开通路桥里程已超过910公里。</w:t>
              </w:r>
            </w:p>
            <w:p>
              <w:pPr>
                <w:ind w:firstLine="420" w:firstLineChars="200"/>
              </w:pPr>
              <w:r>
                <w:rPr>
                  <w:rFonts w:hint="eastAsia"/>
                </w:rPr>
                <w:t>本集团的经营区域位于中国经济最具活力的长江三角洲地区，集团所拥有或参股路桥项目是连接江苏省东西及南北陆路交通大走廊，区域经济活跃，交通繁忙。本集团核心资产沪宁高速公路江苏段连接上海、苏州、无锡、常州、镇江、南京6个大中城市，是国内最繁忙的高速公路之一。</w:t>
              </w:r>
            </w:p>
            <w:p>
              <w:pPr>
                <w:ind w:firstLine="420" w:firstLineChars="200"/>
              </w:pPr>
              <w:r>
                <w:rPr>
                  <w:rFonts w:hint="eastAsia"/>
                </w:rPr>
                <w:t>此外，本集团还积极探索并发展交通+、新能源业务、以融促产的金融业，以进一步拓展盈利空间并实现集团的可持续发展。截至本报告期末，本集团直接拥有七家全资子公司、四家控股子公司、十五家参股联营及合营企业，公司总资产约人民币</w:t>
              </w:r>
              <w:r>
                <w:t>797.88亿元，归属于上市公司股东净资产约人民币322.10亿元</w:t>
              </w:r>
              <w:r>
                <w:rPr>
                  <w:rFonts w:hint="eastAsia"/>
                </w:rPr>
                <w:t>。</w:t>
              </w:r>
            </w:p>
            <w:p>
              <w:pPr>
                <w:ind w:firstLine="420" w:firstLineChars="200"/>
              </w:pPr>
              <w:r>
                <w:rPr>
                  <w:rFonts w:hint="eastAsia"/>
                </w:rPr>
                <w:t>集团核心资产及直接控制、直接参股的子公司如图：</w:t>
              </w:r>
              <w:r>
                <w:t xml:space="preserve"> </w:t>
              </w:r>
            </w:p>
            <w:p>
              <w:pPr>
                <w:ind w:firstLine="420" w:firstLineChars="200"/>
              </w:pPr>
              <w:r>
                <w:drawing>
                  <wp:inline distT="0" distB="0" distL="0" distR="0">
                    <wp:extent cx="5108575" cy="4203700"/>
                    <wp:effectExtent l="0" t="0" r="0" b="6350"/>
                    <wp:docPr id="1797602152"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02152" name="图片 1" descr="图示&#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116803" cy="4210226"/>
                            </a:xfrm>
                            <a:prstGeom prst="rect">
                              <a:avLst/>
                            </a:prstGeom>
                            <a:noFill/>
                            <a:ln>
                              <a:noFill/>
                            </a:ln>
                          </pic:spPr>
                        </pic:pic>
                      </a:graphicData>
                    </a:graphic>
                  </wp:inline>
                </w:drawing>
              </w:r>
            </w:p>
            <w:p>
              <w:pPr>
                <w:jc w:val="both"/>
                <w:rPr>
                  <w:sz w:val="18"/>
                  <w:szCs w:val="18"/>
                </w:rPr>
              </w:pPr>
              <w:r>
                <w:rPr>
                  <w:rFonts w:hint="eastAsia"/>
                  <w:sz w:val="18"/>
                  <w:szCs w:val="18"/>
                </w:rPr>
                <w:t>注1：本公司控股子公司宁沪投资公司拥有保理公司100%股权、昆山丰源房地产开发有限公司100%股权及洛德基金公司39.00%股权。其中，于</w:t>
              </w:r>
              <w:r>
                <w:rPr>
                  <w:sz w:val="18"/>
                  <w:szCs w:val="18"/>
                </w:rPr>
                <w:t>2023年2月，宁沪投资公司、江苏交控、云杉资本及保理公司签署股权转让协议，据此，宁沪投资公司将转让其持有的保理公司100%股权，其中80%的股权转让给江苏交控，20%的股权转让给云杉资本。本次转让完成后，本公司将不再持有保理公司的任何股权，不再将其纳入本公司合并报表范围。</w:t>
              </w:r>
              <w:r>
                <w:rPr>
                  <w:rFonts w:hint="eastAsia"/>
                  <w:sz w:val="18"/>
                  <w:szCs w:val="18"/>
                </w:rPr>
                <w:t>（</w:t>
              </w:r>
              <w:r>
                <w:rPr>
                  <w:sz w:val="18"/>
                  <w:szCs w:val="18"/>
                </w:rPr>
                <w:t>2023年7月，广州市地方金融监督管理局批复同意办理保理公司股东变更。截至报告日，宁沪投资公司已收到保理公司全部股权转让款34,600万元，双方完成交割，目前正在办理工商变更手续</w:t>
              </w:r>
              <w:r>
                <w:rPr>
                  <w:rFonts w:hint="eastAsia"/>
                  <w:sz w:val="18"/>
                  <w:szCs w:val="18"/>
                </w:rPr>
                <w:t>。）</w:t>
              </w:r>
            </w:p>
            <w:p>
              <w:pPr>
                <w:jc w:val="both"/>
                <w:rPr>
                  <w:sz w:val="18"/>
                  <w:szCs w:val="18"/>
                </w:rPr>
              </w:pPr>
              <w:r>
                <w:rPr>
                  <w:rFonts w:hint="eastAsia"/>
                  <w:sz w:val="18"/>
                  <w:szCs w:val="18"/>
                </w:rPr>
                <w:t>注2：本公司控股子公司宁沪置业公司拥有宁沪置业（昆山）有限公司100%股权及宁沪置业（苏州）有限公司100%股权。</w:t>
              </w:r>
            </w:p>
            <w:p>
              <w:pPr>
                <w:jc w:val="both"/>
                <w:rPr>
                  <w:sz w:val="18"/>
                  <w:szCs w:val="18"/>
                </w:rPr>
              </w:pPr>
              <w:r>
                <w:rPr>
                  <w:rFonts w:hint="eastAsia"/>
                  <w:sz w:val="18"/>
                  <w:szCs w:val="18"/>
                </w:rPr>
                <w:t>注3：本公司全资子公司云杉清能公司拥有苏交控清洁能源徐州有限公司100%股权、苏交控新能源科技丰县有限公司100%股权、苏交控丰县再生能源有限公司70%股权、苏交控清洁能源铜山有限公司100%股权、苏交控丰县农业科技有限公司100%股权、溧阳市优科能源有限公司90%股权、苏交控清能江苏公司100%股权、如东公司72%股权、盐城云杉光伏发电有限公司80%股权、常州金坛禾一新能源科技有限公司70%股权、苏交控清洁能源宿迁有限公司49%股权、三峡南通公司</w:t>
              </w:r>
              <w:r>
                <w:rPr>
                  <w:sz w:val="18"/>
                  <w:szCs w:val="18"/>
                </w:rPr>
                <w:t>20%股权（经本公司第十届十七次董事会审议通过，同意云杉清能公司以0元的价格协议收购三峡南通公司原股东江苏东电新能源科技工程有限公司所持4%股权出资额（即人民币7,360万元的出资额）。本次股权交易完成后，云杉清能公司在三峡南通公司股权比例由20%增至24%，注册资本增至人民币44,160 万元。截至本报告日，该项股权收购尚在推进中）、龙源东海风力发电有限公司30%股权及江苏能投新城光伏发电有限公司49%股权</w:t>
              </w:r>
              <w:r>
                <w:rPr>
                  <w:rFonts w:hint="eastAsia"/>
                  <w:sz w:val="18"/>
                  <w:szCs w:val="18"/>
                </w:rPr>
                <w:t>。</w:t>
              </w:r>
            </w:p>
            <w:p>
              <w:pPr>
                <w:jc w:val="both"/>
                <w:rPr>
                  <w:sz w:val="18"/>
                  <w:szCs w:val="18"/>
                </w:rPr>
              </w:pPr>
              <w:r>
                <w:rPr>
                  <w:rFonts w:hint="eastAsia"/>
                  <w:sz w:val="18"/>
                  <w:szCs w:val="18"/>
                </w:rPr>
                <w:t>注4：本公司控股子公司广靖锡澄公司拥有无锡市靖澄广告有限公司100%股权、宜长公司60%股权、常宜公司60%股权、沿江公司25.15%股权、南林饭店公司34.91%股权、联网公司7.24%股权及现代路桥公司7.50%股权。</w:t>
              </w:r>
            </w:p>
          </w:sdtContent>
        </w:sdt>
      </w:sdtContent>
    </w:sdt>
    <w:p>
      <w:pPr>
        <w:pStyle w:val="114"/>
      </w:pPr>
    </w:p>
    <w:sdt>
      <w:sdtPr>
        <w:rPr>
          <w:rFonts w:hint="eastAsia" w:ascii="宋体" w:hAnsi="宋体" w:cs="宋体"/>
          <w:b w:val="0"/>
          <w:bCs w:val="0"/>
          <w:kern w:val="0"/>
          <w:szCs w:val="24"/>
        </w:rPr>
        <w:alias w:val="模块:报告期内核心竞争力分析"/>
        <w:tag w:val="_SEC_95fcc6373f8d4d92bdccbe04323713c4"/>
        <w:id w:val="1399088756"/>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5"/>
            </w:numPr>
            <w:tabs>
              <w:tab w:val="left" w:pos="426"/>
            </w:tabs>
            <w:jc w:val="left"/>
            <w:rPr>
              <w:rFonts w:ascii="宋体" w:hAnsi="宋体"/>
            </w:rPr>
          </w:pPr>
          <w:r>
            <w:rPr>
              <w:rFonts w:hint="eastAsia" w:ascii="宋体" w:hAnsi="宋体"/>
            </w:rPr>
            <w:t>报告期内核心竞争力分析</w:t>
          </w:r>
        </w:p>
        <w:sdt>
          <w:sdtPr>
            <w:alias w:val="是否适用：报告期内核心竞争力分析[双击切换]"/>
            <w:tag w:val="_GBC_f5e4beedb06c4dedb1da9c7f429d840e"/>
            <w:id w:val="-135518135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2aded0644185447a9ec788ba0b35ac4f"/>
            <w:id w:val="-947155207"/>
            <w:lock w:val="sdtLocked"/>
            <w:placeholder>
              <w:docPart w:val="GBC22222222222222222222222222222"/>
            </w:placeholder>
          </w:sdtPr>
          <w:sdtEndPr>
            <w:rPr>
              <w:rFonts w:hint="eastAsia"/>
            </w:rPr>
          </w:sdtEndPr>
          <w:sdtContent>
            <w:p>
              <w:pPr>
                <w:ind w:firstLine="420" w:firstLineChars="200"/>
                <w:jc w:val="both"/>
              </w:pPr>
              <w:r>
                <w:rPr>
                  <w:rFonts w:hint="eastAsia"/>
                </w:rPr>
                <w:t>集团自成立以来一直专注于交通基础设施行业，经营的路段在苏南地区的高速公路网络中占据主导地位，积累了丰富的大型基础设施投资、建设、运营及管理经验，并建立了锐意进取、勇于创新的管理团队和员工队伍，通过完善的投资决策体系、运营管理体系和风险管理体系，并借助良好的融资平台，构建集团在未来经营和发展中独特的竞争优势。</w:t>
              </w:r>
            </w:p>
            <w:p>
              <w:pPr>
                <w:ind w:firstLine="422" w:firstLineChars="200"/>
                <w:jc w:val="both"/>
              </w:pPr>
              <w:r>
                <w:rPr>
                  <w:rFonts w:hint="eastAsia"/>
                  <w:b/>
                </w:rPr>
                <w:t>独特的区位优势。</w:t>
              </w:r>
              <w:r>
                <w:rPr>
                  <w:rFonts w:hint="eastAsia"/>
                </w:rPr>
                <w:t>集团的经营区域位于中国最具活力的长三角地区，所拥有或参股路桥项目是江苏南部沿江和沿沪宁两个重要产业带陆路交通走廊的核心组成部分，随着长三角区域融合一体化发展，区域经济的繁荣为本集团长久发展提供了优越的外部环境，促进了集团经济效益的持续稳定提升。</w:t>
              </w:r>
            </w:p>
            <w:p>
              <w:pPr>
                <w:ind w:firstLine="422" w:firstLineChars="200"/>
                <w:jc w:val="both"/>
              </w:pPr>
              <w:r>
                <w:rPr>
                  <w:rFonts w:hint="eastAsia"/>
                  <w:b/>
                </w:rPr>
                <w:t>优质的路桥资产。</w:t>
              </w:r>
              <w:r>
                <w:rPr>
                  <w:rFonts w:hint="eastAsia"/>
                </w:rPr>
                <w:t>集团控制或参股的收费路桥项目已达17个，核心路桥资产均为江苏省高速公路网的中枢干线，也是全国高速公路网的重要组成部分，路产质量优秀，协同效益体现，优质的路网资源为集团经营业绩的稳定增长奠定了坚实的基础，为集团持续健康发展提供了充分保障。</w:t>
              </w:r>
            </w:p>
            <w:p>
              <w:pPr>
                <w:ind w:firstLine="422" w:firstLineChars="200"/>
                <w:jc w:val="both"/>
              </w:pPr>
              <w:r>
                <w:rPr>
                  <w:rFonts w:hint="eastAsia"/>
                  <w:b/>
                </w:rPr>
                <w:t>领先的运营理念。</w:t>
              </w:r>
              <w:r>
                <w:rPr>
                  <w:rFonts w:hint="eastAsia"/>
                </w:rPr>
                <w:t>集团致力于公路运营，积累了丰富的运营经验，沪宁高速江苏段经营业绩的增长主要源于区域经济的发展带动车流量的增长，高速公路利用率的提高，显示出集团在公路运营管理方面的竞争优势。同时集团以制度筑牢发展成果，建立现代企业经营管控格局，着力打造数字化高速公路和智慧交通，在道路保畅及救援方面达到国内领先水平。</w:t>
              </w:r>
            </w:p>
            <w:p>
              <w:pPr>
                <w:ind w:firstLine="422" w:firstLineChars="200"/>
                <w:jc w:val="both"/>
              </w:pPr>
              <w:r>
                <w:rPr>
                  <w:rFonts w:hint="eastAsia"/>
                  <w:b/>
                </w:rPr>
                <w:t>专业的管理团队。</w:t>
              </w:r>
              <w:r>
                <w:rPr>
                  <w:rFonts w:hint="eastAsia"/>
                </w:rPr>
                <w:t>集团经过多年的积累和发展已拥有一支专业、经验丰富的运营管理团队，在确保集团高速公路运营服务的质量、效率前提下，积极利用资本运营手段优化资产组合、开展优质项目收购，有效降低经营成本及运营风险，持续提升集团战略研究和投资发展能力，保障集团整体盈利能力处于行业领先水平。</w:t>
              </w:r>
            </w:p>
            <w:p>
              <w:pPr>
                <w:ind w:firstLine="422" w:firstLineChars="200"/>
                <w:jc w:val="both"/>
              </w:pPr>
              <w:r>
                <w:rPr>
                  <w:rFonts w:hint="eastAsia"/>
                  <w:b/>
                </w:rPr>
                <w:t>全面的风险管理。</w:t>
              </w:r>
              <w:r>
                <w:rPr>
                  <w:rFonts w:hint="eastAsia"/>
                </w:rPr>
                <w:t>集团主动适应新形势，开展风控体系建设，通过完善顶层设计，明确风险策略，优化风控布局，构建以风险为导向的，法律、合规、内控、风险管理协同运作的大风控体系，优化管理措施，强化过程控制，突出履职管理,有效整合各方面力量，不断推进与新发展格局相适应的风控体系，提升风险治理能力，实现稳健发展的长远目标。</w:t>
              </w:r>
            </w:p>
            <w:p>
              <w:pPr>
                <w:ind w:firstLine="422" w:firstLineChars="200"/>
                <w:jc w:val="both"/>
              </w:pPr>
              <w:r>
                <w:rPr>
                  <w:rFonts w:hint="eastAsia"/>
                  <w:b/>
                </w:rPr>
                <w:t>良好的融资平台。</w:t>
              </w:r>
              <w:r>
                <w:rPr>
                  <w:rFonts w:hint="eastAsia"/>
                </w:rPr>
                <w:t>集团两地上市（香港、上海）、三地交易（香港、上海、纽约），经营稳健，业绩持续增长，资信等级高，资产负债率合理，偿债能力强；投资者关系管理成效显著，长期坚持的高比例现金分红政策，在境内外资本市场拥有稳定的投资者基础和良好的市场形象，融资渠道通畅，有助于集团在未来发展中借力资本市场不断优化融资结构，降低融资成本。</w:t>
              </w:r>
            </w:p>
          </w:sdtContent>
        </w:sdt>
      </w:sdtContent>
    </w:sdt>
    <w:p>
      <w:pPr>
        <w:pStyle w:val="114"/>
      </w:pPr>
    </w:p>
    <w:sdt>
      <w:sdtPr>
        <w:rPr>
          <w:rFonts w:hint="eastAsia" w:ascii="宋体" w:hAnsi="宋体" w:cs="宋体"/>
          <w:b w:val="0"/>
          <w:bCs w:val="0"/>
          <w:kern w:val="0"/>
          <w:szCs w:val="24"/>
        </w:rPr>
        <w:alias w:val="模块:经营情况的讨论与分析"/>
        <w:tag w:val="_GBC_ba3734a9f27a452095f3115c17f4b09e"/>
        <w:id w:val="2102365758"/>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5"/>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1949352085"/>
            <w:lock w:val="sdtLocked"/>
            <w:placeholder>
              <w:docPart w:val="GBC22222222222222222222222222222"/>
            </w:placeholder>
          </w:sdtPr>
          <w:sdtEndPr>
            <w:rPr>
              <w:rFonts w:hint="eastAsia"/>
            </w:rPr>
          </w:sdtEndPr>
          <w:sdtContent>
            <w:p>
              <w:pPr>
                <w:ind w:firstLine="420" w:firstLineChars="200"/>
                <w:jc w:val="both"/>
                <w:rPr>
                  <w:rFonts w:ascii="Calibri" w:hAnsi="Calibri" w:cs="Times New Roman"/>
                  <w:kern w:val="2"/>
                </w:rPr>
              </w:pPr>
              <w:bookmarkStart w:id="26" w:name="_Hlk143250286"/>
              <w:r>
                <w:rPr>
                  <w:rFonts w:hint="eastAsia" w:ascii="Calibri" w:hAnsi="Calibri" w:cs="Calibri"/>
                  <w:kern w:val="2"/>
                </w:rPr>
                <w:t>2023</w:t>
              </w:r>
              <w:r>
                <w:rPr>
                  <w:rFonts w:hint="eastAsia" w:cs="Times New Roman"/>
                  <w:kern w:val="2"/>
                </w:rPr>
                <w:t>年是我国实施“十四五”规划承前启后的关键一年，上半年实现国内生产总值同比增长</w:t>
              </w:r>
              <w:r>
                <w:rPr>
                  <w:rFonts w:hint="eastAsia" w:ascii="Calibri" w:hAnsi="Calibri" w:cs="Calibri"/>
                  <w:kern w:val="2"/>
                </w:rPr>
                <w:t>5.5</w:t>
              </w:r>
              <w:bookmarkStart w:id="27" w:name="_Hlk143250232"/>
              <w:r>
                <w:rPr>
                  <w:rFonts w:hint="eastAsia" w:ascii="Calibri" w:hAnsi="Calibri" w:cs="Calibri"/>
                  <w:kern w:val="2"/>
                </w:rPr>
                <w:t>%</w:t>
              </w:r>
              <w:r>
                <w:rPr>
                  <w:rFonts w:hint="eastAsia" w:cs="Times New Roman"/>
                  <w:kern w:val="2"/>
                </w:rPr>
                <w:t>。</w:t>
              </w:r>
              <w:bookmarkEnd w:id="26"/>
              <w:r>
                <w:rPr>
                  <w:rFonts w:hint="eastAsia" w:cs="Times New Roman"/>
                  <w:kern w:val="2"/>
                </w:rPr>
                <w:t>在经济运行整体回升向好的态势下，交通运输需求重回增长区间。集团立足重要战略机遇期，以主业为支撑，以创新为动力，坚定不移走高质量发展道路，各项工作扎实有序推进，经营效益再上新台阶。</w:t>
              </w:r>
            </w:p>
            <w:p>
              <w:pPr>
                <w:widowControl w:val="0"/>
                <w:ind w:firstLine="420" w:firstLineChars="200"/>
                <w:jc w:val="both"/>
                <w:rPr>
                  <w:rFonts w:ascii="Calibri" w:hAnsi="Calibri" w:cs="Times New Roman"/>
                  <w:kern w:val="2"/>
                </w:rPr>
              </w:pPr>
              <w:r>
                <w:rPr>
                  <w:rFonts w:hint="eastAsia" w:cs="Times New Roman"/>
                  <w:kern w:val="2"/>
                </w:rPr>
                <w:t>截至</w:t>
              </w:r>
              <w:r>
                <w:rPr>
                  <w:rFonts w:hint="eastAsia" w:ascii="Calibri" w:hAnsi="Calibri" w:cs="Calibri"/>
                  <w:kern w:val="2"/>
                </w:rPr>
                <w:t>2023</w:t>
              </w:r>
              <w:r>
                <w:rPr>
                  <w:rFonts w:hint="eastAsia" w:cs="Times New Roman"/>
                  <w:kern w:val="2"/>
                </w:rPr>
                <w:t>年</w:t>
              </w:r>
              <w:r>
                <w:rPr>
                  <w:rFonts w:hint="eastAsia" w:ascii="Calibri" w:hAnsi="Calibri" w:cs="Calibri"/>
                  <w:kern w:val="2"/>
                </w:rPr>
                <w:t>6</w:t>
              </w:r>
              <w:r>
                <w:rPr>
                  <w:rFonts w:hint="eastAsia" w:cs="Times New Roman"/>
                  <w:kern w:val="2"/>
                </w:rPr>
                <w:t>月末，公司总资产约人民币</w:t>
              </w:r>
              <w:r>
                <w:rPr>
                  <w:rFonts w:hint="eastAsia" w:ascii="Calibri" w:hAnsi="Calibri" w:cs="Calibri"/>
                  <w:kern w:val="2"/>
                </w:rPr>
                <w:t>797.88</w:t>
              </w:r>
              <w:r>
                <w:rPr>
                  <w:rFonts w:hint="eastAsia" w:cs="Times New Roman"/>
                  <w:kern w:val="2"/>
                </w:rPr>
                <w:t>亿元，归属于上市公司股东净资产约人民币</w:t>
              </w:r>
              <w:r>
                <w:rPr>
                  <w:rFonts w:hint="eastAsia" w:ascii="Calibri" w:hAnsi="Calibri" w:cs="Calibri"/>
                  <w:kern w:val="2"/>
                </w:rPr>
                <w:t>322.10</w:t>
              </w:r>
              <w:r>
                <w:rPr>
                  <w:rFonts w:hint="eastAsia" w:cs="Times New Roman"/>
                  <w:kern w:val="2"/>
                </w:rPr>
                <w:t>亿元。报告期内，公司营业收入同比增长约</w:t>
              </w:r>
              <w:r>
                <w:rPr>
                  <w:rFonts w:hint="eastAsia" w:ascii="Calibri" w:hAnsi="Calibri" w:cs="Calibri"/>
                  <w:kern w:val="2"/>
                </w:rPr>
                <w:t>46.37%</w:t>
              </w:r>
              <w:r>
                <w:rPr>
                  <w:rFonts w:hint="eastAsia" w:cs="Times New Roman"/>
                  <w:kern w:val="2"/>
                </w:rPr>
                <w:t>至约人民币</w:t>
              </w:r>
              <w:r>
                <w:rPr>
                  <w:rFonts w:hint="eastAsia" w:ascii="Calibri" w:hAnsi="Calibri" w:cs="Calibri"/>
                  <w:kern w:val="2"/>
                </w:rPr>
                <w:t>71.36</w:t>
              </w:r>
              <w:r>
                <w:rPr>
                  <w:rFonts w:hint="eastAsia" w:cs="Times New Roman"/>
                  <w:kern w:val="2"/>
                </w:rPr>
                <w:t>亿元，利润总额同比增长约</w:t>
              </w:r>
              <w:r>
                <w:rPr>
                  <w:rFonts w:hint="eastAsia" w:ascii="Calibri" w:hAnsi="Calibri" w:cs="Calibri"/>
                  <w:kern w:val="2"/>
                </w:rPr>
                <w:t>41.83%</w:t>
              </w:r>
              <w:r>
                <w:rPr>
                  <w:rFonts w:hint="eastAsia" w:cs="Times New Roman"/>
                  <w:kern w:val="2"/>
                </w:rPr>
                <w:t>至约人民币</w:t>
              </w:r>
              <w:r>
                <w:rPr>
                  <w:rFonts w:hint="eastAsia" w:ascii="Calibri" w:hAnsi="Calibri" w:cs="Calibri"/>
                  <w:kern w:val="2"/>
                </w:rPr>
                <w:t>32.16</w:t>
              </w:r>
              <w:r>
                <w:rPr>
                  <w:rFonts w:hint="eastAsia" w:cs="Times New Roman"/>
                  <w:kern w:val="2"/>
                </w:rPr>
                <w:t>亿元，归属于上市公司股东净利润约人民币</w:t>
              </w:r>
              <w:r>
                <w:rPr>
                  <w:rFonts w:hint="eastAsia" w:ascii="Calibri" w:hAnsi="Calibri" w:cs="Calibri"/>
                  <w:kern w:val="2"/>
                </w:rPr>
                <w:t>24.82</w:t>
              </w:r>
              <w:r>
                <w:rPr>
                  <w:rFonts w:hint="eastAsia" w:cs="Times New Roman"/>
                  <w:kern w:val="2"/>
                </w:rPr>
                <w:t>亿元，每股收益约人民币</w:t>
              </w:r>
              <w:r>
                <w:rPr>
                  <w:rFonts w:hint="eastAsia" w:ascii="Calibri" w:hAnsi="Calibri" w:cs="Calibri"/>
                  <w:kern w:val="2"/>
                </w:rPr>
                <w:t>0.4927</w:t>
              </w:r>
              <w:r>
                <w:rPr>
                  <w:rFonts w:hint="eastAsia" w:cs="Times New Roman"/>
                  <w:kern w:val="2"/>
                </w:rPr>
                <w:t>元；经营性净现金流约人民币</w:t>
              </w:r>
              <w:r>
                <w:rPr>
                  <w:rFonts w:hint="eastAsia" w:ascii="Calibri" w:hAnsi="Calibri" w:cs="Calibri"/>
                  <w:kern w:val="2"/>
                </w:rPr>
                <w:t>36.31</w:t>
              </w:r>
              <w:r>
                <w:rPr>
                  <w:rFonts w:hint="eastAsia" w:cs="Times New Roman"/>
                  <w:kern w:val="2"/>
                </w:rPr>
                <w:t>亿元，加权平均净资产收益率</w:t>
              </w:r>
              <w:r>
                <w:rPr>
                  <w:rFonts w:hint="eastAsia" w:ascii="Calibri" w:hAnsi="Calibri" w:cs="Calibri"/>
                  <w:kern w:val="2"/>
                </w:rPr>
                <w:t>7.47%</w:t>
              </w:r>
              <w:r>
                <w:rPr>
                  <w:rFonts w:hint="eastAsia" w:cs="Times New Roman"/>
                  <w:kern w:val="2"/>
                </w:rPr>
                <w:t>。</w:t>
              </w:r>
            </w:p>
            <w:p>
              <w:pPr>
                <w:widowControl w:val="0"/>
                <w:ind w:firstLine="422" w:firstLineChars="200"/>
                <w:jc w:val="both"/>
                <w:rPr>
                  <w:rFonts w:ascii="Calibri" w:hAnsi="Calibri" w:cs="Times New Roman"/>
                  <w:b/>
                  <w:bCs/>
                  <w:kern w:val="2"/>
                </w:rPr>
              </w:pPr>
              <w:r>
                <w:rPr>
                  <w:rFonts w:hint="eastAsia" w:ascii="Calibri" w:hAnsi="Calibri" w:cs="Calibri"/>
                  <w:b/>
                  <w:bCs/>
                  <w:kern w:val="2"/>
                </w:rPr>
                <w:t>1</w:t>
              </w:r>
              <w:r>
                <w:rPr>
                  <w:rFonts w:hint="eastAsia" w:cs="Times New Roman"/>
                  <w:b/>
                  <w:bCs/>
                  <w:kern w:val="2"/>
                </w:rPr>
                <w:t>、路桥主业。</w:t>
              </w:r>
            </w:p>
            <w:p>
              <w:pPr>
                <w:widowControl w:val="0"/>
                <w:ind w:firstLine="422" w:firstLineChars="200"/>
                <w:jc w:val="both"/>
                <w:rPr>
                  <w:rFonts w:cs="Times New Roman"/>
                  <w:b/>
                  <w:bCs/>
                  <w:kern w:val="2"/>
                </w:rPr>
              </w:pPr>
              <w:r>
                <w:rPr>
                  <w:rFonts w:hint="eastAsia" w:cs="Times New Roman"/>
                  <w:b/>
                  <w:bCs/>
                  <w:kern w:val="2"/>
                </w:rPr>
                <w:t>一是主业投资方面。</w:t>
              </w:r>
            </w:p>
            <w:p>
              <w:pPr>
                <w:widowControl w:val="0"/>
                <w:ind w:firstLine="422" w:firstLineChars="200"/>
                <w:jc w:val="both"/>
                <w:rPr>
                  <w:rFonts w:ascii="Calibri" w:hAnsi="Calibri" w:cs="Times New Roman"/>
                  <w:kern w:val="2"/>
                </w:rPr>
              </w:pPr>
              <w:r>
                <w:rPr>
                  <w:rFonts w:hint="eastAsia" w:cs="Times New Roman"/>
                  <w:b/>
                  <w:bCs/>
                  <w:kern w:val="2"/>
                </w:rPr>
                <w:t>龙潭大桥及北接线项目建设有序。</w:t>
              </w:r>
              <w:r>
                <w:rPr>
                  <w:rFonts w:hint="eastAsia" w:cs="Times New Roman"/>
                  <w:kern w:val="2"/>
                </w:rPr>
                <w:t>报告期内，龙潭大桥项目投资建设资金约人民币</w:t>
              </w:r>
              <w:r>
                <w:rPr>
                  <w:rFonts w:hint="eastAsia" w:ascii="Calibri" w:hAnsi="Calibri" w:cs="Calibri"/>
                  <w:kern w:val="2"/>
                </w:rPr>
                <w:t>3.51</w:t>
              </w:r>
              <w:r>
                <w:rPr>
                  <w:rFonts w:hint="eastAsia" w:cs="Times New Roman"/>
                  <w:kern w:val="2"/>
                </w:rPr>
                <w:t>亿元，累计投入建设资金约人民币</w:t>
              </w:r>
              <w:r>
                <w:rPr>
                  <w:rFonts w:hint="eastAsia" w:ascii="Calibri" w:hAnsi="Calibri" w:cs="Calibri"/>
                  <w:kern w:val="2"/>
                </w:rPr>
                <w:t>34.87</w:t>
              </w:r>
              <w:r>
                <w:rPr>
                  <w:rFonts w:hint="eastAsia" w:cs="Times New Roman"/>
                  <w:kern w:val="2"/>
                </w:rPr>
                <w:t>亿元，占项目总投资的</w:t>
              </w:r>
              <w:r>
                <w:rPr>
                  <w:rFonts w:hint="eastAsia" w:ascii="Calibri" w:hAnsi="Calibri" w:cs="Calibri"/>
                  <w:kern w:val="2"/>
                </w:rPr>
                <w:t>55.76%</w:t>
              </w:r>
              <w:r>
                <w:rPr>
                  <w:rFonts w:hint="eastAsia" w:cs="Times New Roman"/>
                  <w:kern w:val="2"/>
                </w:rPr>
                <w:t>。龙潭大桥北接线项目作为将在建龙潭大桥接入高速公路网的关键性工程，于</w:t>
              </w:r>
              <w:r>
                <w:rPr>
                  <w:rFonts w:hint="eastAsia" w:ascii="Calibri" w:hAnsi="Calibri" w:cs="Calibri"/>
                  <w:kern w:val="2"/>
                </w:rPr>
                <w:t>2022</w:t>
              </w:r>
              <w:r>
                <w:rPr>
                  <w:rFonts w:hint="eastAsia" w:cs="Times New Roman"/>
                  <w:kern w:val="2"/>
                </w:rPr>
                <w:t>年</w:t>
              </w:r>
              <w:r>
                <w:rPr>
                  <w:rFonts w:hint="eastAsia" w:ascii="Calibri" w:hAnsi="Calibri" w:cs="Calibri"/>
                  <w:kern w:val="2"/>
                </w:rPr>
                <w:t>8</w:t>
              </w:r>
              <w:r>
                <w:rPr>
                  <w:rFonts w:hint="eastAsia" w:cs="Times New Roman"/>
                  <w:kern w:val="2"/>
                </w:rPr>
                <w:t>月开工，报告期内投入建设资金约人民币</w:t>
              </w:r>
              <w:r>
                <w:rPr>
                  <w:rFonts w:hint="eastAsia" w:ascii="Calibri" w:hAnsi="Calibri" w:cs="Calibri"/>
                  <w:kern w:val="2"/>
                </w:rPr>
                <w:t>3.94</w:t>
              </w:r>
              <w:r>
                <w:rPr>
                  <w:rFonts w:hint="eastAsia" w:cs="Times New Roman"/>
                  <w:kern w:val="2"/>
                </w:rPr>
                <w:t>亿元，累计投入建设资金约人民币</w:t>
              </w:r>
              <w:r>
                <w:rPr>
                  <w:rFonts w:hint="eastAsia" w:ascii="Calibri" w:hAnsi="Calibri" w:cs="Calibri"/>
                  <w:kern w:val="2"/>
                </w:rPr>
                <w:t>20.4</w:t>
              </w:r>
              <w:r>
                <w:rPr>
                  <w:rFonts w:hint="eastAsia" w:cs="Times New Roman"/>
                  <w:kern w:val="2"/>
                </w:rPr>
                <w:t>亿元，占项目总投资的</w:t>
              </w:r>
              <w:r>
                <w:rPr>
                  <w:rFonts w:hint="eastAsia" w:ascii="Calibri" w:hAnsi="Calibri" w:cs="Calibri"/>
                  <w:kern w:val="2"/>
                </w:rPr>
                <w:t>29.21%</w:t>
              </w:r>
              <w:r>
                <w:rPr>
                  <w:rFonts w:hint="eastAsia" w:cs="Times New Roman"/>
                  <w:kern w:val="2"/>
                </w:rPr>
                <w:t>。</w:t>
              </w:r>
              <w:r>
                <w:rPr>
                  <w:rFonts w:hint="eastAsia" w:cs="Times New Roman"/>
                  <w:b/>
                  <w:bCs/>
                  <w:kern w:val="2"/>
                </w:rPr>
                <w:t>稳步推进锡宜高速公路南段扩建项目。</w:t>
              </w:r>
              <w:r>
                <w:rPr>
                  <w:rFonts w:hint="eastAsia" w:cs="Times New Roman"/>
                  <w:kern w:val="2"/>
                </w:rPr>
                <w:t>项目于</w:t>
              </w:r>
              <w:r>
                <w:rPr>
                  <w:rFonts w:hint="eastAsia" w:ascii="Calibri" w:hAnsi="Calibri" w:cs="Calibri"/>
                  <w:kern w:val="2"/>
                </w:rPr>
                <w:t>2023</w:t>
              </w:r>
              <w:r>
                <w:rPr>
                  <w:rFonts w:hint="eastAsia" w:cs="Times New Roman"/>
                  <w:kern w:val="2"/>
                </w:rPr>
                <w:t>年</w:t>
              </w:r>
              <w:r>
                <w:rPr>
                  <w:rFonts w:hint="eastAsia" w:ascii="Calibri" w:hAnsi="Calibri" w:cs="Calibri"/>
                  <w:kern w:val="2"/>
                </w:rPr>
                <w:t>1</w:t>
              </w:r>
              <w:r>
                <w:rPr>
                  <w:rFonts w:hint="eastAsia" w:cs="Times New Roman"/>
                  <w:kern w:val="2"/>
                </w:rPr>
                <w:t>月</w:t>
              </w:r>
              <w:r>
                <w:rPr>
                  <w:rFonts w:hint="eastAsia" w:ascii="Calibri" w:hAnsi="Calibri" w:cs="Calibri"/>
                  <w:kern w:val="2"/>
                </w:rPr>
                <w:t>6</w:t>
              </w:r>
              <w:r>
                <w:rPr>
                  <w:rFonts w:hint="eastAsia" w:cs="Times New Roman"/>
                  <w:kern w:val="2"/>
                </w:rPr>
                <w:t>日开工，将于</w:t>
              </w:r>
              <w:r>
                <w:rPr>
                  <w:rFonts w:hint="eastAsia" w:ascii="Calibri" w:hAnsi="Calibri" w:cs="Calibri"/>
                  <w:kern w:val="2"/>
                </w:rPr>
                <w:t>2026</w:t>
              </w:r>
              <w:r>
                <w:rPr>
                  <w:rFonts w:hint="eastAsia" w:cs="Times New Roman"/>
                  <w:kern w:val="2"/>
                </w:rPr>
                <w:t>年</w:t>
              </w:r>
              <w:r>
                <w:rPr>
                  <w:rFonts w:hint="eastAsia" w:ascii="Calibri" w:hAnsi="Calibri" w:cs="Calibri"/>
                  <w:kern w:val="2"/>
                </w:rPr>
                <w:t>6</w:t>
              </w:r>
              <w:r>
                <w:rPr>
                  <w:rFonts w:hint="eastAsia" w:cs="Times New Roman"/>
                  <w:kern w:val="2"/>
                </w:rPr>
                <w:t>月底建成通车。锡宜高速公路南段扩建项目本报告期内投资建设资金约人民币</w:t>
              </w:r>
              <w:r>
                <w:rPr>
                  <w:rFonts w:cs="Times New Roman"/>
                  <w:kern w:val="2"/>
                </w:rPr>
                <w:t>2.58亿元，累计投入建设资金约人民币8.75亿元，占项目总投资的 11.28%。</w:t>
              </w:r>
              <w:r>
                <w:rPr>
                  <w:rFonts w:hint="eastAsia" w:cs="Times New Roman"/>
                  <w:kern w:val="2"/>
                </w:rPr>
                <w:t>本次改扩建能够极大地提高锡宜高速的通行能力，缓解交通压力、提升服务水平，创造经济和社会效益。</w:t>
              </w:r>
              <w:r>
                <w:rPr>
                  <w:rFonts w:hint="eastAsia" w:cs="Times New Roman"/>
                  <w:b/>
                  <w:bCs/>
                  <w:kern w:val="2"/>
                </w:rPr>
                <w:t>积极筹备沪宁高速公路江苏段改扩建项目。</w:t>
              </w:r>
              <w:r>
                <w:rPr>
                  <w:rFonts w:hint="eastAsia" w:cs="Times New Roman"/>
                  <w:kern w:val="2"/>
                </w:rPr>
                <w:t>报告期内，公司开展沪宁高速公路江苏段扩容前期研究工作，编制规划方案。沪宁高速扩建有助于提升国家通道通行能力和服务水平，助力苏南五市都市圈集聚发展。</w:t>
              </w:r>
            </w:p>
            <w:p>
              <w:pPr>
                <w:widowControl w:val="0"/>
                <w:ind w:firstLine="422" w:firstLineChars="200"/>
                <w:jc w:val="both"/>
                <w:rPr>
                  <w:rFonts w:ascii="Calibri" w:hAnsi="Calibri" w:cs="Times New Roman"/>
                  <w:b/>
                  <w:bCs/>
                  <w:kern w:val="2"/>
                </w:rPr>
              </w:pPr>
              <w:r>
                <w:rPr>
                  <w:rFonts w:hint="eastAsia" w:cs="Times New Roman"/>
                  <w:b/>
                  <w:bCs/>
                  <w:kern w:val="2"/>
                </w:rPr>
                <w:t>二是路桥运维方面。</w:t>
              </w:r>
            </w:p>
            <w:p>
              <w:pPr>
                <w:ind w:firstLine="422" w:firstLineChars="200"/>
                <w:jc w:val="both"/>
              </w:pPr>
              <w:r>
                <w:rPr>
                  <w:rFonts w:hint="eastAsia" w:cs="Times New Roman"/>
                  <w:b/>
                  <w:bCs/>
                  <w:kern w:val="2"/>
                </w:rPr>
                <w:t>安全为基，守正创新。</w:t>
              </w:r>
              <w:r>
                <w:rPr>
                  <w:rFonts w:hint="eastAsia" w:cs="Times New Roman"/>
                  <w:kern w:val="2"/>
                </w:rPr>
                <w:t>报告期内，公司强化道路安全管理，重点对大流量隐患路段交安设施进行交安提升，完成多处高风险路段的改造；在沪宁高速全线推广应用新型高亮标线、加密新型轮廓标，有效提升高速公路夜间行车诱导效果，有效压降事故率；在交通运输部公路局的指导下，牵头承办</w:t>
              </w:r>
              <w:r>
                <w:rPr>
                  <w:rFonts w:ascii="Calibri" w:hAnsi="Calibri" w:cs="Times New Roman"/>
                  <w:kern w:val="2"/>
                </w:rPr>
                <w:t>2023</w:t>
              </w:r>
              <w:r>
                <w:rPr>
                  <w:rFonts w:hint="eastAsia" w:cs="Times New Roman"/>
                  <w:kern w:val="2"/>
                </w:rPr>
                <w:t>年公路特长水下隧道应急演练，强化多部门应急联勤联动，形成了科学、规范、高效的救援体系，打造公路水下隧道救援样板，获得行业专家的高度评价。</w:t>
              </w:r>
              <w:r>
                <w:rPr>
                  <w:rFonts w:hint="eastAsia" w:cs="Times New Roman"/>
                  <w:b/>
                  <w:bCs/>
                  <w:kern w:val="2"/>
                </w:rPr>
                <w:t>多点发力，管养升级。</w:t>
              </w:r>
              <w:r>
                <w:rPr>
                  <w:rFonts w:hint="eastAsia" w:cs="Times New Roman"/>
                  <w:kern w:val="2"/>
                </w:rPr>
                <w:t>通过高度集成化的项目管控措施，高效推进集约化养护工作，控制养护成本，有效节省工期，助力通行效率提升；加强路面养护全寿命周期管理，以科学养护提升道路使用性能和寿命。报告期末，公司所辖路段道路</w:t>
              </w:r>
              <w:r>
                <w:rPr>
                  <w:rFonts w:ascii="Calibri" w:hAnsi="Calibri" w:cs="Times New Roman"/>
                  <w:kern w:val="2"/>
                </w:rPr>
                <w:t>MQI</w:t>
              </w:r>
              <w:r>
                <w:rPr>
                  <w:rStyle w:val="43"/>
                  <w:rFonts w:cs="Times New Roman"/>
                  <w:kern w:val="2"/>
                </w:rPr>
                <w:footnoteReference w:id="0"/>
              </w:r>
              <w:r>
                <w:rPr>
                  <w:rFonts w:hint="eastAsia" w:cs="Times New Roman"/>
                  <w:kern w:val="2"/>
                </w:rPr>
                <w:t>及</w:t>
              </w:r>
              <w:r>
                <w:rPr>
                  <w:rFonts w:ascii="Calibri" w:hAnsi="Calibri" w:cs="Times New Roman"/>
                  <w:kern w:val="2"/>
                </w:rPr>
                <w:t>PQI</w:t>
              </w:r>
              <w:r>
                <w:rPr>
                  <w:rStyle w:val="43"/>
                  <w:rFonts w:cs="Times New Roman"/>
                  <w:kern w:val="2"/>
                </w:rPr>
                <w:footnoteReference w:id="1"/>
              </w:r>
              <w:r>
                <w:rPr>
                  <w:rFonts w:hint="eastAsia" w:cs="Times New Roman"/>
                  <w:kern w:val="2"/>
                </w:rPr>
                <w:t>分别达到</w:t>
              </w:r>
              <w:r>
                <w:rPr>
                  <w:rFonts w:ascii="Calibri" w:hAnsi="Calibri" w:cs="Times New Roman"/>
                  <w:kern w:val="2"/>
                </w:rPr>
                <w:t>96.45</w:t>
              </w:r>
              <w:r>
                <w:rPr>
                  <w:rFonts w:hint="eastAsia" w:cs="Times New Roman"/>
                  <w:kern w:val="2"/>
                </w:rPr>
                <w:t>和</w:t>
              </w:r>
              <w:r>
                <w:rPr>
                  <w:rFonts w:ascii="Calibri" w:hAnsi="Calibri" w:cs="Calibri"/>
                  <w:kern w:val="2"/>
                </w:rPr>
                <w:t>96.55</w:t>
              </w:r>
              <w:r>
                <w:rPr>
                  <w:rFonts w:hint="eastAsia" w:cs="Times New Roman"/>
                  <w:kern w:val="2"/>
                </w:rPr>
                <w:t>，</w:t>
              </w:r>
              <w:r>
                <w:rPr>
                  <w:rFonts w:hint="eastAsia" w:ascii="Calibri" w:hAnsi="Calibri" w:cs="Calibri"/>
                  <w:kern w:val="2"/>
                </w:rPr>
                <w:t>1</w:t>
              </w:r>
              <w:r>
                <w:rPr>
                  <w:rFonts w:hint="eastAsia" w:cs="Times New Roman"/>
                  <w:kern w:val="2"/>
                </w:rPr>
                <w:t>、</w:t>
              </w:r>
              <w:r>
                <w:rPr>
                  <w:rFonts w:hint="eastAsia" w:ascii="Calibri" w:hAnsi="Calibri" w:cs="Calibri"/>
                  <w:kern w:val="2"/>
                </w:rPr>
                <w:t>2</w:t>
              </w:r>
              <w:r>
                <w:rPr>
                  <w:rFonts w:hint="eastAsia" w:cs="Times New Roman"/>
                  <w:kern w:val="2"/>
                </w:rPr>
                <w:t>类桥梁</w:t>
              </w:r>
              <w:r>
                <w:rPr>
                  <w:rStyle w:val="43"/>
                  <w:rFonts w:cs="Times New Roman"/>
                  <w:kern w:val="2"/>
                </w:rPr>
                <w:footnoteReference w:id="2"/>
              </w:r>
              <w:r>
                <w:rPr>
                  <w:rFonts w:hint="eastAsia" w:cs="Times New Roman"/>
                  <w:kern w:val="2"/>
                </w:rPr>
                <w:t>比例始终保持</w:t>
              </w:r>
              <w:r>
                <w:rPr>
                  <w:rFonts w:hint="eastAsia" w:ascii="Calibri" w:hAnsi="Calibri" w:cs="Calibri"/>
                  <w:kern w:val="2"/>
                </w:rPr>
                <w:t>100%</w:t>
              </w:r>
              <w:r>
                <w:rPr>
                  <w:rFonts w:hint="eastAsia" w:cs="Times New Roman"/>
                  <w:kern w:val="2"/>
                </w:rPr>
                <w:t>；持续探索无人智能化施工技术，提升科研创新能力。报告期内，公司多项</w:t>
              </w:r>
              <w:r>
                <w:rPr>
                  <w:rFonts w:ascii="Calibri" w:hAnsi="Calibri" w:cs="Calibri"/>
                  <w:kern w:val="2"/>
                </w:rPr>
                <w:t>QC</w:t>
              </w:r>
              <w:r>
                <w:rPr>
                  <w:rStyle w:val="43"/>
                  <w:rFonts w:cs="Times New Roman"/>
                  <w:kern w:val="2"/>
                </w:rPr>
                <w:footnoteReference w:id="3"/>
              </w:r>
              <w:r>
                <w:rPr>
                  <w:rFonts w:hint="eastAsia" w:cs="Times New Roman"/>
                  <w:kern w:val="2"/>
                </w:rPr>
                <w:t>课题荣获国家级和省级优秀成果，《沪宁高速公路</w:t>
              </w:r>
              <w:r>
                <w:rPr>
                  <w:rFonts w:hint="eastAsia" w:ascii="Calibri" w:hAnsi="Calibri" w:cs="Calibri"/>
                  <w:kern w:val="2"/>
                </w:rPr>
                <w:t>25</w:t>
              </w:r>
              <w:r>
                <w:rPr>
                  <w:rFonts w:hint="eastAsia" w:cs="Times New Roman"/>
                  <w:kern w:val="2"/>
                </w:rPr>
                <w:t>年沥青路面高效养护综合技术研发与跟踪验证示范》项目获评第十九届交通企业协会现代化创新成果一等奖。</w:t>
              </w:r>
              <w:r>
                <w:rPr>
                  <w:rFonts w:hint="eastAsia" w:cs="Times New Roman"/>
                  <w:b/>
                  <w:bCs/>
                  <w:kern w:val="2"/>
                </w:rPr>
                <w:t>智慧赋能，发展同频。</w:t>
              </w:r>
              <w:r>
                <w:rPr>
                  <w:rFonts w:hint="eastAsia" w:cs="Times New Roman"/>
                  <w:kern w:val="2"/>
                </w:rPr>
                <w:t>持续升级大流量管控系统，目前已全面实现全车道的动态管控，进一步提升大流量路段的通行效率和应急能力；以苏州收费站、阳澄湖服务区为试点进行智慧升级，上线自助通行、停车诱导等多项功能，优化用户高速出行体验感；开发公司综合营运管理全平台，构建数字中台，强化大数据分析能力，切实提升科学决策水平；稳步推进“准自由流”的全面铺开，报告期内完成方案设计，预计新增自助车道</w:t>
              </w:r>
              <w:r>
                <w:rPr>
                  <w:rFonts w:hint="eastAsia" w:ascii="Calibri" w:hAnsi="Calibri" w:cs="Calibri"/>
                  <w:kern w:val="2"/>
                </w:rPr>
                <w:t>60</w:t>
              </w:r>
              <w:r>
                <w:rPr>
                  <w:rFonts w:hint="eastAsia" w:cs="Times New Roman"/>
                  <w:kern w:val="2"/>
                </w:rPr>
                <w:t>余条。利用新型收费机器人代替传统人工收费，预计单站平均节约人工成本超过</w:t>
              </w:r>
              <w:r>
                <w:rPr>
                  <w:rFonts w:hint="eastAsia" w:ascii="Calibri" w:hAnsi="Calibri" w:cs="Calibri"/>
                  <w:kern w:val="2"/>
                </w:rPr>
                <w:t>20%</w:t>
              </w:r>
              <w:r>
                <w:rPr>
                  <w:rFonts w:hint="eastAsia" w:cs="Times New Roman"/>
                  <w:kern w:val="2"/>
                </w:rPr>
                <w:t>。</w:t>
              </w:r>
              <w:r>
                <w:rPr>
                  <w:rFonts w:hint="eastAsia" w:cs="Times New Roman"/>
                  <w:b/>
                  <w:bCs/>
                  <w:kern w:val="2"/>
                </w:rPr>
                <w:t>绿色发展，先行先试。</w:t>
              </w:r>
              <w:r>
                <w:rPr>
                  <w:rFonts w:hint="eastAsia" w:cs="Times New Roman"/>
                  <w:kern w:val="2"/>
                </w:rPr>
                <w:t>以沪宁高速无锡段为试点，基于同一路段内交通流量与沿线噪声的实时监测数据，建立经过实测数据验证的交通量与噪声影响的计算模型，量化分析交通流量对沿线噪音的影响，为评估未来高速沿线噪音影响水平提供技术支撑，为噪声的治理与防控提供规划决策的科学依据，续写绿色发展新篇章。</w:t>
              </w:r>
            </w:p>
            <w:p>
              <w:pPr>
                <w:widowControl w:val="0"/>
                <w:ind w:firstLine="422" w:firstLineChars="200"/>
                <w:jc w:val="both"/>
                <w:rPr>
                  <w:rFonts w:ascii="Calibri" w:hAnsi="Calibri" w:cs="Times New Roman"/>
                  <w:b/>
                  <w:bCs/>
                  <w:kern w:val="2"/>
                </w:rPr>
              </w:pPr>
              <w:r>
                <w:rPr>
                  <w:rFonts w:hint="eastAsia" w:cs="Times New Roman"/>
                  <w:b/>
                  <w:bCs/>
                  <w:kern w:val="2"/>
                </w:rPr>
                <w:t>三是路桥运营情况方面。</w:t>
              </w:r>
            </w:p>
            <w:p>
              <w:pPr>
                <w:widowControl w:val="0"/>
                <w:ind w:firstLine="420" w:firstLineChars="200"/>
                <w:jc w:val="both"/>
                <w:rPr>
                  <w:rFonts w:ascii="Calibri" w:hAnsi="Calibri" w:cs="Times New Roman"/>
                  <w:kern w:val="2"/>
                </w:rPr>
              </w:pPr>
              <w:r>
                <w:rPr>
                  <w:rFonts w:hint="eastAsia" w:cs="Times New Roman"/>
                  <w:kern w:val="2"/>
                </w:rPr>
                <w:t>本报告期，本公司及其子公司收费公路业务呈现稳中有进的发展态势，经营路网通行量同比上升。受此影响，本集团实现通行费收入约人民币</w:t>
              </w:r>
              <w:r>
                <w:rPr>
                  <w:rFonts w:hint="eastAsia" w:ascii="Calibri" w:hAnsi="Calibri" w:cs="Calibri"/>
                  <w:kern w:val="2"/>
                </w:rPr>
                <w:t>4,522,386</w:t>
              </w:r>
              <w:r>
                <w:rPr>
                  <w:rFonts w:hint="eastAsia" w:cs="Times New Roman"/>
                  <w:kern w:val="2"/>
                </w:rPr>
                <w:t>千元，同比增长约</w:t>
              </w:r>
              <w:r>
                <w:rPr>
                  <w:rFonts w:hint="eastAsia" w:ascii="Calibri" w:hAnsi="Calibri" w:cs="Calibri"/>
                  <w:kern w:val="2"/>
                </w:rPr>
                <w:t>35.67%</w:t>
              </w:r>
              <w:r>
                <w:rPr>
                  <w:rFonts w:hint="eastAsia" w:cs="Times New Roman"/>
                  <w:kern w:val="2"/>
                </w:rPr>
                <w:t>，通行费收入占集团总营业收入约</w:t>
              </w:r>
              <w:r>
                <w:rPr>
                  <w:rFonts w:hint="eastAsia" w:ascii="Calibri" w:hAnsi="Calibri" w:cs="Calibri"/>
                  <w:kern w:val="2"/>
                </w:rPr>
                <w:t>63.37%</w:t>
              </w:r>
              <w:r>
                <w:rPr>
                  <w:rFonts w:hint="eastAsia" w:cs="Times New Roman"/>
                  <w:kern w:val="2"/>
                </w:rPr>
                <w:t>。报告期内，各路桥项目的运营数据如下：</w:t>
              </w:r>
            </w:p>
            <w:tbl>
              <w:tblPr>
                <w:tblStyle w:val="414"/>
                <w:tblW w:w="491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8"/>
                <w:gridCol w:w="2441"/>
                <w:gridCol w:w="1838"/>
                <w:gridCol w:w="1562"/>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cs="Times New Roman"/>
                        <w:kern w:val="2"/>
                      </w:rPr>
                    </w:pPr>
                    <w:r>
                      <w:rPr>
                        <w:rFonts w:hint="eastAsia" w:cs="Times New Roman"/>
                        <w:kern w:val="2"/>
                      </w:rPr>
                      <w:t>项目</w:t>
                    </w:r>
                  </w:p>
                </w:tc>
                <w:tc>
                  <w:tcPr>
                    <w:tcW w:w="1371" w:type="pct"/>
                    <w:tcBorders>
                      <w:top w:val="single" w:color="auto" w:sz="4" w:space="0"/>
                      <w:left w:val="nil"/>
                      <w:bottom w:val="single" w:color="auto" w:sz="4" w:space="0"/>
                      <w:right w:val="single" w:color="auto" w:sz="4" w:space="0"/>
                    </w:tcBorders>
                    <w:vAlign w:val="center"/>
                  </w:tcPr>
                  <w:p>
                    <w:pPr>
                      <w:widowControl w:val="0"/>
                      <w:jc w:val="center"/>
                      <w:rPr>
                        <w:rFonts w:cs="Times New Roman"/>
                        <w:kern w:val="2"/>
                      </w:rPr>
                    </w:pPr>
                    <w:r>
                      <w:rPr>
                        <w:rFonts w:hint="eastAsia" w:cs="Times New Roman"/>
                        <w:kern w:val="2"/>
                      </w:rPr>
                      <w:t>指标</w:t>
                    </w:r>
                  </w:p>
                </w:tc>
                <w:tc>
                  <w:tcPr>
                    <w:tcW w:w="1032" w:type="pct"/>
                    <w:tcBorders>
                      <w:top w:val="single" w:color="auto" w:sz="4" w:space="0"/>
                      <w:left w:val="nil"/>
                      <w:bottom w:val="single" w:color="auto" w:sz="4" w:space="0"/>
                      <w:right w:val="single" w:color="auto" w:sz="4" w:space="0"/>
                    </w:tcBorders>
                    <w:vAlign w:val="center"/>
                  </w:tcPr>
                  <w:p>
                    <w:pPr>
                      <w:widowControl w:val="0"/>
                      <w:jc w:val="center"/>
                      <w:rPr>
                        <w:rFonts w:cs="Times New Roman"/>
                        <w:kern w:val="2"/>
                      </w:rPr>
                    </w:pPr>
                    <w:r>
                      <w:rPr>
                        <w:rFonts w:hint="eastAsia" w:cs="Times New Roman"/>
                        <w:kern w:val="2"/>
                      </w:rPr>
                      <w:t>报告期</w:t>
                    </w:r>
                  </w:p>
                </w:tc>
                <w:tc>
                  <w:tcPr>
                    <w:tcW w:w="877" w:type="pct"/>
                    <w:tcBorders>
                      <w:top w:val="single" w:color="auto" w:sz="4" w:space="0"/>
                      <w:left w:val="nil"/>
                      <w:bottom w:val="single" w:color="auto" w:sz="4" w:space="0"/>
                      <w:right w:val="single" w:color="auto" w:sz="4" w:space="0"/>
                    </w:tcBorders>
                    <w:vAlign w:val="center"/>
                  </w:tcPr>
                  <w:p>
                    <w:pPr>
                      <w:widowControl w:val="0"/>
                      <w:jc w:val="center"/>
                      <w:rPr>
                        <w:rFonts w:cs="Times New Roman"/>
                        <w:kern w:val="2"/>
                      </w:rPr>
                    </w:pPr>
                    <w:r>
                      <w:rPr>
                        <w:rFonts w:hint="eastAsia" w:cs="Times New Roman"/>
                        <w:kern w:val="2"/>
                      </w:rPr>
                      <w:t>去年同期</w:t>
                    </w:r>
                  </w:p>
                </w:tc>
                <w:tc>
                  <w:tcPr>
                    <w:tcW w:w="769" w:type="pct"/>
                    <w:tcBorders>
                      <w:top w:val="single" w:color="auto" w:sz="4" w:space="0"/>
                      <w:left w:val="nil"/>
                      <w:bottom w:val="single" w:color="auto" w:sz="4" w:space="0"/>
                      <w:right w:val="single" w:color="auto" w:sz="4" w:space="0"/>
                    </w:tcBorders>
                    <w:vAlign w:val="center"/>
                  </w:tcPr>
                  <w:p>
                    <w:pPr>
                      <w:widowControl w:val="0"/>
                      <w:jc w:val="center"/>
                      <w:rPr>
                        <w:rFonts w:cs="Times New Roman"/>
                        <w:kern w:val="2"/>
                      </w:rPr>
                    </w:pPr>
                    <w:r>
                      <w:rPr>
                        <w:rFonts w:hint="eastAsia" w:cs="Times New Roman"/>
                        <w:kern w:val="2"/>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48" w:type="pct"/>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沪宁高速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95,336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48,209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97.76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18,891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18,716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114,228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66,925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14,296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10,504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宁常高速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41,717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23,854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12,194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11,765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53,910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35,619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51.35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2,690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2,200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镇溧高速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16,955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8,250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105.51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6,297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7,924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23,253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16,174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43.76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973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983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锡澄高速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71,157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34,985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103.39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15,344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13,409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86,501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48,394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1,611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1,102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46.10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广靖高速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60,828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30,429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99.90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14,947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14,172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75,775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44,601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756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568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锡宜高速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28,428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14,423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97.10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6,179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6,423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34,608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20,846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1,305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1,020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无锡环太湖公路</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32,790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12,898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154.23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3,691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3,931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36,480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16,829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116.77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316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195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江阴大桥</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color w:val="0000FF"/>
                        <w:kern w:val="2"/>
                      </w:rPr>
                    </w:pPr>
                    <w:r>
                      <w:rPr>
                        <w:rFonts w:hint="eastAsia" w:cs="Times New Roman"/>
                        <w:color w:val="000000"/>
                      </w:rPr>
                      <w:t xml:space="preserve">74,907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36,709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color w:val="0000FF"/>
                        <w:kern w:val="2"/>
                      </w:rPr>
                    </w:pPr>
                    <w:r>
                      <w:rPr>
                        <w:rFonts w:hint="eastAsia" w:cs="Times New Roman"/>
                        <w:color w:val="000000"/>
                      </w:rPr>
                      <w:t xml:space="preserve">21,728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17,995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color w:val="0000FF"/>
                        <w:kern w:val="2"/>
                      </w:rPr>
                    </w:pPr>
                    <w:r>
                      <w:rPr>
                        <w:rFonts w:hint="eastAsia" w:cs="Times New Roman"/>
                        <w:color w:val="000000"/>
                      </w:rPr>
                      <w:t xml:space="preserve">96,635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54,704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3,294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2,323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苏嘉杭高速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47,783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25,215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89.50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8,102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8,072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55,885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33,287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2,466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1,771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沿江高速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44,877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20,507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118.84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16,622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16,711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61,498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37,218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5,195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3,844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35.14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常嘉高速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35,288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14,917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136.56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25,234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25,998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60,523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40,915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47.92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1,220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1,084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镇丹高速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18,942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10,934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2,914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3,403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21,857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14,336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52.46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247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201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常宜高速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25,562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13,325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91.84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8,174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7,741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33,736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21,066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345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278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宜长高速</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16,359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10,084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62.23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5,718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7,145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22,077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17,229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28.14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358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374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五峰山大桥</w:t>
                    </w: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客车流量（辆/日）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30,750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10,360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196.82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货车流量（辆/日）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7,968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4,498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77.14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流量合计（辆/日）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38,718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14,858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160.59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rPr>
                    </w:pPr>
                  </w:p>
                </w:tc>
                <w:tc>
                  <w:tcPr>
                    <w:tcW w:w="1371" w:type="pct"/>
                    <w:tcBorders>
                      <w:top w:val="single" w:color="auto" w:sz="4" w:space="0"/>
                      <w:left w:val="nil"/>
                      <w:bottom w:val="single" w:color="auto" w:sz="4" w:space="0"/>
                      <w:right w:val="single" w:color="auto" w:sz="4" w:space="0"/>
                    </w:tcBorders>
                    <w:vAlign w:val="center"/>
                  </w:tcPr>
                  <w:p>
                    <w:pPr>
                      <w:widowControl w:val="0"/>
                      <w:jc w:val="both"/>
                      <w:rPr>
                        <w:rFonts w:cs="Times New Roman"/>
                        <w:kern w:val="2"/>
                      </w:rPr>
                    </w:pPr>
                    <w:r>
                      <w:rPr>
                        <w:rFonts w:hint="eastAsia" w:cs="Times New Roman"/>
                        <w:kern w:val="2"/>
                      </w:rPr>
                      <w:t>日均收入（千元/日）</w:t>
                    </w:r>
                  </w:p>
                </w:tc>
                <w:tc>
                  <w:tcPr>
                    <w:tcW w:w="1730"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2,089 </w:t>
                    </w:r>
                  </w:p>
                </w:tc>
                <w:tc>
                  <w:tcPr>
                    <w:tcW w:w="1471"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 xml:space="preserve">990 </w:t>
                    </w:r>
                  </w:p>
                </w:tc>
                <w:tc>
                  <w:tcPr>
                    <w:tcW w:w="1289" w:type="dxa"/>
                    <w:tcBorders>
                      <w:top w:val="single" w:color="auto" w:sz="4" w:space="0"/>
                      <w:left w:val="nil"/>
                      <w:bottom w:val="single" w:color="auto" w:sz="4" w:space="0"/>
                      <w:right w:val="single" w:color="auto" w:sz="4" w:space="0"/>
                    </w:tcBorders>
                    <w:vAlign w:val="center"/>
                  </w:tcPr>
                  <w:p>
                    <w:pPr>
                      <w:jc w:val="right"/>
                      <w:textAlignment w:val="center"/>
                      <w:rPr>
                        <w:rFonts w:cs="Times New Roman"/>
                        <w:kern w:val="2"/>
                      </w:rPr>
                    </w:pPr>
                    <w:r>
                      <w:rPr>
                        <w:rFonts w:hint="eastAsia" w:cs="Times New Roman"/>
                        <w:color w:val="000000"/>
                      </w:rPr>
                      <w:t>111.05</w:t>
                    </w:r>
                  </w:p>
                </w:tc>
              </w:tr>
            </w:tbl>
            <w:p>
              <w:pPr>
                <w:widowControl w:val="0"/>
                <w:jc w:val="both"/>
                <w:rPr>
                  <w:rFonts w:cs="Times New Roman"/>
                  <w:kern w:val="2"/>
                  <w:sz w:val="18"/>
                  <w:szCs w:val="18"/>
                </w:rPr>
              </w:pPr>
              <w:r>
                <w:rPr>
                  <w:rFonts w:hint="eastAsia" w:cs="Times New Roman"/>
                  <w:kern w:val="2"/>
                  <w:sz w:val="18"/>
                  <w:szCs w:val="18"/>
                </w:rPr>
                <w:t>注1：集团控制或参股的</w:t>
              </w:r>
              <w:r>
                <w:rPr>
                  <w:rFonts w:ascii="Calibri" w:hAnsi="Calibri" w:cs="Times New Roman"/>
                  <w:kern w:val="2"/>
                  <w:sz w:val="18"/>
                  <w:szCs w:val="18"/>
                </w:rPr>
                <w:t>17</w:t>
              </w:r>
              <w:r>
                <w:rPr>
                  <w:rFonts w:cs="Times New Roman"/>
                  <w:kern w:val="2"/>
                  <w:sz w:val="18"/>
                  <w:szCs w:val="18"/>
                </w:rPr>
                <w:t>个收费路桥项目，除上表列示的</w:t>
              </w:r>
              <w:r>
                <w:rPr>
                  <w:rFonts w:ascii="Calibri" w:hAnsi="Calibri" w:cs="Calibri"/>
                  <w:kern w:val="2"/>
                  <w:sz w:val="18"/>
                  <w:szCs w:val="18"/>
                </w:rPr>
                <w:t>15</w:t>
              </w:r>
              <w:r>
                <w:rPr>
                  <w:rFonts w:cs="Times New Roman"/>
                  <w:kern w:val="2"/>
                  <w:sz w:val="18"/>
                  <w:szCs w:val="18"/>
                </w:rPr>
                <w:t>个收费路桥项目外，还包括龙潭大桥及龙潭大桥北接线。其中，陆马一级公路由锡宜高速合并运营，锡宜高速运营数据包含陆马一级公路运营数据。</w:t>
              </w:r>
              <w:r>
                <w:rPr>
                  <w:rFonts w:hint="eastAsia" w:cs="Times New Roman"/>
                  <w:kern w:val="2"/>
                  <w:sz w:val="18"/>
                  <w:szCs w:val="18"/>
                </w:rPr>
                <w:t>陆马一级公路于2022年9月</w:t>
              </w:r>
              <w:r>
                <w:rPr>
                  <w:rFonts w:cs="Times New Roman"/>
                  <w:kern w:val="2"/>
                  <w:sz w:val="18"/>
                  <w:szCs w:val="18"/>
                </w:rPr>
                <w:t>获得江苏省政府批复由无锡市政府回购，相关工作正在推进中</w:t>
              </w:r>
              <w:r>
                <w:rPr>
                  <w:rFonts w:hint="eastAsia" w:cs="Times New Roman"/>
                  <w:kern w:val="2"/>
                  <w:sz w:val="18"/>
                  <w:szCs w:val="18"/>
                </w:rPr>
                <w:t>。</w:t>
              </w:r>
            </w:p>
            <w:p>
              <w:pPr>
                <w:widowControl w:val="0"/>
                <w:jc w:val="both"/>
                <w:rPr>
                  <w:rFonts w:cs="Times New Roman"/>
                  <w:kern w:val="2"/>
                  <w:sz w:val="18"/>
                  <w:szCs w:val="18"/>
                </w:rPr>
              </w:pPr>
              <w:r>
                <w:rPr>
                  <w:rFonts w:hint="eastAsia" w:cs="Times New Roman"/>
                  <w:kern w:val="2"/>
                  <w:sz w:val="18"/>
                  <w:szCs w:val="18"/>
                </w:rPr>
                <w:t>注2：镇溧高速因去年同期周边部分高速公路封闭管控，车辆分流至镇溧高速，基数相对较高，导致本报告期通行费收入同比下降。</w:t>
              </w:r>
            </w:p>
            <w:p>
              <w:pPr>
                <w:widowControl w:val="0"/>
                <w:jc w:val="both"/>
                <w:rPr>
                  <w:rFonts w:cs="Times New Roman"/>
                  <w:kern w:val="2"/>
                  <w:sz w:val="18"/>
                  <w:szCs w:val="18"/>
                </w:rPr>
              </w:pPr>
              <w:r>
                <w:rPr>
                  <w:rFonts w:hint="eastAsia" w:cs="Times New Roman"/>
                  <w:kern w:val="2"/>
                  <w:sz w:val="18"/>
                  <w:szCs w:val="18"/>
                </w:rPr>
                <w:t>注3：宜长高速受2022年11月溧广高速溧阳至宁德江苏段通车分流影响，通行费收入同比有所下降。</w:t>
              </w:r>
            </w:p>
            <w:p>
              <w:pPr>
                <w:widowControl w:val="0"/>
                <w:ind w:firstLine="420" w:firstLineChars="200"/>
                <w:jc w:val="both"/>
                <w:rPr>
                  <w:rFonts w:cs="Times New Roman"/>
                  <w:kern w:val="2"/>
                </w:rPr>
              </w:pPr>
              <w:r>
                <w:rPr>
                  <w:rFonts w:hint="eastAsia" w:cs="Times New Roman"/>
                  <w:kern w:val="2"/>
                </w:rPr>
                <w:t>报告期内，沪宁高速日均通行费收入约人民币</w:t>
              </w:r>
              <w:r>
                <w:rPr>
                  <w:rFonts w:hint="eastAsia" w:ascii="Calibri" w:hAnsi="Calibri" w:cs="Calibri"/>
                  <w:kern w:val="2"/>
                </w:rPr>
                <w:t>14,295.92</w:t>
              </w:r>
              <w:r>
                <w:rPr>
                  <w:rFonts w:hint="eastAsia" w:cs="Times New Roman"/>
                  <w:kern w:val="2"/>
                </w:rPr>
                <w:t>千元，同比增长约</w:t>
              </w:r>
              <w:r>
                <w:rPr>
                  <w:rFonts w:hint="eastAsia" w:ascii="Calibri" w:hAnsi="Calibri" w:cs="Calibri"/>
                  <w:kern w:val="2"/>
                </w:rPr>
                <w:t>36.11%</w:t>
              </w:r>
              <w:r>
                <w:rPr>
                  <w:rFonts w:hint="eastAsia" w:cs="Times New Roman"/>
                  <w:kern w:val="2"/>
                </w:rPr>
                <w:t>。考虑到</w:t>
              </w:r>
              <w:r>
                <w:rPr>
                  <w:rFonts w:cs="Times New Roman"/>
                  <w:kern w:val="2"/>
                </w:rPr>
                <w:t>2020年至2022年高速公路车流量波动较大，</w:t>
              </w:r>
              <w:r>
                <w:rPr>
                  <w:rFonts w:hint="eastAsia" w:cs="Times New Roman"/>
                  <w:kern w:val="2"/>
                </w:rPr>
                <w:t>公司将2023年1-6月沪宁高速客车、货车流量、日均流量数据与2019年同期进行对比，具体如下图所示：</w:t>
              </w:r>
            </w:p>
            <w:p>
              <w:pPr>
                <w:widowControl w:val="0"/>
                <w:ind w:firstLine="420" w:firstLineChars="200"/>
                <w:jc w:val="center"/>
                <w:rPr>
                  <w:rFonts w:cs="Times New Roman"/>
                  <w:kern w:val="2"/>
                  <w:sz w:val="18"/>
                  <w:szCs w:val="18"/>
                </w:rPr>
              </w:pPr>
              <w:r>
                <w:drawing>
                  <wp:inline distT="0" distB="0" distL="0" distR="0">
                    <wp:extent cx="4413250" cy="2476500"/>
                    <wp:effectExtent l="0" t="0" r="6350" b="0"/>
                    <wp:docPr id="6"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图表, 折线图&#10;&#10;描述已自动生成"/>
                            <pic:cNvPicPr>
                              <a:picLocks noChangeAspect="1"/>
                            </pic:cNvPicPr>
                          </pic:nvPicPr>
                          <pic:blipFill>
                            <a:blip r:embed="rId8"/>
                            <a:stretch>
                              <a:fillRect/>
                            </a:stretch>
                          </pic:blipFill>
                          <pic:spPr>
                            <a:xfrm>
                              <a:off x="0" y="0"/>
                              <a:ext cx="4413714" cy="2476500"/>
                            </a:xfrm>
                            <a:prstGeom prst="rect">
                              <a:avLst/>
                            </a:prstGeom>
                            <a:noFill/>
                            <a:ln>
                              <a:noFill/>
                            </a:ln>
                          </pic:spPr>
                        </pic:pic>
                      </a:graphicData>
                    </a:graphic>
                  </wp:inline>
                </w:drawing>
              </w:r>
            </w:p>
            <w:p>
              <w:pPr>
                <w:widowControl w:val="0"/>
                <w:ind w:firstLine="420" w:firstLineChars="200"/>
                <w:jc w:val="center"/>
                <w:rPr>
                  <w:rFonts w:cs="Times New Roman"/>
                  <w:kern w:val="2"/>
                  <w:sz w:val="18"/>
                  <w:szCs w:val="18"/>
                </w:rPr>
              </w:pPr>
              <w:r>
                <w:drawing>
                  <wp:inline distT="0" distB="0" distL="0" distR="0">
                    <wp:extent cx="4410075" cy="2475865"/>
                    <wp:effectExtent l="0" t="0" r="0" b="635"/>
                    <wp:docPr id="8"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图表&#10;&#10;描述已自动生成"/>
                            <pic:cNvPicPr>
                              <a:picLocks noChangeAspect="1"/>
                            </pic:cNvPicPr>
                          </pic:nvPicPr>
                          <pic:blipFill>
                            <a:blip r:embed="rId9"/>
                            <a:stretch>
                              <a:fillRect/>
                            </a:stretch>
                          </pic:blipFill>
                          <pic:spPr>
                            <a:xfrm>
                              <a:off x="0" y="0"/>
                              <a:ext cx="4410075" cy="2476373"/>
                            </a:xfrm>
                            <a:prstGeom prst="rect">
                              <a:avLst/>
                            </a:prstGeom>
                            <a:noFill/>
                            <a:ln>
                              <a:noFill/>
                            </a:ln>
                          </pic:spPr>
                        </pic:pic>
                      </a:graphicData>
                    </a:graphic>
                  </wp:inline>
                </w:drawing>
              </w:r>
            </w:p>
            <w:p>
              <w:pPr>
                <w:widowControl w:val="0"/>
                <w:ind w:firstLine="420" w:firstLineChars="200"/>
                <w:jc w:val="center"/>
                <w:rPr>
                  <w:rFonts w:cs="Times New Roman"/>
                  <w:kern w:val="2"/>
                  <w:sz w:val="18"/>
                  <w:szCs w:val="18"/>
                </w:rPr>
              </w:pPr>
              <w:r>
                <w:drawing>
                  <wp:inline distT="0" distB="0" distL="0" distR="0">
                    <wp:extent cx="4409440" cy="2562860"/>
                    <wp:effectExtent l="0" t="0" r="0" b="8890"/>
                    <wp:docPr id="11"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图表, 折线图&#10;&#10;描述已自动生成"/>
                            <pic:cNvPicPr>
                              <a:picLocks noChangeAspect="1"/>
                            </pic:cNvPicPr>
                          </pic:nvPicPr>
                          <pic:blipFill>
                            <a:blip r:embed="rId10"/>
                            <a:stretch>
                              <a:fillRect/>
                            </a:stretch>
                          </pic:blipFill>
                          <pic:spPr>
                            <a:xfrm>
                              <a:off x="0" y="0"/>
                              <a:ext cx="4410000" cy="2563200"/>
                            </a:xfrm>
                            <a:prstGeom prst="rect">
                              <a:avLst/>
                            </a:prstGeom>
                            <a:noFill/>
                            <a:ln>
                              <a:noFill/>
                            </a:ln>
                          </pic:spPr>
                        </pic:pic>
                      </a:graphicData>
                    </a:graphic>
                  </wp:inline>
                </w:drawing>
              </w:r>
            </w:p>
            <w:p>
              <w:pPr>
                <w:widowControl w:val="0"/>
                <w:ind w:firstLine="420" w:firstLineChars="200"/>
                <w:jc w:val="center"/>
                <w:rPr>
                  <w:rFonts w:cs="Times New Roman"/>
                  <w:kern w:val="2"/>
                  <w:sz w:val="18"/>
                  <w:szCs w:val="18"/>
                </w:rPr>
              </w:pPr>
              <w:r>
                <w:drawing>
                  <wp:inline distT="0" distB="0" distL="0" distR="0">
                    <wp:extent cx="5162550" cy="2596515"/>
                    <wp:effectExtent l="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1"/>
                            <a:stretch>
                              <a:fillRect/>
                            </a:stretch>
                          </pic:blipFill>
                          <pic:spPr>
                            <a:xfrm>
                              <a:off x="0" y="0"/>
                              <a:ext cx="5169016" cy="2600063"/>
                            </a:xfrm>
                            <a:prstGeom prst="rect">
                              <a:avLst/>
                            </a:prstGeom>
                            <a:noFill/>
                            <a:ln>
                              <a:noFill/>
                            </a:ln>
                          </pic:spPr>
                        </pic:pic>
                      </a:graphicData>
                    </a:graphic>
                  </wp:inline>
                </w:drawing>
              </w:r>
            </w:p>
            <w:p>
              <w:pPr>
                <w:autoSpaceDE w:val="0"/>
                <w:ind w:firstLine="422" w:firstLineChars="200"/>
                <w:jc w:val="both"/>
                <w:rPr>
                  <w:b/>
                  <w:bCs/>
                </w:rPr>
              </w:pPr>
              <w:r>
                <w:rPr>
                  <w:rFonts w:hint="eastAsia" w:cs="Calibri"/>
                  <w:b/>
                  <w:bCs/>
                </w:rPr>
                <w:t>2</w:t>
              </w:r>
              <w:r>
                <w:rPr>
                  <w:rFonts w:hint="eastAsia"/>
                  <w:b/>
                  <w:bCs/>
                </w:rPr>
                <w:t>、配套业务。</w:t>
              </w:r>
            </w:p>
            <w:p>
              <w:pPr>
                <w:autoSpaceDE w:val="0"/>
                <w:ind w:firstLine="422" w:firstLineChars="200"/>
                <w:jc w:val="both"/>
              </w:pPr>
              <w:r>
                <w:rPr>
                  <w:rFonts w:hint="eastAsia"/>
                  <w:b/>
                  <w:bCs/>
                </w:rPr>
                <w:t>品牌建设亮点纷呈。</w:t>
              </w:r>
              <w:r>
                <w:rPr>
                  <w:rFonts w:hint="eastAsia"/>
                </w:rPr>
                <w:t>培育自营品牌，注册知识产权，创新研发近</w:t>
              </w:r>
              <w:r>
                <w:rPr>
                  <w:rFonts w:hint="eastAsia" w:cs="Calibri"/>
                </w:rPr>
                <w:t>30</w:t>
              </w:r>
              <w:r>
                <w:rPr>
                  <w:rFonts w:hint="eastAsia"/>
                </w:rPr>
                <w:t>种专属文创产品，多维度展现主题文化，持续强化品牌</w:t>
              </w:r>
              <w:r>
                <w:rPr>
                  <w:rFonts w:hint="eastAsia" w:cs="Calibri"/>
                </w:rPr>
                <w:t>效应</w:t>
              </w:r>
              <w:r>
                <w:rPr>
                  <w:rFonts w:hint="eastAsia"/>
                </w:rPr>
                <w:t>；对扬州广陵主题服务区进行提档升级，通过立体造型，文化墙、</w:t>
              </w:r>
              <w:r>
                <w:rPr>
                  <w:rFonts w:hint="eastAsia" w:cs="Calibri"/>
                </w:rPr>
                <w:t>MG</w:t>
              </w:r>
              <w:r>
                <w:rPr>
                  <w:rFonts w:hint="eastAsia"/>
                </w:rPr>
                <w:t>动画</w:t>
              </w:r>
              <w:r>
                <w:rPr>
                  <w:rStyle w:val="43"/>
                </w:rPr>
                <w:footnoteReference w:id="4"/>
              </w:r>
              <w:r>
                <w:rPr>
                  <w:rFonts w:hint="eastAsia"/>
                </w:rPr>
                <w:t>视频宣传等方式提升顾客场景式体验感，提升服务区的辨识度和记忆度；深入运营服务区“大平台”招商模式，推出全国首家苏果超市高速公路路网版本创新门店，提升服务区经营效益。</w:t>
              </w:r>
              <w:r>
                <w:rPr>
                  <w:rFonts w:hint="eastAsia"/>
                  <w:b/>
                  <w:bCs/>
                </w:rPr>
                <w:t>服务品质优化提升。</w:t>
              </w:r>
              <w:r>
                <w:rPr>
                  <w:rFonts w:hint="eastAsia"/>
                </w:rPr>
                <w:t>报告期内，完成沪宁高速全线加油站</w:t>
              </w:r>
              <w:r>
                <w:t>ETC无感支付系统云网关、零管系统</w:t>
              </w:r>
              <w:r>
                <w:rPr>
                  <w:rStyle w:val="43"/>
                </w:rPr>
                <w:footnoteReference w:id="5"/>
              </w:r>
              <w:r>
                <w:t>、智慧加油机</w:t>
              </w:r>
              <w:r>
                <w:rPr>
                  <w:rFonts w:hint="eastAsia"/>
                </w:rPr>
                <w:t>的</w:t>
              </w:r>
              <w:r>
                <w:t>升级</w:t>
              </w:r>
              <w:r>
                <w:rPr>
                  <w:rFonts w:hint="eastAsia"/>
                </w:rPr>
                <w:t>迭代</w:t>
              </w:r>
              <w:r>
                <w:t>，</w:t>
              </w:r>
              <w:r>
                <w:rPr>
                  <w:rFonts w:hint="eastAsia"/>
                </w:rPr>
                <w:t>在</w:t>
              </w:r>
              <w:r>
                <w:t>提升系统稳定性和数据传输效率</w:t>
              </w:r>
              <w:r>
                <w:rPr>
                  <w:rFonts w:hint="eastAsia"/>
                </w:rPr>
                <w:t>的同时，进一步优化司乘体验，服务公众出行，赋能智慧交通。</w:t>
              </w:r>
              <w:r>
                <w:rPr>
                  <w:rFonts w:hint="eastAsia"/>
                  <w:b/>
                  <w:bCs/>
                </w:rPr>
                <w:t>低碳转型步伐加快。</w:t>
              </w:r>
              <w:r>
                <w:rPr>
                  <w:rFonts w:hint="eastAsia"/>
                </w:rPr>
                <w:t>在“双碳”目标引领下，公司以</w:t>
              </w:r>
              <w:r>
                <w:t>仙人山服务区</w:t>
              </w:r>
              <w:r>
                <w:rPr>
                  <w:rFonts w:hint="eastAsia"/>
                </w:rPr>
                <w:t>为试点，开展</w:t>
              </w:r>
              <w:r>
                <w:t>零碳服务区</w:t>
              </w:r>
              <w:r>
                <w:rPr>
                  <w:rFonts w:hint="eastAsia"/>
                </w:rPr>
                <w:t>建设探索，从</w:t>
              </w:r>
              <w:r>
                <w:t>建筑节能、设备节能、能源转型等</w:t>
              </w:r>
              <w:r>
                <w:rPr>
                  <w:rFonts w:hint="eastAsia"/>
                </w:rPr>
                <w:t>多个维度设计</w:t>
              </w:r>
              <w:r>
                <w:t>改造方案</w:t>
              </w:r>
              <w:r>
                <w:rPr>
                  <w:rFonts w:hint="eastAsia"/>
                </w:rPr>
                <w:t>，推动服务区实现零碳运营，着力促进高速公路行业运营“碳中和”，更好支撑构建新发展格局。</w:t>
              </w:r>
            </w:p>
            <w:p>
              <w:pPr>
                <w:autoSpaceDE w:val="0"/>
                <w:ind w:firstLine="420" w:firstLineChars="200"/>
                <w:jc w:val="both"/>
              </w:pPr>
              <w:r>
                <w:rPr>
                  <w:rFonts w:hint="eastAsia"/>
                </w:rPr>
                <w:t>报告期内，集团配套服务业务实现收入约人民币</w:t>
              </w:r>
              <w:r>
                <w:rPr>
                  <w:rFonts w:hint="eastAsia" w:cs="Calibri"/>
                </w:rPr>
                <w:t>900,407</w:t>
              </w:r>
              <w:r>
                <w:rPr>
                  <w:rFonts w:hint="eastAsia"/>
                </w:rPr>
                <w:t>千元，较去年同期增长</w:t>
              </w:r>
              <w:r>
                <w:rPr>
                  <w:rFonts w:hint="eastAsia" w:cs="Calibri"/>
                </w:rPr>
                <w:t>101.11%</w:t>
              </w:r>
              <w:r>
                <w:rPr>
                  <w:rFonts w:hint="eastAsia"/>
                </w:rPr>
                <w:t>。其中，服务区租赁业务收入约人民币</w:t>
              </w:r>
              <w:r>
                <w:rPr>
                  <w:rFonts w:hint="eastAsia" w:cs="Calibri"/>
                </w:rPr>
                <w:t>57,552</w:t>
              </w:r>
              <w:r>
                <w:rPr>
                  <w:rFonts w:hint="eastAsia"/>
                </w:rPr>
                <w:t>千元，同比增长</w:t>
              </w:r>
              <w:r>
                <w:rPr>
                  <w:rFonts w:hint="eastAsia" w:cs="Calibri"/>
                </w:rPr>
                <w:t>18.06%</w:t>
              </w:r>
              <w:r>
                <w:rPr>
                  <w:rFonts w:hint="eastAsia"/>
                </w:rPr>
                <w:t>，主要由于去年同期部分服务区终止原租赁合同及根据国家相关政策减免租金；受油品销量上升影响，油品销售实现收入约人民币</w:t>
              </w:r>
              <w:r>
                <w:rPr>
                  <w:rFonts w:hint="eastAsia" w:cs="Calibri"/>
                </w:rPr>
                <w:t>831,146</w:t>
              </w:r>
              <w:r>
                <w:rPr>
                  <w:rFonts w:hint="eastAsia"/>
                </w:rPr>
                <w:t>千元，同比增长</w:t>
              </w:r>
              <w:r>
                <w:rPr>
                  <w:rFonts w:hint="eastAsia" w:cs="Calibri"/>
                </w:rPr>
                <w:t>112.94%</w:t>
              </w:r>
              <w:r>
                <w:rPr>
                  <w:rFonts w:hint="eastAsia"/>
                </w:rPr>
                <w:t>，油品营业毛利润同比增长</w:t>
              </w:r>
              <w:r>
                <w:rPr>
                  <w:rFonts w:hint="eastAsia" w:cs="Calibri"/>
                </w:rPr>
                <w:t>261.36%</w:t>
              </w:r>
              <w:r>
                <w:rPr>
                  <w:rFonts w:hint="eastAsia"/>
                </w:rPr>
                <w:t>。在油品销售业务营业毛利润同比增长的带动下，配套服务业务营业毛利润同比大幅上升。</w:t>
              </w:r>
            </w:p>
            <w:p>
              <w:pPr>
                <w:ind w:firstLine="422" w:firstLineChars="200"/>
                <w:jc w:val="both"/>
                <w:rPr>
                  <w:b/>
                  <w:bCs/>
                </w:rPr>
              </w:pPr>
              <w:r>
                <w:rPr>
                  <w:rFonts w:hint="eastAsia" w:cs="Calibri"/>
                  <w:b/>
                  <w:bCs/>
                </w:rPr>
                <w:t>3</w:t>
              </w:r>
              <w:r>
                <w:rPr>
                  <w:rFonts w:hint="eastAsia"/>
                  <w:b/>
                  <w:bCs/>
                </w:rPr>
                <w:t>、新能源业务。</w:t>
              </w:r>
            </w:p>
            <w:p>
              <w:pPr>
                <w:ind w:firstLine="420" w:firstLineChars="200"/>
                <w:jc w:val="both"/>
              </w:pPr>
              <w:r>
                <w:rPr>
                  <w:rFonts w:hint="eastAsia" w:cs="Calibri"/>
                </w:rPr>
                <w:t>2022</w:t>
              </w:r>
              <w:r>
                <w:rPr>
                  <w:rFonts w:hint="eastAsia"/>
                </w:rPr>
                <w:t>年，公司收购云杉清能公司</w:t>
              </w:r>
              <w:r>
                <w:rPr>
                  <w:rFonts w:hint="eastAsia" w:cs="Calibri"/>
                </w:rPr>
                <w:t>100%</w:t>
              </w:r>
              <w:r>
                <w:rPr>
                  <w:rFonts w:hint="eastAsia"/>
                </w:rPr>
                <w:t>股权，布局新能源产业。截至</w:t>
              </w:r>
              <w:r>
                <w:rPr>
                  <w:rFonts w:hint="eastAsia" w:cs="Calibri"/>
                </w:rPr>
                <w:t>报告期末</w:t>
              </w:r>
              <w:r>
                <w:rPr>
                  <w:rFonts w:hint="eastAsia"/>
                </w:rPr>
                <w:t>，云杉清能公司并网项目总装机容量达</w:t>
              </w:r>
              <w:r>
                <w:rPr>
                  <w:rFonts w:hint="eastAsia" w:cs="Calibri"/>
                </w:rPr>
                <w:t>526.6兆瓦</w:t>
              </w:r>
              <w:r>
                <w:rPr>
                  <w:rFonts w:hint="eastAsia"/>
                </w:rPr>
                <w:t>（含参股权益装机量），所持电站均已投产，报告期内共生产清洁能源电力4.8亿千瓦时。云杉清能公司结合江苏省光伏项目资源禀赋实际情况，积极推进多个互通光伏项目的投资建设，在建项目总装机容量约35.62兆瓦。此外，公司深入开展“交通</w:t>
              </w:r>
              <w:r>
                <w:t>+能源融合路径与发展模式研究”的课题研究，深入研究现代交通能源供给新模式，构建江苏高速碳资产运营管理平台，支撑江苏高速路网全生命周期实现绿色低碳发展，助力江苏高速实现碳达峰、碳中和</w:t>
              </w:r>
              <w:r>
                <w:rPr>
                  <w:rFonts w:hint="eastAsia"/>
                </w:rPr>
                <w:t>。</w:t>
              </w:r>
            </w:p>
            <w:p>
              <w:pPr>
                <w:ind w:firstLine="420" w:firstLineChars="200"/>
                <w:jc w:val="both"/>
              </w:pPr>
              <w:r>
                <w:rPr>
                  <w:rFonts w:hint="eastAsia"/>
                </w:rPr>
                <w:t>自收购云杉清能公司以来，其营收规模、盈利水平持续增长，体现出较高的成长性和稳定的效益性。报告期内，受益于天气等因素影响,云杉清能公司海上风电项目上网电量同比增加，集团实现电力销售收入约人民币351,428千元，同比增长约9.61%。</w:t>
              </w:r>
            </w:p>
            <w:p>
              <w:pPr>
                <w:widowControl w:val="0"/>
                <w:numPr>
                  <w:ilvl w:val="0"/>
                  <w:numId w:val="6"/>
                </w:numPr>
                <w:ind w:firstLine="422" w:firstLineChars="200"/>
                <w:jc w:val="both"/>
                <w:rPr>
                  <w:rFonts w:ascii="Calibri" w:hAnsi="Calibri"/>
                  <w:kern w:val="2"/>
                </w:rPr>
              </w:pPr>
              <w:r>
                <w:rPr>
                  <w:rFonts w:hint="eastAsia"/>
                  <w:b/>
                  <w:bCs/>
                </w:rPr>
                <w:t>地产业务。</w:t>
              </w:r>
            </w:p>
            <w:p>
              <w:pPr>
                <w:ind w:firstLine="420" w:firstLineChars="200"/>
                <w:jc w:val="both"/>
              </w:pPr>
              <w:r>
                <w:rPr>
                  <w:rFonts w:hint="eastAsia"/>
                </w:rPr>
                <w:t>集团房地产开发销售由子公司宁沪置业公司、瀚威公司经营。报告期内，集团有序推进在建项目建设，积极推动存量项目去化。报告期内，集团结转销售收入约</w:t>
              </w:r>
              <w:r>
                <w:rPr>
                  <w:rFonts w:hint="eastAsia" w:cs="Calibri"/>
                </w:rPr>
                <w:t>245,487</w:t>
              </w:r>
              <w:r>
                <w:rPr>
                  <w:rFonts w:hint="eastAsia"/>
                </w:rPr>
                <w:t>千元，同比下降</w:t>
              </w:r>
              <w:r>
                <w:rPr>
                  <w:rFonts w:hint="eastAsia" w:cs="Calibri"/>
                </w:rPr>
                <w:t>10.46%</w:t>
              </w:r>
              <w:r>
                <w:rPr>
                  <w:rFonts w:hint="eastAsia"/>
                </w:rPr>
                <w:t>，主要由于地产项目交付规模小于上年同期。</w:t>
              </w:r>
            </w:p>
            <w:p>
              <w:pPr>
                <w:ind w:firstLine="420" w:firstLineChars="200"/>
                <w:jc w:val="both"/>
              </w:pPr>
              <w:r>
                <w:rPr>
                  <w:rFonts w:hint="eastAsia"/>
                </w:rPr>
                <w:t>房地产开发成本、开发成品参见“第十节财务报告”之“</w:t>
              </w:r>
              <w:r>
                <w:rPr>
                  <w:rFonts w:hint="eastAsia" w:cs="Calibri"/>
                </w:rPr>
                <w:t>9</w:t>
              </w:r>
              <w:r>
                <w:rPr>
                  <w:rFonts w:hint="eastAsia"/>
                </w:rPr>
                <w:t>、存货”部分。</w:t>
              </w:r>
            </w:p>
            <w:p>
              <w:pPr>
                <w:widowControl w:val="0"/>
                <w:numPr>
                  <w:ilvl w:val="0"/>
                  <w:numId w:val="6"/>
                </w:numPr>
                <w:ind w:firstLine="422" w:firstLineChars="200"/>
                <w:jc w:val="both"/>
                <w:rPr>
                  <w:b/>
                  <w:bCs/>
                </w:rPr>
              </w:pPr>
              <w:r>
                <w:rPr>
                  <w:rFonts w:hint="eastAsia"/>
                  <w:b/>
                  <w:bCs/>
                </w:rPr>
                <w:t>其他业务。</w:t>
              </w:r>
            </w:p>
            <w:p>
              <w:pPr>
                <w:widowControl w:val="0"/>
                <w:ind w:firstLine="422" w:firstLineChars="200"/>
                <w:jc w:val="both"/>
                <w:rPr>
                  <w:rFonts w:cs="Times New Roman"/>
                  <w:kern w:val="2"/>
                  <w:sz w:val="18"/>
                  <w:szCs w:val="18"/>
                </w:rPr>
              </w:pPr>
              <w:r>
                <w:rPr>
                  <w:rFonts w:hint="eastAsia"/>
                  <w:b/>
                </w:rPr>
                <w:t>一是参股公司投资收益情况。</w:t>
              </w:r>
              <w:r>
                <w:rPr>
                  <w:rFonts w:hint="eastAsia"/>
                </w:rPr>
                <w:t>报告期内受益于路网通行量的增长，集团参股联营路桥公司实现投资收益约人民币</w:t>
              </w:r>
              <w:r>
                <w:rPr>
                  <w:rFonts w:hint="eastAsia" w:cs="Calibri"/>
                </w:rPr>
                <w:t>353,694</w:t>
              </w:r>
              <w:r>
                <w:rPr>
                  <w:rFonts w:hint="eastAsia"/>
                </w:rPr>
                <w:t>千元，同比增长约</w:t>
              </w:r>
              <w:r>
                <w:rPr>
                  <w:rFonts w:hint="eastAsia" w:cs="Calibri"/>
                </w:rPr>
                <w:t>49.87%</w:t>
              </w:r>
              <w:r>
                <w:rPr>
                  <w:rFonts w:hint="eastAsia"/>
                </w:rPr>
                <w:t>；参股联营金融类公司实现投资收益约人民币</w:t>
              </w:r>
              <w:r>
                <w:rPr>
                  <w:rFonts w:hint="eastAsia" w:cs="Calibri"/>
                </w:rPr>
                <w:t>43,614</w:t>
              </w:r>
              <w:r>
                <w:rPr>
                  <w:rFonts w:hint="eastAsia"/>
                </w:rPr>
                <w:t>千元，同比下降约</w:t>
              </w:r>
              <w:r>
                <w:rPr>
                  <w:rFonts w:hint="eastAsia" w:cs="Calibri"/>
                </w:rPr>
                <w:t>30.27%</w:t>
              </w:r>
              <w:r>
                <w:rPr>
                  <w:rFonts w:hint="eastAsia"/>
                </w:rPr>
                <w:t>。</w:t>
              </w:r>
              <w:r>
                <w:rPr>
                  <w:rFonts w:hint="eastAsia"/>
                  <w:b/>
                </w:rPr>
                <w:t>二是其他权益工具及其他非流动金融资产收到分配情况。</w:t>
              </w:r>
              <w:r>
                <w:rPr>
                  <w:rFonts w:hint="eastAsia"/>
                </w:rPr>
                <w:t>报告期内，集团累计收到江苏租赁公司及国创开元二期基金分红约人民币</w:t>
              </w:r>
              <w:r>
                <w:rPr>
                  <w:rFonts w:hint="eastAsia" w:cs="Calibri"/>
                </w:rPr>
                <w:t>113,871</w:t>
              </w:r>
              <w:r>
                <w:rPr>
                  <w:rFonts w:hint="eastAsia"/>
                </w:rPr>
                <w:t>千元，同比下降约</w:t>
              </w:r>
              <w:r>
                <w:rPr>
                  <w:rFonts w:hint="eastAsia" w:cs="Calibri"/>
                </w:rPr>
                <w:t>71.39%</w:t>
              </w:r>
              <w:r>
                <w:rPr>
                  <w:rFonts w:hint="eastAsia"/>
                </w:rPr>
                <w:t>，主要由于公司投资的江苏银行公司分红时间较去年有所推迟。</w:t>
              </w:r>
              <w:r>
                <w:rPr>
                  <w:rFonts w:hint="eastAsia"/>
                  <w:b/>
                </w:rPr>
                <w:t>三是子公司广告经营、保理业务及管理服务等业务收益情况。</w:t>
              </w:r>
              <w:r>
                <w:rPr>
                  <w:rFonts w:hint="eastAsia"/>
                </w:rPr>
                <w:t>报告期内，该等业务实现收入约人民币</w:t>
              </w:r>
              <w:r>
                <w:rPr>
                  <w:rFonts w:hint="eastAsia" w:cs="Calibri"/>
                </w:rPr>
                <w:t>112,463</w:t>
              </w:r>
              <w:r>
                <w:rPr>
                  <w:rFonts w:hint="eastAsia"/>
                </w:rPr>
                <w:t>千元，同比增长约</w:t>
              </w:r>
              <w:r>
                <w:rPr>
                  <w:rFonts w:hint="eastAsia" w:cs="Calibri"/>
                </w:rPr>
                <w:t>52.67%</w:t>
              </w:r>
              <w:r>
                <w:rPr>
                  <w:rFonts w:hint="eastAsia"/>
                </w:rPr>
                <w:t>，主要是子公司保理业务收入的增加和新增酒店服务收入。</w:t>
              </w:r>
            </w:p>
          </w:sdtContent>
        </w:sdt>
        <w:p>
          <w:pPr>
            <w:pStyle w:val="114"/>
          </w:pPr>
        </w:p>
      </w:sdtContent>
    </w:sdt>
    <w:bookmarkEnd w:id="27"/>
    <w:sdt>
      <w:sdtPr>
        <w:rPr>
          <w:rFonts w:hint="eastAsia"/>
        </w:rPr>
        <w:alias w:val="模块:报告期内公司经营情况的重大变化，以及报告期内发生的对公司经营..."/>
        <w:tag w:val="_SEC_5c790aea31ad48bb8832d20c53fcc625"/>
        <w:id w:val="-2021232482"/>
        <w:lock w:val="sdtLocked"/>
        <w:placeholder>
          <w:docPart w:val="GBC22222222222222222222222222222"/>
        </w:placeholder>
      </w:sdtPr>
      <w:sdtEndPr>
        <w:rPr>
          <w:rFonts w:hint="default"/>
        </w:rPr>
      </w:sdtEndPr>
      <w:sdtContent>
        <w:p>
          <w:pPr>
            <w:rPr>
              <w:b/>
              <w:bCs/>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119126775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3"/>
        <w:numPr>
          <w:ilvl w:val="0"/>
          <w:numId w:val="5"/>
        </w:numPr>
        <w:tabs>
          <w:tab w:val="left" w:pos="426"/>
        </w:tabs>
        <w:ind w:left="422" w:hanging="422"/>
        <w:jc w:val="left"/>
        <w:rPr>
          <w:rFonts w:ascii="宋体" w:hAnsi="宋体" w:cs="宋体"/>
          <w:kern w:val="0"/>
          <w:szCs w:val="24"/>
        </w:rPr>
      </w:pPr>
      <w:r>
        <w:rPr>
          <w:rFonts w:hint="eastAsia" w:ascii="宋体" w:hAnsi="宋体" w:cs="宋体"/>
          <w:kern w:val="0"/>
          <w:szCs w:val="24"/>
        </w:rPr>
        <w:t>报告期内主要经营情况</w:t>
      </w:r>
    </w:p>
    <w:p>
      <w:pPr>
        <w:pStyle w:val="4"/>
        <w:numPr>
          <w:ilvl w:val="0"/>
          <w:numId w:val="7"/>
        </w:numPr>
        <w:rPr>
          <w:rFonts w:ascii="宋体" w:hAnsi="宋体"/>
        </w:rPr>
      </w:pPr>
      <w:bookmarkStart w:id="28" w:name="_Toc342565895"/>
      <w:bookmarkStart w:id="29" w:name="_Toc342559738"/>
      <w:r>
        <w:rPr>
          <w:rFonts w:hint="eastAsia" w:ascii="宋体" w:hAnsi="宋体"/>
        </w:rPr>
        <w:t>主营业务分析</w:t>
      </w:r>
      <w:bookmarkEnd w:id="28"/>
      <w:bookmarkEnd w:id="29"/>
    </w:p>
    <w:p>
      <w:pPr>
        <w:pStyle w:val="5"/>
        <w:numPr>
          <w:ilvl w:val="0"/>
          <w:numId w:val="8"/>
        </w:numPr>
        <w:rPr>
          <w:rFonts w:ascii="宋体" w:hAnsi="宋体"/>
        </w:rPr>
      </w:pPr>
      <w:bookmarkStart w:id="30" w:name="_Toc342559739"/>
      <w:bookmarkStart w:id="31" w:name="_Toc342565896"/>
      <w:r>
        <w:rPr>
          <w:rFonts w:hint="eastAsia" w:ascii="宋体" w:hAnsi="宋体"/>
        </w:rPr>
        <w:t>财务报表相关科目变动分析表</w:t>
      </w:r>
      <w:bookmarkEnd w:id="30"/>
      <w:bookmarkEnd w:id="31"/>
    </w:p>
    <w:sdt>
      <w:sdtPr>
        <w:rPr>
          <w:rFonts w:hint="eastAsia" w:ascii="宋体" w:hAnsi="宋体"/>
        </w:rPr>
        <w:alias w:val="模块:财务报表相关科目变动分析表"/>
        <w:tag w:val="_GBC_281bf95299804381a41f7dd82e2c19f3"/>
        <w:id w:val="-1510446263"/>
        <w:lock w:val="sdtLocked"/>
        <w:placeholder>
          <w:docPart w:val="GBC22222222222222222222222222222"/>
        </w:placeholder>
      </w:sdtPr>
      <w:sdtEndPr>
        <w:rPr>
          <w:rFonts w:hint="eastAsia" w:ascii="宋体" w:hAnsi="宋体"/>
        </w:rPr>
      </w:sdtEndPr>
      <w:sdtContent>
        <w:p>
          <w:pPr>
            <w:pStyle w:val="55"/>
            <w:ind w:left="360" w:firstLine="0" w:firstLineChars="0"/>
            <w:jc w:val="right"/>
            <w:rPr>
              <w:rFonts w:ascii="宋体" w:hAnsi="宋体"/>
            </w:rPr>
          </w:pPr>
          <w:bookmarkStart w:id="32" w:name="_Hlk10208083"/>
          <w:r>
            <w:rPr>
              <w:rFonts w:hint="eastAsia" w:ascii="宋体" w:hAnsi="宋体"/>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1232208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ascii="宋体" w:hAnsi="宋体"/>
                <w:szCs w:val="21"/>
              </w:rPr>
            </w:sdtEndPr>
            <w:sdtContent>
              <w:r>
                <w:rPr>
                  <w:rFonts w:ascii="宋体" w:hAnsi="宋体"/>
                  <w:szCs w:val="21"/>
                </w:rPr>
                <w:t>元</w:t>
              </w:r>
            </w:sdtContent>
          </w:sdt>
          <w:r>
            <w:rPr>
              <w:rFonts w:hint="eastAsia" w:ascii="宋体" w:hAnsi="宋体"/>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831245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ascii="宋体" w:hAnsi="宋体"/>
                <w:szCs w:val="21"/>
              </w:rPr>
            </w:sdtEndPr>
            <w:sdtContent>
              <w:r>
                <w:rPr>
                  <w:rFonts w:hint="eastAsia" w:ascii="宋体" w:hAnsi="宋体"/>
                  <w:szCs w:val="21"/>
                </w:rPr>
                <w:t>人民币</w:t>
              </w:r>
            </w:sdtContent>
          </w:sdt>
        </w:p>
        <w:tbl>
          <w:tblPr>
            <w:tblStyle w:val="3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2126"/>
            <w:gridCol w:w="2200"/>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2e2e0d1bb8d44a278061305ea6808979"/>
                <w:id w:val="-1045831662"/>
                <w:lock w:val="sdtLocked"/>
              </w:sdtPr>
              <w:sdtEndPr>
                <w:rPr>
                  <w:rFonts w:ascii="宋体" w:hAnsi="宋体"/>
                </w:rPr>
              </w:sdtEndPr>
              <w:sdtContent>
                <w:tc>
                  <w:tcPr>
                    <w:tcW w:w="1707" w:type="pct"/>
                  </w:tcPr>
                  <w:p>
                    <w:pPr>
                      <w:pStyle w:val="55"/>
                      <w:ind w:firstLine="0" w:firstLineChars="0"/>
                      <w:rPr>
                        <w:rFonts w:ascii="宋体" w:hAnsi="宋体"/>
                      </w:rPr>
                    </w:pPr>
                    <w:r>
                      <w:rPr>
                        <w:rFonts w:hint="eastAsia" w:ascii="宋体" w:hAnsi="宋体"/>
                      </w:rPr>
                      <w:t>科目</w:t>
                    </w:r>
                  </w:p>
                </w:tc>
              </w:sdtContent>
            </w:sdt>
            <w:sdt>
              <w:sdtPr>
                <w:rPr>
                  <w:rFonts w:ascii="宋体" w:hAnsi="宋体"/>
                </w:rPr>
                <w:tag w:val="_PLD_37391874ab08430b841a55f53c4d20e6"/>
                <w:id w:val="2017188566"/>
                <w:lock w:val="sdtLocked"/>
              </w:sdtPr>
              <w:sdtEndPr>
                <w:rPr>
                  <w:rFonts w:ascii="宋体" w:hAnsi="宋体"/>
                </w:rPr>
              </w:sdtEndPr>
              <w:sdtContent>
                <w:tc>
                  <w:tcPr>
                    <w:tcW w:w="1176" w:type="pct"/>
                    <w:vAlign w:val="center"/>
                  </w:tcPr>
                  <w:p>
                    <w:pPr>
                      <w:pStyle w:val="55"/>
                      <w:ind w:firstLine="0" w:firstLineChars="0"/>
                      <w:jc w:val="center"/>
                      <w:rPr>
                        <w:rFonts w:ascii="宋体" w:hAnsi="宋体"/>
                      </w:rPr>
                    </w:pPr>
                    <w:r>
                      <w:rPr>
                        <w:rFonts w:hint="eastAsia" w:ascii="宋体" w:hAnsi="宋体"/>
                      </w:rPr>
                      <w:t>本期数</w:t>
                    </w:r>
                  </w:p>
                </w:tc>
              </w:sdtContent>
            </w:sdt>
            <w:sdt>
              <w:sdtPr>
                <w:rPr>
                  <w:rFonts w:ascii="宋体" w:hAnsi="宋体"/>
                </w:rPr>
                <w:tag w:val="_PLD_d061bf6d7e824e93a5540d2e36feb15d"/>
                <w:id w:val="-1589685296"/>
                <w:lock w:val="sdtLocked"/>
              </w:sdtPr>
              <w:sdtEndPr>
                <w:rPr>
                  <w:rFonts w:ascii="宋体" w:hAnsi="宋体"/>
                </w:rPr>
              </w:sdtEndPr>
              <w:sdtContent>
                <w:tc>
                  <w:tcPr>
                    <w:tcW w:w="1217" w:type="pct"/>
                    <w:vAlign w:val="center"/>
                  </w:tcPr>
                  <w:p>
                    <w:pPr>
                      <w:pStyle w:val="55"/>
                      <w:ind w:firstLine="0" w:firstLineChars="0"/>
                      <w:jc w:val="center"/>
                      <w:rPr>
                        <w:rFonts w:ascii="宋体" w:hAnsi="宋体"/>
                      </w:rPr>
                    </w:pPr>
                    <w:r>
                      <w:rPr>
                        <w:rFonts w:hint="eastAsia" w:ascii="宋体" w:hAnsi="宋体"/>
                      </w:rPr>
                      <w:t>上年同期数</w:t>
                    </w:r>
                  </w:p>
                </w:tc>
              </w:sdtContent>
            </w:sdt>
            <w:sdt>
              <w:sdtPr>
                <w:rPr>
                  <w:rFonts w:ascii="宋体" w:hAnsi="宋体"/>
                </w:rPr>
                <w:tag w:val="_PLD_1792b71106c34c75af22292391c96e49"/>
                <w:id w:val="-1223137385"/>
                <w:lock w:val="sdtLocked"/>
              </w:sdtPr>
              <w:sdtEndPr>
                <w:rPr>
                  <w:rFonts w:ascii="宋体" w:hAnsi="宋体"/>
                </w:rPr>
              </w:sdtEndPr>
              <w:sdtContent>
                <w:tc>
                  <w:tcPr>
                    <w:tcW w:w="900" w:type="pct"/>
                    <w:vAlign w:val="center"/>
                  </w:tcPr>
                  <w:p>
                    <w:pPr>
                      <w:pStyle w:val="55"/>
                      <w:ind w:firstLine="0" w:firstLineChars="0"/>
                      <w:jc w:val="center"/>
                      <w:rPr>
                        <w:rFonts w:ascii="宋体" w:hAnsi="宋体"/>
                      </w:rPr>
                    </w:pPr>
                    <w:r>
                      <w:rPr>
                        <w:rFonts w:hint="eastAsia" w:ascii="宋体" w:hAnsi="宋体"/>
                      </w:rPr>
                      <w:t>变动比例（%）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hint="eastAsia" w:ascii="宋体" w:hAnsi="宋体"/>
                  </w:rPr>
                  <w:t>营业收入</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7,136,011,953.47</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4,875,399,621.13</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营业成本</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3,926,662,277.70</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2,795,363,467.49</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销售费用</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5,803,128.77</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6,093,714.35</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管理费用</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109,627,395.99</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103,023,993.20</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财务费用</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533,463,186.75</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549,500,912.66</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hint="eastAsia" w:ascii="宋体" w:hAnsi="宋体"/>
                  </w:rPr>
                  <w:t>研发费用</w:t>
                </w:r>
              </w:p>
            </w:tc>
            <w:tc>
              <w:tcPr>
                <w:tcW w:w="1176" w:type="pct"/>
                <w:vAlign w:val="center"/>
              </w:tcPr>
              <w:p>
                <w:pPr>
                  <w:pStyle w:val="107"/>
                  <w:ind w:firstLine="0" w:firstLineChars="0"/>
                  <w:jc w:val="right"/>
                  <w:rPr>
                    <w:rFonts w:asciiTheme="minorEastAsia" w:hAnsiTheme="minorEastAsia" w:eastAsiaTheme="minorEastAsia"/>
                    <w:bCs/>
                  </w:rPr>
                </w:pPr>
                <w:r>
                  <w:rPr>
                    <w:rFonts w:hint="eastAsia" w:asciiTheme="minorEastAsia" w:hAnsiTheme="minorEastAsia" w:eastAsiaTheme="minorEastAsia"/>
                    <w:bCs/>
                  </w:rPr>
                  <w:t>-</w:t>
                </w:r>
              </w:p>
            </w:tc>
            <w:tc>
              <w:tcPr>
                <w:tcW w:w="1217" w:type="pct"/>
                <w:vAlign w:val="center"/>
              </w:tcPr>
              <w:p>
                <w:pPr>
                  <w:pStyle w:val="107"/>
                  <w:ind w:firstLine="0" w:firstLineChars="0"/>
                  <w:jc w:val="right"/>
                  <w:rPr>
                    <w:rFonts w:asciiTheme="minorEastAsia" w:hAnsiTheme="minorEastAsia" w:eastAsiaTheme="minorEastAsia"/>
                    <w:bCs/>
                  </w:rPr>
                </w:pPr>
                <w:r>
                  <w:rPr>
                    <w:rFonts w:hint="eastAsia" w:asciiTheme="minorEastAsia" w:hAnsiTheme="minorEastAsia" w:eastAsiaTheme="minorEastAsia"/>
                    <w:bCs/>
                  </w:rPr>
                  <w:t>-</w:t>
                </w:r>
              </w:p>
            </w:tc>
            <w:tc>
              <w:tcPr>
                <w:tcW w:w="900" w:type="pct"/>
                <w:vAlign w:val="center"/>
              </w:tcPr>
              <w:p>
                <w:pPr>
                  <w:pStyle w:val="107"/>
                  <w:ind w:firstLine="0" w:firstLineChars="0"/>
                  <w:jc w:val="right"/>
                  <w:rPr>
                    <w:rFonts w:asciiTheme="minorEastAsia" w:hAnsiTheme="minorEastAsia" w:eastAsiaTheme="minorEastAsia"/>
                    <w:bCs/>
                  </w:rPr>
                </w:pPr>
                <w:r>
                  <w:rPr>
                    <w:rFonts w:hint="eastAsia" w:asciiTheme="minorEastAsia" w:hAnsiTheme="minorEastAsia" w:eastAsiaTheme="minorEastAsia"/>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经营活动产生的现金流量净额</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3,630,954,437.28</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2,323,712,815.35</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56.</w:t>
                </w:r>
                <w:r>
                  <w:rPr>
                    <w:rFonts w:hint="eastAsia" w:asciiTheme="minorEastAsia" w:hAnsiTheme="minorEastAsia" w:eastAsiaTheme="minorEastAsia"/>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投资活动产生的现金流量净额</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-2,279,632,859.00</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-1,892,015,616.29</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20.</w:t>
                </w:r>
                <w:r>
                  <w:rPr>
                    <w:rFonts w:hint="eastAsia" w:asciiTheme="minorEastAsia" w:hAnsiTheme="minorEastAsia" w:eastAsiaTheme="minorEastAsi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rPr>
                    <w:rFonts w:ascii="宋体" w:hAnsi="宋体"/>
                  </w:rPr>
                  <w:t>筹资活动产生的现金流量净额</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-1,744,002,369.58</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-292,751,632.62</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495.73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t>公允价值变动收益</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75,602,122.87</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35,105,006.37</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115.36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t>投资收益</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613,519,419.63</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826,449,841.39</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t>资产处置收益</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4,789,530.84</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29,346,091.26</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-83.68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t>所得税</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628,491,894.66</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447,454,541.12</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40.46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7" w:type="pct"/>
              </w:tcPr>
              <w:p>
                <w:pPr>
                  <w:pStyle w:val="55"/>
                  <w:ind w:firstLine="0" w:firstLineChars="0"/>
                  <w:rPr>
                    <w:rFonts w:ascii="宋体" w:hAnsi="宋体"/>
                  </w:rPr>
                </w:pPr>
                <w:r>
                  <w:t>其他综合收益的税后净额</w:t>
                </w:r>
              </w:p>
            </w:tc>
            <w:tc>
              <w:tcPr>
                <w:tcW w:w="1176"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110,717,755.28</w:t>
                </w:r>
              </w:p>
            </w:tc>
            <w:tc>
              <w:tcPr>
                <w:tcW w:w="1217"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741,931,098.21</w:t>
                </w:r>
              </w:p>
            </w:tc>
            <w:tc>
              <w:tcPr>
                <w:tcW w:w="900" w:type="pct"/>
                <w:vAlign w:val="center"/>
              </w:tcPr>
              <w:p>
                <w:pPr>
                  <w:widowControl w:val="0"/>
                  <w:jc w:val="right"/>
                  <w:rPr>
                    <w:rFonts w:asciiTheme="minorEastAsia" w:hAnsiTheme="minorEastAsia" w:eastAsiaTheme="minorEastAsia"/>
                    <w:sz w:val="24"/>
                    <w:szCs w:val="24"/>
                  </w:rPr>
                </w:pPr>
                <w:r>
                  <w:rPr>
                    <w:rFonts w:asciiTheme="minorEastAsia" w:hAnsiTheme="minorEastAsia" w:eastAsiaTheme="minorEastAsia"/>
                  </w:rPr>
                  <w:t>-85.08</w:t>
                </w:r>
              </w:p>
            </w:tc>
          </w:tr>
        </w:tbl>
        <w:p>
          <w:pPr>
            <w:rPr>
              <w:sz w:val="18"/>
              <w:szCs w:val="18"/>
            </w:rPr>
          </w:pPr>
          <w:r>
            <w:rPr>
              <w:rFonts w:hint="eastAsia"/>
              <w:sz w:val="18"/>
              <w:szCs w:val="18"/>
            </w:rPr>
            <w:t>注：上年度数据进行追溯调整，详见本报告“第二节</w:t>
          </w:r>
          <w:r>
            <w:rPr>
              <w:sz w:val="18"/>
              <w:szCs w:val="18"/>
            </w:rPr>
            <w:t xml:space="preserve"> 公司简介和主要财务指标–七、</w:t>
          </w:r>
          <w:r>
            <w:rPr>
              <w:rFonts w:hint="eastAsia"/>
              <w:sz w:val="18"/>
              <w:szCs w:val="18"/>
            </w:rPr>
            <w:t>公司</w:t>
          </w:r>
          <w:r>
            <w:rPr>
              <w:sz w:val="18"/>
              <w:szCs w:val="18"/>
            </w:rPr>
            <w:t>主要会计数据和财务指标”中的追溯调整或重述的原因说明</w:t>
          </w:r>
        </w:p>
        <w:p>
          <w:pPr>
            <w:pStyle w:val="55"/>
            <w:ind w:firstLine="0" w:firstLineChars="0"/>
            <w:jc w:val="left"/>
            <w:rPr>
              <w:rFonts w:ascii="宋体" w:hAnsi="宋体"/>
            </w:rPr>
          </w:pPr>
          <w:r>
            <w:rPr>
              <w:rFonts w:hint="eastAsia" w:ascii="宋体" w:hAnsi="宋体"/>
            </w:rPr>
            <w:t>营业收入变动原因说明：</w:t>
          </w:r>
          <w:sdt>
            <w:sdtPr>
              <w:rPr>
                <w:rFonts w:ascii="宋体" w:hAnsi="宋体"/>
                <w:szCs w:val="21"/>
              </w:rPr>
              <w:alias w:val="营业收入变动原因说明"/>
              <w:tag w:val="_GBC_f42c61e6c2ef46fe886ea6ecdd4ea15b"/>
              <w:id w:val="1721790150"/>
              <w:lock w:val="sdtLocked"/>
              <w:placeholder>
                <w:docPart w:val="GBC22222222222222222222222222222"/>
              </w:placeholder>
            </w:sdtPr>
            <w:sdtEndPr>
              <w:rPr>
                <w:rFonts w:ascii="宋体" w:hAnsi="宋体"/>
                <w:szCs w:val="21"/>
              </w:rPr>
            </w:sdtEndPr>
            <w:sdtContent>
              <w:r>
                <w:rPr>
                  <w:rFonts w:hint="eastAsia" w:ascii="宋体" w:hAnsi="宋体"/>
                  <w:szCs w:val="21"/>
                </w:rPr>
                <w:t>主要由于本报告期受益于经营路网通行量上升等因素影响，公司路桥主业经营收入相应增长；以及对路桥项目的建设投入同比增加，建造期收入相应增长所致。</w:t>
              </w:r>
            </w:sdtContent>
          </w:sdt>
        </w:p>
        <w:p>
          <w:pPr>
            <w:pStyle w:val="55"/>
            <w:ind w:firstLine="0" w:firstLineChars="0"/>
            <w:jc w:val="left"/>
            <w:rPr>
              <w:rFonts w:ascii="宋体" w:hAnsi="宋体"/>
            </w:rPr>
          </w:pPr>
          <w:r>
            <w:rPr>
              <w:rFonts w:hint="eastAsia" w:ascii="宋体" w:hAnsi="宋体"/>
            </w:rPr>
            <w:t>营业成本变动原因说明：</w:t>
          </w:r>
          <w:sdt>
            <w:sdtPr>
              <w:rPr>
                <w:rFonts w:hint="eastAsia" w:ascii="宋体" w:hAnsi="宋体"/>
              </w:rPr>
              <w:alias w:val="营业成本变动原因说明"/>
              <w:tag w:val="_GBC_4ab47071f9844da58abe164f6bd272aa"/>
              <w:id w:val="-108438761"/>
              <w:lock w:val="sdtLocked"/>
              <w:placeholder>
                <w:docPart w:val="GBC22222222222222222222222222222"/>
              </w:placeholder>
            </w:sdtPr>
            <w:sdtEndPr>
              <w:rPr>
                <w:rFonts w:hint="eastAsia" w:ascii="宋体" w:hAnsi="宋体"/>
              </w:rPr>
            </w:sdtEndPr>
            <w:sdtContent>
              <w:r>
                <w:rPr>
                  <w:rFonts w:hint="eastAsia" w:ascii="宋体" w:hAnsi="宋体"/>
                </w:rPr>
                <w:t>主要由于本报告期受交通流量上升影响，公路经营权摊销相应增长；油品销量增加，油品采购成本相应增长；以及建造期成本同比增加所致。</w:t>
              </w:r>
            </w:sdtContent>
          </w:sdt>
        </w:p>
        <w:p>
          <w:pPr>
            <w:pStyle w:val="55"/>
            <w:ind w:firstLine="0" w:firstLineChars="0"/>
            <w:jc w:val="left"/>
            <w:rPr>
              <w:rFonts w:ascii="宋体" w:hAnsi="宋体"/>
            </w:rPr>
          </w:pPr>
          <w:r>
            <w:rPr>
              <w:rFonts w:hint="eastAsia" w:ascii="宋体" w:hAnsi="宋体"/>
            </w:rPr>
            <w:t>销售费用变动原因说明：</w:t>
          </w:r>
          <w:sdt>
            <w:sdtPr>
              <w:rPr>
                <w:rFonts w:hint="eastAsia" w:ascii="宋体" w:hAnsi="宋体"/>
              </w:rPr>
              <w:alias w:val="销售费用变动原因说明"/>
              <w:tag w:val="_GBC_d8f3d3236009445ca57b171f1c954fae"/>
              <w:id w:val="-699464711"/>
              <w:lock w:val="sdtLocked"/>
              <w:placeholder>
                <w:docPart w:val="GBC22222222222222222222222222222"/>
              </w:placeholder>
            </w:sdtPr>
            <w:sdtEndPr>
              <w:rPr>
                <w:rFonts w:hint="eastAsia" w:ascii="宋体" w:hAnsi="宋体"/>
              </w:rPr>
            </w:sdtEndPr>
            <w:sdtContent>
              <w:r>
                <w:rPr>
                  <w:rFonts w:hint="eastAsia" w:ascii="宋体" w:hAnsi="宋体"/>
                </w:rPr>
                <w:t>主要由于本报告期子公司地产项目销售佣金及广告宣传费同比减少。</w:t>
              </w:r>
            </w:sdtContent>
          </w:sdt>
        </w:p>
        <w:p>
          <w:pPr>
            <w:pStyle w:val="55"/>
            <w:ind w:firstLine="0" w:firstLineChars="0"/>
            <w:jc w:val="left"/>
            <w:rPr>
              <w:rFonts w:ascii="宋体" w:hAnsi="宋体"/>
            </w:rPr>
          </w:pPr>
          <w:r>
            <w:rPr>
              <w:rFonts w:hint="eastAsia" w:ascii="宋体" w:hAnsi="宋体"/>
            </w:rPr>
            <w:t>管理费用变动原因说明：</w:t>
          </w:r>
          <w:sdt>
            <w:sdtPr>
              <w:rPr>
                <w:rFonts w:hint="eastAsia" w:ascii="宋体" w:hAnsi="宋体"/>
              </w:rPr>
              <w:alias w:val="管理费用变动原因说明"/>
              <w:tag w:val="_GBC_13103bbe23ee4770b17eecdee03d38a1"/>
              <w:id w:val="-1495491033"/>
              <w:lock w:val="sdtLocked"/>
              <w:placeholder>
                <w:docPart w:val="GBC22222222222222222222222222222"/>
              </w:placeholder>
            </w:sdtPr>
            <w:sdtEndPr>
              <w:rPr>
                <w:rFonts w:hint="eastAsia" w:ascii="宋体" w:hAnsi="宋体"/>
              </w:rPr>
            </w:sdtEndPr>
            <w:sdtContent>
              <w:r>
                <w:rPr>
                  <w:rFonts w:hint="eastAsia" w:ascii="宋体" w:hAnsi="宋体"/>
                </w:rPr>
                <w:t>主要由于本报告期人工成本的刚性增长。</w:t>
              </w:r>
            </w:sdtContent>
          </w:sdt>
        </w:p>
        <w:p>
          <w:pPr>
            <w:pStyle w:val="55"/>
            <w:ind w:firstLine="0" w:firstLineChars="0"/>
            <w:jc w:val="left"/>
            <w:rPr>
              <w:rFonts w:ascii="宋体" w:hAnsi="宋体"/>
            </w:rPr>
          </w:pPr>
          <w:r>
            <w:rPr>
              <w:rFonts w:hint="eastAsia" w:ascii="宋体" w:hAnsi="宋体"/>
            </w:rPr>
            <w:t>财务费用变动原因说明：</w:t>
          </w:r>
          <w:sdt>
            <w:sdtPr>
              <w:rPr>
                <w:rFonts w:hint="eastAsia" w:ascii="宋体" w:hAnsi="宋体"/>
              </w:rPr>
              <w:alias w:val="财务费用变动原因说明"/>
              <w:tag w:val="_GBC_2876360f1d844724b6ba84d6b9756580"/>
              <w:id w:val="-1639339735"/>
              <w:lock w:val="sdtLocked"/>
              <w:placeholder>
                <w:docPart w:val="GBC22222222222222222222222222222"/>
              </w:placeholder>
            </w:sdtPr>
            <w:sdtEndPr>
              <w:rPr>
                <w:rFonts w:hint="eastAsia" w:ascii="宋体" w:hAnsi="宋体"/>
              </w:rPr>
            </w:sdtEndPr>
            <w:sdtContent>
              <w:r>
                <w:rPr>
                  <w:rFonts w:hint="eastAsia" w:ascii="宋体" w:hAnsi="宋体"/>
                </w:rPr>
                <w:t>主要由于本报告期通过积极有效的融资措施，公司利息费用化的有息债务综合借贷利率同比降低，财务费用相应减少。</w:t>
              </w:r>
            </w:sdtContent>
          </w:sdt>
        </w:p>
        <w:p>
          <w:pPr>
            <w:pStyle w:val="55"/>
            <w:ind w:firstLine="0" w:firstLineChars="0"/>
            <w:jc w:val="left"/>
            <w:rPr>
              <w:rFonts w:ascii="宋体" w:hAnsi="宋体"/>
            </w:rPr>
          </w:pPr>
          <w:r>
            <w:rPr>
              <w:rFonts w:hint="eastAsia" w:ascii="宋体" w:hAnsi="宋体"/>
            </w:rPr>
            <w:t>研发费用变动原因说明</w:t>
          </w:r>
          <w:r>
            <w:rPr>
              <w:rFonts w:ascii="宋体" w:hAnsi="宋体"/>
            </w:rPr>
            <w:t>：</w:t>
          </w:r>
          <w:sdt>
            <w:sdtPr>
              <w:rPr>
                <w:rFonts w:ascii="宋体" w:hAnsi="宋体"/>
              </w:rPr>
              <w:alias w:val="研发费用变动原因说明"/>
              <w:tag w:val="_GBC_b0b71742eb3f4715afa18751ce433454"/>
              <w:id w:val="-503591759"/>
              <w:lock w:val="sdtLocked"/>
              <w:placeholder>
                <w:docPart w:val="GBC22222222222222222222222222222"/>
              </w:placeholder>
            </w:sdtPr>
            <w:sdtEndPr>
              <w:rPr>
                <w:rFonts w:ascii="宋体" w:hAnsi="宋体"/>
              </w:rPr>
            </w:sdtEndPr>
            <w:sdtContent>
              <w:r>
                <w:rPr>
                  <w:rFonts w:hint="eastAsia" w:ascii="宋体" w:hAnsi="宋体"/>
                </w:rPr>
                <w:t>无</w:t>
              </w:r>
              <w:r>
                <w:rPr>
                  <w:rFonts w:ascii="宋体" w:hAnsi="宋体"/>
                </w:rPr>
                <w:t>。</w:t>
              </w:r>
            </w:sdtContent>
          </w:sdt>
        </w:p>
        <w:p>
          <w:pPr>
            <w:pStyle w:val="55"/>
            <w:ind w:firstLine="0" w:firstLineChars="0"/>
            <w:jc w:val="left"/>
            <w:rPr>
              <w:rFonts w:ascii="宋体" w:hAnsi="宋体"/>
            </w:rPr>
          </w:pPr>
          <w:r>
            <w:rPr>
              <w:rFonts w:ascii="宋体" w:hAnsi="宋体"/>
              <w:szCs w:val="21"/>
            </w:rPr>
            <w:t>经营活动产生的现金流量净额</w:t>
          </w:r>
          <w:r>
            <w:rPr>
              <w:rFonts w:hint="eastAsia" w:ascii="宋体" w:hAnsi="宋体"/>
              <w:szCs w:val="21"/>
            </w:rPr>
            <w:t>变动原因说明：</w:t>
          </w:r>
          <w:sdt>
            <w:sdtPr>
              <w:rPr>
                <w:rFonts w:hint="eastAsia" w:ascii="宋体" w:hAnsi="宋体"/>
                <w:szCs w:val="21"/>
              </w:rPr>
              <w:alias w:val="经营活动产生的现金流量净额变动原因说明"/>
              <w:tag w:val="_GBC_309323bb8b0046e9bb6afe0231994d50"/>
              <w:id w:val="364559721"/>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主要由于本报告期受路网通行量上升影响，主营业务收入较去年同期强劲增长。</w:t>
              </w:r>
            </w:sdtContent>
          </w:sdt>
        </w:p>
        <w:p>
          <w:pPr>
            <w:pStyle w:val="55"/>
            <w:ind w:firstLine="0" w:firstLineChars="0"/>
            <w:jc w:val="left"/>
            <w:rPr>
              <w:rFonts w:ascii="宋体" w:hAnsi="宋体"/>
            </w:rPr>
          </w:pPr>
          <w:r>
            <w:rPr>
              <w:rFonts w:ascii="宋体" w:hAnsi="宋体"/>
              <w:szCs w:val="21"/>
            </w:rPr>
            <w:t>投资活动产生的现金流量净额</w:t>
          </w:r>
          <w:r>
            <w:rPr>
              <w:rFonts w:hint="eastAsia" w:ascii="宋体" w:hAnsi="宋体"/>
              <w:szCs w:val="21"/>
            </w:rPr>
            <w:t>变动原因说明：</w:t>
          </w:r>
          <w:sdt>
            <w:sdtPr>
              <w:rPr>
                <w:rFonts w:hint="eastAsia" w:ascii="宋体" w:hAnsi="宋体"/>
                <w:szCs w:val="21"/>
              </w:rPr>
              <w:alias w:val="投资活动产生的现金流量净额变动原因说明"/>
              <w:tag w:val="_GBC_981bcb9573814b8080b52fae435fb1b0"/>
              <w:id w:val="-1032647360"/>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主要由于本报告期对在建路桥项目的建设投入同比增加。</w:t>
              </w:r>
            </w:sdtContent>
          </w:sdt>
        </w:p>
        <w:p>
          <w:pPr>
            <w:pStyle w:val="55"/>
            <w:ind w:firstLine="0" w:firstLineChars="0"/>
            <w:jc w:val="left"/>
            <w:rPr>
              <w:rFonts w:ascii="宋体" w:hAnsi="宋体"/>
            </w:rPr>
          </w:pPr>
          <w:r>
            <w:rPr>
              <w:rFonts w:ascii="宋体" w:hAnsi="宋体"/>
              <w:szCs w:val="21"/>
            </w:rPr>
            <w:t>筹资活动产生的现金流量净额</w:t>
          </w:r>
          <w:r>
            <w:rPr>
              <w:rFonts w:hint="eastAsia" w:ascii="宋体" w:hAnsi="宋体"/>
              <w:szCs w:val="21"/>
            </w:rPr>
            <w:t>变动原因说明：</w:t>
          </w:r>
          <w:sdt>
            <w:sdtPr>
              <w:rPr>
                <w:rFonts w:hint="eastAsia" w:ascii="宋体" w:hAnsi="宋体"/>
                <w:szCs w:val="21"/>
              </w:rPr>
              <w:alias w:val="筹资活动产生的现金流量净额变动原因说明"/>
              <w:tag w:val="_GBC_900a9d8acfac4ec18a35c4034161c13e"/>
              <w:id w:val="-1632084729"/>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主要由于本报告期公司净偿还债务同比增加。</w:t>
              </w:r>
            </w:sdtContent>
          </w:sdt>
        </w:p>
        <w:sdt>
          <w:sdtPr>
            <w:rPr>
              <w:rFonts w:hint="eastAsia" w:ascii="宋体" w:hAnsi="宋体"/>
              <w:szCs w:val="21"/>
            </w:rPr>
            <w:alias w:val="利润表及现金流量表相关科目变动分析"/>
            <w:tag w:val="_GBC_94f5ff32e4ce4847911acff5a0adb36c"/>
            <w:id w:val="1909495875"/>
            <w:lock w:val="sdtLocked"/>
            <w:placeholder>
              <w:docPart w:val="GBC22222222222222222222222222222"/>
            </w:placeholder>
          </w:sdtPr>
          <w:sdtEndPr>
            <w:rPr>
              <w:rFonts w:hint="eastAsia" w:ascii="宋体" w:hAnsi="宋体"/>
              <w:szCs w:val="21"/>
            </w:rPr>
          </w:sdtEndPr>
          <w:sdtContent>
            <w:p>
              <w:pPr>
                <w:pStyle w:val="55"/>
                <w:ind w:firstLine="0" w:firstLineChars="0"/>
                <w:jc w:val="left"/>
                <w:rPr>
                  <w:rFonts w:ascii="宋体" w:hAnsi="宋体"/>
                </w:rPr>
              </w:pPr>
              <w:sdt>
                <w:sdtPr>
                  <w:rPr>
                    <w:rFonts w:hint="eastAsia" w:ascii="宋体" w:hAnsi="宋体"/>
                    <w:szCs w:val="21"/>
                  </w:rPr>
                  <w:alias w:val="利润表及现金流量表相关科目变动分析-科目名称"/>
                  <w:tag w:val="_GBC_764a55650aaf4240a584071ddd35a587"/>
                  <w:id w:val="770444822"/>
                  <w:lock w:val="sdtLocked"/>
                  <w:placeholder>
                    <w:docPart w:val="GBC22222222222222222222222222222"/>
                  </w:placeholder>
                </w:sdtPr>
                <w:sdtEndPr>
                  <w:rPr>
                    <w:rFonts w:hint="eastAsia" w:ascii="宋体" w:hAnsi="宋体"/>
                    <w:szCs w:val="21"/>
                  </w:rPr>
                </w:sdtEndPr>
                <w:sdtContent>
                  <w:r>
                    <w:rPr>
                      <w:rFonts w:hint="eastAsia" w:ascii="宋体" w:hAnsi="宋体"/>
                      <w:szCs w:val="21"/>
                    </w:rPr>
                    <w:t>公允价值变动收益</w:t>
                  </w:r>
                </w:sdtContent>
              </w:sdt>
              <w:r>
                <w:rPr>
                  <w:rFonts w:hint="eastAsia" w:ascii="宋体" w:hAnsi="宋体"/>
                  <w:szCs w:val="21"/>
                </w:rPr>
                <w:t>变动原因说明：</w:t>
              </w:r>
              <w:sdt>
                <w:sdtPr>
                  <w:rPr>
                    <w:rFonts w:hint="eastAsia" w:ascii="宋体" w:hAnsi="宋体"/>
                    <w:szCs w:val="21"/>
                  </w:rPr>
                  <w:alias w:val="利润表及现金流量表相关科目变动分析-变动原因说明"/>
                  <w:tag w:val="_GBC_1f225b75164341838c2f2de40a1ee736"/>
                  <w:id w:val="-1665466662"/>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主要由于本报告期子公司持有的其他非流动金融资产公允价值增值额同比增加所致。</w:t>
                  </w:r>
                </w:sdtContent>
              </w:sdt>
            </w:p>
          </w:sdtContent>
        </w:sdt>
        <w:sdt>
          <w:sdtPr>
            <w:rPr>
              <w:rFonts w:hint="eastAsia" w:ascii="宋体" w:hAnsi="宋体"/>
              <w:szCs w:val="21"/>
            </w:rPr>
            <w:alias w:val="利润表及现金流量表相关科目变动分析"/>
            <w:tag w:val="_GBC_94f5ff32e4ce4847911acff5a0adb36c"/>
            <w:id w:val="1132751966"/>
            <w:lock w:val="sdtLocked"/>
            <w:placeholder>
              <w:docPart w:val="GBC22222222222222222222222222222"/>
            </w:placeholder>
          </w:sdtPr>
          <w:sdtEndPr>
            <w:rPr>
              <w:rFonts w:hint="eastAsia" w:ascii="宋体" w:hAnsi="宋体"/>
              <w:szCs w:val="21"/>
            </w:rPr>
          </w:sdtEndPr>
          <w:sdtContent>
            <w:p>
              <w:pPr>
                <w:pStyle w:val="55"/>
                <w:ind w:firstLine="0" w:firstLineChars="0"/>
                <w:jc w:val="left"/>
                <w:rPr>
                  <w:rFonts w:ascii="宋体" w:hAnsi="宋体"/>
                </w:rPr>
              </w:pPr>
              <w:sdt>
                <w:sdtPr>
                  <w:rPr>
                    <w:rFonts w:hint="eastAsia" w:ascii="宋体" w:hAnsi="宋体"/>
                    <w:szCs w:val="21"/>
                  </w:rPr>
                  <w:alias w:val="利润表及现金流量表相关科目变动分析-科目名称"/>
                  <w:tag w:val="_GBC_764a55650aaf4240a584071ddd35a587"/>
                  <w:id w:val="-1458183231"/>
                  <w:lock w:val="sdtLocked"/>
                  <w:placeholder>
                    <w:docPart w:val="GBC22222222222222222222222222222"/>
                  </w:placeholder>
                </w:sdtPr>
                <w:sdtEndPr>
                  <w:rPr>
                    <w:rFonts w:hint="eastAsia" w:ascii="宋体" w:hAnsi="宋体"/>
                    <w:szCs w:val="21"/>
                  </w:rPr>
                </w:sdtEndPr>
                <w:sdtContent>
                  <w:r>
                    <w:rPr>
                      <w:rFonts w:hint="eastAsia" w:ascii="宋体" w:hAnsi="宋体"/>
                      <w:szCs w:val="21"/>
                    </w:rPr>
                    <w:t>投资收益</w:t>
                  </w:r>
                </w:sdtContent>
              </w:sdt>
              <w:r>
                <w:rPr>
                  <w:rFonts w:hint="eastAsia" w:ascii="宋体" w:hAnsi="宋体"/>
                  <w:szCs w:val="21"/>
                </w:rPr>
                <w:t>变动原因说明：</w:t>
              </w:r>
              <w:sdt>
                <w:sdtPr>
                  <w:rPr>
                    <w:rFonts w:hint="eastAsia" w:ascii="宋体" w:hAnsi="宋体"/>
                    <w:szCs w:val="21"/>
                  </w:rPr>
                  <w:alias w:val="利润表及现金流量表相关科目变动分析-变动原因说明"/>
                  <w:tag w:val="_GBC_1f225b75164341838c2f2de40a1ee736"/>
                  <w:id w:val="-562096273"/>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主要由于本报告期江苏银行公司分红时间较去年有所推迟，导致投资收益同比减少。截至本报告日，公司已于</w:t>
                  </w:r>
                  <w:r>
                    <w:rPr>
                      <w:rFonts w:ascii="宋体" w:hAnsi="宋体"/>
                      <w:szCs w:val="21"/>
                    </w:rPr>
                    <w:t>2023年7月收到江苏银行公司分红款。</w:t>
                  </w:r>
                </w:sdtContent>
              </w:sdt>
            </w:p>
          </w:sdtContent>
        </w:sdt>
        <w:sdt>
          <w:sdtPr>
            <w:rPr>
              <w:rFonts w:hint="eastAsia" w:ascii="宋体" w:hAnsi="宋体"/>
              <w:szCs w:val="21"/>
            </w:rPr>
            <w:alias w:val="利润表及现金流量表相关科目变动分析"/>
            <w:tag w:val="_GBC_94f5ff32e4ce4847911acff5a0adb36c"/>
            <w:id w:val="1299266346"/>
            <w:lock w:val="sdtLocked"/>
            <w:placeholder>
              <w:docPart w:val="GBC22222222222222222222222222222"/>
            </w:placeholder>
          </w:sdtPr>
          <w:sdtEndPr>
            <w:rPr>
              <w:rFonts w:hint="eastAsia" w:ascii="宋体" w:hAnsi="宋体"/>
              <w:szCs w:val="21"/>
            </w:rPr>
          </w:sdtEndPr>
          <w:sdtContent>
            <w:p>
              <w:pPr>
                <w:pStyle w:val="55"/>
                <w:ind w:firstLine="0" w:firstLineChars="0"/>
                <w:jc w:val="left"/>
                <w:rPr>
                  <w:rFonts w:ascii="宋体" w:hAnsi="宋体"/>
                  <w:szCs w:val="21"/>
                </w:rPr>
              </w:pPr>
              <w:sdt>
                <w:sdtPr>
                  <w:rPr>
                    <w:rFonts w:hint="eastAsia" w:ascii="宋体" w:hAnsi="宋体"/>
                    <w:szCs w:val="21"/>
                  </w:rPr>
                  <w:alias w:val="利润表及现金流量表相关科目变动分析-科目名称"/>
                  <w:tag w:val="_GBC_764a55650aaf4240a584071ddd35a587"/>
                  <w:id w:val="-1492865436"/>
                  <w:lock w:val="sdtLocked"/>
                  <w:placeholder>
                    <w:docPart w:val="GBC22222222222222222222222222222"/>
                  </w:placeholder>
                </w:sdtPr>
                <w:sdtEndPr>
                  <w:rPr>
                    <w:rFonts w:hint="eastAsia" w:ascii="宋体" w:hAnsi="宋体"/>
                    <w:szCs w:val="21"/>
                  </w:rPr>
                </w:sdtEndPr>
                <w:sdtContent>
                  <w:r>
                    <w:rPr>
                      <w:rFonts w:hint="eastAsia" w:ascii="宋体" w:hAnsi="宋体"/>
                      <w:szCs w:val="21"/>
                    </w:rPr>
                    <w:t>资产处置收益</w:t>
                  </w:r>
                </w:sdtContent>
              </w:sdt>
              <w:r>
                <w:rPr>
                  <w:rFonts w:hint="eastAsia" w:ascii="宋体" w:hAnsi="宋体"/>
                  <w:szCs w:val="21"/>
                </w:rPr>
                <w:t>变动原因说明：</w:t>
              </w:r>
              <w:sdt>
                <w:sdtPr>
                  <w:rPr>
                    <w:rFonts w:hint="eastAsia" w:ascii="宋体" w:hAnsi="宋体"/>
                    <w:szCs w:val="21"/>
                  </w:rPr>
                  <w:alias w:val="利润表及现金流量表相关科目变动分析-变动原因说明"/>
                  <w:tag w:val="_GBC_1f225b75164341838c2f2de40a1ee736"/>
                  <w:id w:val="-1606955540"/>
                  <w:lock w:val="sdtLocked"/>
                  <w:placeholder>
                    <w:docPart w:val="GBC22222222222222222222222222222"/>
                  </w:placeholder>
                </w:sdtPr>
                <w:sdtEndPr>
                  <w:rPr>
                    <w:rFonts w:hint="eastAsia" w:ascii="宋体" w:hAnsi="宋体"/>
                    <w:szCs w:val="21"/>
                  </w:rPr>
                </w:sdtEndPr>
                <w:sdtContent>
                  <w:r>
                    <w:rPr>
                      <w:rFonts w:hint="eastAsia" w:ascii="宋体" w:hAnsi="宋体"/>
                      <w:szCs w:val="21"/>
                    </w:rPr>
                    <w:t>主要由于去年同期对环太湖高速公路南泉收费站进行了资产处置。</w:t>
                  </w:r>
                </w:sdtContent>
              </w:sdt>
            </w:p>
          </w:sdtContent>
        </w:sdt>
        <w:sdt>
          <w:sdtPr>
            <w:rPr>
              <w:rFonts w:hint="eastAsia" w:ascii="宋体" w:hAnsi="宋体"/>
              <w:szCs w:val="21"/>
            </w:rPr>
            <w:alias w:val="利润表及现金流量表相关科目变动分析"/>
            <w:tag w:val="_GBC_94f5ff32e4ce4847911acff5a0adb36c"/>
            <w:id w:val="2059580180"/>
            <w:lock w:val="sdtLocked"/>
          </w:sdtPr>
          <w:sdtEndPr>
            <w:rPr>
              <w:rFonts w:hint="eastAsia" w:ascii="宋体" w:hAnsi="宋体"/>
              <w:szCs w:val="21"/>
            </w:rPr>
          </w:sdtEndPr>
          <w:sdtContent>
            <w:p>
              <w:pPr>
                <w:pStyle w:val="55"/>
                <w:ind w:firstLine="0" w:firstLineChars="0"/>
                <w:jc w:val="left"/>
                <w:rPr>
                  <w:rFonts w:ascii="宋体" w:hAnsi="宋体" w:cs="宋体"/>
                  <w:kern w:val="0"/>
                  <w:szCs w:val="21"/>
                </w:rPr>
              </w:pPr>
              <w:sdt>
                <w:sdtPr>
                  <w:rPr>
                    <w:rFonts w:hint="eastAsia" w:ascii="宋体" w:hAnsi="宋体"/>
                    <w:szCs w:val="21"/>
                  </w:rPr>
                  <w:alias w:val="利润表及现金流量表相关科目变动分析-科目名称"/>
                  <w:tag w:val="_GBC_764a55650aaf4240a584071ddd35a587"/>
                  <w:id w:val="499476915"/>
                  <w:lock w:val="sdtLocked"/>
                </w:sdtPr>
                <w:sdtEndPr>
                  <w:rPr>
                    <w:rFonts w:hint="eastAsia" w:ascii="宋体" w:hAnsi="宋体"/>
                    <w:szCs w:val="21"/>
                  </w:rPr>
                </w:sdtEndPr>
                <w:sdtContent>
                  <w:r>
                    <w:rPr>
                      <w:rFonts w:hint="eastAsia" w:ascii="宋体" w:hAnsi="宋体"/>
                      <w:szCs w:val="21"/>
                    </w:rPr>
                    <w:t>所得税</w:t>
                  </w:r>
                </w:sdtContent>
              </w:sdt>
              <w:r>
                <w:rPr>
                  <w:rFonts w:hint="eastAsia" w:ascii="宋体" w:hAnsi="宋体"/>
                  <w:szCs w:val="21"/>
                </w:rPr>
                <w:t>变动原因说明：</w:t>
              </w:r>
              <w:sdt>
                <w:sdtPr>
                  <w:rPr>
                    <w:rFonts w:hint="eastAsia" w:ascii="宋体" w:hAnsi="宋体"/>
                    <w:szCs w:val="21"/>
                  </w:rPr>
                  <w:alias w:val="利润表及现金流量表相关科目变动分析-变动原因说明"/>
                  <w:tag w:val="_GBC_1f225b75164341838c2f2de40a1ee736"/>
                  <w:id w:val="1330019222"/>
                  <w:lock w:val="sdtLocked"/>
                </w:sdtPr>
                <w:sdtEndPr>
                  <w:rPr>
                    <w:rFonts w:hint="eastAsia" w:ascii="宋体" w:hAnsi="宋体"/>
                    <w:szCs w:val="21"/>
                  </w:rPr>
                </w:sdtEndPr>
                <w:sdtContent>
                  <w:r>
                    <w:rPr>
                      <w:rFonts w:hint="eastAsia" w:ascii="宋体" w:hAnsi="宋体"/>
                      <w:szCs w:val="21"/>
                    </w:rPr>
                    <w:t>主要由于本报告期集团应纳税所得额同比增加所致。</w:t>
                  </w:r>
                </w:sdtContent>
              </w:sdt>
            </w:p>
          </w:sdtContent>
        </w:sdt>
        <w:p>
          <w:pPr>
            <w:pStyle w:val="55"/>
            <w:ind w:firstLine="0" w:firstLineChars="0"/>
            <w:jc w:val="left"/>
            <w:rPr>
              <w:rFonts w:ascii="宋体" w:hAnsi="宋体"/>
            </w:rPr>
          </w:pPr>
          <w:sdt>
            <w:sdtPr>
              <w:rPr>
                <w:rFonts w:hint="eastAsia" w:ascii="宋体" w:hAnsi="宋体"/>
                <w:szCs w:val="21"/>
              </w:rPr>
              <w:alias w:val="利润表及现金流量表相关科目变动分析"/>
              <w:tag w:val="_GBC_94f5ff32e4ce4847911acff5a0adb36c"/>
              <w:id w:val="-2117052661"/>
              <w:lock w:val="sdtLocked"/>
            </w:sdtPr>
            <w:sdtEndPr>
              <w:rPr>
                <w:rFonts w:hint="eastAsia" w:ascii="宋体" w:hAnsi="宋体"/>
                <w:szCs w:val="21"/>
              </w:rPr>
            </w:sdtEndPr>
            <w:sdtContent>
              <w:sdt>
                <w:sdtPr>
                  <w:rPr>
                    <w:rFonts w:hint="eastAsia" w:ascii="宋体" w:hAnsi="宋体"/>
                    <w:szCs w:val="21"/>
                  </w:rPr>
                  <w:alias w:val="利润表及现金流量表相关科目变动分析-科目名称"/>
                  <w:tag w:val="_GBC_764a55650aaf4240a584071ddd35a587"/>
                  <w:id w:val="2011559490"/>
                  <w:lock w:val="sdtLocked"/>
                </w:sdtPr>
                <w:sdtEndPr>
                  <w:rPr>
                    <w:rFonts w:hint="eastAsia" w:ascii="宋体" w:hAnsi="宋体"/>
                    <w:szCs w:val="21"/>
                  </w:rPr>
                </w:sdtEndPr>
                <w:sdtContent>
                  <w:r>
                    <w:rPr>
                      <w:rFonts w:hint="eastAsia" w:ascii="宋体" w:hAnsi="宋体"/>
                      <w:szCs w:val="21"/>
                    </w:rPr>
                    <w:t>其他综合收益的税后净额</w:t>
                  </w:r>
                </w:sdtContent>
              </w:sdt>
              <w:r>
                <w:rPr>
                  <w:rFonts w:hint="eastAsia" w:ascii="宋体" w:hAnsi="宋体"/>
                  <w:szCs w:val="21"/>
                </w:rPr>
                <w:t>变动原因说明：</w:t>
              </w:r>
              <w:sdt>
                <w:sdtPr>
                  <w:rPr>
                    <w:rFonts w:hint="eastAsia" w:ascii="宋体" w:hAnsi="宋体"/>
                    <w:szCs w:val="21"/>
                  </w:rPr>
                  <w:alias w:val="利润表及现金流量表相关科目变动分析-变动原因说明"/>
                  <w:tag w:val="_GBC_1f225b75164341838c2f2de40a1ee736"/>
                  <w:id w:val="-1028707580"/>
                  <w:lock w:val="sdtLocked"/>
                </w:sdtPr>
                <w:sdtEndPr>
                  <w:rPr>
                    <w:rFonts w:hint="eastAsia" w:ascii="宋体" w:hAnsi="宋体"/>
                    <w:szCs w:val="21"/>
                  </w:rPr>
                </w:sdtEndPr>
                <w:sdtContent>
                  <w:r>
                    <w:rPr>
                      <w:rFonts w:hint="eastAsia" w:ascii="宋体" w:hAnsi="宋体"/>
                      <w:szCs w:val="21"/>
                    </w:rPr>
                    <w:t>主要由于本报告期集团持有的其他权益工具投资公允价值下降，导致其他综合收益同比减少。</w:t>
                  </w:r>
                </w:sdtContent>
              </w:sdt>
            </w:sdtContent>
          </w:sdt>
        </w:p>
      </w:sdtContent>
    </w:sdt>
    <w:bookmarkEnd w:id="32"/>
    <w:p>
      <w:pPr>
        <w:pStyle w:val="55"/>
        <w:ind w:firstLine="0" w:firstLineChars="0"/>
        <w:jc w:val="left"/>
        <w:rPr>
          <w:rFonts w:ascii="宋体" w:hAnsi="宋体"/>
        </w:rPr>
      </w:pPr>
      <w:bookmarkStart w:id="33" w:name="_Toc342565903"/>
      <w:bookmarkStart w:id="34" w:name="_Toc342559755"/>
    </w:p>
    <w:p>
      <w:pPr>
        <w:spacing w:before="156" w:beforeLines="50" w:line="360" w:lineRule="auto"/>
        <w:ind w:firstLine="422" w:firstLineChars="200"/>
        <w:rPr>
          <w:b/>
        </w:rPr>
      </w:pPr>
      <w:r>
        <w:rPr>
          <w:rFonts w:hint="eastAsia"/>
          <w:b/>
        </w:rPr>
        <w:t>（1）主营业务分行业、分地区情况</w:t>
      </w:r>
    </w:p>
    <w:p>
      <w:pPr>
        <w:jc w:val="right"/>
        <w:rPr>
          <w:sz w:val="18"/>
          <w:szCs w:val="18"/>
        </w:rPr>
      </w:pPr>
      <w:bookmarkStart w:id="35" w:name="_Hlk143250414"/>
      <w:r>
        <w:rPr>
          <w:rFonts w:hint="eastAsia"/>
          <w:sz w:val="18"/>
          <w:szCs w:val="18"/>
        </w:rPr>
        <w:t>单位:元 币种:人民币</w:t>
      </w:r>
    </w:p>
    <w:tbl>
      <w:tblPr>
        <w:tblStyle w:val="10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1599"/>
        <w:gridCol w:w="1476"/>
        <w:gridCol w:w="1035"/>
        <w:gridCol w:w="897"/>
        <w:gridCol w:w="940"/>
        <w:gridCol w:w="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gridSpan w:val="7"/>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主营业务分行业情况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分行业</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营业收入</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营业成本</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毛利率（</w:t>
            </w:r>
            <w:r>
              <w:rPr>
                <w:rFonts w:hint="eastAsia" w:ascii="Times New Roman" w:hAnsi="Times New Roman" w:eastAsia="Times New Roman" w:cs="Times New Roman"/>
                <w:bCs w:val="0"/>
                <w:sz w:val="18"/>
                <w:szCs w:val="18"/>
              </w:rPr>
              <w:t>%</w:t>
            </w:r>
            <w:r>
              <w:rPr>
                <w:rFonts w:hint="eastAsia" w:ascii="宋体" w:hAnsi="宋体" w:eastAsia="宋体" w:cs="宋体"/>
                <w:bCs w:val="0"/>
                <w:sz w:val="18"/>
                <w:szCs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营业收入比上年增减（</w:t>
            </w:r>
            <w:r>
              <w:rPr>
                <w:rFonts w:hint="eastAsia" w:ascii="Times New Roman" w:hAnsi="Times New Roman" w:eastAsia="Times New Roman" w:cs="Times New Roman"/>
                <w:bCs w:val="0"/>
                <w:sz w:val="18"/>
                <w:szCs w:val="18"/>
              </w:rPr>
              <w:t>%</w:t>
            </w:r>
            <w:r>
              <w:rPr>
                <w:rFonts w:hint="eastAsia" w:ascii="宋体" w:hAnsi="宋体" w:eastAsia="宋体" w:cs="宋体"/>
                <w:bCs w:val="0"/>
                <w:sz w:val="18"/>
                <w:szCs w:val="18"/>
              </w:rPr>
              <w:t>）</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营业成本比上年增减（</w:t>
            </w:r>
            <w:r>
              <w:rPr>
                <w:rFonts w:hint="eastAsia" w:ascii="Times New Roman" w:hAnsi="Times New Roman" w:eastAsia="Times New Roman" w:cs="Times New Roman"/>
                <w:bCs w:val="0"/>
                <w:sz w:val="18"/>
                <w:szCs w:val="18"/>
              </w:rPr>
              <w:t>%</w:t>
            </w:r>
            <w:r>
              <w:rPr>
                <w:rFonts w:hint="eastAsia" w:ascii="宋体" w:hAnsi="宋体" w:eastAsia="宋体" w:cs="宋体"/>
                <w:bCs w:val="0"/>
                <w:sz w:val="18"/>
                <w:szCs w:val="18"/>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sz w:val="18"/>
                <w:szCs w:val="18"/>
              </w:rPr>
              <w:t>毛利率比上年增减（</w:t>
            </w:r>
            <w:r>
              <w:rPr>
                <w:rFonts w:hint="eastAsia" w:ascii="Times New Roman" w:hAnsi="Times New Roman" w:eastAsia="Times New Roman" w:cs="Times New Roman"/>
                <w:bCs w:val="0"/>
                <w:sz w:val="18"/>
                <w:szCs w:val="18"/>
              </w:rPr>
              <w:t>%</w:t>
            </w:r>
            <w:r>
              <w:rPr>
                <w:rFonts w:hint="eastAsia" w:ascii="宋体" w:hAnsi="宋体" w:eastAsia="宋体" w:cs="宋体"/>
                <w:bCs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val="0"/>
                <w:sz w:val="18"/>
                <w:szCs w:val="18"/>
              </w:rPr>
            </w:pPr>
            <w:r>
              <w:rPr>
                <w:rFonts w:hint="eastAsia" w:ascii="宋体" w:hAnsi="宋体" w:eastAsia="Times New Roman"/>
                <w:b/>
                <w:bCs/>
                <w:sz w:val="18"/>
                <w:szCs w:val="18"/>
              </w:rPr>
              <w:t>收费公路</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4,522,385,502.88</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1,605,164,730.55</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64.51</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35.67</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9.74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color w:val="000000"/>
                <w:sz w:val="18"/>
                <w:szCs w:val="18"/>
              </w:rPr>
              <w:t>增加</w:t>
            </w:r>
            <w:r>
              <w:rPr>
                <w:rFonts w:hint="eastAsia" w:ascii="Times New Roman" w:hAnsi="Times New Roman" w:eastAsia="Times New Roman" w:cs="Times New Roman"/>
                <w:b/>
                <w:bCs/>
                <w:color w:val="000000"/>
                <w:sz w:val="18"/>
                <w:szCs w:val="18"/>
              </w:rPr>
              <w:t>8.39</w:t>
            </w:r>
            <w:r>
              <w:rPr>
                <w:rFonts w:hint="eastAsia" w:ascii="宋体" w:hAnsi="宋体" w:eastAsia="宋体" w:cs="宋体"/>
                <w:b/>
                <w:bCs/>
                <w:color w:val="000000"/>
                <w:sz w:val="18"/>
                <w:szCs w:val="18"/>
              </w:rPr>
              <w:t>个百分点</w:t>
            </w:r>
            <w:r>
              <w:rPr>
                <w:rFonts w:hint="eastAsia" w:ascii="宋体" w:hAnsi="宋体" w:eastAsia="宋体" w:cs="宋体"/>
                <w:bCs/>
                <w:color w:val="000000"/>
                <w:sz w:val="13"/>
                <w:szCs w:val="13"/>
              </w:rPr>
              <w:t>（注</w:t>
            </w:r>
            <w:r>
              <w:rPr>
                <w:rFonts w:hint="eastAsia" w:ascii="Times New Roman" w:hAnsi="Times New Roman" w:eastAsia="Times New Roman" w:cs="Times New Roman"/>
                <w:bCs/>
                <w:color w:val="000000"/>
                <w:sz w:val="13"/>
                <w:szCs w:val="13"/>
              </w:rPr>
              <w:t>2</w:t>
            </w:r>
            <w:r>
              <w:rPr>
                <w:rFonts w:hint="eastAsia" w:ascii="宋体" w:hAnsi="宋体" w:eastAsia="宋体" w:cs="宋体"/>
                <w:bCs/>
                <w:color w:val="00000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val="0"/>
                <w:sz w:val="18"/>
                <w:szCs w:val="18"/>
              </w:rPr>
              <w:t>沪宁高速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2,587,561,515.16</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819,032,856.47</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68.35</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36.11</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17.47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5.02</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Cs/>
                <w:sz w:val="18"/>
                <w:szCs w:val="18"/>
              </w:rPr>
            </w:pPr>
            <w:r>
              <w:rPr>
                <w:rFonts w:hint="eastAsia" w:ascii="宋体" w:hAnsi="宋体" w:eastAsia="Times New Roman"/>
                <w:bCs w:val="0"/>
                <w:sz w:val="18"/>
                <w:szCs w:val="18"/>
              </w:rPr>
              <w:t>广靖高速及锡澄高速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428,290,778.80</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100,115,895.57</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76.62</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41.69</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-43.57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35.32</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Cs/>
                <w:sz w:val="18"/>
                <w:szCs w:val="18"/>
              </w:rPr>
            </w:pPr>
            <w:r>
              <w:rPr>
                <w:rFonts w:hint="eastAsia" w:ascii="宋体" w:hAnsi="宋体" w:eastAsia="Times New Roman"/>
                <w:bCs w:val="0"/>
                <w:sz w:val="18"/>
                <w:szCs w:val="18"/>
              </w:rPr>
              <w:t>宁常高速及镇溧高速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662,912,930.57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227,251,943.36</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65.72</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15.04</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-4.94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7.21</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Cs/>
                <w:sz w:val="18"/>
                <w:szCs w:val="18"/>
              </w:rPr>
            </w:pPr>
            <w:r>
              <w:rPr>
                <w:rFonts w:hint="eastAsia" w:ascii="宋体" w:hAnsi="宋体" w:eastAsia="Times New Roman"/>
                <w:bCs w:val="0"/>
                <w:sz w:val="18"/>
                <w:szCs w:val="18"/>
              </w:rPr>
              <w:t>锡宜高速及无锡环太湖公路</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293,529,522.24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187,787,993.95</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36.02</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33.41</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66.41</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减少</w:t>
            </w:r>
            <w:r>
              <w:rPr>
                <w:rFonts w:hint="eastAsia" w:ascii="Times New Roman" w:hAnsi="Times New Roman" w:eastAsia="Times New Roman" w:cs="Times New Roman"/>
                <w:bCs w:val="0"/>
                <w:color w:val="000000"/>
                <w:sz w:val="18"/>
                <w:szCs w:val="18"/>
              </w:rPr>
              <w:t>12.69</w:t>
            </w:r>
            <w:r>
              <w:rPr>
                <w:rFonts w:hint="eastAsia" w:ascii="宋体" w:hAnsi="宋体" w:eastAsia="宋体" w:cs="宋体"/>
                <w:bCs w:val="0"/>
                <w:color w:val="000000"/>
                <w:sz w:val="18"/>
                <w:szCs w:val="18"/>
              </w:rPr>
              <w:t>个百分点</w:t>
            </w:r>
            <w:r>
              <w:rPr>
                <w:rFonts w:hint="eastAsia" w:ascii="宋体" w:hAnsi="宋体" w:eastAsia="宋体" w:cs="宋体"/>
                <w:bCs w:val="0"/>
                <w:color w:val="000000"/>
                <w:sz w:val="13"/>
                <w:szCs w:val="13"/>
              </w:rPr>
              <w:t>（注</w:t>
            </w:r>
            <w:r>
              <w:rPr>
                <w:rFonts w:hint="eastAsia" w:ascii="Times New Roman" w:hAnsi="Times New Roman" w:eastAsia="Times New Roman" w:cs="Times New Roman"/>
                <w:bCs w:val="0"/>
                <w:color w:val="000000"/>
                <w:sz w:val="13"/>
                <w:szCs w:val="13"/>
              </w:rPr>
              <w:t>2</w:t>
            </w:r>
            <w:r>
              <w:rPr>
                <w:rFonts w:hint="eastAsia" w:ascii="宋体" w:hAnsi="宋体" w:eastAsia="宋体" w:cs="宋体"/>
                <w:bCs w:val="0"/>
                <w:color w:val="00000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val="0"/>
                <w:sz w:val="18"/>
                <w:szCs w:val="18"/>
              </w:rPr>
              <w:t>镇丹高速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44,766,021.04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35,468,758.43</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20.77</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22.76</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28.18</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减少</w:t>
            </w:r>
            <w:r>
              <w:rPr>
                <w:rFonts w:hint="eastAsia" w:ascii="Times New Roman" w:hAnsi="Times New Roman" w:eastAsia="Times New Roman" w:cs="Times New Roman"/>
                <w:bCs w:val="0"/>
                <w:color w:val="000000"/>
                <w:sz w:val="18"/>
                <w:szCs w:val="18"/>
              </w:rPr>
              <w:t>3.35</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both"/>
              <w:rPr>
                <w:rFonts w:ascii="宋体" w:hAnsi="宋体" w:eastAsia="宋体" w:cs="Times New Roman"/>
                <w:bCs w:val="0"/>
                <w:sz w:val="18"/>
                <w:szCs w:val="18"/>
              </w:rPr>
            </w:pPr>
            <w:r>
              <w:rPr>
                <w:rFonts w:hint="eastAsia" w:ascii="宋体" w:hAnsi="宋体" w:eastAsia="宋体" w:cs="宋体"/>
                <w:bCs w:val="0"/>
                <w:sz w:val="18"/>
                <w:szCs w:val="18"/>
              </w:rPr>
              <w:t>常宜高速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62,422,260.18</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51,664,516.37</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17.23</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23.95</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sz w:val="18"/>
                <w:szCs w:val="18"/>
              </w:rPr>
              <w:t>12.48</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8.43</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both"/>
              <w:rPr>
                <w:rFonts w:ascii="宋体" w:hAnsi="宋体" w:eastAsia="宋体" w:cs="Times New Roman"/>
                <w:bCs w:val="0"/>
                <w:sz w:val="18"/>
                <w:szCs w:val="18"/>
              </w:rPr>
            </w:pPr>
            <w:r>
              <w:rPr>
                <w:rFonts w:hint="eastAsia" w:ascii="宋体" w:hAnsi="宋体" w:eastAsia="宋体" w:cs="宋体"/>
                <w:bCs w:val="0"/>
                <w:sz w:val="18"/>
                <w:szCs w:val="18"/>
              </w:rPr>
              <w:t>宜长高速</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64,826,188.79</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sz w:val="18"/>
                <w:szCs w:val="18"/>
              </w:rPr>
              <w:t>47,053,251.95</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27.42</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-4.33</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-26.51</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21.90</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widowControl w:val="0"/>
              <w:jc w:val="both"/>
              <w:rPr>
                <w:rFonts w:ascii="宋体" w:hAnsi="宋体" w:eastAsia="宋体" w:cs="Times New Roman"/>
                <w:bCs w:val="0"/>
                <w:sz w:val="18"/>
                <w:szCs w:val="18"/>
              </w:rPr>
            </w:pPr>
            <w:r>
              <w:rPr>
                <w:rFonts w:hint="eastAsia" w:ascii="宋体" w:hAnsi="宋体" w:eastAsia="宋体" w:cs="宋体"/>
                <w:bCs w:val="0"/>
                <w:sz w:val="18"/>
                <w:szCs w:val="18"/>
              </w:rPr>
              <w:t>五峰山大桥</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378,076,286.10</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136,789,514.45</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63.82</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111.05</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val="0"/>
                <w:color w:val="000000"/>
                <w:sz w:val="18"/>
                <w:szCs w:val="18"/>
              </w:rPr>
              <w:t>38.84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val="0"/>
                <w:color w:val="000000"/>
                <w:sz w:val="18"/>
                <w:szCs w:val="18"/>
              </w:rPr>
              <w:t>增加</w:t>
            </w:r>
            <w:r>
              <w:rPr>
                <w:rFonts w:hint="eastAsia" w:ascii="Times New Roman" w:hAnsi="Times New Roman" w:eastAsia="Times New Roman" w:cs="Times New Roman"/>
                <w:bCs w:val="0"/>
                <w:color w:val="000000"/>
                <w:sz w:val="18"/>
                <w:szCs w:val="18"/>
              </w:rPr>
              <w:t>18.82</w:t>
            </w:r>
            <w:r>
              <w:rPr>
                <w:rFonts w:hint="eastAsia" w:ascii="宋体" w:hAnsi="宋体" w:eastAsia="宋体" w:cs="宋体"/>
                <w:bCs w:val="0"/>
                <w:color w:val="00000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val="0"/>
                <w:sz w:val="18"/>
                <w:szCs w:val="18"/>
              </w:rPr>
            </w:pPr>
            <w:r>
              <w:rPr>
                <w:rFonts w:hint="eastAsia" w:ascii="宋体" w:hAnsi="宋体" w:eastAsia="Times New Roman"/>
                <w:b/>
                <w:bCs/>
                <w:sz w:val="18"/>
                <w:szCs w:val="18"/>
              </w:rPr>
              <w:t>配套服务</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900,406,623.93</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892,236,576.39</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0.91</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101.11</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75.92</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color w:val="000000"/>
                <w:sz w:val="18"/>
                <w:szCs w:val="18"/>
              </w:rPr>
              <w:t>增加</w:t>
            </w:r>
            <w:r>
              <w:rPr>
                <w:rFonts w:hint="eastAsia" w:ascii="Times New Roman" w:hAnsi="Times New Roman" w:eastAsia="Times New Roman" w:cs="Times New Roman"/>
                <w:b/>
                <w:bCs/>
                <w:color w:val="000000"/>
                <w:sz w:val="18"/>
                <w:szCs w:val="18"/>
              </w:rPr>
              <w:t>14.19</w:t>
            </w:r>
            <w:r>
              <w:rPr>
                <w:rFonts w:hint="eastAsia" w:ascii="宋体" w:hAnsi="宋体" w:eastAsia="宋体" w:cs="宋体"/>
                <w:b/>
                <w:bCs/>
                <w:color w:val="000000"/>
                <w:sz w:val="18"/>
                <w:szCs w:val="18"/>
              </w:rPr>
              <w:t>个百分点</w:t>
            </w:r>
            <w:r>
              <w:rPr>
                <w:rFonts w:hint="eastAsia" w:ascii="宋体" w:hAnsi="宋体" w:eastAsia="宋体" w:cs="宋体"/>
                <w:bCs/>
                <w:color w:val="000000"/>
                <w:sz w:val="13"/>
                <w:szCs w:val="13"/>
              </w:rPr>
              <w:t>（注</w:t>
            </w:r>
            <w:r>
              <w:rPr>
                <w:rFonts w:hint="eastAsia" w:ascii="Times New Roman" w:hAnsi="Times New Roman" w:eastAsia="Times New Roman" w:cs="Times New Roman"/>
                <w:bCs/>
                <w:color w:val="000000"/>
                <w:sz w:val="13"/>
                <w:szCs w:val="13"/>
              </w:rPr>
              <w:t>3</w:t>
            </w:r>
            <w:r>
              <w:rPr>
                <w:rFonts w:hint="eastAsia" w:ascii="宋体" w:hAnsi="宋体" w:eastAsia="宋体" w:cs="宋体"/>
                <w:bCs/>
                <w:color w:val="00000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val="0"/>
                <w:sz w:val="18"/>
                <w:szCs w:val="18"/>
              </w:rPr>
            </w:pPr>
            <w:r>
              <w:rPr>
                <w:rFonts w:hint="eastAsia" w:ascii="宋体" w:hAnsi="宋体" w:eastAsia="Times New Roman"/>
                <w:b/>
                <w:bCs/>
                <w:sz w:val="18"/>
                <w:szCs w:val="18"/>
              </w:rPr>
              <w:t>地产销售</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245,487,117.95</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168,806,371.56</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31.24</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-10.46</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-17.01</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color w:val="000000"/>
                <w:sz w:val="18"/>
                <w:szCs w:val="18"/>
              </w:rPr>
              <w:t>增加</w:t>
            </w:r>
            <w:r>
              <w:rPr>
                <w:rFonts w:hint="eastAsia" w:ascii="Times New Roman" w:hAnsi="Times New Roman" w:eastAsia="Times New Roman" w:cs="Times New Roman"/>
                <w:b/>
                <w:bCs/>
                <w:color w:val="000000"/>
                <w:sz w:val="18"/>
                <w:szCs w:val="18"/>
              </w:rPr>
              <w:t>5.42</w:t>
            </w:r>
            <w:r>
              <w:rPr>
                <w:rFonts w:hint="eastAsia" w:ascii="宋体" w:hAnsi="宋体" w:eastAsia="宋体" w:cs="宋体"/>
                <w:b/>
                <w:bCs/>
                <w:color w:val="000000"/>
                <w:sz w:val="18"/>
                <w:szCs w:val="18"/>
              </w:rPr>
              <w:t>个百分点</w:t>
            </w:r>
            <w:r>
              <w:rPr>
                <w:rFonts w:hint="eastAsia" w:ascii="宋体" w:hAnsi="宋体" w:eastAsia="宋体" w:cs="宋体"/>
                <w:bCs/>
                <w:color w:val="000000"/>
                <w:sz w:val="13"/>
                <w:szCs w:val="13"/>
              </w:rPr>
              <w:t>（注</w:t>
            </w:r>
            <w:r>
              <w:rPr>
                <w:rFonts w:hint="eastAsia" w:ascii="Times New Roman" w:hAnsi="Times New Roman" w:eastAsia="Times New Roman" w:cs="Times New Roman"/>
                <w:bCs/>
                <w:color w:val="000000"/>
                <w:sz w:val="13"/>
                <w:szCs w:val="13"/>
              </w:rPr>
              <w:t>4</w:t>
            </w:r>
            <w:r>
              <w:rPr>
                <w:rFonts w:hint="eastAsia" w:ascii="宋体" w:hAnsi="宋体" w:eastAsia="宋体" w:cs="宋体"/>
                <w:bCs/>
                <w:color w:val="00000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sz w:val="18"/>
                <w:szCs w:val="18"/>
              </w:rPr>
            </w:pPr>
            <w:r>
              <w:rPr>
                <w:rFonts w:hint="eastAsia" w:ascii="宋体" w:hAnsi="宋体" w:eastAsia="Times New Roman"/>
                <w:b/>
                <w:bCs w:val="0"/>
                <w:sz w:val="18"/>
                <w:szCs w:val="18"/>
              </w:rPr>
              <w:t>电力销售</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val="0"/>
                <w:sz w:val="18"/>
                <w:szCs w:val="18"/>
              </w:rPr>
              <w:t>351,427,537.00</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val="0"/>
                <w:sz w:val="18"/>
                <w:szCs w:val="18"/>
              </w:rPr>
              <w:t>171,257,113.09</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val="0"/>
                <w:sz w:val="18"/>
                <w:szCs w:val="18"/>
              </w:rPr>
              <w:t>51.27</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9.61</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8.02</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val="0"/>
                <w:sz w:val="18"/>
                <w:szCs w:val="18"/>
              </w:rPr>
              <w:t>增加</w:t>
            </w:r>
            <w:r>
              <w:rPr>
                <w:rFonts w:hint="eastAsia" w:ascii="Times New Roman" w:hAnsi="Times New Roman" w:eastAsia="Times New Roman" w:cs="Times New Roman"/>
                <w:b/>
                <w:bCs w:val="0"/>
                <w:sz w:val="18"/>
                <w:szCs w:val="18"/>
              </w:rPr>
              <w:t>0.72</w:t>
            </w:r>
            <w:r>
              <w:rPr>
                <w:rFonts w:hint="eastAsia" w:ascii="宋体" w:hAnsi="宋体" w:eastAsia="宋体" w:cs="宋体"/>
                <w:b/>
                <w:bCs w:val="0"/>
                <w:sz w:val="18"/>
                <w:szCs w:val="18"/>
              </w:rPr>
              <w:t>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heme="minorEastAsia"/>
                <w:b/>
                <w:bCs w:val="0"/>
                <w:sz w:val="18"/>
                <w:szCs w:val="18"/>
                <w:vertAlign w:val="superscript"/>
              </w:rPr>
            </w:pPr>
            <w:r>
              <w:rPr>
                <w:rFonts w:hint="eastAsia" w:ascii="宋体" w:hAnsi="宋体" w:eastAsia="Times New Roman"/>
                <w:b/>
                <w:bCs/>
                <w:sz w:val="18"/>
                <w:szCs w:val="18"/>
              </w:rPr>
              <w:t>建造期收入/成本</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color w:val="000000"/>
                <w:sz w:val="18"/>
                <w:szCs w:val="18"/>
              </w:rPr>
            </w:pPr>
            <w:r>
              <w:rPr>
                <w:rFonts w:hint="eastAsia" w:ascii="Times New Roman" w:hAnsi="Times New Roman" w:eastAsia="Times New Roman" w:cs="Times New Roman"/>
                <w:b/>
                <w:bCs w:val="0"/>
                <w:sz w:val="18"/>
                <w:szCs w:val="18"/>
              </w:rPr>
              <w:t>1,003,842,165.73</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color w:val="000000"/>
                <w:sz w:val="18"/>
                <w:szCs w:val="18"/>
              </w:rPr>
            </w:pPr>
            <w:r>
              <w:rPr>
                <w:rFonts w:hint="eastAsia" w:ascii="Times New Roman" w:hAnsi="Times New Roman" w:eastAsia="Times New Roman" w:cs="Times New Roman"/>
                <w:b/>
                <w:bCs w:val="0"/>
                <w:sz w:val="18"/>
                <w:szCs w:val="18"/>
              </w:rPr>
              <w:t>1,003,842,165.73</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ascii="Times New Roman" w:hAnsi="Times New Roman" w:eastAsia="Times New Roman" w:cs="Times New Roman"/>
                <w:b/>
                <w:bCs/>
                <w:sz w:val="18"/>
                <w:szCs w:val="18"/>
              </w:rPr>
              <w:t>135.74</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ascii="Times New Roman" w:hAnsi="Times New Roman" w:eastAsia="Times New Roman" w:cs="Times New Roman"/>
                <w:b/>
                <w:bCs/>
                <w:sz w:val="18"/>
                <w:szCs w:val="18"/>
              </w:rPr>
              <w:t>135.74</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5"/>
                <w:szCs w:val="15"/>
              </w:rPr>
            </w:pPr>
            <w:r>
              <w:rPr>
                <w:rFonts w:hint="eastAsia" w:ascii="Times New Roman" w:hAnsi="Times New Roman" w:eastAsia="Times New Roman" w:cs="Times New Roman"/>
                <w:b/>
                <w:bCs/>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val="0"/>
                <w:sz w:val="18"/>
                <w:szCs w:val="18"/>
              </w:rPr>
            </w:pPr>
            <w:r>
              <w:rPr>
                <w:rFonts w:hint="eastAsia" w:ascii="宋体" w:hAnsi="宋体" w:eastAsia="Times New Roman"/>
                <w:b/>
                <w:bCs/>
                <w:sz w:val="18"/>
                <w:szCs w:val="18"/>
              </w:rPr>
              <w:t>其他业务</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112,463,005.98</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85,355,320.38</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24.10</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52.67</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126.47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color w:val="000000"/>
                <w:sz w:val="18"/>
                <w:szCs w:val="18"/>
              </w:rPr>
              <w:t>减少</w:t>
            </w:r>
            <w:r>
              <w:rPr>
                <w:rFonts w:hint="eastAsia" w:ascii="Times New Roman" w:hAnsi="Times New Roman" w:eastAsia="Times New Roman" w:cs="Times New Roman"/>
                <w:b/>
                <w:bCs/>
                <w:color w:val="000000"/>
                <w:sz w:val="18"/>
                <w:szCs w:val="18"/>
              </w:rPr>
              <w:t>24.73</w:t>
            </w:r>
            <w:r>
              <w:rPr>
                <w:rFonts w:hint="eastAsia" w:ascii="宋体" w:hAnsi="宋体" w:eastAsia="宋体" w:cs="宋体"/>
                <w:b/>
                <w:bCs/>
                <w:color w:val="000000"/>
                <w:sz w:val="18"/>
                <w:szCs w:val="18"/>
              </w:rPr>
              <w:t>个百分点</w:t>
            </w:r>
            <w:r>
              <w:rPr>
                <w:rFonts w:hint="eastAsia" w:ascii="宋体" w:hAnsi="宋体" w:eastAsia="宋体" w:cs="宋体"/>
                <w:bCs/>
                <w:color w:val="000000"/>
                <w:sz w:val="13"/>
                <w:szCs w:val="13"/>
              </w:rPr>
              <w:t>（注</w:t>
            </w:r>
            <w:r>
              <w:rPr>
                <w:rFonts w:hint="eastAsia" w:ascii="Times New Roman" w:hAnsi="Times New Roman" w:eastAsia="Times New Roman" w:cs="Times New Roman"/>
                <w:bCs/>
                <w:color w:val="000000"/>
                <w:sz w:val="13"/>
                <w:szCs w:val="13"/>
              </w:rPr>
              <w:t>5</w:t>
            </w:r>
            <w:r>
              <w:rPr>
                <w:rFonts w:hint="eastAsia" w:ascii="宋体" w:hAnsi="宋体" w:eastAsia="宋体" w:cs="宋体"/>
                <w:bCs/>
                <w:color w:val="00000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9" w:type="dxa"/>
            <w:tcBorders>
              <w:top w:val="single" w:color="auto" w:sz="4" w:space="0"/>
              <w:left w:val="single" w:color="auto" w:sz="4" w:space="0"/>
              <w:bottom w:val="single" w:color="auto" w:sz="4" w:space="0"/>
              <w:right w:val="single" w:color="auto" w:sz="4" w:space="0"/>
            </w:tcBorders>
            <w:vAlign w:val="center"/>
          </w:tcPr>
          <w:p>
            <w:pPr>
              <w:pStyle w:val="106"/>
              <w:ind w:firstLine="0" w:firstLineChars="0"/>
              <w:jc w:val="left"/>
              <w:rPr>
                <w:rFonts w:ascii="宋体" w:hAnsi="宋体" w:eastAsia="Times New Roman"/>
                <w:b/>
                <w:bCs w:val="0"/>
                <w:sz w:val="18"/>
                <w:szCs w:val="18"/>
              </w:rPr>
            </w:pPr>
            <w:r>
              <w:rPr>
                <w:rFonts w:hint="eastAsia" w:ascii="宋体" w:hAnsi="宋体" w:eastAsia="Times New Roman"/>
                <w:b/>
                <w:bCs/>
                <w:sz w:val="18"/>
                <w:szCs w:val="18"/>
              </w:rPr>
              <w:t>合计</w:t>
            </w:r>
          </w:p>
        </w:tc>
        <w:tc>
          <w:tcPr>
            <w:tcW w:w="1668" w:type="dxa"/>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7,136,011,953.47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3,926,662,277.70</w:t>
            </w:r>
          </w:p>
        </w:tc>
        <w:tc>
          <w:tcPr>
            <w:tcW w:w="120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44.97</w:t>
            </w:r>
          </w:p>
        </w:tc>
        <w:tc>
          <w:tcPr>
            <w:tcW w:w="99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46.37</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40.47</w:t>
            </w:r>
          </w:p>
        </w:tc>
        <w:tc>
          <w:tcPr>
            <w:tcW w:w="0" w:type="auto"/>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color w:val="000000"/>
                <w:sz w:val="18"/>
                <w:szCs w:val="18"/>
              </w:rPr>
              <w:t>增加</w:t>
            </w:r>
            <w:r>
              <w:rPr>
                <w:rFonts w:hint="eastAsia" w:ascii="Times New Roman" w:hAnsi="Times New Roman" w:eastAsia="Times New Roman" w:cs="Times New Roman"/>
                <w:b/>
                <w:bCs/>
                <w:color w:val="000000"/>
                <w:sz w:val="18"/>
                <w:szCs w:val="18"/>
              </w:rPr>
              <w:t>2.31</w:t>
            </w:r>
            <w:r>
              <w:rPr>
                <w:rFonts w:hint="eastAsia" w:ascii="宋体" w:hAnsi="宋体" w:eastAsia="宋体" w:cs="宋体"/>
                <w:b/>
                <w:bCs/>
                <w:color w:val="000000"/>
                <w:sz w:val="18"/>
                <w:szCs w:val="18"/>
              </w:rPr>
              <w:t>个百分点</w:t>
            </w:r>
          </w:p>
        </w:tc>
      </w:tr>
    </w:tbl>
    <w:p>
      <w:pPr>
        <w:rPr>
          <w:rFonts w:ascii="Times New Roman" w:hAnsi="Times New Roman" w:cs="Times New Roman"/>
          <w:sz w:val="18"/>
          <w:szCs w:val="18"/>
        </w:rPr>
      </w:pPr>
      <w:r>
        <w:rPr>
          <w:rFonts w:cs="Times New Roman"/>
          <w:sz w:val="18"/>
          <w:szCs w:val="18"/>
        </w:rPr>
        <w:t>注</w:t>
      </w:r>
      <w:r>
        <w:rPr>
          <w:rFonts w:ascii="Times New Roman" w:hAnsi="Times New Roman" w:cs="Times New Roman"/>
          <w:sz w:val="18"/>
          <w:szCs w:val="18"/>
        </w:rPr>
        <w:t>1</w:t>
      </w:r>
      <w:r>
        <w:rPr>
          <w:rFonts w:cs="Times New Roman"/>
          <w:sz w:val="18"/>
          <w:szCs w:val="18"/>
        </w:rPr>
        <w:t>：上表数据不包含本集团各分部间提供公路管理服务发生的收入、成本金额</w:t>
      </w:r>
      <w:r>
        <w:rPr>
          <w:rFonts w:hint="eastAsia" w:cs="Times New Roman"/>
          <w:sz w:val="18"/>
          <w:szCs w:val="18"/>
        </w:rPr>
        <w:t>，原因是集团间的活动在合并时被抵销账目</w:t>
      </w:r>
      <w:r>
        <w:rPr>
          <w:rFonts w:cs="Times New Roman"/>
          <w:sz w:val="18"/>
          <w:szCs w:val="18"/>
        </w:rPr>
        <w:t>。</w:t>
      </w:r>
    </w:p>
    <w:p>
      <w:pPr>
        <w:rPr>
          <w:rFonts w:ascii="Times New Roman" w:hAnsi="Times New Roman" w:cs="Times New Roman"/>
          <w:sz w:val="18"/>
          <w:szCs w:val="18"/>
        </w:rPr>
      </w:pPr>
      <w:r>
        <w:rPr>
          <w:rFonts w:cs="Times New Roman"/>
          <w:sz w:val="18"/>
          <w:szCs w:val="18"/>
        </w:rPr>
        <w:t>注</w:t>
      </w:r>
      <w:r>
        <w:rPr>
          <w:rFonts w:ascii="Times New Roman" w:hAnsi="Times New Roman" w:cs="Times New Roman"/>
          <w:sz w:val="18"/>
          <w:szCs w:val="18"/>
        </w:rPr>
        <w:t>2</w:t>
      </w:r>
      <w:r>
        <w:rPr>
          <w:rFonts w:cs="Times New Roman"/>
          <w:sz w:val="18"/>
          <w:szCs w:val="18"/>
        </w:rPr>
        <w:t>：本报告期，本集团收费公路业务受经营路网通行量上升影响，通行费收入</w:t>
      </w:r>
      <w:r>
        <w:rPr>
          <w:rFonts w:hint="eastAsia" w:cs="Times New Roman"/>
          <w:sz w:val="18"/>
          <w:szCs w:val="18"/>
        </w:rPr>
        <w:t>增加</w:t>
      </w:r>
      <w:r>
        <w:rPr>
          <w:rFonts w:cs="Times New Roman"/>
          <w:sz w:val="18"/>
          <w:szCs w:val="18"/>
        </w:rPr>
        <w:t>，收费公路业务毛利率较上年同期</w:t>
      </w:r>
      <w:r>
        <w:rPr>
          <w:rFonts w:hint="eastAsia" w:cs="Times New Roman"/>
          <w:sz w:val="18"/>
          <w:szCs w:val="18"/>
        </w:rPr>
        <w:t>增长</w:t>
      </w:r>
      <w:r>
        <w:rPr>
          <w:rFonts w:cs="Times New Roman"/>
          <w:sz w:val="18"/>
          <w:szCs w:val="18"/>
        </w:rPr>
        <w:t>。受本报告期</w:t>
      </w:r>
      <w:r>
        <w:rPr>
          <w:rFonts w:hint="eastAsia" w:cs="Times New Roman"/>
          <w:sz w:val="18"/>
          <w:szCs w:val="18"/>
        </w:rPr>
        <w:t>环太湖</w:t>
      </w:r>
      <w:r>
        <w:rPr>
          <w:rFonts w:cs="Times New Roman"/>
          <w:sz w:val="18"/>
          <w:szCs w:val="18"/>
        </w:rPr>
        <w:t>高速公路大修影响，</w:t>
      </w:r>
      <w:r>
        <w:rPr>
          <w:rFonts w:hint="eastAsia" w:cs="Times New Roman"/>
          <w:sz w:val="18"/>
          <w:szCs w:val="18"/>
        </w:rPr>
        <w:t>环太湖</w:t>
      </w:r>
      <w:r>
        <w:rPr>
          <w:rFonts w:cs="Times New Roman"/>
          <w:sz w:val="18"/>
          <w:szCs w:val="18"/>
        </w:rPr>
        <w:t>高速公路道路养护成本同比增加，收费业务毛利率相应减少。</w:t>
      </w:r>
    </w:p>
    <w:p>
      <w:pPr>
        <w:rPr>
          <w:rFonts w:ascii="Times New Roman" w:hAnsi="Times New Roman" w:cs="Times New Roman"/>
          <w:sz w:val="18"/>
          <w:szCs w:val="18"/>
        </w:rPr>
      </w:pPr>
      <w:r>
        <w:rPr>
          <w:rFonts w:cs="Times New Roman"/>
          <w:sz w:val="18"/>
          <w:szCs w:val="18"/>
        </w:rPr>
        <w:t>注</w:t>
      </w:r>
      <w:r>
        <w:rPr>
          <w:rFonts w:ascii="Times New Roman" w:hAnsi="Times New Roman" w:cs="Times New Roman"/>
          <w:sz w:val="18"/>
          <w:szCs w:val="18"/>
        </w:rPr>
        <w:t>3</w:t>
      </w:r>
      <w:r>
        <w:rPr>
          <w:rFonts w:cs="Times New Roman"/>
          <w:sz w:val="18"/>
          <w:szCs w:val="18"/>
        </w:rPr>
        <w:t>：本报告期油品销量</w:t>
      </w:r>
      <w:r>
        <w:rPr>
          <w:rFonts w:hint="eastAsia" w:cs="Times New Roman"/>
          <w:sz w:val="18"/>
          <w:szCs w:val="18"/>
        </w:rPr>
        <w:t>上升</w:t>
      </w:r>
      <w:r>
        <w:rPr>
          <w:rFonts w:cs="Times New Roman"/>
          <w:sz w:val="18"/>
          <w:szCs w:val="18"/>
        </w:rPr>
        <w:t>及成品油成交价差</w:t>
      </w:r>
      <w:r>
        <w:rPr>
          <w:rFonts w:hint="eastAsia" w:cs="Times New Roman"/>
          <w:sz w:val="18"/>
          <w:szCs w:val="18"/>
        </w:rPr>
        <w:t>增加</w:t>
      </w:r>
      <w:r>
        <w:rPr>
          <w:rFonts w:cs="Times New Roman"/>
          <w:sz w:val="18"/>
          <w:szCs w:val="18"/>
        </w:rPr>
        <w:t>，受此影响配套服务业务毛利率同比</w:t>
      </w:r>
      <w:r>
        <w:rPr>
          <w:rFonts w:hint="eastAsia" w:cs="Times New Roman"/>
          <w:sz w:val="18"/>
          <w:szCs w:val="18"/>
        </w:rPr>
        <w:t>增长</w:t>
      </w:r>
      <w:r>
        <w:rPr>
          <w:rFonts w:cs="Times New Roman"/>
          <w:sz w:val="18"/>
          <w:szCs w:val="18"/>
        </w:rPr>
        <w:t>。</w:t>
      </w:r>
    </w:p>
    <w:p>
      <w:pPr>
        <w:rPr>
          <w:rFonts w:ascii="Times New Roman" w:hAnsi="Times New Roman" w:cs="Times New Roman"/>
          <w:sz w:val="18"/>
          <w:szCs w:val="18"/>
        </w:rPr>
      </w:pPr>
      <w:r>
        <w:rPr>
          <w:rFonts w:cs="Times New Roman"/>
          <w:sz w:val="18"/>
          <w:szCs w:val="18"/>
        </w:rPr>
        <w:t>注</w:t>
      </w:r>
      <w:r>
        <w:rPr>
          <w:rFonts w:ascii="Times New Roman" w:hAnsi="Times New Roman" w:cs="Times New Roman"/>
          <w:sz w:val="18"/>
          <w:szCs w:val="18"/>
        </w:rPr>
        <w:t>4</w:t>
      </w:r>
      <w:r>
        <w:rPr>
          <w:rFonts w:cs="Times New Roman"/>
          <w:sz w:val="18"/>
          <w:szCs w:val="18"/>
        </w:rPr>
        <w:t>：去年同期子公司地产已交付项目工程结算，成本</w:t>
      </w:r>
      <w:r>
        <w:rPr>
          <w:rFonts w:hint="eastAsia" w:cs="Times New Roman"/>
          <w:sz w:val="18"/>
          <w:szCs w:val="18"/>
        </w:rPr>
        <w:t>相对较高</w:t>
      </w:r>
      <w:r>
        <w:rPr>
          <w:rFonts w:cs="Times New Roman"/>
          <w:sz w:val="18"/>
          <w:szCs w:val="18"/>
        </w:rPr>
        <w:t>，</w:t>
      </w:r>
      <w:r>
        <w:rPr>
          <w:rFonts w:hint="eastAsia" w:cs="Times New Roman"/>
          <w:sz w:val="18"/>
          <w:szCs w:val="18"/>
        </w:rPr>
        <w:t>受此影响本报告期</w:t>
      </w:r>
      <w:r>
        <w:rPr>
          <w:rFonts w:cs="Times New Roman"/>
          <w:sz w:val="18"/>
          <w:szCs w:val="18"/>
        </w:rPr>
        <w:t>地产销售业务毛利率同比</w:t>
      </w:r>
      <w:r>
        <w:rPr>
          <w:rFonts w:hint="eastAsia" w:cs="Times New Roman"/>
          <w:sz w:val="18"/>
          <w:szCs w:val="18"/>
        </w:rPr>
        <w:t>增长</w:t>
      </w:r>
      <w:r>
        <w:rPr>
          <w:rFonts w:cs="Times New Roman"/>
          <w:sz w:val="18"/>
          <w:szCs w:val="18"/>
        </w:rPr>
        <w:t>。</w:t>
      </w:r>
    </w:p>
    <w:p>
      <w:pPr>
        <w:rPr>
          <w:rFonts w:cs="Times New Roman"/>
          <w:sz w:val="18"/>
          <w:szCs w:val="18"/>
        </w:rPr>
      </w:pPr>
      <w:r>
        <w:rPr>
          <w:rFonts w:cs="Times New Roman"/>
          <w:sz w:val="18"/>
          <w:szCs w:val="18"/>
        </w:rPr>
        <w:t>注</w:t>
      </w:r>
      <w:r>
        <w:rPr>
          <w:rFonts w:ascii="Times New Roman" w:hAnsi="Times New Roman" w:cs="Times New Roman"/>
          <w:sz w:val="18"/>
          <w:szCs w:val="18"/>
        </w:rPr>
        <w:t>5</w:t>
      </w:r>
      <w:r>
        <w:rPr>
          <w:rFonts w:cs="Times New Roman"/>
          <w:sz w:val="18"/>
          <w:szCs w:val="18"/>
        </w:rPr>
        <w:t>：</w:t>
      </w:r>
      <w:r>
        <w:rPr>
          <w:rFonts w:hint="eastAsia" w:cs="Times New Roman"/>
          <w:sz w:val="18"/>
          <w:szCs w:val="18"/>
        </w:rPr>
        <w:t>子公司宁沪置业公司酒店项目于</w:t>
      </w:r>
      <w:r>
        <w:rPr>
          <w:rFonts w:cs="Times New Roman"/>
          <w:sz w:val="18"/>
          <w:szCs w:val="18"/>
        </w:rPr>
        <w:t>2023年1月开业，目前处于运营初期，收入尚待培育，受此影响本报告期其他业务营业毛利率同比下降。</w:t>
      </w:r>
    </w:p>
    <w:bookmarkEnd w:id="35"/>
    <w:p>
      <w:pPr>
        <w:rPr>
          <w:rFonts w:ascii="Times New Roman" w:hAnsi="Times New Roman" w:cs="Times New Roman"/>
          <w:sz w:val="18"/>
          <w:szCs w:val="18"/>
        </w:rPr>
      </w:pPr>
    </w:p>
    <w:p>
      <w:pPr>
        <w:pStyle w:val="114"/>
      </w:pPr>
      <w:r>
        <w:rPr>
          <w:rFonts w:hint="eastAsia"/>
        </w:rPr>
        <w:t>主营业务分行业、分产品、分地区、分销售模式情况的说明</w:t>
      </w:r>
    </w:p>
    <w:p>
      <w:pPr>
        <w:pStyle w:val="114"/>
      </w:pPr>
      <w:r>
        <w:rPr>
          <w:rFonts w:hint="eastAsia"/>
        </w:rPr>
        <w:t>报告期内，集团主营业务分布于江苏省内。</w:t>
      </w:r>
    </w:p>
    <w:p>
      <w:pPr>
        <w:pStyle w:val="106"/>
        <w:ind w:firstLine="0" w:firstLineChars="0"/>
        <w:jc w:val="left"/>
      </w:pPr>
      <w:r>
        <w:t xml:space="preserve"> </w:t>
      </w:r>
    </w:p>
    <w:p>
      <w:pPr>
        <w:spacing w:before="156" w:beforeLines="50" w:line="360" w:lineRule="auto"/>
        <w:ind w:firstLine="422" w:firstLineChars="200"/>
        <w:rPr>
          <w:b/>
        </w:rPr>
      </w:pPr>
      <w:r>
        <w:rPr>
          <w:rFonts w:hint="eastAsia"/>
          <w:b/>
        </w:rPr>
        <w:t>（2）成本分析表</w:t>
      </w:r>
    </w:p>
    <w:p>
      <w:pPr>
        <w:spacing w:before="156" w:beforeLines="50" w:line="360" w:lineRule="auto"/>
        <w:ind w:firstLine="420" w:firstLineChars="200"/>
      </w:pPr>
      <w:bookmarkStart w:id="36" w:name="_Hlk143250439"/>
      <w:r>
        <w:rPr>
          <w:rFonts w:hint="eastAsia"/>
        </w:rPr>
        <w:t>报告期内，累计营业成本支出约人民币3,926,662千元，同比增长约40.47%。各业务类别成本构成情况如下：</w:t>
      </w:r>
    </w:p>
    <w:p>
      <w:pPr>
        <w:jc w:val="right"/>
      </w:pPr>
      <w:r>
        <w:rPr>
          <w:rFonts w:hint="eastAsia"/>
        </w:rPr>
        <w:t>单位:元 币种:人民币</w:t>
      </w:r>
    </w:p>
    <w:tbl>
      <w:tblPr>
        <w:tblStyle w:val="10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1701"/>
        <w:gridCol w:w="990"/>
        <w:gridCol w:w="1558"/>
        <w:gridCol w:w="992"/>
        <w:gridCol w:w="1135"/>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分行业情况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分行业</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Times New Roman" w:cs="Times New Roman"/>
                <w:bCs w:val="0"/>
                <w:sz w:val="18"/>
                <w:szCs w:val="18"/>
              </w:rPr>
            </w:pPr>
            <w:r>
              <w:rPr>
                <w:rFonts w:hint="eastAsia" w:ascii="宋体" w:hAnsi="宋体" w:eastAsia="宋体" w:cs="宋体"/>
                <w:bCs/>
                <w:sz w:val="18"/>
                <w:szCs w:val="18"/>
              </w:rPr>
              <w:t>成本构成</w:t>
            </w:r>
          </w:p>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项目</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本期金额</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本期占总成本比例</w:t>
            </w:r>
            <w:r>
              <w:rPr>
                <w:rFonts w:hint="eastAsia" w:ascii="Times New Roman" w:hAnsi="Times New Roman" w:eastAsia="Times New Roman" w:cs="Times New Roman"/>
                <w:bCs/>
                <w:sz w:val="18"/>
                <w:szCs w:val="18"/>
              </w:rPr>
              <w:t>(%)</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上年同期金额</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上年同期占总成本比例</w:t>
            </w:r>
            <w:r>
              <w:rPr>
                <w:rFonts w:hint="eastAsia" w:ascii="Times New Roman" w:hAnsi="Times New Roman" w:eastAsia="Times New Roman" w:cs="Times New Roman"/>
                <w:bCs/>
                <w:sz w:val="18"/>
                <w:szCs w:val="18"/>
              </w:rPr>
              <w:t>(%)</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本期金额较上年同期变动比例</w:t>
            </w:r>
            <w:r>
              <w:rPr>
                <w:rFonts w:hint="eastAsia" w:ascii="Times New Roman" w:hAnsi="Times New Roman" w:eastAsia="Times New Roman" w:cs="Times New Roman"/>
                <w:bCs/>
                <w:sz w:val="18"/>
                <w:szCs w:val="18"/>
              </w:rPr>
              <w:t>(%)</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收费公路</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1,605,164,730.55</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40.88</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1,462,722,579.91</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52.33</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9.74</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折旧和摊销</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954,304,730.65</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24.31</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768,758,316.02</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27.50</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24.14</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主要由于本报告期路网交通流量上升，公路经营权摊销相应增加。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养护成本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174,640,422.72</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4.45</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243,723,517.25</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8.72</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-28.34</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主要由于去年同期锡澄高速公路大修，基数相对较高所致。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系统维护成本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14,177,289.43</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0.36</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8,592,409.06</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0.31</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65.00</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val="0"/>
                <w:sz w:val="18"/>
                <w:szCs w:val="18"/>
              </w:rPr>
              <w:t>主要由于本报告期开展收费通讯监控系统升级行动所致。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征收成本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81,445,797.62</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2.07</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69,282,647.97</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2.48</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17.56</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val="0"/>
                <w:sz w:val="18"/>
                <w:szCs w:val="18"/>
              </w:rPr>
              <w:t>主要由于本报告期通行费收入增长，路网管理费相应增加，导致征收成本同比增长。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人工成本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380,596,490.13</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9.69</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372,365,689.61</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13.32</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2.21</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配套服务</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892,236,576.39</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22.72</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507,196,431.13</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18.14</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75.92</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原材料</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698,075,314.79</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17.78</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335,660,746.87</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12.01</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107.97</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主要由于本报告期油品销量上升，油品采购成本相应增加。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折旧及摊销</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
                <w:bCs/>
                <w:sz w:val="18"/>
                <w:szCs w:val="18"/>
              </w:rPr>
              <w:t>33,815,677.22</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0.86</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32,592,116.54</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1.16</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3.75</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人工成本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106,450,533.91</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2.71</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105,028,080.99</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3.76</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1.35</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宋体" w:hAnsi="宋体" w:eastAsia="宋体" w:cs="宋体"/>
                <w:bCs/>
                <w:sz w:val="18"/>
                <w:szCs w:val="18"/>
              </w:rPr>
              <w:t>其他成本</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53,895,050.47</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1.37</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sz w:val="18"/>
                <w:szCs w:val="18"/>
              </w:rPr>
              <w:t>33,915,486.73</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1.21</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Cs w:val="0"/>
                <w:sz w:val="18"/>
                <w:szCs w:val="18"/>
              </w:rPr>
            </w:pPr>
            <w:r>
              <w:rPr>
                <w:rFonts w:hint="eastAsia" w:ascii="Times New Roman" w:hAnsi="Times New Roman" w:eastAsia="Times New Roman" w:cs="Times New Roman"/>
                <w:bCs/>
                <w:color w:val="000000"/>
                <w:sz w:val="18"/>
                <w:szCs w:val="18"/>
              </w:rPr>
              <w:t>58.91</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主要由于去年同期部分服务区封闭管控，相关成本发生较少所致。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地产销售</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168,806,371.56</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4.30</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203,395,286.20</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7.28</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-17.01</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主要由于本报告期子公司地产项目交付规模小于上年同期所致。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电力销售</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171,257,113.09</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4.36</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158,537,917.77</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5.67</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8.02</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both"/>
              <w:rPr>
                <w:rFonts w:ascii="宋体" w:hAnsi="宋体" w:eastAsia="宋体" w:cs="Times New Roman"/>
                <w:bCs w:val="0"/>
                <w:sz w:val="18"/>
                <w:szCs w:val="18"/>
              </w:rPr>
            </w:pPr>
            <w:r>
              <w:rPr>
                <w:rFonts w:hint="eastAsia" w:ascii="宋体" w:hAnsi="宋体" w:eastAsia="宋体" w:cs="宋体"/>
                <w:bCs w:val="0"/>
                <w:sz w:val="18"/>
                <w:szCs w:val="18"/>
              </w:rPr>
              <w:t>主要由于本报告期子公司上网电量同比增加所致。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建造期成本</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Times New Roman"/>
                <w:b/>
                <w:bCs w:val="0"/>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color w:val="000000"/>
                <w:sz w:val="18"/>
                <w:szCs w:val="18"/>
              </w:rPr>
            </w:pPr>
            <w:r>
              <w:rPr>
                <w:rFonts w:hint="eastAsia" w:ascii="Times New Roman" w:hAnsi="Times New Roman" w:eastAsia="Times New Roman" w:cs="Times New Roman"/>
                <w:b/>
                <w:bCs/>
                <w:sz w:val="18"/>
                <w:szCs w:val="18"/>
              </w:rPr>
              <w:t>1,003,842,165.73</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25.57</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right"/>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425,821,793.86</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15.23</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color w:val="000000"/>
                <w:sz w:val="18"/>
                <w:szCs w:val="18"/>
              </w:rPr>
            </w:pPr>
            <w:r>
              <w:rPr>
                <w:rFonts w:hint="eastAsia" w:ascii="Times New Roman" w:hAnsi="Times New Roman" w:eastAsia="Times New Roman" w:cs="Times New Roman"/>
                <w:b/>
                <w:bCs/>
                <w:color w:val="000000"/>
                <w:sz w:val="18"/>
                <w:szCs w:val="18"/>
              </w:rPr>
              <w:t>135.74</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宋体" w:hAnsi="宋体" w:eastAsia="宋体" w:cs="宋体"/>
                <w:bCs/>
                <w:sz w:val="18"/>
                <w:szCs w:val="18"/>
              </w:rPr>
              <w:t>主要由于本报告期对路桥项目的建设投入同比增加所致。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73"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宋体" w:hAnsi="宋体" w:eastAsia="宋体" w:cs="宋体"/>
                <w:b/>
                <w:bCs/>
                <w:sz w:val="18"/>
                <w:szCs w:val="18"/>
              </w:rPr>
              <w:t>其他业务</w:t>
            </w:r>
          </w:p>
        </w:tc>
        <w:tc>
          <w:tcPr>
            <w:tcW w:w="47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cs="Times New Roman" w:eastAsiaTheme="minorEastAsia"/>
                <w:b/>
                <w:bCs w:val="0"/>
                <w:sz w:val="18"/>
                <w:szCs w:val="18"/>
              </w:rPr>
            </w:pPr>
            <w:r>
              <w:rPr>
                <w:rFonts w:hint="eastAsia" w:ascii="Times New Roman" w:hAnsi="Times New Roman" w:cs="Times New Roman" w:eastAsiaTheme="minorEastAsia"/>
                <w:b/>
                <w:bCs/>
                <w:sz w:val="18"/>
                <w:szCs w:val="18"/>
              </w:rPr>
              <w:t>-</w:t>
            </w:r>
          </w:p>
        </w:tc>
        <w:tc>
          <w:tcPr>
            <w:tcW w:w="940"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85,355,320.38</w:t>
            </w:r>
          </w:p>
        </w:tc>
        <w:tc>
          <w:tcPr>
            <w:tcW w:w="54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2.17</w:t>
            </w:r>
          </w:p>
        </w:tc>
        <w:tc>
          <w:tcPr>
            <w:tcW w:w="861"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sz w:val="18"/>
                <w:szCs w:val="18"/>
              </w:rPr>
              <w:t>37,689,458.62</w:t>
            </w:r>
          </w:p>
        </w:tc>
        <w:tc>
          <w:tcPr>
            <w:tcW w:w="548"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1.35</w:t>
            </w:r>
          </w:p>
        </w:tc>
        <w:tc>
          <w:tcPr>
            <w:tcW w:w="627" w:type="pct"/>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宋体" w:cs="Times New Roman"/>
                <w:b/>
                <w:bCs w:val="0"/>
                <w:sz w:val="18"/>
                <w:szCs w:val="18"/>
              </w:rPr>
            </w:pPr>
            <w:r>
              <w:rPr>
                <w:rFonts w:hint="eastAsia" w:ascii="Times New Roman" w:hAnsi="Times New Roman" w:eastAsia="Times New Roman" w:cs="Times New Roman"/>
                <w:b/>
                <w:bCs/>
                <w:color w:val="000000"/>
                <w:sz w:val="18"/>
                <w:szCs w:val="18"/>
              </w:rPr>
              <w:t>126.47</w:t>
            </w:r>
          </w:p>
        </w:tc>
        <w:tc>
          <w:tcPr>
            <w:tcW w:w="634" w:type="pct"/>
            <w:tcBorders>
              <w:top w:val="single" w:color="auto" w:sz="4" w:space="0"/>
              <w:left w:val="single" w:color="auto" w:sz="4" w:space="0"/>
              <w:bottom w:val="single" w:color="auto" w:sz="4" w:space="0"/>
              <w:right w:val="single" w:color="auto" w:sz="4" w:space="0"/>
            </w:tcBorders>
            <w:vAlign w:val="center"/>
          </w:tcPr>
          <w:p>
            <w:pPr>
              <w:widowControl w:val="0"/>
              <w:jc w:val="left"/>
              <w:rPr>
                <w:rFonts w:ascii="宋体" w:hAnsi="宋体" w:eastAsia="宋体" w:cs="Times New Roman"/>
                <w:bCs w:val="0"/>
                <w:sz w:val="18"/>
                <w:szCs w:val="18"/>
              </w:rPr>
            </w:pPr>
            <w:r>
              <w:rPr>
                <w:rFonts w:hint="eastAsia" w:ascii="Times New Roman" w:hAnsi="Times New Roman" w:eastAsia="Times New Roman" w:cs="Times New Roman"/>
                <w:bCs w:val="0"/>
                <w:sz w:val="18"/>
                <w:szCs w:val="18"/>
              </w:rPr>
              <w:t>主要由于子公司保理业务利息支出和酒店项目运营成本同比增加。</w:t>
            </w:r>
          </w:p>
        </w:tc>
      </w:tr>
      <w:bookmarkEnd w:id="36"/>
    </w:tbl>
    <w:p>
      <w:pPr>
        <w:pStyle w:val="55"/>
        <w:ind w:firstLine="0" w:firstLineChars="0"/>
        <w:jc w:val="left"/>
        <w:rPr>
          <w:rFonts w:ascii="宋体" w:hAnsi="宋体"/>
        </w:rPr>
      </w:pPr>
    </w:p>
    <w:sdt>
      <w:sdtPr>
        <w:rPr>
          <w:rFonts w:ascii="宋体" w:hAnsi="宋体" w:cs="宋体"/>
          <w:b w:val="0"/>
          <w:bCs w:val="0"/>
          <w:kern w:val="0"/>
          <w:szCs w:val="24"/>
        </w:rPr>
        <w:alias w:val="模块:公司利润构成或利润来源发生重大变动的详细说明"/>
        <w:tag w:val="_GBC_2346c2f60a0d447bb4e68d1cdeb1ae6e"/>
        <w:id w:val="-123461609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8"/>
            </w:numPr>
            <w:rPr>
              <w:rFonts w:ascii="宋体" w:hAnsi="宋体"/>
            </w:rPr>
          </w:pPr>
          <w:r>
            <w:rPr>
              <w:rFonts w:hint="eastAsia" w:ascii="宋体" w:hAnsi="宋体"/>
            </w:rPr>
            <w:t>本期</w:t>
          </w:r>
          <w:r>
            <w:rPr>
              <w:rFonts w:ascii="宋体" w:hAnsi="宋体"/>
            </w:rPr>
            <w:t>公司</w:t>
          </w:r>
          <w:r>
            <w:rPr>
              <w:rFonts w:hint="eastAsia" w:ascii="宋体" w:hAnsi="宋体"/>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214392265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非主营业务导致利润重大变化的说明"/>
        <w:tag w:val="_SEC_8eca3e31ebef41f0bccb8c1e5fae0579"/>
        <w:id w:val="44473783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7"/>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57128380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7"/>
        </w:numPr>
        <w:rPr>
          <w:rFonts w:ascii="宋体" w:hAnsi="宋体"/>
          <w:szCs w:val="21"/>
        </w:rPr>
      </w:pPr>
      <w:r>
        <w:rPr>
          <w:rFonts w:ascii="宋体" w:hAnsi="宋体"/>
          <w:szCs w:val="21"/>
        </w:rPr>
        <w:t>资产、负债情况分析</w:t>
      </w:r>
    </w:p>
    <w:p>
      <w:pPr>
        <w:pStyle w:val="114"/>
      </w:pPr>
      <w:sdt>
        <w:sdtPr>
          <w:rPr>
            <w:rFonts w:hint="eastAsia"/>
          </w:rPr>
          <w:alias w:val="是否适用：资产、负债情况分析[双击切换]"/>
          <w:tag w:val="_GBC_7e768f46f428417e8696bff3cfaf9902"/>
          <w:id w:val="-180823080"/>
          <w:lock w:val="sdtConten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ascii="宋体" w:hAnsi="宋体" w:cs="宋体"/>
          <w:b w:val="0"/>
          <w:bCs w:val="0"/>
          <w:kern w:val="0"/>
          <w:szCs w:val="21"/>
        </w:rPr>
        <w:alias w:val="模块:资产负债情况分析表"/>
        <w:tag w:val="_SEC_6223798588db4238825d68a423f52705"/>
        <w:id w:val="-306160016"/>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9"/>
            </w:numPr>
            <w:rPr>
              <w:rFonts w:ascii="宋体" w:hAnsi="宋体"/>
              <w:b w:val="0"/>
            </w:rPr>
          </w:pPr>
          <w:bookmarkStart w:id="37" w:name="_Hlk74730011"/>
          <w:r>
            <w:rPr>
              <w:rFonts w:ascii="宋体" w:hAnsi="宋体"/>
            </w:rPr>
            <w:t>资产</w:t>
          </w:r>
          <w:r>
            <w:rPr>
              <w:rFonts w:hint="eastAsia" w:ascii="宋体" w:hAnsi="宋体"/>
            </w:rPr>
            <w:t>及</w:t>
          </w:r>
          <w:r>
            <w:rPr>
              <w:rFonts w:ascii="宋体" w:hAnsi="宋体"/>
            </w:rPr>
            <w:t>负债</w:t>
          </w:r>
          <w:r>
            <w:rPr>
              <w:rFonts w:hint="eastAsia" w:ascii="宋体" w:hAnsi="宋体"/>
              <w:szCs w:val="21"/>
            </w:rPr>
            <w:t>状</w:t>
          </w:r>
          <w:r>
            <w:rPr>
              <w:rFonts w:ascii="宋体" w:hAnsi="宋体"/>
              <w:szCs w:val="21"/>
            </w:rPr>
            <w:t>况</w:t>
          </w:r>
        </w:p>
        <w:p>
          <w:pPr>
            <w:jc w:val="right"/>
          </w:pPr>
          <w:bookmarkStart w:id="38" w:name="_Hlk143250481"/>
          <w:r>
            <w:rPr>
              <w:rFonts w:hint="eastAsia"/>
            </w:rPr>
            <w:t>单位：</w:t>
          </w:r>
          <w:sdt>
            <w:sdtPr>
              <w:rPr>
                <w:rFonts w:hint="eastAsia"/>
              </w:rPr>
              <w:alias w:val="单位：资产负债状况分析"/>
              <w:tag w:val="_GBC_21de4e2184d94baf8e19137a1d0d5b74"/>
              <w:id w:val="14377105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1596"/>
            <w:gridCol w:w="994"/>
            <w:gridCol w:w="1558"/>
            <w:gridCol w:w="992"/>
            <w:gridCol w:w="127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sdt>
              <w:sdtPr>
                <w:rPr>
                  <w:rFonts w:asciiTheme="minorEastAsia" w:hAnsiTheme="minorEastAsia"/>
                </w:rPr>
                <w:tag w:val="_PLD_d0f356a255cd4ad2a1d809f43b17afe4"/>
                <w:id w:val="1141151457"/>
                <w:lock w:val="sdtLocked"/>
              </w:sdtPr>
              <w:sdtEndPr>
                <w:rPr>
                  <w:rFonts w:asciiTheme="minorEastAsia" w:hAnsiTheme="minorEastAsia"/>
                </w:rPr>
              </w:sdtEndPr>
              <w:sdtContent>
                <w:tc>
                  <w:tcPr>
                    <w:tcW w:w="666"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项目名称</w:t>
                    </w:r>
                  </w:p>
                </w:tc>
              </w:sdtContent>
            </w:sdt>
            <w:sdt>
              <w:sdtPr>
                <w:rPr>
                  <w:rFonts w:asciiTheme="minorEastAsia" w:hAnsiTheme="minorEastAsia"/>
                </w:rPr>
                <w:tag w:val="_PLD_908740cf286747d79d5abbe407fef2b5"/>
                <w:id w:val="-2031548256"/>
                <w:lock w:val="sdtLocked"/>
              </w:sdtPr>
              <w:sdtEndPr>
                <w:rPr>
                  <w:rFonts w:asciiTheme="minorEastAsia" w:hAnsiTheme="minorEastAsia"/>
                </w:rPr>
              </w:sdtEndPr>
              <w:sdtContent>
                <w:tc>
                  <w:tcPr>
                    <w:tcW w:w="882"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本期期末数</w:t>
                    </w:r>
                  </w:p>
                </w:tc>
              </w:sdtContent>
            </w:sdt>
            <w:sdt>
              <w:sdtPr>
                <w:rPr>
                  <w:rFonts w:asciiTheme="minorEastAsia" w:hAnsiTheme="minorEastAsia"/>
                </w:rPr>
                <w:tag w:val="_PLD_329bbbc9fa484c0990e705c4343b8bd2"/>
                <w:id w:val="872501232"/>
                <w:lock w:val="sdtLocked"/>
              </w:sdtPr>
              <w:sdtEndPr>
                <w:rPr>
                  <w:rFonts w:asciiTheme="minorEastAsia" w:hAnsiTheme="minorEastAsia"/>
                </w:rPr>
              </w:sdtEndPr>
              <w:sdtContent>
                <w:tc>
                  <w:tcPr>
                    <w:tcW w:w="549"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本期期末数占总资产的比例（%）</w:t>
                    </w:r>
                  </w:p>
                </w:tc>
              </w:sdtContent>
            </w:sdt>
            <w:sdt>
              <w:sdtPr>
                <w:rPr>
                  <w:rFonts w:asciiTheme="minorEastAsia" w:hAnsiTheme="minorEastAsia"/>
                </w:rPr>
                <w:tag w:val="_PLD_56ec8d815a204f39816e77d18cf2ac7e"/>
                <w:id w:val="-64264771"/>
                <w:lock w:val="sdtLocked"/>
              </w:sdtPr>
              <w:sdtEndPr>
                <w:rPr>
                  <w:rFonts w:asciiTheme="minorEastAsia" w:hAnsiTheme="minorEastAsia"/>
                </w:rPr>
              </w:sdtEndPr>
              <w:sdtContent>
                <w:tc>
                  <w:tcPr>
                    <w:tcW w:w="861"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上</w:t>
                    </w:r>
                    <w:r>
                      <w:rPr>
                        <w:rFonts w:hint="eastAsia" w:asciiTheme="minorEastAsia" w:hAnsiTheme="minorEastAsia" w:eastAsiaTheme="minorEastAsia"/>
                      </w:rPr>
                      <w:t>年</w:t>
                    </w:r>
                    <w:r>
                      <w:rPr>
                        <w:rFonts w:asciiTheme="minorEastAsia" w:hAnsiTheme="minorEastAsia" w:eastAsiaTheme="minorEastAsia"/>
                      </w:rPr>
                      <w:t>期末数</w:t>
                    </w:r>
                  </w:p>
                </w:tc>
              </w:sdtContent>
            </w:sdt>
            <w:sdt>
              <w:sdtPr>
                <w:rPr>
                  <w:rFonts w:asciiTheme="minorEastAsia" w:hAnsiTheme="minorEastAsia"/>
                </w:rPr>
                <w:tag w:val="_PLD_4bc2806364aa476db7b5ac96d585ad18"/>
                <w:id w:val="1481957308"/>
                <w:lock w:val="sdtLocked"/>
              </w:sdtPr>
              <w:sdtEndPr>
                <w:rPr>
                  <w:rFonts w:asciiTheme="minorEastAsia" w:hAnsiTheme="minorEastAsia"/>
                </w:rPr>
              </w:sdtEndPr>
              <w:sdtContent>
                <w:tc>
                  <w:tcPr>
                    <w:tcW w:w="548"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上</w:t>
                    </w:r>
                    <w:r>
                      <w:rPr>
                        <w:rFonts w:hint="eastAsia" w:asciiTheme="minorEastAsia" w:hAnsiTheme="minorEastAsia" w:eastAsiaTheme="minorEastAsia"/>
                      </w:rPr>
                      <w:t>年</w:t>
                    </w:r>
                    <w:r>
                      <w:rPr>
                        <w:rFonts w:asciiTheme="minorEastAsia" w:hAnsiTheme="minorEastAsia" w:eastAsiaTheme="minorEastAsia"/>
                      </w:rPr>
                      <w:t>期末数占总资产的比例（%）</w:t>
                    </w:r>
                  </w:p>
                </w:tc>
              </w:sdtContent>
            </w:sdt>
            <w:sdt>
              <w:sdtPr>
                <w:rPr>
                  <w:rFonts w:asciiTheme="minorEastAsia" w:hAnsiTheme="minorEastAsia"/>
                </w:rPr>
                <w:tag w:val="_PLD_4cfcbfaae8d94f2d87cb33b122df7a82"/>
                <w:id w:val="-1569102196"/>
                <w:lock w:val="sdtLocked"/>
              </w:sdtPr>
              <w:sdtEndPr>
                <w:rPr>
                  <w:rFonts w:asciiTheme="minorEastAsia" w:hAnsiTheme="minorEastAsia"/>
                </w:rPr>
              </w:sdtEndPr>
              <w:sdtContent>
                <w:tc>
                  <w:tcPr>
                    <w:tcW w:w="705"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本期期末金额较上</w:t>
                    </w:r>
                    <w:r>
                      <w:rPr>
                        <w:rFonts w:hint="eastAsia" w:asciiTheme="minorEastAsia" w:hAnsiTheme="minorEastAsia" w:eastAsiaTheme="minorEastAsia"/>
                      </w:rPr>
                      <w:t>年</w:t>
                    </w:r>
                    <w:r>
                      <w:rPr>
                        <w:rFonts w:asciiTheme="minorEastAsia" w:hAnsiTheme="minorEastAsia" w:eastAsiaTheme="minorEastAsia"/>
                      </w:rPr>
                      <w:t>期末变动比例（%）</w:t>
                    </w:r>
                  </w:p>
                </w:tc>
              </w:sdtContent>
            </w:sdt>
            <w:sdt>
              <w:sdtPr>
                <w:rPr>
                  <w:rFonts w:asciiTheme="minorEastAsia" w:hAnsiTheme="minorEastAsia"/>
                </w:rPr>
                <w:tag w:val="_PLD_2acc4b359fa846d5bfb9939daf2ce46b"/>
                <w:id w:val="1653558875"/>
                <w:lock w:val="sdtLocked"/>
              </w:sdtPr>
              <w:sdtEndPr>
                <w:rPr>
                  <w:rFonts w:asciiTheme="minorEastAsia" w:hAnsiTheme="minorEastAsia"/>
                </w:rPr>
              </w:sdtEndPr>
              <w:sdtContent>
                <w:tc>
                  <w:tcPr>
                    <w:tcW w:w="789" w:type="pct"/>
                    <w:vAlign w:val="center"/>
                  </w:tcPr>
                  <w:p>
                    <w:pPr>
                      <w:widowControl w:val="0"/>
                      <w:jc w:val="center"/>
                      <w:rPr>
                        <w:rStyle w:val="95"/>
                        <w:rFonts w:asciiTheme="minorEastAsia" w:hAnsiTheme="minorEastAsia" w:eastAsiaTheme="minorEastAsia"/>
                        <w:b w:val="0"/>
                        <w:bCs w:val="0"/>
                      </w:rPr>
                    </w:pPr>
                    <w:r>
                      <w:rPr>
                        <w:rFonts w:asciiTheme="minorEastAsia" w:hAnsiTheme="minorEastAsia" w:eastAsiaTheme="minorEastAsia"/>
                      </w:rPr>
                      <w:t>情况说明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货币资金</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541,524,063.19</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0.68</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932,931,344.38</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1.19</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-41.95</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主要是本报告期集团利用自有资金归还部分借款所致。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应收款项</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1,291,463,472.</w:t>
                </w:r>
                <w:r>
                  <w:rPr>
                    <w:rFonts w:hint="eastAsia" w:asciiTheme="minorEastAsia" w:hAnsiTheme="minorEastAsia" w:eastAsiaTheme="minorEastAsia"/>
                  </w:rPr>
                  <w:t>50</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1.62</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1,127,669,970.08</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1.44</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14.52</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主要是本报告期末应收上网电站国家补贴款项较期初增加。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存货</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2,403,919,945.96</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3.01</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2,585,018,115.85</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3.29</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-7.01</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主要是本报告期子公司地产项目交付结转所致。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长期股权投资</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11,527,519,206.01</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14.45</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11,089,989,971.83</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14.13</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3.95</w:t>
                </w:r>
              </w:p>
            </w:tc>
            <w:tc>
              <w:tcPr>
                <w:tcW w:w="789" w:type="pct"/>
                <w:vAlign w:val="center"/>
              </w:tcPr>
              <w:p>
                <w:pPr>
                  <w:widowControl w:val="0"/>
                  <w:jc w:val="both"/>
                  <w:rPr>
                    <w:rFonts w:ascii="宋体" w:hAnsi="宋体"/>
                    <w:sz w:val="15"/>
                    <w:szCs w:val="15"/>
                  </w:rPr>
                </w:pPr>
                <w:r>
                  <w:rPr>
                    <w:rFonts w:ascii="Times New Roman" w:hAnsi="Times New Roman"/>
                    <w:sz w:val="15"/>
                    <w:szCs w:val="15"/>
                  </w:rPr>
                  <w:t>增加的主要是本报告期联营企业贡献的投资收益。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固定资产</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7,784,659,466.21</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9.76</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8,045,978,815.98</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10.26</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-3.25</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主要是本报告期计提折旧所致。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短期借款</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1,876,265,454.69</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2.35</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2,434,124,067.61</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3.10</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-22.92</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主要是本报告期金融机构短期借款较期初减少。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合同负债</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63,256,223.45</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0.08</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162,928,919.15</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0.21</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-61.18</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主要是本报告期子公司地产项目交付结转所致。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hint="eastAsia" w:asciiTheme="minorEastAsia" w:hAnsiTheme="minorEastAsia" w:eastAsiaTheme="minorEastAsia"/>
                    <w:b w:val="0"/>
                  </w:rPr>
                  <w:t>长期借款</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16,543,565,723.06</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20.73</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16,053,597,366.94</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20.46</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3.05</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主要是本报告期在建路桥项目借款和其他银行长期借款较期初增加。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rPr>
                  <w:t>交易性金融资产</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4,756,944,083.24</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5.96</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3,474,620,148.26</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4.43</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36.91</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主要是本报告期末集团持有的理财产品较期初增加。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rPr>
                  <w:t>应收票据</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1,550,000.00</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0.00</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950,000.00</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0.00</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63.16</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主要是本报告期末子公司应收银行承兑汇票较期初增加。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预付款项</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20,388,590.21</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0.03</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7,737,346.20</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0.01</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163.51</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主要是本报告期末预付油品款较期初增加。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其他应收款</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90,045,437.12</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0.11</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62,758,902.02</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0.08</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43.48</w:t>
                </w:r>
              </w:p>
            </w:tc>
            <w:tc>
              <w:tcPr>
                <w:tcW w:w="789" w:type="pct"/>
                <w:vAlign w:val="center"/>
              </w:tcPr>
              <w:p>
                <w:pPr>
                  <w:widowControl w:val="0"/>
                  <w:jc w:val="both"/>
                  <w:rPr>
                    <w:rFonts w:ascii="宋体" w:hAnsi="宋体"/>
                    <w:sz w:val="15"/>
                    <w:szCs w:val="15"/>
                  </w:rPr>
                </w:pPr>
                <w:r>
                  <w:rPr>
                    <w:rFonts w:ascii="Times New Roman" w:hAnsi="Times New Roman"/>
                    <w:sz w:val="15"/>
                    <w:szCs w:val="15"/>
                  </w:rPr>
                  <w:t>增加的主要是本报告期联营公司已宣告发放尚未支付的现金股利。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应付票据</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283,840,000.00</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0.36</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366,000,000.00</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0.47</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-22.45</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主要是本报告期末子公司保理公司开具的银行承兑汇票较期初减少。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其他应付款</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2,679,752,285.45</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3.36</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288,042,394.72</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0.37</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830.33</w:t>
                </w:r>
              </w:p>
            </w:tc>
            <w:tc>
              <w:tcPr>
                <w:tcW w:w="789" w:type="pct"/>
                <w:vAlign w:val="center"/>
              </w:tcPr>
              <w:p>
                <w:pPr>
                  <w:widowControl w:val="0"/>
                  <w:jc w:val="both"/>
                  <w:rPr>
                    <w:rFonts w:ascii="宋体" w:hAnsi="宋体"/>
                    <w:sz w:val="15"/>
                    <w:szCs w:val="15"/>
                  </w:rPr>
                </w:pPr>
                <w:r>
                  <w:rPr>
                    <w:rFonts w:ascii="Times New Roman" w:hAnsi="Times New Roman"/>
                    <w:sz w:val="15"/>
                    <w:szCs w:val="15"/>
                  </w:rPr>
                  <w:t>增加的主要是本报告期末已宣告发放尚未支付的现金股利。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一年内到期的非流动负债</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2,557,897,625.48</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3.21</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1,815,208,560.25</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2.31</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40.91</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主要是本报告期将一年内到期的长期借款及应付债券调入所致。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其他流动负债</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4,439,659,065.80</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5.56</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5,359,728,092.37</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6.83</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-17.17</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主要是本报告期兑付超短期融资券，余额较期初减少。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应付债券</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8,978,499,843.30</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11.25</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9,972,337,481.34</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12.71</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-9.97</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主要是本报告期将一年内到期的应付债券调整所致。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专项储备</w:t>
                </w:r>
              </w:p>
            </w:tc>
            <w:tc>
              <w:tcPr>
                <w:tcW w:w="882"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2,041,483.04</w:t>
                </w:r>
              </w:p>
            </w:tc>
            <w:tc>
              <w:tcPr>
                <w:tcW w:w="549"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0.00</w:t>
                </w:r>
              </w:p>
            </w:tc>
            <w:tc>
              <w:tcPr>
                <w:tcW w:w="861"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577,468.02</w:t>
                </w:r>
              </w:p>
            </w:tc>
            <w:tc>
              <w:tcPr>
                <w:tcW w:w="548"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0.00</w:t>
                </w:r>
              </w:p>
            </w:tc>
            <w:tc>
              <w:tcPr>
                <w:tcW w:w="705" w:type="pct"/>
                <w:vAlign w:val="center"/>
              </w:tcPr>
              <w:p>
                <w:pPr>
                  <w:widowControl w:val="0"/>
                  <w:jc w:val="both"/>
                  <w:rPr>
                    <w:rFonts w:asciiTheme="minorEastAsia" w:hAnsiTheme="minorEastAsia" w:eastAsiaTheme="minorEastAsia"/>
                    <w:sz w:val="24"/>
                    <w:szCs w:val="24"/>
                  </w:rPr>
                </w:pPr>
                <w:r>
                  <w:rPr>
                    <w:rFonts w:asciiTheme="minorEastAsia" w:hAnsiTheme="minorEastAsia" w:eastAsiaTheme="minorEastAsia"/>
                  </w:rPr>
                  <w:t>253.52</w:t>
                </w:r>
              </w:p>
            </w:tc>
            <w:tc>
              <w:tcPr>
                <w:tcW w:w="789" w:type="pct"/>
                <w:vAlign w:val="center"/>
              </w:tcPr>
              <w:p>
                <w:pPr>
                  <w:widowControl w:val="0"/>
                  <w:jc w:val="both"/>
                  <w:rPr>
                    <w:rFonts w:ascii="宋体" w:hAnsi="宋体"/>
                    <w:sz w:val="15"/>
                    <w:szCs w:val="15"/>
                  </w:rPr>
                </w:pPr>
                <w:r>
                  <w:rPr>
                    <w:rFonts w:ascii="Times New Roman" w:hAnsi="Times New Roman"/>
                    <w:sz w:val="15"/>
                    <w:szCs w:val="15"/>
                  </w:rPr>
                  <w:t>主要是本报告期子公司计提的安全生产费。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总资产</w:t>
                </w:r>
              </w:p>
            </w:tc>
            <w:tc>
              <w:tcPr>
                <w:tcW w:w="882" w:type="pct"/>
                <w:vAlign w:val="center"/>
              </w:tcPr>
              <w:p>
                <w:pPr>
                  <w:widowControl w:val="0"/>
                  <w:jc w:val="both"/>
                  <w:rPr>
                    <w:rFonts w:asciiTheme="minorEastAsia" w:hAnsiTheme="minorEastAsia" w:eastAsiaTheme="minorEastAsia"/>
                  </w:rPr>
                </w:pPr>
                <w:r>
                  <w:rPr>
                    <w:rFonts w:asciiTheme="minorEastAsia" w:hAnsiTheme="minorEastAsia" w:eastAsiaTheme="minorEastAsia"/>
                  </w:rPr>
                  <w:t>79</w:t>
                </w:r>
                <w:r>
                  <w:rPr>
                    <w:rFonts w:hint="eastAsia" w:asciiTheme="minorEastAsia" w:hAnsiTheme="minorEastAsia" w:eastAsiaTheme="minorEastAsia"/>
                  </w:rPr>
                  <w:t>,</w:t>
                </w:r>
                <w:r>
                  <w:rPr>
                    <w:rFonts w:asciiTheme="minorEastAsia" w:hAnsiTheme="minorEastAsia" w:eastAsiaTheme="minorEastAsia"/>
                  </w:rPr>
                  <w:t>787</w:t>
                </w:r>
                <w:r>
                  <w:rPr>
                    <w:rFonts w:hint="eastAsia" w:asciiTheme="minorEastAsia" w:hAnsiTheme="minorEastAsia" w:eastAsiaTheme="minorEastAsia"/>
                  </w:rPr>
                  <w:t>,</w:t>
                </w:r>
                <w:r>
                  <w:rPr>
                    <w:rFonts w:asciiTheme="minorEastAsia" w:hAnsiTheme="minorEastAsia" w:eastAsiaTheme="minorEastAsia"/>
                  </w:rPr>
                  <w:t>685</w:t>
                </w:r>
                <w:r>
                  <w:rPr>
                    <w:rFonts w:hint="eastAsia" w:asciiTheme="minorEastAsia" w:hAnsiTheme="minorEastAsia" w:eastAsiaTheme="minorEastAsia"/>
                  </w:rPr>
                  <w:t>,</w:t>
                </w:r>
                <w:r>
                  <w:rPr>
                    <w:rFonts w:asciiTheme="minorEastAsia" w:hAnsiTheme="minorEastAsia" w:eastAsiaTheme="minorEastAsia"/>
                  </w:rPr>
                  <w:t>491.3</w:t>
                </w:r>
                <w:r>
                  <w:rPr>
                    <w:rFonts w:hint="eastAsia" w:asciiTheme="minorEastAsia" w:hAnsiTheme="minorEastAsia" w:eastAsiaTheme="minorEastAsia"/>
                  </w:rPr>
                  <w:t>4</w:t>
                </w:r>
              </w:p>
            </w:tc>
            <w:tc>
              <w:tcPr>
                <w:tcW w:w="549"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100.00</w:t>
                </w:r>
              </w:p>
            </w:tc>
            <w:tc>
              <w:tcPr>
                <w:tcW w:w="861"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78,458,345,074.07</w:t>
                </w:r>
              </w:p>
            </w:tc>
            <w:tc>
              <w:tcPr>
                <w:tcW w:w="548"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100.00</w:t>
                </w:r>
              </w:p>
            </w:tc>
            <w:tc>
              <w:tcPr>
                <w:tcW w:w="705"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1.69</w:t>
                </w:r>
              </w:p>
            </w:tc>
            <w:tc>
              <w:tcPr>
                <w:tcW w:w="789" w:type="pct"/>
                <w:vAlign w:val="center"/>
              </w:tcPr>
              <w:p>
                <w:pPr>
                  <w:widowControl w:val="0"/>
                  <w:jc w:val="both"/>
                  <w:rPr>
                    <w:rFonts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总资产负债率</w:t>
                </w:r>
              </w:p>
            </w:tc>
            <w:tc>
              <w:tcPr>
                <w:tcW w:w="882"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51.72%</w:t>
                </w:r>
              </w:p>
            </w:tc>
            <w:tc>
              <w:tcPr>
                <w:tcW w:w="549"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w:t>
                </w:r>
              </w:p>
            </w:tc>
            <w:tc>
              <w:tcPr>
                <w:tcW w:w="861"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51.63%</w:t>
                </w:r>
              </w:p>
            </w:tc>
            <w:tc>
              <w:tcPr>
                <w:tcW w:w="548"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w:t>
                </w:r>
              </w:p>
            </w:tc>
            <w:tc>
              <w:tcPr>
                <w:tcW w:w="705" w:type="pct"/>
                <w:vAlign w:val="center"/>
              </w:tcPr>
              <w:p>
                <w:pPr>
                  <w:widowControl w:val="0"/>
                  <w:jc w:val="both"/>
                  <w:rPr>
                    <w:rFonts w:asciiTheme="minorEastAsia" w:hAnsiTheme="minorEastAsia" w:eastAsiaTheme="minorEastAsia"/>
                  </w:rPr>
                </w:pPr>
                <w:r>
                  <w:rPr>
                    <w:rFonts w:asciiTheme="minorEastAsia" w:hAnsiTheme="minorEastAsia" w:eastAsiaTheme="minorEastAsia"/>
                  </w:rPr>
                  <w:t>增加</w:t>
                </w:r>
                <w:r>
                  <w:rPr>
                    <w:rFonts w:hint="eastAsia" w:asciiTheme="minorEastAsia" w:hAnsiTheme="minorEastAsia" w:eastAsiaTheme="minorEastAsia"/>
                  </w:rPr>
                  <w:t>0.09个百分点</w:t>
                </w:r>
              </w:p>
            </w:tc>
            <w:tc>
              <w:tcPr>
                <w:tcW w:w="789" w:type="pct"/>
                <w:vAlign w:val="center"/>
              </w:tcPr>
              <w:p>
                <w:pPr>
                  <w:widowControl w:val="0"/>
                  <w:jc w:val="both"/>
                  <w:rPr>
                    <w:rFonts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666" w:type="pct"/>
              </w:tcPr>
              <w:p>
                <w:pPr>
                  <w:widowControl w:val="0"/>
                  <w:jc w:val="both"/>
                  <w:rPr>
                    <w:rStyle w:val="95"/>
                    <w:rFonts w:asciiTheme="minorEastAsia" w:hAnsiTheme="minorEastAsia" w:eastAsiaTheme="minorEastAsia"/>
                    <w:b w:val="0"/>
                    <w:bCs w:val="0"/>
                  </w:rPr>
                </w:pPr>
                <w:r>
                  <w:rPr>
                    <w:rStyle w:val="95"/>
                    <w:rFonts w:asciiTheme="minorEastAsia" w:hAnsiTheme="minorEastAsia" w:eastAsiaTheme="minorEastAsia"/>
                    <w:b w:val="0"/>
                    <w:bCs w:val="0"/>
                  </w:rPr>
                  <w:t>净资产负债率</w:t>
                </w:r>
              </w:p>
            </w:tc>
            <w:tc>
              <w:tcPr>
                <w:tcW w:w="882"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107.11%</w:t>
                </w:r>
              </w:p>
            </w:tc>
            <w:tc>
              <w:tcPr>
                <w:tcW w:w="549"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w:t>
                </w:r>
              </w:p>
            </w:tc>
            <w:tc>
              <w:tcPr>
                <w:tcW w:w="861"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106.74%</w:t>
                </w:r>
              </w:p>
            </w:tc>
            <w:tc>
              <w:tcPr>
                <w:tcW w:w="548"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w:t>
                </w:r>
              </w:p>
            </w:tc>
            <w:tc>
              <w:tcPr>
                <w:tcW w:w="705" w:type="pct"/>
                <w:vAlign w:val="center"/>
              </w:tcPr>
              <w:p>
                <w:pPr>
                  <w:widowControl w:val="0"/>
                  <w:jc w:val="both"/>
                  <w:rPr>
                    <w:rFonts w:asciiTheme="minorEastAsia" w:hAnsiTheme="minorEastAsia" w:eastAsiaTheme="minorEastAsia"/>
                  </w:rPr>
                </w:pPr>
                <w:r>
                  <w:rPr>
                    <w:rFonts w:hint="eastAsia" w:asciiTheme="minorEastAsia" w:hAnsiTheme="minorEastAsia" w:eastAsiaTheme="minorEastAsia"/>
                  </w:rPr>
                  <w:t>增加0.37个百分点</w:t>
                </w:r>
              </w:p>
            </w:tc>
            <w:tc>
              <w:tcPr>
                <w:tcW w:w="789" w:type="pct"/>
                <w:vAlign w:val="center"/>
              </w:tcPr>
              <w:p>
                <w:pPr>
                  <w:widowControl w:val="0"/>
                  <w:jc w:val="both"/>
                  <w:rPr>
                    <w:rFonts w:ascii="Times New Roman" w:hAnsi="Times New Roman"/>
                    <w:sz w:val="15"/>
                    <w:szCs w:val="15"/>
                  </w:rPr>
                </w:pPr>
              </w:p>
            </w:tc>
          </w:tr>
        </w:tbl>
        <w:p>
          <w:pPr>
            <w:pStyle w:val="114"/>
          </w:pPr>
          <w:r>
            <w:rPr>
              <w:rFonts w:hint="eastAsia"/>
            </w:rPr>
            <w:t>其他说明</w:t>
          </w:r>
        </w:p>
        <w:sdt>
          <w:sdtPr>
            <w:rPr>
              <w:rFonts w:hint="eastAsia"/>
            </w:rPr>
            <w:alias w:val="资产及负债状况的其他说明"/>
            <w:tag w:val="_GBC_cb3eda90e3e24589a444c633ca113f7e"/>
            <w:id w:val="1271824224"/>
            <w:lock w:val="sdtLocked"/>
            <w:placeholder>
              <w:docPart w:val="GBC22222222222222222222222222222"/>
            </w:placeholder>
          </w:sdtPr>
          <w:sdtEndPr>
            <w:rPr>
              <w:rFonts w:hint="eastAsia"/>
            </w:rPr>
          </w:sdtEndPr>
          <w:sdtContent>
            <w:p>
              <w:pPr>
                <w:ind w:firstLine="420" w:firstLineChars="200"/>
              </w:pPr>
              <w:r>
                <w:t>本报告期内，本集团于任何一家银行购买的理财产品累计金额余额不达或超过总资产(根据上市规则调整减少应付股利)或市值5％。</w:t>
              </w:r>
            </w:p>
            <w:p>
              <w:pPr>
                <w:ind w:firstLine="420" w:firstLineChars="200"/>
              </w:pPr>
              <w:r>
                <w:rPr>
                  <w:rFonts w:hint="eastAsia"/>
                </w:rPr>
                <w:t>有关总资产负债率计算基准为：负债╱总资产；净资产负债率计算基准为：负债╱股东权益。</w:t>
              </w:r>
            </w:p>
          </w:sdtContent>
        </w:sdt>
      </w:sdtContent>
    </w:sdt>
    <w:bookmarkEnd w:id="37"/>
    <w:bookmarkEnd w:id="38"/>
    <w:p>
      <w:pPr>
        <w:pStyle w:val="114"/>
      </w:pPr>
    </w:p>
    <w:p>
      <w:pPr>
        <w:pStyle w:val="5"/>
        <w:numPr>
          <w:ilvl w:val="0"/>
          <w:numId w:val="9"/>
        </w:numPr>
        <w:ind w:left="0" w:firstLine="0"/>
        <w:rPr>
          <w:rFonts w:ascii="宋体" w:hAnsi="宋体"/>
          <w:szCs w:val="21"/>
        </w:rPr>
      </w:pPr>
      <w:r>
        <w:rPr>
          <w:rFonts w:hint="eastAsia" w:ascii="宋体" w:hAnsi="宋体"/>
          <w:szCs w:val="21"/>
        </w:rPr>
        <w:t>境外资产</w:t>
      </w:r>
      <w:r>
        <w:rPr>
          <w:rFonts w:ascii="宋体" w:hAnsi="宋体"/>
          <w:szCs w:val="21"/>
        </w:rPr>
        <w:t>情</w:t>
      </w:r>
      <w:r>
        <w:rPr>
          <w:rFonts w:hint="eastAsia" w:ascii="宋体" w:hAnsi="宋体"/>
          <w:szCs w:val="21"/>
        </w:rPr>
        <w:t>况</w:t>
      </w:r>
    </w:p>
    <w:sdt>
      <w:sdtPr>
        <w:alias w:val="是否适用：境外资产情况 [双击切换]"/>
        <w:tag w:val="_GBC_95d71e9a9dcd4966863ba2859a3bf0b7"/>
        <w:id w:val="96007200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b w:val="0"/>
          <w:bCs w:val="0"/>
          <w:kern w:val="0"/>
          <w:szCs w:val="21"/>
        </w:rPr>
        <w:alias w:val="模块:"/>
        <w:tag w:val="_SEC_7f2308a9bb284441948806ea6c09c608"/>
        <w:id w:val="673151377"/>
        <w:lock w:val="sdtLocked"/>
        <w:placeholder>
          <w:docPart w:val="GBC22222222222222222222222222222"/>
        </w:placeholder>
      </w:sdtPr>
      <w:sdtEndPr>
        <w:rPr>
          <w:rFonts w:hint="eastAsia" w:ascii="宋体" w:hAnsi="宋体" w:cs="宋体"/>
          <w:b w:val="0"/>
          <w:bCs w:val="0"/>
          <w:kern w:val="0"/>
          <w:szCs w:val="21"/>
        </w:rPr>
      </w:sdtEndPr>
      <w:sdtContent>
        <w:p>
          <w:pPr>
            <w:pStyle w:val="6"/>
            <w:numPr>
              <w:ilvl w:val="0"/>
              <w:numId w:val="10"/>
            </w:numPr>
            <w:ind w:left="450" w:hanging="450"/>
            <w:rPr>
              <w:rFonts w:ascii="宋体" w:hAnsi="宋体"/>
              <w:szCs w:val="21"/>
            </w:rPr>
          </w:pPr>
          <w:bookmarkStart w:id="39" w:name="_Hlk74646369"/>
          <w:r>
            <w:rPr>
              <w:rFonts w:hint="eastAsia" w:ascii="宋体" w:hAnsi="宋体"/>
              <w:szCs w:val="21"/>
            </w:rPr>
            <w:t>资产规模</w:t>
          </w:r>
        </w:p>
        <w:p>
          <w:pPr>
            <w:pStyle w:val="114"/>
          </w:pPr>
          <w:r>
            <w:rPr>
              <w:rFonts w:hint="eastAsia"/>
            </w:rPr>
            <w:t>其中：境外资产</w:t>
          </w:r>
          <w:sdt>
            <w:sdtPr>
              <w:rPr>
                <w:rFonts w:hint="eastAsia"/>
              </w:rPr>
              <w:alias w:val="报告期内公司境外资产变化"/>
              <w:tag w:val="_GBC_7edcbeb27a8a4dc89717cd882c719546"/>
              <w:id w:val="843595136"/>
              <w:lock w:val="sdtLocked"/>
              <w:placeholder>
                <w:docPart w:val="GBC22222222222222222222222222222"/>
              </w:placeholder>
            </w:sdtPr>
            <w:sdtEndPr>
              <w:rPr>
                <w:rFonts w:hint="eastAsia"/>
              </w:rPr>
            </w:sdtEndPr>
            <w:sdtContent>
              <w:r>
                <w:t>15,005.61</w:t>
              </w:r>
            </w:sdtContent>
          </w:sdt>
          <w:r>
            <w:rPr>
              <w:rFonts w:hint="eastAsia"/>
            </w:rPr>
            <w:t>（单位：</w:t>
          </w:r>
          <w:sdt>
            <w:sdtPr>
              <w:rPr>
                <w:rFonts w:hint="eastAsia"/>
              </w:rPr>
              <w:alias w:val="单位：报告期内公司境外资产变化"/>
              <w:tag w:val="_GBC_5372243019964ba2af35a9061c614f89"/>
              <w:id w:val="-14947159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报告期内公司境外资产变化"/>
              <w:tag w:val="_GBC_09b61176994d443a8e1c524c6afd9c93"/>
              <w:id w:val="-12679210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美元</w:t>
              </w:r>
            </w:sdtContent>
          </w:sdt>
          <w:r>
            <w:rPr>
              <w:rFonts w:hint="eastAsia"/>
            </w:rPr>
            <w:t>），占总资产的比例为</w:t>
          </w:r>
          <w:sdt>
            <w:sdtPr>
              <w:rPr>
                <w:rFonts w:hint="eastAsia"/>
              </w:rPr>
              <w:alias w:val="报告期内公司境外资产变化占总资产的比例"/>
              <w:tag w:val="_GBC_c83f06156a574d209e05b2246741ffae"/>
              <w:id w:val="-1118137644"/>
              <w:lock w:val="sdtLocked"/>
              <w:placeholder>
                <w:docPart w:val="GBC22222222222222222222222222222"/>
              </w:placeholder>
            </w:sdtPr>
            <w:sdtEndPr>
              <w:rPr>
                <w:rFonts w:hint="eastAsia"/>
              </w:rPr>
            </w:sdtEndPr>
            <w:sdtContent>
              <w:r>
                <w:t>0.000131</w:t>
              </w:r>
            </w:sdtContent>
          </w:sdt>
          <w:r>
            <w:rPr>
              <w:rFonts w:hint="eastAsia"/>
            </w:rPr>
            <w:t>%。</w:t>
          </w:r>
        </w:p>
        <w:p>
          <w:pPr>
            <w:pStyle w:val="114"/>
          </w:pPr>
          <w:r>
            <w:rPr>
              <w:rFonts w:hint="eastAsia"/>
            </w:rPr>
            <w:t>境外资产主要为宁沪国际公司报告期末结余的货币资金及应收账款。</w:t>
          </w:r>
        </w:p>
        <w:p>
          <w:pPr>
            <w:pStyle w:val="114"/>
          </w:pPr>
        </w:p>
      </w:sdtContent>
    </w:sdt>
    <w:bookmarkEnd w:id="39"/>
    <w:sdt>
      <w:sdtPr>
        <w:rPr>
          <w:rFonts w:hint="eastAsia" w:ascii="宋体" w:hAnsi="宋体" w:cs="宋体"/>
          <w:b w:val="0"/>
          <w:bCs w:val="0"/>
          <w:kern w:val="0"/>
          <w:szCs w:val="21"/>
        </w:rPr>
        <w:alias w:val="模块:境外资产占比较高的相关说明"/>
        <w:tag w:val="_SEC_d3282e023dd342148088e8b62a141d34"/>
        <w:id w:val="918600510"/>
        <w:lock w:val="sdtLocked"/>
        <w:placeholder>
          <w:docPart w:val="GBC22222222222222222222222222222"/>
        </w:placeholder>
      </w:sdtPr>
      <w:sdtEndPr>
        <w:rPr>
          <w:rFonts w:hint="default" w:ascii="宋体" w:hAnsi="宋体" w:cs="宋体"/>
          <w:b w:val="0"/>
          <w:bCs w:val="0"/>
          <w:kern w:val="0"/>
          <w:szCs w:val="21"/>
        </w:rPr>
      </w:sdtEndPr>
      <w:sdtContent>
        <w:p>
          <w:pPr>
            <w:pStyle w:val="6"/>
            <w:numPr>
              <w:ilvl w:val="0"/>
              <w:numId w:val="10"/>
            </w:numPr>
            <w:ind w:left="450" w:hanging="450"/>
            <w:rPr>
              <w:szCs w:val="21"/>
            </w:rPr>
          </w:pPr>
          <w:bookmarkStart w:id="40" w:name="_Hlk89176028"/>
          <w:bookmarkStart w:id="41" w:name="_Hlk105685192"/>
          <w:r>
            <w:rPr>
              <w:rFonts w:hint="eastAsia"/>
              <w:szCs w:val="21"/>
            </w:rPr>
            <w:t>境外资产占比较高的相关说明</w:t>
          </w:r>
        </w:p>
        <w:sdt>
          <w:sdtPr>
            <w:rPr>
              <w:rFonts w:hint="eastAsia"/>
            </w:rPr>
            <w:alias w:val="是否适用：境外资产占比较高的相关说明  [双击切换]"/>
            <w:tag w:val="_GBC_b94481189588466d82a6180c2e304194"/>
            <w:id w:val="-6495664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0"/>
    <w:sdt>
      <w:sdtPr>
        <w:rPr>
          <w:color w:val="000000"/>
        </w:rPr>
        <w:alias w:val="模块:其他说明"/>
        <w:tag w:val="_SEC_1054cd8b91c348ed94f7bc925d57ba7b"/>
        <w:id w:val="89285002"/>
        <w:lock w:val="sdtLocked"/>
        <w:placeholder>
          <w:docPart w:val="GBC22222222222222222222222222222"/>
        </w:placeholder>
      </w:sdtPr>
      <w:sdtEndPr>
        <w:rPr>
          <w:rFonts w:hint="eastAsia"/>
          <w:color w:val="auto"/>
        </w:rPr>
      </w:sdtEndPr>
      <w:sdtContent>
        <w:p>
          <w:pPr>
            <w:rPr>
              <w:color w:val="000000"/>
            </w:rPr>
          </w:pPr>
          <w:r>
            <w:rPr>
              <w:color w:val="000000"/>
            </w:rPr>
            <w:t>其他说明</w:t>
          </w:r>
        </w:p>
        <w:sdt>
          <w:sdtPr>
            <w:rPr>
              <w:color w:val="000000"/>
            </w:rPr>
            <w:alias w:val="境外资产相关说明 "/>
            <w:tag w:val="_GBC_41f1e6e9cf2548bb879088d0ad64be9c"/>
            <w:id w:val="-1796518438"/>
            <w:lock w:val="sdtLocked"/>
            <w:placeholder>
              <w:docPart w:val="GBC22222222222222222222222222222"/>
            </w:placeholder>
          </w:sdtPr>
          <w:sdtEndPr>
            <w:rPr>
              <w:color w:val="000000"/>
            </w:rPr>
          </w:sdtEndPr>
          <w:sdtContent>
            <w:p>
              <w:pPr>
                <w:rPr>
                  <w:color w:val="000000"/>
                </w:rPr>
              </w:pPr>
              <w:r>
                <w:rPr>
                  <w:rFonts w:hint="eastAsia"/>
                  <w:color w:val="000000"/>
                </w:rPr>
                <w:t>无</w:t>
              </w:r>
              <w:r>
                <w:rPr>
                  <w:color w:val="000000"/>
                </w:rPr>
                <w:t>。</w:t>
              </w:r>
            </w:p>
          </w:sdtContent>
        </w:sdt>
        <w:p>
          <w:pPr>
            <w:pStyle w:val="114"/>
          </w:pPr>
        </w:p>
      </w:sdtContent>
    </w:sdt>
    <w:bookmarkEnd w:id="41"/>
    <w:sdt>
      <w:sdtPr>
        <w:rPr>
          <w:rFonts w:ascii="宋体" w:hAnsi="宋体" w:cs="宋体"/>
          <w:b w:val="0"/>
          <w:bCs w:val="0"/>
          <w:kern w:val="0"/>
          <w:szCs w:val="21"/>
        </w:rPr>
        <w:alias w:val="模块:截至报告期末主要资产受限情"/>
        <w:tag w:val="_SEC_390cddc4349f46b4bcccd468c3e69d14"/>
        <w:id w:val="1916051199"/>
        <w:lock w:val="sdtLocked"/>
        <w:placeholder>
          <w:docPart w:val="GBC22222222222222222222222222222"/>
        </w:placeholder>
      </w:sdtPr>
      <w:sdtEndPr>
        <w:rPr>
          <w:rFonts w:hint="eastAsia" w:ascii="宋体" w:hAnsi="宋体" w:cs="宋体"/>
          <w:b w:val="0"/>
          <w:bCs w:val="0"/>
          <w:color w:val="000000" w:themeColor="text1"/>
          <w:kern w:val="0"/>
          <w:szCs w:val="21"/>
          <w14:textFill>
            <w14:solidFill>
              <w14:schemeClr w14:val="tx1"/>
            </w14:solidFill>
          </w14:textFill>
        </w:rPr>
      </w:sdtEndPr>
      <w:sdtContent>
        <w:p>
          <w:pPr>
            <w:pStyle w:val="5"/>
            <w:numPr>
              <w:ilvl w:val="0"/>
              <w:numId w:val="9"/>
            </w:numPr>
            <w:rPr>
              <w:rFonts w:ascii="宋体" w:hAnsi="宋体"/>
              <w:szCs w:val="21"/>
            </w:rPr>
          </w:pPr>
          <w:r>
            <w:rPr>
              <w:rFonts w:ascii="宋体" w:hAnsi="宋体"/>
              <w:szCs w:val="21"/>
            </w:rPr>
            <w:t>截至报告期末主要资产受限情</w:t>
          </w:r>
          <w:r>
            <w:rPr>
              <w:rFonts w:hint="eastAsia" w:ascii="宋体" w:hAnsi="宋体"/>
              <w:szCs w:val="21"/>
            </w:rPr>
            <w:t>况</w:t>
          </w:r>
        </w:p>
        <w:sdt>
          <w:sdtPr>
            <w:rPr>
              <w:rFonts w:hint="eastAsia"/>
              <w:color w:val="000000" w:themeColor="text1"/>
              <w14:textFill>
                <w14:solidFill>
                  <w14:schemeClr w14:val="tx1"/>
                </w14:solidFill>
              </w14:textFill>
            </w:rPr>
            <w:alias w:val="是否适用：主要资产受限情况[双击切换]"/>
            <w:tag w:val="_GBC_e9f1a2b3f13345eaac848c40837fffbb"/>
            <w:id w:val="1274671146"/>
            <w:lock w:val="sdtLocked"/>
            <w:placeholder>
              <w:docPart w:val="GBC22222222222222222222222222222"/>
            </w:placeholder>
          </w:sdtPr>
          <w:sdtEndPr>
            <w:rPr>
              <w:rFonts w:hint="eastAsia"/>
              <w:color w:val="000000" w:themeColor="text1"/>
              <w14:textFill>
                <w14:solidFill>
                  <w14:schemeClr w14:val="tx1"/>
                </w14:solidFill>
              </w14:textFill>
            </w:rPr>
          </w:sdtEndPr>
          <w:sdtContent>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√适用 </w:instrTex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□不适用 </w:instrText>
              </w:r>
              <w:r>
                <w:rPr>
                  <w:color w:val="000000" w:themeColor="text1"/>
                  <w14:textFill>
                    <w14:solidFill>
                      <w14:schemeClr w14:val="tx1"/>
                    </w14:solidFill>
                  </w14:textFill>
                </w:rPr>
                <w:fldChar w:fldCharType="end"/>
              </w:r>
            </w:p>
          </w:sdtContent>
        </w:sdt>
        <w:sdt>
          <w:sdtPr>
            <w:rPr>
              <w:color w:val="000000" w:themeColor="text1"/>
              <w14:textFill>
                <w14:solidFill>
                  <w14:schemeClr w14:val="tx1"/>
                </w14:solidFill>
              </w14:textFill>
            </w:rPr>
            <w:alias w:val="主要资产受限情况"/>
            <w:tag w:val="_GBC_a45de9537ca94b758cc1d9c201a60b53"/>
            <w:id w:val="-274407546"/>
            <w:lock w:val="sdtLocked"/>
            <w:placeholder>
              <w:docPart w:val="GBC22222222222222222222222222222"/>
            </w:placeholder>
          </w:sdtPr>
          <w:sdtEndPr>
            <w:rPr>
              <w:color w:val="000000" w:themeColor="text1"/>
              <w14:textFill>
                <w14:solidFill>
                  <w14:schemeClr w14:val="tx1"/>
                </w14:solidFill>
              </w14:textFill>
            </w:rPr>
          </w:sdtEndPr>
          <w:sdtContent>
            <w:p>
              <w:pPr>
                <w:jc w:val="right"/>
              </w:pPr>
              <w:r>
                <w:rPr>
                  <w:rFonts w:hint="eastAsia"/>
                </w:rPr>
                <w:t>单位:元 币种:人民币</w:t>
              </w:r>
            </w:p>
            <w:tbl>
              <w:tblPr>
                <w:tblStyle w:val="109"/>
                <w:tblW w:w="0" w:type="auto"/>
                <w:tblInd w:w="0" w:type="dxa"/>
                <w:tblLayout w:type="autofit"/>
                <w:tblCellMar>
                  <w:top w:w="0" w:type="dxa"/>
                  <w:left w:w="108" w:type="dxa"/>
                  <w:bottom w:w="0" w:type="dxa"/>
                  <w:right w:w="108" w:type="dxa"/>
                </w:tblCellMar>
              </w:tblPr>
              <w:tblGrid>
                <w:gridCol w:w="2941"/>
                <w:gridCol w:w="2941"/>
                <w:gridCol w:w="2941"/>
              </w:tblGrid>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jc w:val="center"/>
                      <w:rPr>
                        <w:rFonts w:ascii="Calibri" w:hAnsi="Calibri" w:eastAsia="宋体" w:cs="Times New Roman"/>
                        <w:b/>
                        <w:bCs w:val="0"/>
                        <w:sz w:val="21"/>
                        <w:szCs w:val="21"/>
                      </w:rPr>
                    </w:pPr>
                    <w:r>
                      <w:rPr>
                        <w:rFonts w:hint="eastAsia" w:ascii="宋体" w:hAnsi="宋体" w:eastAsia="宋体" w:cs="宋体"/>
                        <w:b/>
                        <w:bCs w:val="0"/>
                        <w:sz w:val="21"/>
                        <w:szCs w:val="21"/>
                      </w:rPr>
                      <w:t>项目</w:t>
                    </w:r>
                  </w:p>
                </w:tc>
                <w:tc>
                  <w:tcPr>
                    <w:tcW w:w="2941" w:type="dxa"/>
                    <w:tcBorders>
                      <w:top w:val="single" w:color="auto" w:sz="4" w:space="0"/>
                      <w:left w:val="nil"/>
                      <w:bottom w:val="single" w:color="auto" w:sz="4" w:space="0"/>
                      <w:right w:val="single" w:color="auto" w:sz="4" w:space="0"/>
                    </w:tcBorders>
                  </w:tcPr>
                  <w:p>
                    <w:pPr>
                      <w:jc w:val="center"/>
                      <w:rPr>
                        <w:rFonts w:ascii="Calibri" w:hAnsi="Calibri" w:eastAsia="宋体" w:cs="Times New Roman"/>
                        <w:b/>
                        <w:bCs w:val="0"/>
                        <w:sz w:val="21"/>
                        <w:szCs w:val="21"/>
                      </w:rPr>
                    </w:pPr>
                    <w:r>
                      <w:rPr>
                        <w:rFonts w:hint="eastAsia" w:ascii="宋体" w:hAnsi="宋体" w:eastAsia="宋体" w:cs="宋体"/>
                        <w:b/>
                        <w:bCs w:val="0"/>
                        <w:sz w:val="21"/>
                        <w:szCs w:val="21"/>
                      </w:rPr>
                      <w:t>报告期末账面价值</w:t>
                    </w:r>
                  </w:p>
                </w:tc>
                <w:tc>
                  <w:tcPr>
                    <w:tcW w:w="2941" w:type="dxa"/>
                    <w:tcBorders>
                      <w:top w:val="single" w:color="auto" w:sz="4" w:space="0"/>
                      <w:left w:val="nil"/>
                      <w:bottom w:val="single" w:color="auto" w:sz="4" w:space="0"/>
                      <w:right w:val="single" w:color="auto" w:sz="4" w:space="0"/>
                    </w:tcBorders>
                  </w:tcPr>
                  <w:p>
                    <w:pPr>
                      <w:jc w:val="center"/>
                      <w:rPr>
                        <w:rFonts w:ascii="Calibri" w:hAnsi="Calibri" w:eastAsia="宋体" w:cs="Times New Roman"/>
                        <w:b/>
                        <w:bCs w:val="0"/>
                        <w:sz w:val="21"/>
                        <w:szCs w:val="21"/>
                      </w:rPr>
                    </w:pPr>
                    <w:r>
                      <w:rPr>
                        <w:rFonts w:hint="eastAsia" w:ascii="宋体" w:hAnsi="宋体" w:eastAsia="宋体" w:cs="宋体"/>
                        <w:b/>
                        <w:bCs w:val="0"/>
                        <w:sz w:val="21"/>
                        <w:szCs w:val="21"/>
                      </w:rPr>
                      <w:t>受限原因</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银行存款</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客户按揭保证金</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银行存款</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预售监管资金</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银行存款</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9,192,000.00</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票据保证金</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无形资产</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24,134,633,285.17</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高速公路收费经营权质押</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应收账款</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725,606,629.13</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Cs w:val="0"/>
                        <w:sz w:val="21"/>
                        <w:szCs w:val="21"/>
                      </w:rPr>
                    </w:pPr>
                    <w:r>
                      <w:rPr>
                        <w:rFonts w:hint="eastAsia" w:ascii="宋体" w:hAnsi="宋体" w:eastAsia="宋体" w:cs="宋体"/>
                        <w:bCs w:val="0"/>
                        <w:sz w:val="21"/>
                        <w:szCs w:val="21"/>
                      </w:rPr>
                      <w:t>应收电费收费权质押</w:t>
                    </w:r>
                  </w:p>
                </w:tc>
              </w:tr>
              <w:tr>
                <w:tblPrEx>
                  <w:tblCellMar>
                    <w:top w:w="0" w:type="dxa"/>
                    <w:left w:w="108" w:type="dxa"/>
                    <w:bottom w:w="0" w:type="dxa"/>
                    <w:right w:w="108" w:type="dxa"/>
                  </w:tblCellMar>
                </w:tblPrEx>
                <w:tc>
                  <w:tcPr>
                    <w:tcW w:w="2941" w:type="dxa"/>
                    <w:tcBorders>
                      <w:top w:val="single" w:color="auto" w:sz="4" w:space="0"/>
                      <w:left w:val="single" w:color="auto" w:sz="4" w:space="0"/>
                      <w:bottom w:val="single" w:color="auto" w:sz="4" w:space="0"/>
                      <w:right w:val="single" w:color="auto" w:sz="4" w:space="0"/>
                    </w:tcBorders>
                  </w:tcPr>
                  <w:p>
                    <w:pPr>
                      <w:jc w:val="center"/>
                      <w:rPr>
                        <w:rFonts w:ascii="Calibri" w:hAnsi="Calibri" w:eastAsia="宋体" w:cs="Times New Roman"/>
                        <w:b/>
                        <w:bCs w:val="0"/>
                        <w:sz w:val="21"/>
                        <w:szCs w:val="21"/>
                      </w:rPr>
                    </w:pPr>
                    <w:r>
                      <w:rPr>
                        <w:rFonts w:hint="eastAsia" w:ascii="宋体" w:hAnsi="宋体" w:eastAsia="宋体" w:cs="宋体"/>
                        <w:b/>
                        <w:bCs w:val="0"/>
                        <w:sz w:val="21"/>
                        <w:szCs w:val="21"/>
                      </w:rPr>
                      <w:t>合计</w:t>
                    </w:r>
                  </w:p>
                </w:tc>
                <w:tc>
                  <w:tcPr>
                    <w:tcW w:w="2941" w:type="dxa"/>
                    <w:tcBorders>
                      <w:top w:val="single" w:color="auto" w:sz="4" w:space="0"/>
                      <w:left w:val="nil"/>
                      <w:bottom w:val="single" w:color="auto" w:sz="4" w:space="0"/>
                      <w:right w:val="single" w:color="auto" w:sz="4" w:space="0"/>
                    </w:tcBorders>
                  </w:tcPr>
                  <w:p>
                    <w:pPr>
                      <w:jc w:val="right"/>
                      <w:rPr>
                        <w:rFonts w:cs="Times New Roman" w:asciiTheme="minorEastAsia" w:hAnsiTheme="minorEastAsia" w:eastAsiaTheme="minorEastAsia"/>
                        <w:b/>
                        <w:bCs w:val="0"/>
                        <w:sz w:val="21"/>
                        <w:szCs w:val="21"/>
                      </w:rPr>
                    </w:pPr>
                    <w:r>
                      <w:rPr>
                        <w:rFonts w:hint="eastAsia" w:cs="Calibri" w:asciiTheme="minorEastAsia" w:hAnsiTheme="minorEastAsia" w:eastAsiaTheme="minorEastAsia"/>
                        <w:b/>
                        <w:bCs w:val="0"/>
                        <w:sz w:val="21"/>
                        <w:szCs w:val="21"/>
                      </w:rPr>
                      <w:t>24,869,431,914.30</w:t>
                    </w:r>
                  </w:p>
                </w:tc>
                <w:tc>
                  <w:tcPr>
                    <w:tcW w:w="2941" w:type="dxa"/>
                    <w:tcBorders>
                      <w:top w:val="single" w:color="auto" w:sz="4" w:space="0"/>
                      <w:left w:val="nil"/>
                      <w:bottom w:val="single" w:color="auto" w:sz="4" w:space="0"/>
                      <w:right w:val="single" w:color="auto" w:sz="4" w:space="0"/>
                    </w:tcBorders>
                  </w:tcPr>
                  <w:p>
                    <w:pPr>
                      <w:rPr>
                        <w:rFonts w:ascii="Calibri" w:hAnsi="Calibri" w:eastAsia="宋体" w:cs="Times New Roman"/>
                        <w:b/>
                        <w:bCs w:val="0"/>
                        <w:sz w:val="21"/>
                        <w:szCs w:val="21"/>
                      </w:rPr>
                    </w:pPr>
                    <w:r>
                      <w:rPr>
                        <w:rFonts w:hint="eastAsia" w:ascii="Calibri" w:hAnsi="Calibri" w:eastAsia="Times New Roman" w:cs="Calibri"/>
                        <w:b/>
                        <w:bCs w:val="0"/>
                        <w:sz w:val="21"/>
                        <w:szCs w:val="21"/>
                      </w:rPr>
                      <w:t> </w:t>
                    </w:r>
                  </w:p>
                </w:tc>
              </w:tr>
            </w:tbl>
            <w:p>
              <w:pPr>
                <w:rPr>
                  <w:b/>
                </w:rPr>
              </w:pPr>
              <w:r>
                <w:rPr>
                  <w:rFonts w:hint="eastAsia"/>
                  <w:b/>
                </w:rPr>
                <w:t>（1）银行存款受限情况说明</w:t>
              </w:r>
            </w:p>
            <w:p>
              <w:pPr>
                <w:ind w:firstLine="420" w:firstLineChars="200"/>
              </w:pPr>
              <w:r>
                <w:rPr>
                  <w:rFonts w:hint="eastAsia"/>
                </w:rPr>
                <w:t>报告期末，本集团其他货币资金为票据保证金人民币9,192千元，系金融机构根据监管规定，对以龙潭大桥公司为出票人的商业汇票按照比例收取的保证金。</w:t>
              </w:r>
            </w:p>
            <w:p>
              <w:pPr>
                <w:rPr>
                  <w:b/>
                </w:rPr>
              </w:pPr>
              <w:r>
                <w:rPr>
                  <w:rFonts w:hint="eastAsia"/>
                  <w:b/>
                </w:rPr>
                <w:t>（2）无形资产受限情况说明</w:t>
              </w:r>
            </w:p>
            <w:p>
              <w:pPr>
                <w:ind w:firstLine="420" w:firstLineChars="200"/>
              </w:pPr>
              <w:r>
                <w:rPr>
                  <w:rFonts w:hint="eastAsia"/>
                </w:rPr>
                <w:t>本集团控股子公司广靖锡澄公司以广靖高速公路收费经营权作为质押，与中国工商银行无锡分行签订总额为人民币1,200,000千元的借款合同。截至本报告期末，借款余额为人民币330,000千元。</w:t>
              </w:r>
            </w:p>
            <w:p>
              <w:pPr>
                <w:ind w:firstLine="420" w:firstLineChars="200"/>
              </w:pPr>
              <w:r>
                <w:rPr>
                  <w:rFonts w:hint="eastAsia"/>
                </w:rPr>
                <w:t>本集团控股子公司五峰山大桥公司以五峰山大桥公路部分及南北接线收费经营权作为质押，与中国建设银行江苏省直属支行、国家开发银行江苏省分行、交通银行江苏省分行、中国邮政储蓄银行南京分行、中国工商银行南京城南支行、招商银行南京分行签订总额分别为人民币2,000,000千元、2,500,000千元、1,500,000千元、1,200,000千元、1,500,000千元、2,500,000千元的借款合同。截至本报告期末，借款余额分别为人民币1,559,500千元、366,500千元、862,740千元、975,546千元、357,500千元、1,168,000千元。</w:t>
              </w:r>
            </w:p>
            <w:p>
              <w:pPr>
                <w:ind w:firstLine="420" w:firstLineChars="200"/>
              </w:pPr>
              <w:r>
                <w:rPr>
                  <w:rFonts w:hint="eastAsia"/>
                </w:rPr>
                <w:t>本集团控股子公司龙潭大桥公司以龙潭过江通道收费经营权作为质押，与国家开发银行江苏省分行、招商银行江苏省分行、中国银行江苏省分行签订总额分别为人民币2,000,000千元、1,000,000千元、1,200,000千元的借款合同。截至本报告期末，借款余额分别为人民币51,000千元、200,000千元、100,000千元。</w:t>
              </w:r>
            </w:p>
            <w:p>
              <w:pPr>
                <w:ind w:firstLine="420" w:firstLineChars="200"/>
              </w:pPr>
              <w:r>
                <w:rPr>
                  <w:rFonts w:hint="eastAsia"/>
                </w:rPr>
                <w:t>本集团控股子公司龙潭大桥公司以龙潭北接线收费经营权作为质押，与国家开发银行江苏省分行签订总额为人民币1,000,000千元的借款合同。截至本报告期末，借款余额为人民币1,000千元。</w:t>
              </w:r>
            </w:p>
            <w:p>
              <w:pPr>
                <w:ind w:firstLine="420" w:firstLineChars="200"/>
              </w:pPr>
              <w:r>
                <w:rPr>
                  <w:rFonts w:hint="eastAsia"/>
                </w:rPr>
                <w:t>本集团控股子公司常宜公司以常宜高速公路收费经营权作为质押，与邮储银行南京分行、中国农业银行无锡城中支行、中国工商银行无锡分行签订总额分别为人民币500,000千元、382,900千元、2,000,000千元的借款合同。截至本报告期末，借款余额为人民币48,310千元、360,000千元、550,500千元。</w:t>
              </w:r>
            </w:p>
            <w:p>
              <w:pPr>
                <w:ind w:firstLine="420" w:firstLineChars="200"/>
              </w:pPr>
              <w:r>
                <w:rPr>
                  <w:rFonts w:hint="eastAsia"/>
                </w:rPr>
                <w:t>本集团控股子公司宜长公司以宜长高速公路收费经营权作为质押，与邮储银行南京分行、中国工商银行无锡分行、国家开发银行江苏分行、交通银行签订总额分别为人民币500,000千元、2,400,000千元、2,000,000千元、300,000千元的借款合同。截至本报告期末，借款余额分别为人民币377,660千元、475,000千元、378,000千元、93,340千元。</w:t>
              </w:r>
            </w:p>
            <w:p>
              <w:pPr>
                <w:rPr>
                  <w:b/>
                </w:rPr>
              </w:pPr>
              <w:r>
                <w:rPr>
                  <w:rFonts w:hint="eastAsia"/>
                  <w:b/>
                </w:rPr>
                <w:t>（3）应收账款受限情况说明</w:t>
              </w:r>
            </w:p>
            <w:p>
              <w:pPr>
                <w:ind w:firstLine="420" w:firstLineChars="200"/>
                <w:rPr>
                  <w:color w:val="000000" w:themeColor="text1"/>
                  <w14:textFill>
                    <w14:solidFill>
                      <w14:schemeClr w14:val="tx1"/>
                    </w14:solidFill>
                  </w14:textFill>
                </w:rPr>
              </w:pPr>
              <w:r>
                <w:rPr>
                  <w:rFonts w:hint="eastAsia"/>
                </w:rPr>
                <w:t>本集团控股子公司如东公司与国家开发银行江苏省分行签订总额为人民币4,000,000千元的借款合同，并于2023年3月签订变更协议，修订借款总额为人民币2,663,000千元。该借款合同除由本公司提供担保外，还以项目电费收费权作为质押保证。截至本报告期末，借款余额为人民币2,497,000千元。</w:t>
              </w:r>
            </w:p>
          </w:sdtContent>
        </w:sdt>
      </w:sdtContent>
    </w:sdt>
    <w:p>
      <w:pPr>
        <w:rPr>
          <w:color w:val="000000" w:themeColor="text1"/>
          <w14:textFill>
            <w14:solidFill>
              <w14:schemeClr w14:val="tx1"/>
            </w14:solidFill>
          </w14:textFill>
        </w:rPr>
      </w:pPr>
    </w:p>
    <w:sdt>
      <w:sdtPr>
        <w:rPr>
          <w:rFonts w:ascii="宋体" w:hAnsi="宋体" w:cs="宋体"/>
          <w:b w:val="0"/>
          <w:bCs w:val="0"/>
          <w:kern w:val="0"/>
          <w:szCs w:val="21"/>
        </w:rPr>
        <w:alias w:val="模块:其他说明"/>
        <w:tag w:val="_SEC_a3069c29080242b4a4de48db80a4164e"/>
        <w:id w:val="-102300813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9"/>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30492569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及负债状况的其他说明"/>
            <w:tag w:val="_GBC_c76402abcb084333912be41804c53ad0"/>
            <w:id w:val="1251165382"/>
            <w:lock w:val="sdtLocked"/>
            <w:placeholder>
              <w:docPart w:val="GBC22222222222222222222222222222"/>
            </w:placeholder>
          </w:sdtPr>
          <w:sdtContent>
            <w:p>
              <w:pPr>
                <w:ind w:firstLine="420" w:firstLineChars="200"/>
              </w:pPr>
              <w:r>
                <w:rPr>
                  <w:rFonts w:hint="eastAsia"/>
                </w:rPr>
                <w:t>（1）投资支出情况</w:t>
              </w:r>
            </w:p>
            <w:p>
              <w:pPr>
                <w:ind w:firstLine="420" w:firstLineChars="200"/>
              </w:pPr>
              <w:r>
                <w:rPr>
                  <w:rFonts w:hint="eastAsia"/>
                </w:rPr>
                <w:t>本报告期，本集团已实施计划中的投资支出约人民币1,122,268千元，较上年同期人民币789,694千元增加约人民币332,574千元，增幅约42.11%，主要由于本集团本报告期对路桥项目建设投资同比增加。于本报告期，本集团实施的投资项目及金额：</w:t>
              </w:r>
            </w:p>
            <w:tbl>
              <w:tblPr>
                <w:tblStyle w:val="109"/>
                <w:tblW w:w="4947" w:type="pct"/>
                <w:tblInd w:w="93" w:type="dxa"/>
                <w:tblLayout w:type="autofit"/>
                <w:tblCellMar>
                  <w:top w:w="0" w:type="dxa"/>
                  <w:left w:w="108" w:type="dxa"/>
                  <w:bottom w:w="0" w:type="dxa"/>
                  <w:right w:w="108" w:type="dxa"/>
                </w:tblCellMar>
              </w:tblPr>
              <w:tblGrid>
                <w:gridCol w:w="5133"/>
                <w:gridCol w:w="3820"/>
              </w:tblGrid>
              <w:tr>
                <w:tblPrEx>
                  <w:tblCellMar>
                    <w:top w:w="0" w:type="dxa"/>
                    <w:left w:w="108" w:type="dxa"/>
                    <w:bottom w:w="0" w:type="dxa"/>
                    <w:right w:w="108" w:type="dxa"/>
                  </w:tblCellMar>
                </w:tblPrEx>
                <w:trPr>
                  <w:trHeight w:val="270" w:hRule="atLeast"/>
                </w:trPr>
                <w:tc>
                  <w:tcPr>
                    <w:tcW w:w="5005" w:type="dxa"/>
                    <w:tcBorders>
                      <w:top w:val="single" w:color="auto" w:sz="4" w:space="0"/>
                      <w:left w:val="single" w:color="auto" w:sz="4" w:space="0"/>
                      <w:bottom w:val="single" w:color="auto" w:sz="4" w:space="0"/>
                      <w:right w:val="single" w:color="auto" w:sz="4" w:space="0"/>
                    </w:tcBorders>
                    <w:noWrap/>
                    <w:vAlign w:val="bottom"/>
                  </w:tcPr>
                  <w:p>
                    <w:pPr>
                      <w:ind w:firstLine="738" w:firstLineChars="350"/>
                      <w:rPr>
                        <w:rFonts w:ascii="Calibri" w:hAnsi="Calibri" w:eastAsia="宋体" w:cs="Times New Roman"/>
                        <w:b/>
                        <w:bCs w:val="0"/>
                        <w:color w:val="000000"/>
                        <w:sz w:val="21"/>
                        <w:szCs w:val="21"/>
                      </w:rPr>
                    </w:pPr>
                    <w:r>
                      <w:rPr>
                        <w:rFonts w:hint="eastAsia" w:ascii="宋体" w:hAnsi="宋体" w:eastAsia="宋体" w:cs="宋体"/>
                        <w:b/>
                        <w:bCs w:val="0"/>
                        <w:color w:val="000000"/>
                        <w:sz w:val="21"/>
                        <w:szCs w:val="21"/>
                      </w:rPr>
                      <w:t>投资项目名称</w:t>
                    </w:r>
                  </w:p>
                </w:tc>
                <w:tc>
                  <w:tcPr>
                    <w:tcW w:w="3725" w:type="dxa"/>
                    <w:tcBorders>
                      <w:top w:val="single" w:color="auto" w:sz="4" w:space="0"/>
                      <w:left w:val="nil"/>
                      <w:bottom w:val="single" w:color="auto" w:sz="4" w:space="0"/>
                      <w:right w:val="single" w:color="auto" w:sz="4" w:space="0"/>
                    </w:tcBorders>
                    <w:noWrap/>
                    <w:vAlign w:val="bottom"/>
                  </w:tcPr>
                  <w:p>
                    <w:pPr>
                      <w:rPr>
                        <w:rFonts w:ascii="Calibri" w:hAnsi="Calibri" w:eastAsia="宋体" w:cs="Times New Roman"/>
                        <w:bCs w:val="0"/>
                        <w:color w:val="000000"/>
                        <w:sz w:val="21"/>
                        <w:szCs w:val="21"/>
                      </w:rPr>
                    </w:pPr>
                    <w:r>
                      <w:rPr>
                        <w:rFonts w:hint="eastAsia" w:ascii="宋体" w:hAnsi="宋体" w:eastAsia="宋体" w:cs="宋体"/>
                        <w:bCs w:val="0"/>
                        <w:color w:val="000000"/>
                        <w:sz w:val="21"/>
                        <w:szCs w:val="21"/>
                      </w:rPr>
                      <w:t>　</w:t>
                    </w:r>
                    <w:r>
                      <w:rPr>
                        <w:rFonts w:hint="eastAsia" w:ascii="Calibri" w:hAnsi="Calibri" w:eastAsia="Times New Roman" w:cs="Times New Roman"/>
                        <w:bCs w:val="0"/>
                        <w:color w:val="000000"/>
                        <w:sz w:val="21"/>
                        <w:szCs w:val="21"/>
                      </w:rPr>
                      <w:t xml:space="preserve"> </w:t>
                    </w:r>
                    <w:r>
                      <w:rPr>
                        <w:rFonts w:ascii="Calibri" w:hAnsi="Calibri" w:eastAsia="Times New Roman" w:cs="Calibri"/>
                        <w:bCs w:val="0"/>
                        <w:color w:val="000000"/>
                        <w:sz w:val="21"/>
                        <w:szCs w:val="21"/>
                      </w:rPr>
                      <w:t xml:space="preserve">     </w:t>
                    </w:r>
                    <w:r>
                      <w:rPr>
                        <w:rFonts w:hint="eastAsia" w:ascii="宋体" w:hAnsi="宋体" w:eastAsia="宋体" w:cs="宋体"/>
                        <w:b/>
                        <w:bCs/>
                        <w:color w:val="000000"/>
                        <w:sz w:val="21"/>
                        <w:szCs w:val="21"/>
                      </w:rPr>
                      <w:t>金额（人民币元）</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bottom"/>
                  </w:tcPr>
                  <w:p>
                    <w:pPr>
                      <w:rPr>
                        <w:rFonts w:ascii="Calibri" w:hAnsi="Calibri" w:eastAsia="宋体" w:cs="Times New Roman"/>
                        <w:bCs w:val="0"/>
                        <w:sz w:val="21"/>
                        <w:szCs w:val="21"/>
                      </w:rPr>
                    </w:pPr>
                    <w:r>
                      <w:rPr>
                        <w:rFonts w:hint="eastAsia" w:ascii="宋体" w:hAnsi="宋体" w:eastAsia="宋体" w:cs="宋体"/>
                        <w:bCs w:val="0"/>
                        <w:sz w:val="21"/>
                        <w:szCs w:val="21"/>
                      </w:rPr>
                      <w:t>龙潭大桥及北接线项目</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cs="Times New Roman" w:asciiTheme="minorEastAsia" w:hAnsiTheme="minorEastAsia" w:eastAsiaTheme="minorEastAsia"/>
                        <w:bCs w:val="0"/>
                        <w:sz w:val="21"/>
                        <w:szCs w:val="21"/>
                      </w:rPr>
                      <w:t>745,854,596.29</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bottom"/>
                  </w:tcPr>
                  <w:p>
                    <w:pPr>
                      <w:rPr>
                        <w:rFonts w:ascii="Calibri" w:hAnsi="Calibri" w:eastAsia="宋体" w:cs="Times New Roman"/>
                        <w:bCs w:val="0"/>
                        <w:sz w:val="21"/>
                        <w:szCs w:val="21"/>
                      </w:rPr>
                    </w:pPr>
                    <w:r>
                      <w:rPr>
                        <w:rFonts w:hint="eastAsia" w:ascii="宋体" w:hAnsi="宋体" w:eastAsia="宋体" w:cs="宋体"/>
                        <w:bCs w:val="0"/>
                        <w:sz w:val="21"/>
                        <w:szCs w:val="21"/>
                      </w:rPr>
                      <w:t>锡宜高速南段扩建项目</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cs="Times New Roman" w:asciiTheme="minorEastAsia" w:hAnsiTheme="minorEastAsia" w:eastAsiaTheme="minorEastAsia"/>
                        <w:bCs w:val="0"/>
                        <w:sz w:val="21"/>
                        <w:szCs w:val="21"/>
                      </w:rPr>
                      <w:t>257,987,569.44</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投资苏交控清能宿迁有限公司（注）</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100,000.00</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投资苏交控清能江苏有限公司（注）</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cs="Times New Roman" w:asciiTheme="minorEastAsia" w:hAnsiTheme="minorEastAsia" w:eastAsiaTheme="minorEastAsia"/>
                        <w:bCs w:val="0"/>
                        <w:sz w:val="21"/>
                        <w:szCs w:val="21"/>
                      </w:rPr>
                      <w:t>22,117,000.00</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投资常州金坛禾一新能源科技有限公司（注）</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1,904,000.00</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服务区与收费站改扩建</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val="0"/>
                        <w:sz w:val="21"/>
                        <w:szCs w:val="21"/>
                      </w:rPr>
                      <w:t>2,409,419.83</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三大系统及信息化建设项目</w:t>
                    </w:r>
                  </w:p>
                </w:tc>
                <w:tc>
                  <w:tcPr>
                    <w:tcW w:w="3725"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val="0"/>
                        <w:sz w:val="21"/>
                        <w:szCs w:val="21"/>
                      </w:rPr>
                      <w:t>2,747,001.78</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光伏发电项目</w:t>
                    </w:r>
                  </w:p>
                </w:tc>
                <w:tc>
                  <w:tcPr>
                    <w:tcW w:w="3725"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val="0"/>
                        <w:sz w:val="21"/>
                        <w:szCs w:val="21"/>
                      </w:rPr>
                      <w:t>23,631,650.63</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center"/>
                  </w:tcPr>
                  <w:p>
                    <w:pPr>
                      <w:rPr>
                        <w:rFonts w:ascii="Calibri" w:hAnsi="Calibri" w:eastAsia="宋体" w:cs="Times New Roman"/>
                        <w:bCs w:val="0"/>
                        <w:sz w:val="21"/>
                        <w:szCs w:val="21"/>
                      </w:rPr>
                    </w:pPr>
                    <w:r>
                      <w:rPr>
                        <w:rFonts w:hint="eastAsia" w:ascii="宋体" w:hAnsi="宋体" w:eastAsia="宋体" w:cs="宋体"/>
                        <w:bCs w:val="0"/>
                        <w:sz w:val="21"/>
                        <w:szCs w:val="21"/>
                      </w:rPr>
                      <w:t>集团其他资本支出</w:t>
                    </w:r>
                  </w:p>
                </w:tc>
                <w:tc>
                  <w:tcPr>
                    <w:tcW w:w="3725"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Calibri" w:asciiTheme="minorEastAsia" w:hAnsiTheme="minorEastAsia" w:eastAsiaTheme="minorEastAsia"/>
                        <w:bCs w:val="0"/>
                        <w:sz w:val="21"/>
                        <w:szCs w:val="21"/>
                      </w:rPr>
                      <w:t>65,516,704.95</w:t>
                    </w:r>
                  </w:p>
                </w:tc>
              </w:tr>
              <w:tr>
                <w:tblPrEx>
                  <w:tblCellMar>
                    <w:top w:w="0" w:type="dxa"/>
                    <w:left w:w="108" w:type="dxa"/>
                    <w:bottom w:w="0" w:type="dxa"/>
                    <w:right w:w="108" w:type="dxa"/>
                  </w:tblCellMar>
                </w:tblPrEx>
                <w:trPr>
                  <w:trHeight w:val="270" w:hRule="atLeast"/>
                </w:trPr>
                <w:tc>
                  <w:tcPr>
                    <w:tcW w:w="5005" w:type="dxa"/>
                    <w:tcBorders>
                      <w:top w:val="nil"/>
                      <w:left w:val="single" w:color="auto" w:sz="4" w:space="0"/>
                      <w:bottom w:val="single" w:color="auto" w:sz="4" w:space="0"/>
                      <w:right w:val="single" w:color="auto" w:sz="4" w:space="0"/>
                    </w:tcBorders>
                    <w:noWrap/>
                    <w:vAlign w:val="bottom"/>
                  </w:tcPr>
                  <w:p>
                    <w:pPr>
                      <w:ind w:firstLine="738" w:firstLineChars="350"/>
                      <w:rPr>
                        <w:rFonts w:ascii="Calibri" w:hAnsi="Calibri" w:eastAsia="宋体" w:cs="Times New Roman"/>
                        <w:b/>
                        <w:bCs w:val="0"/>
                        <w:color w:val="000000"/>
                        <w:sz w:val="21"/>
                        <w:szCs w:val="21"/>
                      </w:rPr>
                    </w:pPr>
                    <w:r>
                      <w:rPr>
                        <w:rFonts w:hint="eastAsia" w:ascii="宋体" w:hAnsi="宋体" w:eastAsia="宋体" w:cs="宋体"/>
                        <w:b/>
                        <w:bCs/>
                        <w:color w:val="000000"/>
                        <w:sz w:val="21"/>
                        <w:szCs w:val="21"/>
                      </w:rPr>
                      <w:t>合计</w:t>
                    </w:r>
                  </w:p>
                </w:tc>
                <w:tc>
                  <w:tcPr>
                    <w:tcW w:w="3725" w:type="dxa"/>
                    <w:tcBorders>
                      <w:top w:val="nil"/>
                      <w:left w:val="nil"/>
                      <w:bottom w:val="single" w:color="auto" w:sz="4" w:space="0"/>
                      <w:right w:val="single" w:color="auto" w:sz="4" w:space="0"/>
                    </w:tcBorders>
                    <w:noWrap/>
                    <w:vAlign w:val="bottom"/>
                  </w:tcPr>
                  <w:p>
                    <w:pPr>
                      <w:jc w:val="right"/>
                      <w:rPr>
                        <w:rFonts w:cs="Times New Roman" w:asciiTheme="minorEastAsia" w:hAnsiTheme="minorEastAsia" w:eastAsiaTheme="minorEastAsia"/>
                        <w:b/>
                        <w:bCs w:val="0"/>
                        <w:color w:val="000000"/>
                        <w:sz w:val="21"/>
                        <w:szCs w:val="21"/>
                      </w:rPr>
                    </w:pPr>
                    <w:r>
                      <w:rPr>
                        <w:rFonts w:cs="Times New Roman" w:asciiTheme="minorEastAsia" w:hAnsiTheme="minorEastAsia" w:eastAsiaTheme="minorEastAsia"/>
                        <w:bCs w:val="0"/>
                        <w:color w:val="000000"/>
                        <w:sz w:val="21"/>
                        <w:szCs w:val="21"/>
                      </w:rPr>
                      <w:t>1,</w:t>
                    </w:r>
                    <w:r>
                      <w:rPr>
                        <w:rFonts w:hint="eastAsia" w:cs="Times New Roman" w:asciiTheme="minorEastAsia" w:hAnsiTheme="minorEastAsia" w:eastAsiaTheme="minorEastAsia"/>
                        <w:bCs w:val="0"/>
                        <w:color w:val="000000"/>
                        <w:sz w:val="21"/>
                        <w:szCs w:val="21"/>
                      </w:rPr>
                      <w:t>122,267,942.92</w:t>
                    </w:r>
                  </w:p>
                </w:tc>
              </w:tr>
            </w:tbl>
            <w:p>
              <w:pPr>
                <w:ind w:firstLine="90" w:firstLineChars="50"/>
                <w:rPr>
                  <w:sz w:val="18"/>
                  <w:szCs w:val="18"/>
                </w:rPr>
              </w:pPr>
              <w:r>
                <w:rPr>
                  <w:rFonts w:hint="eastAsia"/>
                  <w:sz w:val="18"/>
                  <w:szCs w:val="18"/>
                </w:rPr>
                <w:t>注：此三项为本公司对子公司的资本金投资。</w:t>
              </w:r>
            </w:p>
            <w:p>
              <w:pPr>
                <w:ind w:firstLine="420" w:firstLineChars="200"/>
                <w:jc w:val="both"/>
                <w:rPr>
                  <w:rFonts w:cs="Times New Roman"/>
                </w:rPr>
              </w:pPr>
              <w:r>
                <w:rPr>
                  <w:rFonts w:hint="eastAsia" w:cs="Times New Roman"/>
                </w:rPr>
                <w:t>（2）资本结构及偿债能力</w:t>
              </w:r>
            </w:p>
            <w:p>
              <w:pPr>
                <w:ind w:firstLine="420" w:firstLineChars="200"/>
                <w:jc w:val="both"/>
                <w:rPr>
                  <w:rFonts w:cs="Times New Roman"/>
                </w:rPr>
              </w:pPr>
              <w:r>
                <w:rPr>
                  <w:rFonts w:hint="eastAsia" w:cs="Times New Roman"/>
                </w:rPr>
                <w:t>集团注重维持合理的资本结构和不断提升盈利能力，以保持集团良好的信用评级和稳健的财务状况。报告期末负债总额约人民币41,263,508千元，本集团总资产负债率约为51.72%，较上期期末增加约0.09个百分点。基于集团稳定和充沛的经营现金流以及良好的融资及资金管理能力，管理层认为报告期末财务杠杆比率处于安全的水平。</w:t>
              </w:r>
            </w:p>
            <w:p>
              <w:pPr>
                <w:ind w:firstLine="420" w:firstLineChars="200"/>
                <w:jc w:val="both"/>
                <w:rPr>
                  <w:rFonts w:cs="Times New Roman"/>
                </w:rPr>
              </w:pPr>
              <w:r>
                <w:rPr>
                  <w:rFonts w:hint="eastAsia" w:cs="Times New Roman"/>
                </w:rPr>
                <w:t>（3）财务策略及融资安排</w:t>
              </w:r>
            </w:p>
            <w:p>
              <w:pPr>
                <w:ind w:firstLine="420" w:firstLineChars="200"/>
                <w:jc w:val="both"/>
                <w:rPr>
                  <w:rFonts w:cs="Times New Roman"/>
                </w:rPr>
              </w:pPr>
              <w:r>
                <w:rPr>
                  <w:rFonts w:hint="eastAsia" w:cs="Times New Roman"/>
                </w:rPr>
                <w:t>报告期内，集团积极拓宽融资渠道，调整债务结构，降低融资成本，通过积极的融资策略满足了运营管理和项目投资的资金需求并有效控制了融资成本。本集团借款需求不存在季节性影响。</w:t>
              </w:r>
              <w:r>
                <w:rPr>
                  <w:rFonts w:hint="eastAsia"/>
                </w:rPr>
                <w:t>本报告期新增直接融资金额为人民币9,424,000.00千元。于2023年6月30日，本集团的借款金额为人民币19,786,155.99千元，其中5,334,923.03千元为固定利率借款。截至报告期末有息债务本金余额约人民币34,112,331.05千元，较期初减少约人民币1,314,326.43千元，其中短期有息债务占比约18.39%，长期有息债务占比约81.61%，集团有息债务综合借贷成本约为3.26％，同比降低约0.32个百分点，低于当期贷款市场报价利率（LPR）约0.78个百分点</w:t>
              </w:r>
              <w:r>
                <w:rPr>
                  <w:rFonts w:hint="eastAsia" w:cs="Times New Roman"/>
                </w:rPr>
                <w:t>（以上金额未包含利息）。报告期主要的融资活动的信息见第九节债券相关情况内的表述。</w:t>
              </w:r>
            </w:p>
            <w:p>
              <w:pPr>
                <w:ind w:firstLine="420" w:firstLineChars="200"/>
                <w:jc w:val="both"/>
                <w:rPr>
                  <w:rFonts w:cs="Times New Roman"/>
                </w:rPr>
              </w:pPr>
              <w:r>
                <w:rPr>
                  <w:rFonts w:hint="eastAsia" w:cs="Times New Roman"/>
                </w:rPr>
                <w:t>（4）信用政策</w:t>
              </w:r>
            </w:p>
            <w:p>
              <w:pPr>
                <w:ind w:firstLine="420" w:firstLineChars="200"/>
                <w:jc w:val="both"/>
                <w:rPr>
                  <w:rFonts w:cs="Times New Roman"/>
                </w:rPr>
              </w:pPr>
              <w:r>
                <w:rPr>
                  <w:rFonts w:hint="eastAsia" w:cs="Times New Roman"/>
                </w:rPr>
                <w:t>为降低信用风险，本集团控制信用额度、进行信用审批，并执行其他监控程序以确保采取必要的措施回收到期债权。此外，本集团于每个资产负债表日根据应收款项的回收情况，计提充分的信用减值准备。因此，管理层认为所承担的信用风险较低。</w:t>
              </w:r>
            </w:p>
            <w:p>
              <w:pPr>
                <w:ind w:firstLine="420" w:firstLineChars="200"/>
                <w:jc w:val="both"/>
                <w:rPr>
                  <w:rFonts w:cs="Times New Roman"/>
                </w:rPr>
              </w:pPr>
              <w:r>
                <w:rPr>
                  <w:rFonts w:hint="eastAsia" w:cs="Times New Roman"/>
                </w:rPr>
                <w:t>（5）或有事项</w:t>
              </w:r>
            </w:p>
            <w:p>
              <w:pPr>
                <w:ind w:firstLine="420" w:firstLineChars="200"/>
                <w:jc w:val="both"/>
                <w:rPr>
                  <w:rFonts w:cs="Times New Roman"/>
                </w:rPr>
              </w:pPr>
              <w:r>
                <w:rPr>
                  <w:rFonts w:hint="eastAsia" w:cs="Times New Roman"/>
                </w:rPr>
                <w:t>本集团子公司宁沪置业公司和瀚威公司按房地产经营惯例为商品房承购人按揭贷款提供连带责任的保证担保，担保责任自保证合同生效之日起，至商品房承购人所购住房的房地产抵押登记手续完成并将房屋他项权证交银行执收之日止。截至2023年6月30日，尚未结清的担保金额约为人民币181,504千元。</w:t>
              </w:r>
            </w:p>
            <w:p>
              <w:pPr>
                <w:ind w:firstLine="420" w:firstLineChars="200"/>
                <w:jc w:val="both"/>
                <w:rPr>
                  <w:rFonts w:cs="Times New Roman"/>
                </w:rPr>
              </w:pPr>
              <w:r>
                <w:rPr>
                  <w:rFonts w:hint="eastAsia" w:cs="Times New Roman"/>
                </w:rPr>
                <w:t>（6）外汇风险</w:t>
              </w:r>
            </w:p>
            <w:p>
              <w:pPr>
                <w:ind w:firstLine="420" w:firstLineChars="200"/>
                <w:jc w:val="both"/>
              </w:pPr>
              <w:r>
                <w:rPr>
                  <w:rFonts w:hint="eastAsia" w:cs="Times New Roman"/>
                </w:rPr>
                <w:t>本集团目前主要经营业务均在中国，除了H股股息支付外，本集团的经营收入和主要资本支出以人民币结算，没有外币投资，不存在重大外汇风险。本集团于1998年获得9,800千美元西班牙政府贷款，年息为2%，逐年还本付息，于2027年7月18日到期。截至2023年6月30日，该贷款余额折合人民币约为9,846千元，本集团并未就此作出任何外汇对冲安排，汇率波动对集团业绩无重大影响。</w:t>
              </w:r>
            </w:p>
          </w:sdtContent>
        </w:sdt>
      </w:sdtContent>
    </w:sdt>
    <w:p>
      <w:pPr>
        <w:pStyle w:val="114"/>
      </w:pPr>
    </w:p>
    <w:p>
      <w:pPr>
        <w:pStyle w:val="4"/>
        <w:numPr>
          <w:ilvl w:val="0"/>
          <w:numId w:val="7"/>
        </w:numPr>
        <w:rPr>
          <w:rFonts w:ascii="宋体" w:hAnsi="宋体"/>
        </w:rPr>
      </w:pPr>
      <w:r>
        <w:rPr>
          <w:rFonts w:hint="eastAsia" w:ascii="宋体" w:hAnsi="宋体"/>
        </w:rPr>
        <w:t>投资状况分析</w:t>
      </w:r>
    </w:p>
    <w:sdt>
      <w:sdtPr>
        <w:rPr>
          <w:rFonts w:ascii="宋体" w:hAnsi="宋体" w:cs="宋体"/>
          <w:b w:val="0"/>
          <w:bCs w:val="0"/>
          <w:kern w:val="0"/>
          <w:szCs w:val="24"/>
        </w:rPr>
        <w:alias w:val="模块:对外股权投资总体分析"/>
        <w:tag w:val="_SEC_e7a08c655c9844a8b5127e2ae800064c"/>
        <w:id w:val="1853604920"/>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1"/>
            </w:numPr>
            <w:rPr>
              <w:rFonts w:ascii="宋体" w:hAnsi="宋体"/>
            </w:rPr>
          </w:pPr>
          <w:r>
            <w:rPr>
              <w:rFonts w:ascii="宋体" w:hAnsi="宋体"/>
            </w:rPr>
            <w:t>对外股权投资总体分析</w:t>
          </w:r>
        </w:p>
        <w:p>
          <w:pPr>
            <w:pStyle w:val="114"/>
          </w:pPr>
          <w:sdt>
            <w:sdtPr>
              <w:alias w:val="是否适用：对外股权投资总体分析[双击切换]"/>
              <w:tag w:val="_GBC_d1852fb41d2a420f9f1d78c35235341a"/>
              <w:id w:val="-1894190168"/>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alias w:val="对外股权投资总体分析"/>
            <w:tag w:val="_GBC_cef6637b11fc44ed960eb269931b50e8"/>
            <w:id w:val="-238789628"/>
            <w:lock w:val="sdtLocked"/>
            <w:placeholder>
              <w:docPart w:val="GBC22222222222222222222222222222"/>
            </w:placeholder>
          </w:sdtPr>
          <w:sdtContent>
            <w:p>
              <w:pPr>
                <w:ind w:firstLine="420" w:firstLineChars="200"/>
              </w:pPr>
              <w:r>
                <w:rPr>
                  <w:rFonts w:hint="eastAsia"/>
                </w:rPr>
                <w:t>报告期内，本集团未发生重大的股权投资。重大的非股权投资主要是路桥项目建设，以公允价值计量的金融资产具体情况如下</w:t>
              </w:r>
              <w:r>
                <w:t>：</w:t>
              </w:r>
            </w:p>
          </w:sdtContent>
        </w:sdt>
        <w:p>
          <w:pPr>
            <w:pStyle w:val="114"/>
          </w:pPr>
        </w:p>
      </w:sdtContent>
    </w:sdt>
    <w:p>
      <w:pPr>
        <w:sectPr>
          <w:pgSz w:w="11906" w:h="16838"/>
          <w:pgMar w:top="1525" w:right="1276" w:bottom="1440" w:left="1797" w:header="851" w:footer="992" w:gutter="0"/>
          <w:cols w:space="425" w:num="1"/>
          <w:docGrid w:type="lines" w:linePitch="312" w:charSpace="0"/>
        </w:sectPr>
      </w:pPr>
    </w:p>
    <w:sdt>
      <w:sdtPr>
        <w:rPr>
          <w:rFonts w:hint="eastAsia" w:ascii="宋体" w:hAnsi="宋体" w:cs="宋体"/>
          <w:b w:val="0"/>
          <w:bCs w:val="0"/>
          <w:kern w:val="0"/>
          <w:szCs w:val="21"/>
        </w:rPr>
        <w:alias w:val="模块:重大的股权投资"/>
        <w:tag w:val="_SEC_6dcee2c665d94c8b941605cedc06f568"/>
        <w:id w:val="513740852"/>
        <w:lock w:val="sdtLocked"/>
        <w:placeholder>
          <w:docPart w:val="GBC22222222222222222222222222222"/>
        </w:placeholder>
      </w:sdtPr>
      <w:sdtEndPr>
        <w:rPr>
          <w:rFonts w:hint="eastAsia" w:ascii="宋体" w:hAnsi="宋体" w:cs="宋体"/>
          <w:b w:val="0"/>
          <w:bCs w:val="0"/>
          <w:kern w:val="0"/>
          <w:szCs w:val="21"/>
        </w:rPr>
      </w:sdtEndPr>
      <w:sdtContent>
        <w:p>
          <w:pPr>
            <w:pStyle w:val="6"/>
            <w:numPr>
              <w:ilvl w:val="0"/>
              <w:numId w:val="12"/>
            </w:numPr>
            <w:tabs>
              <w:tab w:val="left" w:pos="360"/>
            </w:tabs>
            <w:ind w:left="0" w:firstLine="0"/>
            <w:rPr>
              <w:szCs w:val="21"/>
            </w:rPr>
          </w:pPr>
          <w:bookmarkStart w:id="42" w:name="_Hlk137045665"/>
          <w:r>
            <w:rPr>
              <w:rFonts w:hint="eastAsia"/>
              <w:szCs w:val="21"/>
            </w:rPr>
            <w:t>重大的股权投资</w:t>
          </w:r>
        </w:p>
        <w:sdt>
          <w:sdtPr>
            <w:rPr>
              <w:rFonts w:hint="eastAsia"/>
            </w:rPr>
            <w:alias w:val="是否适用：重大的股权投资[双击切换]"/>
            <w:tag w:val="_GBC_9d4d997d9f994cccbb938afa207cfaf2"/>
            <w:id w:val="17299572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2"/>
    <w:p>
      <w:pPr>
        <w:pStyle w:val="114"/>
      </w:pPr>
    </w:p>
    <w:sdt>
      <w:sdtPr>
        <w:rPr>
          <w:rFonts w:hint="eastAsia" w:ascii="宋体" w:hAnsi="宋体" w:cs="宋体"/>
          <w:b w:val="0"/>
          <w:bCs w:val="0"/>
          <w:kern w:val="0"/>
          <w:szCs w:val="21"/>
        </w:rPr>
        <w:alias w:val="模块:重大的非股权投资"/>
        <w:tag w:val="_SEC_ac9932f6d2bb4e35b86dbcc496bca6c4"/>
        <w:id w:val="1961839510"/>
        <w:lock w:val="sdtLocked"/>
        <w:placeholder>
          <w:docPart w:val="GBC22222222222222222222222222222"/>
        </w:placeholder>
      </w:sdtPr>
      <w:sdtEndPr>
        <w:rPr>
          <w:rFonts w:hint="eastAsia" w:ascii="Calibri" w:hAnsi="Calibri" w:cs="Calibri"/>
          <w:b w:val="0"/>
          <w:bCs/>
          <w:kern w:val="2"/>
          <w:szCs w:val="21"/>
        </w:rPr>
      </w:sdtEndPr>
      <w:sdtContent>
        <w:p>
          <w:pPr>
            <w:pStyle w:val="6"/>
            <w:numPr>
              <w:ilvl w:val="0"/>
              <w:numId w:val="12"/>
            </w:numPr>
            <w:tabs>
              <w:tab w:val="left" w:pos="360"/>
            </w:tabs>
            <w:ind w:left="0" w:firstLine="0"/>
            <w:rPr>
              <w:rFonts w:ascii="宋体" w:hAnsi="宋体"/>
              <w:szCs w:val="21"/>
            </w:rPr>
          </w:pPr>
          <w:r>
            <w:rPr>
              <w:rFonts w:hint="eastAsia" w:ascii="宋体" w:hAnsi="宋体"/>
              <w:szCs w:val="21"/>
            </w:rPr>
            <w:t>重大的非股权</w:t>
          </w:r>
          <w:r>
            <w:rPr>
              <w:rFonts w:hint="eastAsia" w:ascii="宋体" w:hAnsi="宋体" w:cs="宋体"/>
              <w:kern w:val="0"/>
              <w:szCs w:val="21"/>
            </w:rPr>
            <w:t>投资</w:t>
          </w:r>
        </w:p>
        <w:sdt>
          <w:sdtPr>
            <w:rPr>
              <w:rFonts w:hint="eastAsia"/>
            </w:rPr>
            <w:alias w:val="是否适用：重大的非股权投资[双击切换]"/>
            <w:tag w:val="_GBC_ea7fdcb7583549f38c0db41e73af0a8b"/>
            <w:id w:val="-16456322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重大的非股权投资情况"/>
            <w:tag w:val="_GBC_d28e129cc391444a84f9be6de7f0cfa8"/>
            <w:id w:val="1854300522"/>
            <w:lock w:val="sdtLocked"/>
            <w:placeholder>
              <w:docPart w:val="GBC22222222222222222222222222222"/>
            </w:placeholder>
          </w:sdtPr>
          <w:sdtEndPr>
            <w:rPr>
              <w:rFonts w:hint="eastAsia"/>
            </w:rPr>
          </w:sdtEndPr>
          <w:sdtContent>
            <w:p>
              <w:pPr>
                <w:pStyle w:val="110"/>
                <w:ind w:firstLine="420" w:firstLineChars="200"/>
                <w:rPr>
                  <w:rFonts w:ascii="宋体" w:hAnsi="宋体"/>
                </w:rPr>
              </w:pPr>
              <w:r>
                <w:rPr>
                  <w:rFonts w:hint="eastAsia" w:ascii="宋体" w:hAnsi="宋体"/>
                  <w:b/>
                </w:rPr>
                <w:t>路桥项目建设投资。</w:t>
              </w:r>
              <w:r>
                <w:rPr>
                  <w:rFonts w:hint="eastAsia" w:ascii="宋体" w:hAnsi="宋体"/>
                </w:rPr>
                <w:t>报告期内，集团继续高效、有序推进在建路桥项目建设。2023年上半年，龙潭大桥项目投资建设资金约人民币3.51亿元，累计投入建设资金约人民币34.87亿元，占项目总投资的55.76%。龙潭大桥北接线项目投资建设资金约人民币3.94亿元，累计投入建设资金约人民币20.4亿元，占项目总投资的29.21%。锡宜高速公路南段扩建项目本报告期内投资建设资金约人民币</w:t>
              </w:r>
              <w:r>
                <w:rPr>
                  <w:rFonts w:ascii="宋体" w:hAnsi="宋体"/>
                </w:rPr>
                <w:t>2.58亿元，累计投入建设资金约人民币8.75亿元，占项目总投资的 11.28%。</w:t>
              </w:r>
            </w:p>
          </w:sdtContent>
        </w:sdt>
      </w:sdtContent>
    </w:sdt>
    <w:p>
      <w:pPr>
        <w:pStyle w:val="114"/>
      </w:pPr>
    </w:p>
    <w:sdt>
      <w:sdtPr>
        <w:rPr>
          <w:rFonts w:hint="eastAsia" w:ascii="宋体" w:hAnsi="宋体" w:cs="宋体"/>
          <w:b w:val="0"/>
          <w:bCs w:val="0"/>
          <w:kern w:val="0"/>
          <w:szCs w:val="21"/>
        </w:rPr>
        <w:alias w:val="模块:以公允价值计量的金融资产"/>
        <w:tag w:val="_SEC_5ac920b545894503a0b852b58774a2f1"/>
        <w:id w:val="798965795"/>
        <w:lock w:val="sdtLocked"/>
        <w:placeholder>
          <w:docPart w:val="GBC22222222222222222222222222222"/>
        </w:placeholder>
      </w:sdtPr>
      <w:sdtEndPr>
        <w:rPr>
          <w:rFonts w:hint="eastAsia" w:ascii="宋体" w:hAnsi="宋体" w:cs="宋体"/>
          <w:b w:val="0"/>
          <w:bCs w:val="0"/>
          <w:kern w:val="0"/>
          <w:szCs w:val="21"/>
        </w:rPr>
      </w:sdtEndPr>
      <w:sdtContent>
        <w:p>
          <w:pPr>
            <w:pStyle w:val="6"/>
            <w:numPr>
              <w:ilvl w:val="0"/>
              <w:numId w:val="12"/>
            </w:numPr>
            <w:tabs>
              <w:tab w:val="left" w:pos="360"/>
            </w:tabs>
            <w:ind w:left="0" w:firstLine="0"/>
            <w:rPr>
              <w:rFonts w:ascii="宋体" w:hAnsi="宋体" w:cs="宋体"/>
              <w:kern w:val="0"/>
              <w:szCs w:val="21"/>
            </w:rPr>
          </w:pPr>
          <w:bookmarkStart w:id="43" w:name="_Hlk40532846"/>
          <w:bookmarkStart w:id="44" w:name="_Hlk137045755"/>
          <w:r>
            <w:rPr>
              <w:rFonts w:hint="eastAsia" w:ascii="宋体" w:hAnsi="宋体" w:cs="宋体"/>
              <w:kern w:val="0"/>
              <w:szCs w:val="21"/>
            </w:rPr>
            <w:t>以公允价值计量的金融资产</w:t>
          </w:r>
        </w:p>
        <w:sdt>
          <w:sdtPr>
            <w:rPr>
              <w:rFonts w:hint="eastAsia"/>
            </w:rPr>
            <w:alias w:val="是否适用：以公允价值计量的金融资产[双击切换]"/>
            <w:tag w:val="_GBC_541ff98e64424f46b08f9f3687c1ea7a"/>
            <w:id w:val="52907747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86"/>
            <w:wordWrap w:val="0"/>
            <w:ind w:left="360" w:firstLine="0" w:firstLineChars="0"/>
            <w:jc w:val="right"/>
          </w:pPr>
          <w:r>
            <w:rPr>
              <w:rFonts w:hint="eastAsia"/>
            </w:rPr>
            <w:t>单位：</w:t>
          </w:r>
          <w:sdt>
            <w:sdtPr>
              <w:rPr>
                <w:rFonts w:hint="eastAsia"/>
              </w:rPr>
              <w:alias w:val="单位：以公允价值计量的金融资产"/>
              <w:tag w:val="_GBC_1c2aaa623bd0423791ad9edf7fcfb564"/>
              <w:id w:val="-9265039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万元</w:t>
              </w:r>
            </w:sdtContent>
          </w:sdt>
          <w:r>
            <w:rPr>
              <w:rFonts w:hint="eastAsia"/>
            </w:rPr>
            <w:t xml:space="preserve">  币种：</w:t>
          </w:r>
          <w:sdt>
            <w:sdtPr>
              <w:rPr>
                <w:rFonts w:hint="eastAsia"/>
              </w:rPr>
              <w:alias w:val="币种：以公允价值计量的金融资产"/>
              <w:tag w:val="_GBC_7946a1d9804e4752a8d28bb04a1c1fe2"/>
              <w:id w:val="-106127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556"/>
            <w:gridCol w:w="1555"/>
            <w:gridCol w:w="1556"/>
            <w:gridCol w:w="1555"/>
            <w:gridCol w:w="1556"/>
            <w:gridCol w:w="1555"/>
            <w:gridCol w:w="1556"/>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cs="Times New Roman"/>
                </w:rPr>
                <w:tag w:val="_PLD_b4279fe84ffd49f892f0e4236d8485e0"/>
                <w:id w:val="-389809864"/>
                <w:lock w:val="sdtLocked"/>
              </w:sdtPr>
              <w:sdtEndPr>
                <w:rPr>
                  <w:rFonts w:hint="eastAsia" w:cs="Times New Roman"/>
                </w:rPr>
              </w:sdtEndPr>
              <w:sdtContent>
                <w:tc>
                  <w:tcPr>
                    <w:tcW w:w="1555" w:type="dxa"/>
                    <w:shd w:val="clear" w:color="auto" w:fill="auto"/>
                    <w:vAlign w:val="center"/>
                  </w:tcPr>
                  <w:p>
                    <w:pPr>
                      <w:jc w:val="center"/>
                    </w:pPr>
                    <w:r>
                      <w:rPr>
                        <w:rFonts w:hint="eastAsia" w:cs="Times New Roman"/>
                      </w:rPr>
                      <w:t>资产类别</w:t>
                    </w:r>
                  </w:p>
                </w:tc>
              </w:sdtContent>
            </w:sdt>
            <w:sdt>
              <w:sdtPr>
                <w:rPr>
                  <w:rFonts w:hint="eastAsia"/>
                </w:rPr>
                <w:tag w:val="_PLD_8c2e4dc1bb324e79bc03b22ad26f792e"/>
                <w:id w:val="1511717342"/>
                <w:lock w:val="sdtLocked"/>
              </w:sdtPr>
              <w:sdtEndPr>
                <w:rPr>
                  <w:rFonts w:hint="eastAsia"/>
                </w:rPr>
              </w:sdtEndPr>
              <w:sdtContent>
                <w:tc>
                  <w:tcPr>
                    <w:tcW w:w="1556" w:type="dxa"/>
                    <w:shd w:val="clear" w:color="auto" w:fill="auto"/>
                    <w:vAlign w:val="center"/>
                  </w:tcPr>
                  <w:p>
                    <w:pPr>
                      <w:jc w:val="center"/>
                    </w:pPr>
                    <w:r>
                      <w:rPr>
                        <w:rFonts w:hint="eastAsia"/>
                      </w:rPr>
                      <w:t>期初数</w:t>
                    </w:r>
                  </w:p>
                </w:tc>
              </w:sdtContent>
            </w:sdt>
            <w:sdt>
              <w:sdtPr>
                <w:rPr>
                  <w:rFonts w:hint="eastAsia"/>
                </w:rPr>
                <w:tag w:val="_PLD_7f931a153d8147eda6f368a9567bc298"/>
                <w:id w:val="377280050"/>
                <w:lock w:val="sdtLocked"/>
              </w:sdtPr>
              <w:sdtEndPr>
                <w:rPr>
                  <w:rFonts w:hint="eastAsia"/>
                </w:rPr>
              </w:sdtEndPr>
              <w:sdtContent>
                <w:tc>
                  <w:tcPr>
                    <w:tcW w:w="1555" w:type="dxa"/>
                    <w:shd w:val="clear" w:color="auto" w:fill="auto"/>
                    <w:vAlign w:val="center"/>
                  </w:tcPr>
                  <w:p>
                    <w:pPr>
                      <w:jc w:val="center"/>
                      <w:rPr>
                        <w:b/>
                      </w:rPr>
                    </w:pPr>
                    <w:r>
                      <w:rPr>
                        <w:rFonts w:hint="eastAsia"/>
                      </w:rPr>
                      <w:t>本期公允价值变动损益</w:t>
                    </w:r>
                  </w:p>
                </w:tc>
              </w:sdtContent>
            </w:sdt>
            <w:sdt>
              <w:sdtPr>
                <w:rPr>
                  <w:rFonts w:hint="eastAsia"/>
                </w:rPr>
                <w:tag w:val="_PLD_27da79c178c64f67a920ab85f142ffda"/>
                <w:id w:val="-1785646856"/>
                <w:lock w:val="sdtLocked"/>
              </w:sdtPr>
              <w:sdtEndPr>
                <w:rPr>
                  <w:rFonts w:hint="eastAsia"/>
                </w:rPr>
              </w:sdtEndPr>
              <w:sdtContent>
                <w:tc>
                  <w:tcPr>
                    <w:tcW w:w="1556" w:type="dxa"/>
                    <w:shd w:val="clear" w:color="auto" w:fill="auto"/>
                    <w:vAlign w:val="center"/>
                  </w:tcPr>
                  <w:p>
                    <w:pPr>
                      <w:jc w:val="center"/>
                    </w:pPr>
                    <w:r>
                      <w:rPr>
                        <w:rFonts w:hint="eastAsia"/>
                      </w:rPr>
                      <w:t>计入权益的累计公允价值变动</w:t>
                    </w:r>
                  </w:p>
                </w:tc>
              </w:sdtContent>
            </w:sdt>
            <w:sdt>
              <w:sdtPr>
                <w:rPr>
                  <w:rFonts w:hint="eastAsia"/>
                </w:rPr>
                <w:tag w:val="_PLD_0fad7d8c41374a0d890f4c32253b8649"/>
                <w:id w:val="-638650535"/>
                <w:lock w:val="sdtLocked"/>
              </w:sdtPr>
              <w:sdtEndPr>
                <w:rPr>
                  <w:rFonts w:hint="eastAsia"/>
                </w:rPr>
              </w:sdtEndPr>
              <w:sdtContent>
                <w:tc>
                  <w:tcPr>
                    <w:tcW w:w="1555" w:type="dxa"/>
                    <w:shd w:val="clear" w:color="auto" w:fill="auto"/>
                    <w:vAlign w:val="center"/>
                  </w:tcPr>
                  <w:p>
                    <w:pPr>
                      <w:jc w:val="center"/>
                    </w:pPr>
                    <w:r>
                      <w:rPr>
                        <w:rFonts w:hint="eastAsia"/>
                      </w:rPr>
                      <w:t>本期计提的减值</w:t>
                    </w:r>
                  </w:p>
                </w:tc>
              </w:sdtContent>
            </w:sdt>
            <w:sdt>
              <w:sdtPr>
                <w:rPr>
                  <w:rFonts w:hint="eastAsia"/>
                </w:rPr>
                <w:tag w:val="_PLD_8ff680d02d9d41dca633590f5d9750a8"/>
                <w:id w:val="2057971122"/>
                <w:lock w:val="sdtLocked"/>
              </w:sdtPr>
              <w:sdtEndPr>
                <w:rPr>
                  <w:rFonts w:hint="eastAsia"/>
                </w:rPr>
              </w:sdtEndPr>
              <w:sdtContent>
                <w:tc>
                  <w:tcPr>
                    <w:tcW w:w="1556" w:type="dxa"/>
                    <w:shd w:val="clear" w:color="auto" w:fill="auto"/>
                    <w:vAlign w:val="center"/>
                  </w:tcPr>
                  <w:p>
                    <w:pPr>
                      <w:jc w:val="center"/>
                    </w:pPr>
                    <w:r>
                      <w:rPr>
                        <w:rFonts w:hint="eastAsia"/>
                      </w:rPr>
                      <w:t>本期购买金额</w:t>
                    </w:r>
                  </w:p>
                </w:tc>
              </w:sdtContent>
            </w:sdt>
            <w:sdt>
              <w:sdtPr>
                <w:rPr>
                  <w:rFonts w:hint="eastAsia"/>
                </w:rPr>
                <w:tag w:val="_PLD_e83492f8af03443b91d02a1661f56291"/>
                <w:id w:val="1846441367"/>
                <w:lock w:val="sdtLocked"/>
              </w:sdtPr>
              <w:sdtEndPr>
                <w:rPr>
                  <w:rFonts w:hint="eastAsia"/>
                </w:rPr>
              </w:sdtEndPr>
              <w:sdtContent>
                <w:tc>
                  <w:tcPr>
                    <w:tcW w:w="1555" w:type="dxa"/>
                    <w:shd w:val="clear" w:color="auto" w:fill="auto"/>
                    <w:vAlign w:val="center"/>
                  </w:tcPr>
                  <w:p>
                    <w:pPr>
                      <w:jc w:val="center"/>
                    </w:pPr>
                    <w:r>
                      <w:rPr>
                        <w:rFonts w:hint="eastAsia"/>
                      </w:rPr>
                      <w:t>本期出售/赎回金额</w:t>
                    </w:r>
                  </w:p>
                </w:tc>
              </w:sdtContent>
            </w:sdt>
            <w:sdt>
              <w:sdtPr>
                <w:rPr>
                  <w:rFonts w:hint="eastAsia"/>
                </w:rPr>
                <w:tag w:val="_PLD_7aaffff291e240b5adc74b8ad3728c6e"/>
                <w:id w:val="2022426393"/>
                <w:lock w:val="sdtLocked"/>
              </w:sdtPr>
              <w:sdtEndPr>
                <w:rPr>
                  <w:rFonts w:hint="eastAsia"/>
                </w:rPr>
              </w:sdtEndPr>
              <w:sdtContent>
                <w:tc>
                  <w:tcPr>
                    <w:tcW w:w="1556" w:type="dxa"/>
                    <w:shd w:val="clear" w:color="auto" w:fill="auto"/>
                    <w:vAlign w:val="center"/>
                  </w:tcPr>
                  <w:p>
                    <w:pPr>
                      <w:jc w:val="center"/>
                    </w:pPr>
                    <w:r>
                      <w:rPr>
                        <w:rFonts w:hint="eastAsia"/>
                      </w:rPr>
                      <w:t>其他变动</w:t>
                    </w:r>
                  </w:p>
                </w:tc>
              </w:sdtContent>
            </w:sdt>
            <w:sdt>
              <w:sdtPr>
                <w:rPr>
                  <w:rFonts w:hint="eastAsia"/>
                </w:rPr>
                <w:tag w:val="_PLD_d765878830274571b732d6e366f7811e"/>
                <w:id w:val="2093971733"/>
                <w:lock w:val="sdtLocked"/>
              </w:sdtPr>
              <w:sdtEndPr>
                <w:rPr>
                  <w:rFonts w:hint="eastAsia"/>
                </w:rPr>
              </w:sdtEndPr>
              <w:sdtContent>
                <w:tc>
                  <w:tcPr>
                    <w:tcW w:w="1556" w:type="dxa"/>
                    <w:shd w:val="clear" w:color="auto" w:fill="auto"/>
                    <w:vAlign w:val="center"/>
                  </w:tcPr>
                  <w:p>
                    <w:pPr>
                      <w:jc w:val="center"/>
                    </w:pPr>
                    <w:r>
                      <w:rPr>
                        <w:rFonts w:hint="eastAsia"/>
                      </w:rPr>
                      <w:t>期末数</w:t>
                    </w:r>
                  </w:p>
                </w:tc>
              </w:sdtContent>
            </w:sdt>
          </w:tr>
          <w:sdt>
            <w:sdtPr>
              <w:alias w:val="以公允价值计量的金融资产情况明细"/>
              <w:tag w:val="_TUP_bddc57d12675431981133e30d13fa7a0"/>
              <w:id w:val="180457961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以公允价值计量的金融资产情况明细_资产类别"/>
                    <w:tag w:val="_GBC_c997e562cc4b41daad4593e89dd8a6f5"/>
                    <w:id w:val="-2111195088"/>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555" w:type="dxa"/>
                        <w:shd w:val="clear" w:color="auto" w:fill="auto"/>
                      </w:tcPr>
                      <w:p>
                        <w:pPr>
                          <w:pStyle w:val="114"/>
                        </w:pPr>
                        <w:r>
                          <w:t>私募基金</w:t>
                        </w:r>
                      </w:p>
                    </w:tc>
                  </w:sdtContent>
                </w:sdt>
                <w:tc>
                  <w:tcPr>
                    <w:tcW w:w="1556" w:type="dxa"/>
                    <w:shd w:val="clear" w:color="auto" w:fill="auto"/>
                  </w:tcPr>
                  <w:p>
                    <w:pPr>
                      <w:jc w:val="right"/>
                    </w:pPr>
                    <w:r>
                      <w:t>240,471.52</w:t>
                    </w:r>
                  </w:p>
                </w:tc>
                <w:tc>
                  <w:tcPr>
                    <w:tcW w:w="1555" w:type="dxa"/>
                    <w:shd w:val="clear" w:color="auto" w:fill="auto"/>
                  </w:tcPr>
                  <w:p>
                    <w:pPr>
                      <w:jc w:val="right"/>
                    </w:pPr>
                    <w:r>
                      <w:t>4,233.06</w:t>
                    </w:r>
                  </w:p>
                </w:tc>
                <w:tc>
                  <w:tcPr>
                    <w:tcW w:w="1556" w:type="dxa"/>
                    <w:shd w:val="clear" w:color="auto" w:fill="auto"/>
                  </w:tcPr>
                  <w:p>
                    <w:pPr>
                      <w:jc w:val="right"/>
                    </w:pPr>
                    <w:r>
                      <w:t>0.00</w:t>
                    </w:r>
                  </w:p>
                </w:tc>
                <w:tc>
                  <w:tcPr>
                    <w:tcW w:w="1555" w:type="dxa"/>
                    <w:shd w:val="clear" w:color="auto" w:fill="auto"/>
                  </w:tcPr>
                  <w:p>
                    <w:pPr>
                      <w:jc w:val="right"/>
                    </w:pPr>
                    <w:r>
                      <w:t>0.00</w:t>
                    </w:r>
                  </w:p>
                </w:tc>
                <w:tc>
                  <w:tcPr>
                    <w:tcW w:w="1556" w:type="dxa"/>
                    <w:shd w:val="clear" w:color="auto" w:fill="auto"/>
                  </w:tcPr>
                  <w:p>
                    <w:pPr>
                      <w:jc w:val="right"/>
                    </w:pPr>
                    <w:r>
                      <w:t>-</w:t>
                    </w:r>
                  </w:p>
                </w:tc>
                <w:tc>
                  <w:tcPr>
                    <w:tcW w:w="1555" w:type="dxa"/>
                    <w:shd w:val="clear" w:color="auto" w:fill="auto"/>
                  </w:tcPr>
                  <w:p>
                    <w:pPr>
                      <w:jc w:val="right"/>
                    </w:pPr>
                    <w:r>
                      <w:t>1,903.98</w:t>
                    </w:r>
                  </w:p>
                </w:tc>
                <w:tc>
                  <w:tcPr>
                    <w:tcW w:w="1556" w:type="dxa"/>
                    <w:shd w:val="clear" w:color="auto" w:fill="auto"/>
                  </w:tcPr>
                  <w:p>
                    <w:pPr>
                      <w:jc w:val="right"/>
                    </w:pPr>
                    <w:r>
                      <w:t>0.00</w:t>
                    </w:r>
                  </w:p>
                </w:tc>
                <w:tc>
                  <w:tcPr>
                    <w:tcW w:w="1556" w:type="dxa"/>
                    <w:shd w:val="clear" w:color="auto" w:fill="auto"/>
                  </w:tcPr>
                  <w:p>
                    <w:pPr>
                      <w:jc w:val="right"/>
                    </w:pPr>
                    <w:r>
                      <w:t>242,800.60</w:t>
                    </w:r>
                  </w:p>
                </w:tc>
              </w:tr>
            </w:sdtContent>
          </w:sdt>
          <w:sdt>
            <w:sdtPr>
              <w:alias w:val="以公允价值计量的金融资产情况明细"/>
              <w:tag w:val="_TUP_bddc57d12675431981133e30d13fa7a0"/>
              <w:id w:val="-119662375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以公允价值计量的金融资产情况明细_资产类别"/>
                    <w:tag w:val="_GBC_c997e562cc4b41daad4593e89dd8a6f5"/>
                    <w:id w:val="1157803588"/>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555" w:type="dxa"/>
                        <w:shd w:val="clear" w:color="auto" w:fill="auto"/>
                      </w:tcPr>
                      <w:p>
                        <w:pPr>
                          <w:pStyle w:val="114"/>
                        </w:pPr>
                        <w:r>
                          <w:t>股票</w:t>
                        </w:r>
                      </w:p>
                    </w:tc>
                  </w:sdtContent>
                </w:sdt>
                <w:tc>
                  <w:tcPr>
                    <w:tcW w:w="1556" w:type="dxa"/>
                    <w:shd w:val="clear" w:color="auto" w:fill="auto"/>
                  </w:tcPr>
                  <w:p>
                    <w:pPr>
                      <w:jc w:val="right"/>
                    </w:pPr>
                    <w:r>
                      <w:t>698,944.81</w:t>
                    </w:r>
                  </w:p>
                </w:tc>
                <w:tc>
                  <w:tcPr>
                    <w:tcW w:w="1555" w:type="dxa"/>
                    <w:shd w:val="clear" w:color="auto" w:fill="auto"/>
                  </w:tcPr>
                  <w:p>
                    <w:pPr>
                      <w:jc w:val="right"/>
                    </w:pPr>
                    <w:r>
                      <w:t>-</w:t>
                    </w:r>
                  </w:p>
                </w:tc>
                <w:tc>
                  <w:tcPr>
                    <w:tcW w:w="1556" w:type="dxa"/>
                    <w:shd w:val="clear" w:color="auto" w:fill="auto"/>
                  </w:tcPr>
                  <w:p>
                    <w:pPr>
                      <w:jc w:val="right"/>
                    </w:pPr>
                    <w:r>
                      <w:t>11,764.02</w:t>
                    </w:r>
                  </w:p>
                </w:tc>
                <w:tc>
                  <w:tcPr>
                    <w:tcW w:w="1555" w:type="dxa"/>
                    <w:shd w:val="clear" w:color="auto" w:fill="auto"/>
                  </w:tcPr>
                  <w:p>
                    <w:pPr>
                      <w:jc w:val="right"/>
                    </w:pPr>
                    <w:r>
                      <w:t>0.00</w:t>
                    </w:r>
                  </w:p>
                </w:tc>
                <w:tc>
                  <w:tcPr>
                    <w:tcW w:w="1556" w:type="dxa"/>
                    <w:shd w:val="clear" w:color="auto" w:fill="auto"/>
                  </w:tcPr>
                  <w:p>
                    <w:pPr>
                      <w:jc w:val="right"/>
                    </w:pPr>
                    <w:r>
                      <w:t>-</w:t>
                    </w:r>
                  </w:p>
                </w:tc>
                <w:tc>
                  <w:tcPr>
                    <w:tcW w:w="1555" w:type="dxa"/>
                    <w:shd w:val="clear" w:color="auto" w:fill="auto"/>
                  </w:tcPr>
                  <w:p>
                    <w:pPr>
                      <w:jc w:val="right"/>
                    </w:pPr>
                    <w:r>
                      <w:t>-</w:t>
                    </w:r>
                  </w:p>
                </w:tc>
                <w:tc>
                  <w:tcPr>
                    <w:tcW w:w="1556" w:type="dxa"/>
                    <w:shd w:val="clear" w:color="auto" w:fill="auto"/>
                  </w:tcPr>
                  <w:p>
                    <w:pPr>
                      <w:jc w:val="right"/>
                    </w:pPr>
                    <w:r>
                      <w:t>0.00</w:t>
                    </w:r>
                  </w:p>
                </w:tc>
                <w:tc>
                  <w:tcPr>
                    <w:tcW w:w="1556" w:type="dxa"/>
                    <w:shd w:val="clear" w:color="auto" w:fill="auto"/>
                  </w:tcPr>
                  <w:p>
                    <w:pPr>
                      <w:jc w:val="right"/>
                    </w:pPr>
                    <w:r>
                      <w:t>710,708.83</w:t>
                    </w:r>
                  </w:p>
                </w:tc>
              </w:tr>
            </w:sdtContent>
          </w:sdt>
          <w:sdt>
            <w:sdtPr>
              <w:alias w:val="以公允价值计量的金融资产情况明细"/>
              <w:tag w:val="_TUP_bddc57d12675431981133e30d13fa7a0"/>
              <w:id w:val="-74796383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以公允价值计量的金融资产情况明细_资产类别"/>
                    <w:tag w:val="_GBC_c997e562cc4b41daad4593e89dd8a6f5"/>
                    <w:id w:val="-1700303930"/>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555" w:type="dxa"/>
                        <w:shd w:val="clear" w:color="auto" w:fill="auto"/>
                      </w:tcPr>
                      <w:p>
                        <w:pPr>
                          <w:pStyle w:val="114"/>
                        </w:pPr>
                        <w:r>
                          <w:t>其他</w:t>
                        </w:r>
                      </w:p>
                    </w:tc>
                  </w:sdtContent>
                </w:sdt>
                <w:tc>
                  <w:tcPr>
                    <w:tcW w:w="1556" w:type="dxa"/>
                    <w:shd w:val="clear" w:color="auto" w:fill="auto"/>
                  </w:tcPr>
                  <w:p>
                    <w:pPr>
                      <w:jc w:val="right"/>
                    </w:pPr>
                    <w:r>
                      <w:t>394,726.07</w:t>
                    </w:r>
                  </w:p>
                </w:tc>
                <w:tc>
                  <w:tcPr>
                    <w:tcW w:w="1555" w:type="dxa"/>
                    <w:shd w:val="clear" w:color="auto" w:fill="auto"/>
                  </w:tcPr>
                  <w:p>
                    <w:pPr>
                      <w:jc w:val="right"/>
                    </w:pPr>
                    <w:r>
                      <w:t>3,327.15</w:t>
                    </w:r>
                  </w:p>
                </w:tc>
                <w:tc>
                  <w:tcPr>
                    <w:tcW w:w="1556" w:type="dxa"/>
                    <w:shd w:val="clear" w:color="auto" w:fill="auto"/>
                  </w:tcPr>
                  <w:p>
                    <w:pPr>
                      <w:jc w:val="right"/>
                    </w:pPr>
                    <w:r>
                      <w:t>-</w:t>
                    </w:r>
                  </w:p>
                </w:tc>
                <w:tc>
                  <w:tcPr>
                    <w:tcW w:w="1555" w:type="dxa"/>
                    <w:shd w:val="clear" w:color="auto" w:fill="auto"/>
                  </w:tcPr>
                  <w:p>
                    <w:pPr>
                      <w:jc w:val="right"/>
                    </w:pPr>
                    <w:r>
                      <w:t>0.00</w:t>
                    </w:r>
                  </w:p>
                </w:tc>
                <w:tc>
                  <w:tcPr>
                    <w:tcW w:w="1556" w:type="dxa"/>
                    <w:shd w:val="clear" w:color="auto" w:fill="auto"/>
                  </w:tcPr>
                  <w:p>
                    <w:pPr>
                      <w:jc w:val="right"/>
                    </w:pPr>
                    <w:r>
                      <w:t>870,207.56</w:t>
                    </w:r>
                  </w:p>
                </w:tc>
                <w:tc>
                  <w:tcPr>
                    <w:tcW w:w="1555" w:type="dxa"/>
                    <w:shd w:val="clear" w:color="auto" w:fill="auto"/>
                  </w:tcPr>
                  <w:p>
                    <w:pPr>
                      <w:jc w:val="right"/>
                    </w:pPr>
                    <w:r>
                      <w:t>742,108.25</w:t>
                    </w:r>
                  </w:p>
                </w:tc>
                <w:tc>
                  <w:tcPr>
                    <w:tcW w:w="1556" w:type="dxa"/>
                    <w:shd w:val="clear" w:color="auto" w:fill="auto"/>
                  </w:tcPr>
                  <w:p>
                    <w:pPr>
                      <w:jc w:val="right"/>
                    </w:pPr>
                    <w:r>
                      <w:t>0.00</w:t>
                    </w:r>
                  </w:p>
                </w:tc>
                <w:tc>
                  <w:tcPr>
                    <w:tcW w:w="1556" w:type="dxa"/>
                    <w:shd w:val="clear" w:color="auto" w:fill="auto"/>
                  </w:tcPr>
                  <w:p>
                    <w:pPr>
                      <w:jc w:val="right"/>
                    </w:pPr>
                    <w:r>
                      <w:t>526,152.53</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auto"/>
              </w:tcPr>
              <w:sdt>
                <w:sdtPr>
                  <w:tag w:val="_PLD_dd059adb5249491499bf27af37ed0ec0"/>
                  <w:id w:val="714076591"/>
                  <w:lock w:val="sdtLocked"/>
                </w:sdtPr>
                <w:sdtContent>
                  <w:p>
                    <w:pPr>
                      <w:jc w:val="center"/>
                    </w:pPr>
                    <w:r>
                      <w:t>合计</w:t>
                    </w:r>
                  </w:p>
                </w:sdtContent>
              </w:sdt>
            </w:tc>
            <w:tc>
              <w:tcPr>
                <w:tcW w:w="1556" w:type="dxa"/>
                <w:shd w:val="clear" w:color="auto" w:fill="auto"/>
              </w:tcPr>
              <w:p>
                <w:pPr>
                  <w:jc w:val="right"/>
                </w:pPr>
                <w:r>
                  <w:t>1,334,142.40</w:t>
                </w:r>
              </w:p>
            </w:tc>
            <w:tc>
              <w:tcPr>
                <w:tcW w:w="1555" w:type="dxa"/>
                <w:shd w:val="clear" w:color="auto" w:fill="auto"/>
              </w:tcPr>
              <w:p>
                <w:pPr>
                  <w:jc w:val="right"/>
                </w:pPr>
                <w:r>
                  <w:t>7,560.21</w:t>
                </w:r>
              </w:p>
            </w:tc>
            <w:tc>
              <w:tcPr>
                <w:tcW w:w="1556" w:type="dxa"/>
                <w:shd w:val="clear" w:color="auto" w:fill="auto"/>
              </w:tcPr>
              <w:p>
                <w:pPr>
                  <w:jc w:val="right"/>
                </w:pPr>
                <w:r>
                  <w:t>11,764.02</w:t>
                </w:r>
              </w:p>
            </w:tc>
            <w:tc>
              <w:tcPr>
                <w:tcW w:w="1555" w:type="dxa"/>
                <w:shd w:val="clear" w:color="auto" w:fill="auto"/>
              </w:tcPr>
              <w:p>
                <w:pPr>
                  <w:jc w:val="right"/>
                </w:pPr>
                <w:r>
                  <w:t>0.00</w:t>
                </w:r>
              </w:p>
            </w:tc>
            <w:tc>
              <w:tcPr>
                <w:tcW w:w="1556" w:type="dxa"/>
                <w:shd w:val="clear" w:color="auto" w:fill="auto"/>
              </w:tcPr>
              <w:p>
                <w:pPr>
                  <w:jc w:val="right"/>
                </w:pPr>
                <w:r>
                  <w:t>870,207.56</w:t>
                </w:r>
              </w:p>
            </w:tc>
            <w:tc>
              <w:tcPr>
                <w:tcW w:w="1555" w:type="dxa"/>
                <w:shd w:val="clear" w:color="auto" w:fill="auto"/>
              </w:tcPr>
              <w:p>
                <w:pPr>
                  <w:jc w:val="right"/>
                </w:pPr>
                <w:r>
                  <w:t>744,012.23</w:t>
                </w:r>
              </w:p>
            </w:tc>
            <w:tc>
              <w:tcPr>
                <w:tcW w:w="1556" w:type="dxa"/>
                <w:shd w:val="clear" w:color="auto" w:fill="auto"/>
              </w:tcPr>
              <w:p>
                <w:pPr>
                  <w:jc w:val="right"/>
                </w:pPr>
                <w:r>
                  <w:t>0.00</w:t>
                </w:r>
              </w:p>
            </w:tc>
            <w:tc>
              <w:tcPr>
                <w:tcW w:w="1556" w:type="dxa"/>
                <w:shd w:val="clear" w:color="auto" w:fill="auto"/>
              </w:tcPr>
              <w:p>
                <w:pPr>
                  <w:jc w:val="right"/>
                </w:pPr>
                <w:r>
                  <w:t>1,479,661.96</w:t>
                </w:r>
              </w:p>
            </w:tc>
          </w:tr>
        </w:tbl>
        <w:p>
          <w:pPr>
            <w:pStyle w:val="114"/>
          </w:pPr>
          <w:r>
            <w:rPr>
              <w:rFonts w:hint="eastAsia"/>
            </w:rPr>
            <w:t>注：私募基金包含本报告期公司持有的国创开元二期基金、中北致远基金、洛德汇智基金。详细情况见下述“私募基金投资情况”。</w:t>
          </w:r>
        </w:p>
        <w:p>
          <w:pPr>
            <w:ind w:firstLine="420" w:firstLineChars="200"/>
          </w:pPr>
          <w:r>
            <w:rPr>
              <w:rFonts w:hint="eastAsia"/>
            </w:rPr>
            <w:t>股票包含本报告期公司持有的江苏银行公司、江苏租赁公司股票。详细情况见下表“证券投资情况”。</w:t>
          </w:r>
        </w:p>
        <w:p>
          <w:pPr>
            <w:ind w:firstLine="420" w:firstLineChars="200"/>
          </w:pPr>
          <w:r>
            <w:rPr>
              <w:rFonts w:hint="eastAsia"/>
            </w:rPr>
            <w:t>其他包含本报告期公司持有的富安达优势成长基金、理财产品、江苏租赁公司可转债等。报告期内，子公司宁沪投资公司持有在</w:t>
          </w:r>
          <w:r>
            <w:t>2011年购入的基金—富安达优势成长基金，报告期初该基金共计约1,000万份，净值约人民币30,613千元，其中投资成本约人民币9,999千元，本报告期公允价值增加约1,331千元，累计公允价值增加约人民币21,945千元。</w:t>
          </w:r>
        </w:p>
        <w:p>
          <w:pPr>
            <w:pStyle w:val="114"/>
          </w:pPr>
        </w:p>
      </w:sdtContent>
    </w:sdt>
    <w:bookmarkEnd w:id="43"/>
    <w:sdt>
      <w:sdtPr>
        <w:rPr>
          <w:rFonts w:hint="eastAsia"/>
        </w:rPr>
        <w:alias w:val="模块:证券投资情况"/>
        <w:tag w:val="_SEC_223855f312f442628a6b89be29f039a8"/>
        <w:id w:val="261877614"/>
        <w:lock w:val="sdtLocked"/>
        <w:placeholder>
          <w:docPart w:val="GBC22222222222222222222222222222"/>
        </w:placeholder>
      </w:sdtPr>
      <w:sdtEndPr>
        <w:rPr>
          <w:rFonts w:hint="default"/>
        </w:rPr>
      </w:sdtEndPr>
      <w:sdtContent>
        <w:p>
          <w:pPr>
            <w:pStyle w:val="114"/>
          </w:pPr>
          <w:r>
            <w:rPr>
              <w:rFonts w:hint="eastAsia"/>
            </w:rPr>
            <w:t>证券投资情况</w:t>
          </w:r>
        </w:p>
        <w:sdt>
          <w:sdtPr>
            <w:alias w:val="是否适用：证券投资情况[双击切换]"/>
            <w:tag w:val="_GBC_5a8828b10b2a437a9b496037ef93ad06"/>
            <w:id w:val="-96603800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86"/>
            <w:wordWrap w:val="0"/>
            <w:ind w:left="360" w:firstLine="0" w:firstLineChars="0"/>
            <w:jc w:val="right"/>
          </w:pPr>
          <w:r>
            <w:rPr>
              <w:rFonts w:hint="eastAsia"/>
            </w:rPr>
            <w:t>单位：</w:t>
          </w:r>
          <w:sdt>
            <w:sdtPr>
              <w:rPr>
                <w:rFonts w:hint="eastAsia"/>
              </w:rPr>
              <w:alias w:val="单位：证券投资情况"/>
              <w:tag w:val="_GBC_5a75af14e433444597923ebce50689a8"/>
              <w:id w:val="17315730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万元</w:t>
              </w:r>
            </w:sdtContent>
          </w:sdt>
          <w:r>
            <w:rPr>
              <w:rFonts w:hint="eastAsia"/>
            </w:rPr>
            <w:t xml:space="preserve">  币种：</w:t>
          </w:r>
          <w:sdt>
            <w:sdtPr>
              <w:rPr>
                <w:rFonts w:hint="eastAsia"/>
              </w:rPr>
              <w:alias w:val="币种：证券投资情况"/>
              <w:tag w:val="_GBC_47440d8bf014467ab6dfe74bc9d19131"/>
              <w:id w:val="19128120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017"/>
            <w:gridCol w:w="1017"/>
            <w:gridCol w:w="1266"/>
            <w:gridCol w:w="1017"/>
            <w:gridCol w:w="1266"/>
            <w:gridCol w:w="1014"/>
            <w:gridCol w:w="1161"/>
            <w:gridCol w:w="1017"/>
            <w:gridCol w:w="1017"/>
            <w:gridCol w:w="1057"/>
            <w:gridCol w:w="1266"/>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1a6385f8cdab43e88408479fba4d9229"/>
                <w:id w:val="-1222284055"/>
                <w:lock w:val="sdtLocked"/>
              </w:sdtPr>
              <w:sdtEndPr>
                <w:rPr>
                  <w:rFonts w:hint="eastAsia"/>
                </w:rPr>
              </w:sdtEndPr>
              <w:sdtContent>
                <w:tc>
                  <w:tcPr>
                    <w:tcW w:w="360" w:type="pct"/>
                    <w:shd w:val="clear" w:color="auto" w:fill="auto"/>
                    <w:vAlign w:val="center"/>
                  </w:tcPr>
                  <w:p>
                    <w:pPr>
                      <w:jc w:val="center"/>
                    </w:pPr>
                    <w:r>
                      <w:rPr>
                        <w:rFonts w:hint="eastAsia"/>
                      </w:rPr>
                      <w:t>证券品种</w:t>
                    </w:r>
                  </w:p>
                </w:tc>
              </w:sdtContent>
            </w:sdt>
            <w:sdt>
              <w:sdtPr>
                <w:rPr>
                  <w:rFonts w:hint="eastAsia"/>
                </w:rPr>
                <w:tag w:val="_PLD_f57d06c7b56240de84f37921f1d5f0a5"/>
                <w:id w:val="1969627258"/>
                <w:lock w:val="sdtLocked"/>
              </w:sdtPr>
              <w:sdtEndPr>
                <w:rPr>
                  <w:rFonts w:hint="eastAsia"/>
                </w:rPr>
              </w:sdtEndPr>
              <w:sdtContent>
                <w:tc>
                  <w:tcPr>
                    <w:tcW w:w="361" w:type="pct"/>
                    <w:shd w:val="clear" w:color="auto" w:fill="auto"/>
                    <w:vAlign w:val="center"/>
                  </w:tcPr>
                  <w:p>
                    <w:pPr>
                      <w:jc w:val="center"/>
                    </w:pPr>
                    <w:r>
                      <w:rPr>
                        <w:rFonts w:hint="eastAsia"/>
                      </w:rPr>
                      <w:t>证券代码</w:t>
                    </w:r>
                  </w:p>
                </w:tc>
              </w:sdtContent>
            </w:sdt>
            <w:sdt>
              <w:sdtPr>
                <w:rPr>
                  <w:rFonts w:hint="eastAsia"/>
                </w:rPr>
                <w:tag w:val="_PLD_c8973b349e6844f6b68aa45d2db197c6"/>
                <w:id w:val="681088001"/>
                <w:lock w:val="sdtLocked"/>
              </w:sdtPr>
              <w:sdtEndPr>
                <w:rPr>
                  <w:rFonts w:hint="eastAsia"/>
                </w:rPr>
              </w:sdtEndPr>
              <w:sdtContent>
                <w:tc>
                  <w:tcPr>
                    <w:tcW w:w="361" w:type="pct"/>
                    <w:shd w:val="clear" w:color="auto" w:fill="auto"/>
                    <w:vAlign w:val="center"/>
                  </w:tcPr>
                  <w:p>
                    <w:pPr>
                      <w:tabs>
                        <w:tab w:val="left" w:pos="60"/>
                      </w:tabs>
                      <w:jc w:val="center"/>
                    </w:pPr>
                    <w:r>
                      <w:rPr>
                        <w:rFonts w:hint="eastAsia"/>
                      </w:rPr>
                      <w:t>证券简称</w:t>
                    </w:r>
                  </w:p>
                </w:tc>
              </w:sdtContent>
            </w:sdt>
            <w:sdt>
              <w:sdtPr>
                <w:rPr>
                  <w:rFonts w:hint="eastAsia"/>
                </w:rPr>
                <w:tag w:val="_PLD_347e7e935c4840d199d2a43abb9a0277"/>
                <w:id w:val="1074477656"/>
                <w:lock w:val="sdtLocked"/>
              </w:sdtPr>
              <w:sdtEndPr>
                <w:rPr>
                  <w:rFonts w:hint="eastAsia"/>
                </w:rPr>
              </w:sdtEndPr>
              <w:sdtContent>
                <w:tc>
                  <w:tcPr>
                    <w:tcW w:w="449" w:type="pct"/>
                    <w:shd w:val="clear" w:color="auto" w:fill="auto"/>
                    <w:vAlign w:val="center"/>
                  </w:tcPr>
                  <w:p>
                    <w:pPr>
                      <w:jc w:val="center"/>
                    </w:pPr>
                    <w:r>
                      <w:rPr>
                        <w:rFonts w:hint="eastAsia"/>
                      </w:rPr>
                      <w:t>最初投资成本</w:t>
                    </w:r>
                  </w:p>
                </w:tc>
              </w:sdtContent>
            </w:sdt>
            <w:sdt>
              <w:sdtPr>
                <w:rPr>
                  <w:rFonts w:hint="eastAsia"/>
                </w:rPr>
                <w:tag w:val="_PLD_eaf04e6e781c40e2a2c9841ec22e9a3c"/>
                <w:id w:val="-1528400753"/>
                <w:lock w:val="sdtLocked"/>
              </w:sdtPr>
              <w:sdtEndPr>
                <w:rPr>
                  <w:rFonts w:hint="eastAsia"/>
                </w:rPr>
              </w:sdtEndPr>
              <w:sdtContent>
                <w:tc>
                  <w:tcPr>
                    <w:tcW w:w="361" w:type="pct"/>
                    <w:shd w:val="clear" w:color="auto" w:fill="auto"/>
                    <w:vAlign w:val="center"/>
                  </w:tcPr>
                  <w:p>
                    <w:pPr>
                      <w:jc w:val="center"/>
                    </w:pPr>
                    <w:r>
                      <w:rPr>
                        <w:rFonts w:hint="eastAsia"/>
                      </w:rPr>
                      <w:t>资金来源</w:t>
                    </w:r>
                  </w:p>
                </w:tc>
              </w:sdtContent>
            </w:sdt>
            <w:sdt>
              <w:sdtPr>
                <w:rPr>
                  <w:rFonts w:hint="eastAsia"/>
                </w:rPr>
                <w:tag w:val="_PLD_9216cb595859499fb9e2aa94797691b7"/>
                <w:id w:val="-190071234"/>
                <w:lock w:val="sdtLocked"/>
              </w:sdtPr>
              <w:sdtEndPr>
                <w:rPr>
                  <w:rFonts w:hint="eastAsia"/>
                </w:rPr>
              </w:sdtEndPr>
              <w:sdtContent>
                <w:tc>
                  <w:tcPr>
                    <w:tcW w:w="449" w:type="pct"/>
                    <w:shd w:val="clear" w:color="auto" w:fill="auto"/>
                    <w:vAlign w:val="center"/>
                  </w:tcPr>
                  <w:p>
                    <w:pPr>
                      <w:jc w:val="center"/>
                    </w:pPr>
                    <w:r>
                      <w:rPr>
                        <w:rFonts w:hint="eastAsia"/>
                      </w:rPr>
                      <w:t>期初账面价值</w:t>
                    </w:r>
                  </w:p>
                </w:tc>
              </w:sdtContent>
            </w:sdt>
            <w:sdt>
              <w:sdtPr>
                <w:rPr>
                  <w:rFonts w:hint="eastAsia"/>
                </w:rPr>
                <w:tag w:val="_PLD_70bd034e9b744b00b4ed7fdd4f0a93f4"/>
                <w:id w:val="-1330437520"/>
                <w:lock w:val="sdtLocked"/>
              </w:sdtPr>
              <w:sdtEndPr>
                <w:rPr>
                  <w:rFonts w:hint="eastAsia"/>
                </w:rPr>
              </w:sdtEndPr>
              <w:sdtContent>
                <w:tc>
                  <w:tcPr>
                    <w:tcW w:w="360" w:type="pct"/>
                    <w:shd w:val="clear" w:color="auto" w:fill="auto"/>
                    <w:vAlign w:val="center"/>
                  </w:tcPr>
                  <w:p>
                    <w:pPr>
                      <w:jc w:val="center"/>
                    </w:pPr>
                    <w:r>
                      <w:rPr>
                        <w:rFonts w:hint="eastAsia"/>
                      </w:rPr>
                      <w:t>本期公允价值变动损益</w:t>
                    </w:r>
                  </w:p>
                </w:tc>
              </w:sdtContent>
            </w:sdt>
            <w:sdt>
              <w:sdtPr>
                <w:rPr>
                  <w:rFonts w:hint="eastAsia"/>
                </w:rPr>
                <w:tag w:val="_PLD_30b4adc6a16b4f11aeb1b5a776f3974a"/>
                <w:id w:val="1600071341"/>
                <w:lock w:val="sdtLocked"/>
              </w:sdtPr>
              <w:sdtEndPr>
                <w:rPr>
                  <w:rFonts w:hint="eastAsia"/>
                </w:rPr>
              </w:sdtEndPr>
              <w:sdtContent>
                <w:tc>
                  <w:tcPr>
                    <w:tcW w:w="412" w:type="pct"/>
                    <w:shd w:val="clear" w:color="auto" w:fill="auto"/>
                    <w:vAlign w:val="center"/>
                  </w:tcPr>
                  <w:p>
                    <w:pPr>
                      <w:jc w:val="center"/>
                    </w:pPr>
                    <w:r>
                      <w:rPr>
                        <w:rFonts w:hint="eastAsia"/>
                      </w:rPr>
                      <w:t>计入权益的累计公允价值变动</w:t>
                    </w:r>
                  </w:p>
                </w:tc>
              </w:sdtContent>
            </w:sdt>
            <w:sdt>
              <w:sdtPr>
                <w:rPr>
                  <w:rFonts w:hint="eastAsia"/>
                </w:rPr>
                <w:tag w:val="_PLD_3a4ce8b113e6440e88c4092cbb39ae07"/>
                <w:id w:val="208461225"/>
                <w:lock w:val="sdtLocked"/>
              </w:sdtPr>
              <w:sdtEndPr>
                <w:rPr>
                  <w:rFonts w:hint="eastAsia"/>
                </w:rPr>
              </w:sdtEndPr>
              <w:sdtContent>
                <w:tc>
                  <w:tcPr>
                    <w:tcW w:w="361" w:type="pct"/>
                    <w:shd w:val="clear" w:color="auto" w:fill="auto"/>
                    <w:vAlign w:val="center"/>
                  </w:tcPr>
                  <w:p>
                    <w:pPr>
                      <w:jc w:val="center"/>
                    </w:pPr>
                    <w:r>
                      <w:rPr>
                        <w:rFonts w:hint="eastAsia"/>
                      </w:rPr>
                      <w:t>本期购买金额</w:t>
                    </w:r>
                  </w:p>
                </w:tc>
              </w:sdtContent>
            </w:sdt>
            <w:sdt>
              <w:sdtPr>
                <w:rPr>
                  <w:rFonts w:hint="eastAsia"/>
                </w:rPr>
                <w:tag w:val="_PLD_e7e0a0b50a064c0d90f4bb3d36650d56"/>
                <w:id w:val="218864342"/>
                <w:lock w:val="sdtLocked"/>
              </w:sdtPr>
              <w:sdtEndPr>
                <w:rPr>
                  <w:rFonts w:hint="eastAsia"/>
                </w:rPr>
              </w:sdtEndPr>
              <w:sdtContent>
                <w:tc>
                  <w:tcPr>
                    <w:tcW w:w="361" w:type="pct"/>
                    <w:shd w:val="clear" w:color="auto" w:fill="auto"/>
                    <w:vAlign w:val="center"/>
                  </w:tcPr>
                  <w:p>
                    <w:pPr>
                      <w:jc w:val="center"/>
                    </w:pPr>
                    <w:r>
                      <w:rPr>
                        <w:rFonts w:hint="eastAsia"/>
                      </w:rPr>
                      <w:t>本期出售金额</w:t>
                    </w:r>
                  </w:p>
                </w:tc>
              </w:sdtContent>
            </w:sdt>
            <w:sdt>
              <w:sdtPr>
                <w:rPr>
                  <w:rFonts w:hint="eastAsia"/>
                </w:rPr>
                <w:tag w:val="_PLD_56522d18099a4ba78a8ad3f3062f485d"/>
                <w:id w:val="1453358911"/>
                <w:lock w:val="sdtLocked"/>
              </w:sdtPr>
              <w:sdtEndPr>
                <w:rPr>
                  <w:rFonts w:hint="eastAsia"/>
                </w:rPr>
              </w:sdtEndPr>
              <w:sdtContent>
                <w:tc>
                  <w:tcPr>
                    <w:tcW w:w="375" w:type="pct"/>
                    <w:shd w:val="clear" w:color="auto" w:fill="auto"/>
                    <w:vAlign w:val="center"/>
                  </w:tcPr>
                  <w:p>
                    <w:pPr>
                      <w:jc w:val="center"/>
                    </w:pPr>
                    <w:r>
                      <w:rPr>
                        <w:rFonts w:hint="eastAsia"/>
                      </w:rPr>
                      <w:t>本期投资损益</w:t>
                    </w:r>
                  </w:p>
                </w:tc>
              </w:sdtContent>
            </w:sdt>
            <w:sdt>
              <w:sdtPr>
                <w:rPr>
                  <w:rFonts w:hint="eastAsia"/>
                </w:rPr>
                <w:tag w:val="_PLD_9146d628bb674fb68b7075af9f301304"/>
                <w:id w:val="-535195295"/>
                <w:lock w:val="sdtLocked"/>
              </w:sdtPr>
              <w:sdtEndPr>
                <w:rPr>
                  <w:rFonts w:hint="eastAsia"/>
                </w:rPr>
              </w:sdtEndPr>
              <w:sdtContent>
                <w:tc>
                  <w:tcPr>
                    <w:tcW w:w="449" w:type="pct"/>
                    <w:shd w:val="clear" w:color="auto" w:fill="auto"/>
                    <w:vAlign w:val="center"/>
                  </w:tcPr>
                  <w:p>
                    <w:pPr>
                      <w:jc w:val="center"/>
                    </w:pPr>
                    <w:r>
                      <w:rPr>
                        <w:rFonts w:hint="eastAsia"/>
                      </w:rPr>
                      <w:t>期末账面价值</w:t>
                    </w:r>
                  </w:p>
                </w:tc>
              </w:sdtContent>
            </w:sdt>
            <w:sdt>
              <w:sdtPr>
                <w:rPr>
                  <w:rFonts w:hint="eastAsia"/>
                </w:rPr>
                <w:tag w:val="_PLD_002d877100d94db78bee085431d85d09"/>
                <w:id w:val="-1747567364"/>
                <w:lock w:val="sdtLocked"/>
              </w:sdtPr>
              <w:sdtEndPr>
                <w:rPr>
                  <w:rFonts w:hint="eastAsia"/>
                </w:rPr>
              </w:sdtEndPr>
              <w:sdtContent>
                <w:tc>
                  <w:tcPr>
                    <w:tcW w:w="344" w:type="pct"/>
                    <w:shd w:val="clear" w:color="auto" w:fill="auto"/>
                    <w:vAlign w:val="center"/>
                  </w:tcPr>
                  <w:p>
                    <w:pPr>
                      <w:jc w:val="center"/>
                    </w:pPr>
                    <w:r>
                      <w:rPr>
                        <w:rFonts w:hint="eastAsia"/>
                      </w:rPr>
                      <w:t>会计核算科目</w:t>
                    </w:r>
                  </w:p>
                </w:tc>
              </w:sdtContent>
            </w:sdt>
          </w:tr>
          <w:sdt>
            <w:sdtPr>
              <w:alias w:val="上市公司证券投资情况明细"/>
              <w:tag w:val="_TUP_1485b4bf3970481a8d11a1b729aab90c"/>
              <w:id w:val="726126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上市公司证券投资情况明细－证券品种"/>
                    <w:tag w:val="_GBC_da25a1f6f6b84402a355faf78614b543"/>
                    <w:id w:val="-276411136"/>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Content>
                    <w:tc>
                      <w:tcPr>
                        <w:tcW w:w="360" w:type="pct"/>
                        <w:shd w:val="clear" w:color="auto" w:fill="auto"/>
                      </w:tcPr>
                      <w:p>
                        <w:pPr>
                          <w:pStyle w:val="114"/>
                        </w:pPr>
                        <w:r>
                          <w:t>股票</w:t>
                        </w:r>
                      </w:p>
                    </w:tc>
                  </w:sdtContent>
                </w:sdt>
                <w:tc>
                  <w:tcPr>
                    <w:tcW w:w="361" w:type="pct"/>
                    <w:shd w:val="clear" w:color="auto" w:fill="auto"/>
                  </w:tcPr>
                  <w:p>
                    <w:pPr>
                      <w:pStyle w:val="114"/>
                    </w:pPr>
                    <w:r>
                      <w:t>600919</w:t>
                    </w:r>
                  </w:p>
                </w:tc>
                <w:tc>
                  <w:tcPr>
                    <w:tcW w:w="361" w:type="pct"/>
                    <w:shd w:val="clear" w:color="auto" w:fill="auto"/>
                  </w:tcPr>
                  <w:p>
                    <w:pPr>
                      <w:pStyle w:val="114"/>
                    </w:pPr>
                    <w:r>
                      <w:t>江苏银行</w:t>
                    </w:r>
                  </w:p>
                </w:tc>
                <w:tc>
                  <w:tcPr>
                    <w:tcW w:w="449" w:type="pct"/>
                    <w:shd w:val="clear" w:color="auto" w:fill="auto"/>
                  </w:tcPr>
                  <w:p>
                    <w:pPr>
                      <w:jc w:val="right"/>
                    </w:pPr>
                    <w:r>
                      <w:t>462,953.09</w:t>
                    </w:r>
                  </w:p>
                </w:tc>
                <w:tc>
                  <w:tcPr>
                    <w:tcW w:w="361" w:type="pct"/>
                    <w:shd w:val="clear" w:color="auto" w:fill="auto"/>
                  </w:tcPr>
                  <w:p>
                    <w:pPr>
                      <w:pStyle w:val="114"/>
                    </w:pPr>
                    <w:r>
                      <w:t>自有资金</w:t>
                    </w:r>
                  </w:p>
                </w:tc>
                <w:tc>
                  <w:tcPr>
                    <w:tcW w:w="449" w:type="pct"/>
                    <w:shd w:val="clear" w:color="auto" w:fill="auto"/>
                  </w:tcPr>
                  <w:p>
                    <w:pPr>
                      <w:jc w:val="right"/>
                    </w:pPr>
                    <w:r>
                      <w:t>570,712.81</w:t>
                    </w:r>
                  </w:p>
                </w:tc>
                <w:tc>
                  <w:tcPr>
                    <w:tcW w:w="360" w:type="pct"/>
                    <w:shd w:val="clear" w:color="auto" w:fill="auto"/>
                  </w:tcPr>
                  <w:p>
                    <w:pPr>
                      <w:jc w:val="right"/>
                    </w:pPr>
                    <w:r>
                      <w:t>-</w:t>
                    </w:r>
                  </w:p>
                </w:tc>
                <w:tc>
                  <w:tcPr>
                    <w:tcW w:w="412" w:type="pct"/>
                    <w:shd w:val="clear" w:color="auto" w:fill="auto"/>
                  </w:tcPr>
                  <w:p>
                    <w:pPr>
                      <w:jc w:val="right"/>
                    </w:pPr>
                    <w:r>
                      <w:t>4,697.22</w:t>
                    </w:r>
                  </w:p>
                </w:tc>
                <w:tc>
                  <w:tcPr>
                    <w:tcW w:w="361" w:type="pct"/>
                    <w:shd w:val="clear" w:color="auto" w:fill="auto"/>
                  </w:tcPr>
                  <w:p>
                    <w:pPr>
                      <w:jc w:val="right"/>
                    </w:pPr>
                    <w:r>
                      <w:t>-</w:t>
                    </w:r>
                  </w:p>
                </w:tc>
                <w:tc>
                  <w:tcPr>
                    <w:tcW w:w="361" w:type="pct"/>
                    <w:shd w:val="clear" w:color="auto" w:fill="auto"/>
                  </w:tcPr>
                  <w:p>
                    <w:pPr>
                      <w:jc w:val="right"/>
                    </w:pPr>
                    <w:r>
                      <w:t>-</w:t>
                    </w:r>
                  </w:p>
                </w:tc>
                <w:tc>
                  <w:tcPr>
                    <w:tcW w:w="375" w:type="pct"/>
                    <w:shd w:val="clear" w:color="auto" w:fill="auto"/>
                  </w:tcPr>
                  <w:p>
                    <w:pPr>
                      <w:jc w:val="right"/>
                    </w:pPr>
                    <w:r>
                      <w:t>-</w:t>
                    </w:r>
                  </w:p>
                </w:tc>
                <w:tc>
                  <w:tcPr>
                    <w:tcW w:w="449" w:type="pct"/>
                    <w:shd w:val="clear" w:color="auto" w:fill="auto"/>
                  </w:tcPr>
                  <w:p>
                    <w:pPr>
                      <w:jc w:val="right"/>
                    </w:pPr>
                    <w:r>
                      <w:t>575,410.03</w:t>
                    </w:r>
                  </w:p>
                </w:tc>
                <w:sdt>
                  <w:sdtPr>
                    <w:alias w:val="上市公司证券投资情况明细－会计核算科目"/>
                    <w:tag w:val="_GBC_414476e3ed004196953166bc33839d22"/>
                    <w:id w:val="1389690898"/>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Content>
                    <w:tc>
                      <w:tcPr>
                        <w:tcW w:w="344" w:type="pct"/>
                        <w:shd w:val="clear" w:color="auto" w:fill="auto"/>
                      </w:tcPr>
                      <w:p>
                        <w:pPr>
                          <w:pStyle w:val="114"/>
                        </w:pPr>
                        <w:r>
                          <w:t>其他权益工具投资</w:t>
                        </w:r>
                      </w:p>
                    </w:tc>
                  </w:sdtContent>
                </w:sdt>
              </w:tr>
            </w:sdtContent>
          </w:sdt>
          <w:sdt>
            <w:sdtPr>
              <w:alias w:val="上市公司证券投资情况明细"/>
              <w:tag w:val="_TUP_1485b4bf3970481a8d11a1b729aab90c"/>
              <w:id w:val="-73053949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上市公司证券投资情况明细－证券品种"/>
                    <w:tag w:val="_GBC_da25a1f6f6b84402a355faf78614b543"/>
                    <w:id w:val="191270691"/>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Content>
                    <w:tc>
                      <w:tcPr>
                        <w:tcW w:w="360" w:type="pct"/>
                        <w:shd w:val="clear" w:color="auto" w:fill="auto"/>
                      </w:tcPr>
                      <w:p>
                        <w:pPr>
                          <w:pStyle w:val="114"/>
                        </w:pPr>
                        <w:r>
                          <w:t>股票</w:t>
                        </w:r>
                      </w:p>
                    </w:tc>
                  </w:sdtContent>
                </w:sdt>
                <w:tc>
                  <w:tcPr>
                    <w:tcW w:w="361" w:type="pct"/>
                    <w:shd w:val="clear" w:color="auto" w:fill="auto"/>
                  </w:tcPr>
                  <w:p>
                    <w:pPr>
                      <w:pStyle w:val="114"/>
                    </w:pPr>
                    <w:r>
                      <w:t>600901</w:t>
                    </w:r>
                  </w:p>
                </w:tc>
                <w:tc>
                  <w:tcPr>
                    <w:tcW w:w="361" w:type="pct"/>
                    <w:shd w:val="clear" w:color="auto" w:fill="auto"/>
                  </w:tcPr>
                  <w:p>
                    <w:pPr>
                      <w:pStyle w:val="114"/>
                    </w:pPr>
                    <w:r>
                      <w:t>江苏金租</w:t>
                    </w:r>
                  </w:p>
                </w:tc>
                <w:tc>
                  <w:tcPr>
                    <w:tcW w:w="449" w:type="pct"/>
                    <w:shd w:val="clear" w:color="auto" w:fill="auto"/>
                  </w:tcPr>
                  <w:p>
                    <w:pPr>
                      <w:jc w:val="right"/>
                    </w:pPr>
                    <w:r>
                      <w:t>27,089.85</w:t>
                    </w:r>
                  </w:p>
                </w:tc>
                <w:tc>
                  <w:tcPr>
                    <w:tcW w:w="361" w:type="pct"/>
                    <w:shd w:val="clear" w:color="auto" w:fill="auto"/>
                  </w:tcPr>
                  <w:p>
                    <w:pPr>
                      <w:pStyle w:val="114"/>
                    </w:pPr>
                    <w:r>
                      <w:t>自有资金</w:t>
                    </w:r>
                  </w:p>
                </w:tc>
                <w:tc>
                  <w:tcPr>
                    <w:tcW w:w="449" w:type="pct"/>
                    <w:shd w:val="clear" w:color="auto" w:fill="auto"/>
                  </w:tcPr>
                  <w:p>
                    <w:pPr>
                      <w:jc w:val="right"/>
                    </w:pPr>
                    <w:r>
                      <w:t>128,232.00</w:t>
                    </w:r>
                  </w:p>
                </w:tc>
                <w:tc>
                  <w:tcPr>
                    <w:tcW w:w="360" w:type="pct"/>
                    <w:shd w:val="clear" w:color="auto" w:fill="auto"/>
                  </w:tcPr>
                  <w:p>
                    <w:pPr>
                      <w:jc w:val="right"/>
                    </w:pPr>
                    <w:r>
                      <w:t>-</w:t>
                    </w:r>
                  </w:p>
                </w:tc>
                <w:tc>
                  <w:tcPr>
                    <w:tcW w:w="412" w:type="pct"/>
                    <w:shd w:val="clear" w:color="auto" w:fill="auto"/>
                  </w:tcPr>
                  <w:p>
                    <w:pPr>
                      <w:jc w:val="right"/>
                    </w:pPr>
                    <w:r>
                      <w:t>7,066.80</w:t>
                    </w:r>
                  </w:p>
                </w:tc>
                <w:tc>
                  <w:tcPr>
                    <w:tcW w:w="361" w:type="pct"/>
                    <w:shd w:val="clear" w:color="auto" w:fill="auto"/>
                  </w:tcPr>
                  <w:p>
                    <w:pPr>
                      <w:jc w:val="right"/>
                    </w:pPr>
                    <w:r>
                      <w:t>-</w:t>
                    </w:r>
                  </w:p>
                </w:tc>
                <w:tc>
                  <w:tcPr>
                    <w:tcW w:w="361" w:type="pct"/>
                    <w:shd w:val="clear" w:color="auto" w:fill="auto"/>
                  </w:tcPr>
                  <w:p>
                    <w:pPr>
                      <w:jc w:val="right"/>
                    </w:pPr>
                    <w:r>
                      <w:t>-</w:t>
                    </w:r>
                  </w:p>
                </w:tc>
                <w:tc>
                  <w:tcPr>
                    <w:tcW w:w="375" w:type="pct"/>
                    <w:shd w:val="clear" w:color="auto" w:fill="auto"/>
                  </w:tcPr>
                  <w:p>
                    <w:pPr>
                      <w:jc w:val="right"/>
                    </w:pPr>
                    <w:r>
                      <w:t>8,190.00</w:t>
                    </w:r>
                  </w:p>
                </w:tc>
                <w:tc>
                  <w:tcPr>
                    <w:tcW w:w="449" w:type="pct"/>
                    <w:shd w:val="clear" w:color="auto" w:fill="auto"/>
                  </w:tcPr>
                  <w:p>
                    <w:pPr>
                      <w:jc w:val="right"/>
                    </w:pPr>
                    <w:r>
                      <w:t>135,298.80</w:t>
                    </w:r>
                  </w:p>
                </w:tc>
                <w:sdt>
                  <w:sdtPr>
                    <w:alias w:val="上市公司证券投资情况明细－会计核算科目"/>
                    <w:tag w:val="_GBC_414476e3ed004196953166bc33839d22"/>
                    <w:id w:val="-1945989966"/>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Content>
                    <w:tc>
                      <w:tcPr>
                        <w:tcW w:w="344" w:type="pct"/>
                        <w:shd w:val="clear" w:color="auto" w:fill="auto"/>
                      </w:tcPr>
                      <w:p>
                        <w:pPr>
                          <w:pStyle w:val="114"/>
                        </w:pPr>
                        <w:r>
                          <w:t>其他权益工具投资</w:t>
                        </w:r>
                      </w:p>
                    </w:tc>
                  </w:sdtContent>
                </w:sdt>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tcPr>
              <w:sdt>
                <w:sdtPr>
                  <w:tag w:val="_PLD_8850a868dcb94ddf90f9ad83b5ab53b0"/>
                  <w:id w:val="-1084909339"/>
                  <w:lock w:val="sdtLocked"/>
                </w:sdtPr>
                <w:sdtContent>
                  <w:p>
                    <w:pPr>
                      <w:pStyle w:val="114"/>
                    </w:pPr>
                    <w:r>
                      <w:t>合计</w:t>
                    </w:r>
                  </w:p>
                </w:sdtContent>
              </w:sdt>
            </w:tc>
            <w:tc>
              <w:tcPr>
                <w:tcW w:w="361" w:type="pct"/>
                <w:shd w:val="clear" w:color="auto" w:fill="auto"/>
              </w:tcPr>
              <w:p>
                <w:pPr>
                  <w:jc w:val="center"/>
                </w:pPr>
                <w:r>
                  <w:rPr>
                    <w:rFonts w:hint="eastAsia"/>
                  </w:rPr>
                  <w:t>/</w:t>
                </w:r>
              </w:p>
            </w:tc>
            <w:tc>
              <w:tcPr>
                <w:tcW w:w="361" w:type="pct"/>
                <w:shd w:val="clear" w:color="auto" w:fill="auto"/>
              </w:tcPr>
              <w:p>
                <w:pPr>
                  <w:jc w:val="center"/>
                </w:pPr>
                <w:r>
                  <w:rPr>
                    <w:rFonts w:hint="eastAsia"/>
                  </w:rPr>
                  <w:t>/</w:t>
                </w:r>
              </w:p>
            </w:tc>
            <w:tc>
              <w:tcPr>
                <w:tcW w:w="449" w:type="pct"/>
                <w:shd w:val="clear" w:color="auto" w:fill="auto"/>
              </w:tcPr>
              <w:p>
                <w:pPr>
                  <w:pStyle w:val="114"/>
                </w:pPr>
                <w:r>
                  <w:rPr>
                    <w:rFonts w:hint="eastAsia"/>
                  </w:rPr>
                  <w:t>490,042.94</w:t>
                </w:r>
              </w:p>
            </w:tc>
            <w:tc>
              <w:tcPr>
                <w:tcW w:w="361" w:type="pct"/>
                <w:shd w:val="clear" w:color="auto" w:fill="auto"/>
              </w:tcPr>
              <w:p>
                <w:pPr>
                  <w:jc w:val="center"/>
                </w:pPr>
                <w:r>
                  <w:rPr>
                    <w:rFonts w:hint="eastAsia"/>
                  </w:rPr>
                  <w:t>/</w:t>
                </w:r>
              </w:p>
            </w:tc>
            <w:tc>
              <w:tcPr>
                <w:tcW w:w="449" w:type="pct"/>
                <w:shd w:val="clear" w:color="auto" w:fill="auto"/>
              </w:tcPr>
              <w:p>
                <w:pPr>
                  <w:jc w:val="right"/>
                </w:pPr>
                <w:r>
                  <w:t>698,944.81</w:t>
                </w:r>
              </w:p>
            </w:tc>
            <w:tc>
              <w:tcPr>
                <w:tcW w:w="360" w:type="pct"/>
                <w:shd w:val="clear" w:color="auto" w:fill="auto"/>
              </w:tcPr>
              <w:p>
                <w:pPr>
                  <w:jc w:val="right"/>
                </w:pPr>
                <w:r>
                  <w:rPr>
                    <w:rFonts w:hint="eastAsia"/>
                  </w:rPr>
                  <w:t>-</w:t>
                </w:r>
              </w:p>
            </w:tc>
            <w:tc>
              <w:tcPr>
                <w:tcW w:w="412" w:type="pct"/>
                <w:shd w:val="clear" w:color="auto" w:fill="auto"/>
              </w:tcPr>
              <w:p>
                <w:pPr>
                  <w:jc w:val="right"/>
                </w:pPr>
                <w:r>
                  <w:t>11,764.02</w:t>
                </w:r>
              </w:p>
            </w:tc>
            <w:tc>
              <w:tcPr>
                <w:tcW w:w="361" w:type="pct"/>
                <w:shd w:val="clear" w:color="auto" w:fill="auto"/>
              </w:tcPr>
              <w:p>
                <w:pPr>
                  <w:jc w:val="right"/>
                </w:pPr>
                <w:r>
                  <w:rPr>
                    <w:rFonts w:hint="eastAsia"/>
                  </w:rPr>
                  <w:t>-</w:t>
                </w:r>
              </w:p>
            </w:tc>
            <w:tc>
              <w:tcPr>
                <w:tcW w:w="361" w:type="pct"/>
                <w:shd w:val="clear" w:color="auto" w:fill="auto"/>
              </w:tcPr>
              <w:p>
                <w:pPr>
                  <w:jc w:val="right"/>
                </w:pPr>
                <w:r>
                  <w:rPr>
                    <w:rFonts w:hint="eastAsia"/>
                  </w:rPr>
                  <w:t>-</w:t>
                </w:r>
              </w:p>
            </w:tc>
            <w:tc>
              <w:tcPr>
                <w:tcW w:w="375" w:type="pct"/>
                <w:shd w:val="clear" w:color="auto" w:fill="auto"/>
                <w:vAlign w:val="center"/>
              </w:tcPr>
              <w:p>
                <w:pPr>
                  <w:rPr>
                    <w:sz w:val="24"/>
                    <w:szCs w:val="24"/>
                  </w:rPr>
                </w:pPr>
                <w:r>
                  <w:t>8,190.00</w:t>
                </w:r>
              </w:p>
            </w:tc>
            <w:tc>
              <w:tcPr>
                <w:tcW w:w="449" w:type="pct"/>
                <w:shd w:val="clear" w:color="auto" w:fill="auto"/>
                <w:vAlign w:val="center"/>
              </w:tcPr>
              <w:p>
                <w:pPr>
                  <w:rPr>
                    <w:sz w:val="24"/>
                    <w:szCs w:val="24"/>
                  </w:rPr>
                </w:pPr>
                <w:r>
                  <w:t>710,708.83</w:t>
                </w:r>
              </w:p>
            </w:tc>
            <w:tc>
              <w:tcPr>
                <w:tcW w:w="344" w:type="pct"/>
                <w:shd w:val="clear" w:color="auto" w:fill="auto"/>
              </w:tcPr>
              <w:sdt>
                <w:sdtPr>
                  <w:rPr>
                    <w:rFonts w:hint="eastAsia"/>
                  </w:rPr>
                  <w:tag w:val="_PLD_c43d371ee7f44aa7ac15e2d8f17bc3a6"/>
                  <w:id w:val="-154067764"/>
                  <w:lock w:val="sdtLocked"/>
                </w:sdtPr>
                <w:sdtEndPr>
                  <w:rPr>
                    <w:rFonts w:hint="eastAsia"/>
                  </w:rPr>
                </w:sdtEndPr>
                <w:sdtContent>
                  <w:p>
                    <w:pPr>
                      <w:jc w:val="center"/>
                    </w:pPr>
                    <w:r>
                      <w:rPr>
                        <w:rFonts w:hint="eastAsia"/>
                      </w:rPr>
                      <w:t>/</w:t>
                    </w:r>
                  </w:p>
                </w:sdtContent>
              </w:sdt>
            </w:tc>
          </w:tr>
        </w:tbl>
        <w:p>
          <w:pPr>
            <w:rPr>
              <w:sz w:val="18"/>
              <w:szCs w:val="18"/>
            </w:rPr>
          </w:pPr>
          <w:r>
            <w:rPr>
              <w:rFonts w:hint="eastAsia"/>
              <w:sz w:val="18"/>
              <w:szCs w:val="18"/>
            </w:rPr>
            <w:t>注：</w:t>
          </w:r>
          <w:r>
            <w:rPr>
              <w:sz w:val="18"/>
              <w:szCs w:val="18"/>
            </w:rPr>
            <w:t>202</w:t>
          </w:r>
          <w:r>
            <w:rPr>
              <w:rFonts w:hint="eastAsia"/>
              <w:sz w:val="18"/>
              <w:szCs w:val="18"/>
            </w:rPr>
            <w:t>3</w:t>
          </w:r>
          <w:r>
            <w:rPr>
              <w:sz w:val="18"/>
              <w:szCs w:val="18"/>
            </w:rPr>
            <w:t>年</w:t>
          </w:r>
          <w:r>
            <w:rPr>
              <w:rFonts w:hint="eastAsia"/>
              <w:sz w:val="18"/>
              <w:szCs w:val="18"/>
            </w:rPr>
            <w:t>6</w:t>
          </w:r>
          <w:r>
            <w:rPr>
              <w:sz w:val="18"/>
              <w:szCs w:val="18"/>
            </w:rPr>
            <w:t>月</w:t>
          </w:r>
          <w:r>
            <w:rPr>
              <w:rFonts w:hint="eastAsia"/>
              <w:sz w:val="18"/>
              <w:szCs w:val="18"/>
            </w:rPr>
            <w:t>30</w:t>
          </w:r>
          <w:r>
            <w:rPr>
              <w:sz w:val="18"/>
              <w:szCs w:val="18"/>
            </w:rPr>
            <w:t>日，</w:t>
          </w:r>
          <w:r>
            <w:rPr>
              <w:rFonts w:hint="eastAsia"/>
              <w:sz w:val="18"/>
              <w:szCs w:val="18"/>
            </w:rPr>
            <w:t>本集团持有江苏银行公司（股票代码：</w:t>
          </w:r>
          <w:r>
            <w:rPr>
              <w:sz w:val="18"/>
              <w:szCs w:val="18"/>
            </w:rPr>
            <w:t>600919）的78,287.08万股，市值约人民币575,410.038万元，</w:t>
          </w:r>
          <w:r>
            <w:rPr>
              <w:rFonts w:hint="eastAsia"/>
              <w:sz w:val="18"/>
              <w:szCs w:val="18"/>
            </w:rPr>
            <w:t>占本集团资产总值的约</w:t>
          </w:r>
          <w:r>
            <w:rPr>
              <w:sz w:val="18"/>
              <w:szCs w:val="18"/>
            </w:rPr>
            <w:t>7.</w:t>
          </w:r>
          <w:r>
            <w:rPr>
              <w:rFonts w:hint="eastAsia"/>
              <w:sz w:val="18"/>
              <w:szCs w:val="18"/>
            </w:rPr>
            <w:t>21</w:t>
          </w:r>
          <w:r>
            <w:rPr>
              <w:sz w:val="18"/>
              <w:szCs w:val="18"/>
            </w:rPr>
            <w:t>%。江苏银行公司于2007年1月24日挂牌开业，是全国19家系统重要性银行之一、江苏省内最大法人银行。</w:t>
          </w:r>
          <w:r>
            <w:rPr>
              <w:rFonts w:hint="eastAsia"/>
              <w:sz w:val="18"/>
              <w:szCs w:val="18"/>
            </w:rPr>
            <w:t>截至2023年一季度末，江苏银行公司资产总额突破</w:t>
          </w:r>
          <w:r>
            <w:rPr>
              <w:sz w:val="18"/>
              <w:szCs w:val="18"/>
            </w:rPr>
            <w:t>3万亿元，营收和净利润继续保持双位数增长，在</w:t>
          </w:r>
          <w:r>
            <w:rPr>
              <w:rFonts w:hint="eastAsia"/>
              <w:sz w:val="18"/>
              <w:szCs w:val="18"/>
            </w:rPr>
            <w:t>英国《银行家》杂志（</w:t>
          </w:r>
          <w:r>
            <w:rPr>
              <w:sz w:val="18"/>
              <w:szCs w:val="18"/>
            </w:rPr>
            <w:t>The Banker）发布的“2023年全球银行1000强”榜中排名第</w:t>
          </w:r>
          <w:r>
            <w:rPr>
              <w:rFonts w:hint="eastAsia"/>
              <w:sz w:val="18"/>
              <w:szCs w:val="18"/>
            </w:rPr>
            <w:t>68</w:t>
          </w:r>
          <w:r>
            <w:rPr>
              <w:sz w:val="18"/>
              <w:szCs w:val="18"/>
            </w:rPr>
            <w:t>位，蝉联全球银行百强。</w:t>
          </w:r>
          <w:r>
            <w:rPr>
              <w:rFonts w:hint="eastAsia"/>
              <w:sz w:val="18"/>
              <w:szCs w:val="18"/>
            </w:rPr>
            <w:t>2023年2月，江苏银行公司当选联合国环境署金融倡议组织银行理事会中东亚地区理事代表，成为该地区入选金融倡议组织银行理事会的唯一金融机构。</w:t>
          </w:r>
          <w:r>
            <w:rPr>
              <w:sz w:val="18"/>
              <w:szCs w:val="18"/>
            </w:rPr>
            <w:t>本公司自2013年起持续投资江苏银行公司股权，取得持续现金红利，</w:t>
          </w:r>
          <w:r>
            <w:rPr>
              <w:rFonts w:hint="eastAsia"/>
              <w:sz w:val="18"/>
              <w:szCs w:val="18"/>
            </w:rPr>
            <w:t>增厚</w:t>
          </w:r>
          <w:r>
            <w:rPr>
              <w:sz w:val="18"/>
              <w:szCs w:val="18"/>
            </w:rPr>
            <w:t>公司利润水平。江苏银行公司近年来业绩稳健，集团投资江苏银行公司是基于公司对其未来发展的信心和价值成长的认可，有利于拓展公司盈利渠道，为广大股东创造更大的价值。</w:t>
          </w:r>
        </w:p>
      </w:sdtContent>
    </w:sdt>
    <w:sdt>
      <w:sdtPr>
        <w:rPr>
          <w:rFonts w:hint="eastAsia"/>
        </w:rPr>
        <w:alias w:val="模块:证券投资情况的说明  "/>
        <w:tag w:val="_SEC_1fd1b5403f6b4f59b90a86c5afda2100"/>
        <w:id w:val="553587832"/>
        <w:lock w:val="sdtLocked"/>
        <w:placeholder>
          <w:docPart w:val="GBC22222222222222222222222222222"/>
        </w:placeholder>
      </w:sdtPr>
      <w:sdtEndPr>
        <w:rPr>
          <w:rFonts w:hint="default"/>
        </w:rPr>
      </w:sdtEndPr>
      <w:sdtContent>
        <w:p>
          <w:pPr>
            <w:pStyle w:val="114"/>
          </w:pPr>
          <w:r>
            <w:rPr>
              <w:rFonts w:hint="eastAsia"/>
            </w:rPr>
            <w:t>证券投资情况的说明</w:t>
          </w:r>
        </w:p>
        <w:sdt>
          <w:sdtPr>
            <w:alias w:val="是否适用：证券投资情况的说明[双击切换]"/>
            <w:tag w:val="_GBC_8d1fa1a2f7a54e699abfdd630205bd35"/>
            <w:id w:val="-91717821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rPr>
        <w:alias w:val="模块:私募基金投资情况"/>
        <w:tag w:val="_SEC_1314f2a4c4444241bb2afb255168e300"/>
        <w:id w:val="1325394407"/>
        <w:lock w:val="sdtLocked"/>
        <w:placeholder>
          <w:docPart w:val="GBC22222222222222222222222222222"/>
        </w:placeholder>
      </w:sdtPr>
      <w:sdtEndPr>
        <w:rPr>
          <w:rFonts w:hint="eastAsia"/>
        </w:rPr>
      </w:sdtEndPr>
      <w:sdtContent>
        <w:p>
          <w:pPr>
            <w:pStyle w:val="114"/>
          </w:pPr>
          <w:bookmarkStart w:id="45" w:name="_Hlk40534809"/>
          <w:r>
            <w:rPr>
              <w:rFonts w:hint="eastAsia"/>
            </w:rPr>
            <w:t>私募基金投资情况</w:t>
          </w:r>
        </w:p>
        <w:sdt>
          <w:sdtPr>
            <w:alias w:val="是否适用：私募基金投资情况[双击切换]"/>
            <w:tag w:val="_GBC_56fccff6af834e4e8e9f8aea6f269d2f"/>
            <w:id w:val="-212729780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私募基金投资情况"/>
            <w:tag w:val="_GBC_88504d38e2904637ab586bf0fc2ed0c3"/>
            <w:id w:val="249160558"/>
            <w:lock w:val="sdtLocked"/>
            <w:placeholder>
              <w:docPart w:val="GBC22222222222222222222222222222"/>
            </w:placeholder>
          </w:sdtPr>
          <w:sdtEndPr>
            <w:rPr>
              <w:rFonts w:hint="eastAsia"/>
            </w:rPr>
          </w:sdtEndPr>
          <w:sdtContent>
            <w:p>
              <w:pPr>
                <w:ind w:firstLine="420" w:firstLineChars="200"/>
              </w:pPr>
              <w:r>
                <w:rPr>
                  <w:rFonts w:hint="eastAsia"/>
                </w:rPr>
                <w:t>私募基金包含本报告期公司持有的国创开元二期基金、中北致远基金、洛德汇智基金。报告期内，宁沪投资公司持有在</w:t>
              </w:r>
              <w:r>
                <w:t>2016年认购的国创开元二期基金，报告期初净值约人民币1,686,932 千元，投资成本人民币1,113,021 千元，报告期内收回投资人民币19,040 千元，投资收益约人民币31,971千元，报告期末净值为约人民币1,692,695 千元，本报告期公允价值增加约人民币24,803 千元，累计公允价值增加约人民币598,714 千元。报告期内，宁沪投资公司持有在2019年认购的中北致远基金，报告期初净值约人民</w:t>
              </w:r>
              <w:r>
                <w:rPr>
                  <w:rFonts w:hint="eastAsia"/>
                </w:rPr>
                <w:t>币</w:t>
              </w:r>
              <w:r>
                <w:t>253,903 千元,投资成本为人民币270,000 千元，报告期末净值为约人民币253,935 千元，本报告期公允价值增加约人民币32千元，累计公允价值减少约人民币16,065 千元。报告期内，宁沪投资公司持有2020年认购的洛德汇智基金，报告期初净值约人民币463,880 千元，投资成本人民币500,000千元，报告期末净值约人民币481,376 千元，本报告期公允价值增加约人民币17,496 千元，累计公允价值减少约人民币18,624 千元。</w:t>
              </w:r>
            </w:p>
            <w:p>
              <w:pPr>
                <w:ind w:firstLine="420" w:firstLineChars="200"/>
              </w:pPr>
            </w:p>
          </w:sdtContent>
        </w:sdt>
      </w:sdtContent>
    </w:sdt>
    <w:bookmarkEnd w:id="45"/>
    <w:sdt>
      <w:sdtPr>
        <w:rPr>
          <w:rFonts w:hint="eastAsia"/>
        </w:rPr>
        <w:alias w:val="模块:衍生品投资情况"/>
        <w:tag w:val="_SEC_c58f05384e954c5ea5ee6d64b1e9a529"/>
        <w:id w:val="-602108750"/>
        <w:lock w:val="sdtLocked"/>
        <w:placeholder>
          <w:docPart w:val="GBC22222222222222222222222222222"/>
        </w:placeholder>
      </w:sdtPr>
      <w:sdtEndPr>
        <w:rPr>
          <w:rFonts w:hint="default"/>
        </w:rPr>
      </w:sdtEndPr>
      <w:sdtContent>
        <w:p>
          <w:pPr>
            <w:pStyle w:val="114"/>
          </w:pPr>
          <w:r>
            <w:rPr>
              <w:rFonts w:hint="eastAsia"/>
            </w:rPr>
            <w:t>衍生品投资情况</w:t>
          </w:r>
        </w:p>
        <w:sdt>
          <w:sdtPr>
            <w:rPr>
              <w:rFonts w:hint="eastAsia"/>
            </w:rPr>
            <w:alias w:val="是否适用：衍生品投资情况  [双击切换]"/>
            <w:tag w:val="_GBC_bfd154b38b804edbb19ff4896b6b9c42"/>
            <w:id w:val="-1493332534"/>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ectPr>
              <w:pgSz w:w="16838" w:h="11906" w:orient="landscape"/>
              <w:pgMar w:top="1797" w:right="1525" w:bottom="1276" w:left="1440" w:header="855" w:footer="992" w:gutter="0"/>
              <w:cols w:space="425" w:num="1"/>
              <w:docGrid w:linePitch="312" w:charSpace="0"/>
            </w:sectPr>
          </w:pPr>
        </w:p>
      </w:sdtContent>
    </w:sdt>
    <w:bookmarkEnd w:id="44"/>
    <w:p>
      <w:pPr>
        <w:pStyle w:val="114"/>
      </w:pPr>
    </w:p>
    <w:sdt>
      <w:sdtPr>
        <w:rPr>
          <w:rFonts w:ascii="宋体" w:hAnsi="宋体" w:cs="宋体"/>
          <w:b w:val="0"/>
          <w:bCs w:val="0"/>
          <w:kern w:val="0"/>
          <w:szCs w:val="24"/>
        </w:rPr>
        <w:alias w:val="模块:重大资产和股权出售"/>
        <w:tag w:val="_SEC_04b9238e9d184f1bab78bd58a24f46ef"/>
        <w:id w:val="78578244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7"/>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16726282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重大资产和股权出售情况"/>
            <w:tag w:val="_GBC_9cd8839732f849f198bbcd5d106cb7c4"/>
            <w:id w:val="929163160"/>
            <w:lock w:val="sdtLocked"/>
            <w:placeholder>
              <w:docPart w:val="GBC22222222222222222222222222222"/>
            </w:placeholder>
          </w:sdtPr>
          <w:sdtEndPr>
            <w:rPr>
              <w:rFonts w:hint="eastAsia"/>
            </w:rPr>
          </w:sdtEndPr>
          <w:sdtContent>
            <w:p>
              <w:pPr>
                <w:ind w:firstLine="420" w:firstLineChars="200"/>
              </w:pPr>
              <w:r>
                <w:t>2023年2月17日，经本公司第十届董事会第十五次会议同意，本公司全资子公司宁沪投资公司将其持有的保理公司100%股权转让给江苏交控和云杉资本。2023年2月27日，本公司全资子公司宁沪投资公司、保理公司与江苏交控、云杉资本签署了《股权转让协议》，根据国有资产管理部门备案后的评估结果，本次交易价格为人民币34,600万元，其中：江苏交控80%标的股权的转让对价为人民币27,680万元；云杉资本20%标的股权的转让对价为人民币6,920万元。</w:t>
              </w:r>
              <w:r>
                <w:rPr>
                  <w:rFonts w:hint="eastAsia"/>
                </w:rPr>
                <w:t>本次转让完成后，本公司将不再持有保理公司的股权，不再将其纳入本公司合并报表范围。详见本公司于</w:t>
              </w:r>
              <w:r>
                <w:t>2023年2月27日发布的公告。2023年7月，广州市地方金融监督管理局批复同意办理保理公司股东变更。截至报告日，宁沪投资公司已收到保理公司全部股权转让款34,600万元，双方完成交割，目前正在办理工商变更手续。</w:t>
              </w:r>
            </w:p>
          </w:sdtContent>
        </w:sdt>
      </w:sdtContent>
    </w:sdt>
    <w:p>
      <w:pPr>
        <w:pStyle w:val="114"/>
      </w:pPr>
    </w:p>
    <w:sdt>
      <w:sdtPr>
        <w:rPr>
          <w:rFonts w:ascii="宋体" w:hAnsi="宋体" w:cs="宋体"/>
          <w:b w:val="0"/>
          <w:bCs w:val="0"/>
          <w:kern w:val="0"/>
          <w:szCs w:val="22"/>
        </w:rPr>
        <w:alias w:val="模块:主要控股参股公司分析"/>
        <w:tag w:val="_SEC_2a2bbe84e5b044d9b42284613cdb120d"/>
        <w:id w:val="-30146096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7"/>
            </w:numPr>
            <w:rPr>
              <w:rFonts w:ascii="宋体" w:hAnsi="宋体"/>
            </w:rPr>
          </w:pPr>
          <w:r>
            <w:rPr>
              <w:rFonts w:hint="eastAsia" w:ascii="宋体" w:hAnsi="宋体"/>
            </w:rPr>
            <w:t>主要控股参股公司分析</w:t>
          </w:r>
        </w:p>
        <w:sdt>
          <w:sdtPr>
            <w:alias w:val="是否适用：主要控股参股公司分析[双击切换]"/>
            <w:tag w:val="_GBC_3f3bd67865a44413bcd1143c0df7558d"/>
            <w:id w:val="11588054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Cs w:val="0"/>
            </w:rPr>
            <w:alias w:val="主要子公司、参股公司分析"/>
            <w:tag w:val="_GBC_839e73df2f5d460cbcde577c1623d15c"/>
            <w:id w:val="1655100620"/>
            <w:lock w:val="sdtLocked"/>
            <w:placeholder>
              <w:docPart w:val="GBC22222222222222222222222222222"/>
            </w:placeholder>
          </w:sdtPr>
          <w:sdtEndPr>
            <w:rPr>
              <w:rFonts w:hint="eastAsia"/>
              <w:bCs w:val="0"/>
            </w:rPr>
          </w:sdtEndPr>
          <w:sdtContent>
            <w:p>
              <w:pPr>
                <w:pStyle w:val="111"/>
              </w:pPr>
              <w:r>
                <w:rPr>
                  <w:rFonts w:hint="eastAsia"/>
                </w:rPr>
                <w:t>1、重要附属公司经营情况</w:t>
              </w:r>
            </w:p>
            <w:p>
              <w:pPr>
                <w:jc w:val="right"/>
              </w:pPr>
              <w:r>
                <w:rPr>
                  <w:rFonts w:hint="eastAsia"/>
                </w:rPr>
                <w:t>单位：元币种：人民币</w:t>
              </w:r>
            </w:p>
            <w:tbl>
              <w:tblPr>
                <w:tblStyle w:val="109"/>
                <w:tblW w:w="0" w:type="auto"/>
                <w:jc w:val="center"/>
                <w:tblLayout w:type="fixed"/>
                <w:tblCellMar>
                  <w:top w:w="0" w:type="dxa"/>
                  <w:left w:w="108" w:type="dxa"/>
                  <w:bottom w:w="0" w:type="dxa"/>
                  <w:right w:w="108" w:type="dxa"/>
                </w:tblCellMar>
              </w:tblPr>
              <w:tblGrid>
                <w:gridCol w:w="675"/>
                <w:gridCol w:w="1276"/>
                <w:gridCol w:w="992"/>
                <w:gridCol w:w="709"/>
                <w:gridCol w:w="1418"/>
                <w:gridCol w:w="1417"/>
                <w:gridCol w:w="1134"/>
                <w:gridCol w:w="786"/>
                <w:gridCol w:w="642"/>
              </w:tblGrid>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公司名称</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主要业务</w:t>
                    </w:r>
                  </w:p>
                </w:tc>
                <w:tc>
                  <w:tcPr>
                    <w:tcW w:w="992"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投资成本</w:t>
                    </w:r>
                  </w:p>
                </w:tc>
                <w:tc>
                  <w:tcPr>
                    <w:tcW w:w="709"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公司权益</w:t>
                    </w:r>
                    <w:r>
                      <w:rPr>
                        <w:rFonts w:hint="eastAsia" w:ascii="Calibri" w:hAnsi="Calibri" w:eastAsia="Times New Roman" w:cs="Calibri"/>
                        <w:bCs/>
                        <w:sz w:val="18"/>
                        <w:szCs w:val="18"/>
                      </w:rPr>
                      <w:t>%</w:t>
                    </w:r>
                  </w:p>
                </w:tc>
                <w:tc>
                  <w:tcPr>
                    <w:tcW w:w="1418"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总资产</w:t>
                    </w:r>
                  </w:p>
                </w:tc>
                <w:tc>
                  <w:tcPr>
                    <w:tcW w:w="1417"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净资产</w:t>
                    </w:r>
                  </w:p>
                </w:tc>
                <w:tc>
                  <w:tcPr>
                    <w:tcW w:w="1134"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净利润</w:t>
                    </w:r>
                  </w:p>
                </w:tc>
                <w:tc>
                  <w:tcPr>
                    <w:tcW w:w="78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占本公司净利润的比重</w:t>
                    </w:r>
                    <w:r>
                      <w:rPr>
                        <w:rFonts w:hint="eastAsia" w:ascii="Calibri" w:hAnsi="Calibri" w:eastAsia="Times New Roman" w:cs="Calibri"/>
                        <w:bCs/>
                        <w:sz w:val="18"/>
                        <w:szCs w:val="18"/>
                      </w:rPr>
                      <w:t>%</w:t>
                    </w:r>
                  </w:p>
                </w:tc>
                <w:tc>
                  <w:tcPr>
                    <w:tcW w:w="642"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净利润同比增减</w:t>
                    </w:r>
                    <w:r>
                      <w:rPr>
                        <w:rFonts w:hint="eastAsia" w:ascii="Calibri" w:hAnsi="Calibri" w:eastAsia="Times New Roman" w:cs="Calibri"/>
                        <w:bCs/>
                        <w:sz w:val="18"/>
                        <w:szCs w:val="18"/>
                      </w:rPr>
                      <w:t>%</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广靖锡澄公司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高速公路建设、管理、养护及收费等</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2,125,000,000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85</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15,726,731,926.23</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8,952,959,895.06</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456,934,752.50</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17.66</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81.47</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镇丹公司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高速公路兴建、管理、养护及收费</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423,910,000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70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1,640,488,051.24</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378,916,403.22</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-18,952,643.77</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 - </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5.57</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五峰山大桥公司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高速公路兴建、管理、养护及收费</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3,112,980,000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64.5</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12,369,932,448.48</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4,629,256,006.09</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93,871,329.41</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3.63</w:t>
                    </w:r>
                  </w:p>
                </w:tc>
                <w:tc>
                  <w:tcPr>
                    <w:tcW w:w="642"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宁沪投资公司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各类基础设施、实业与产业的投资</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2,154,434,377.98</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4,074,274,383.89</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3,336,398,706.18</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79,356,736.71</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3.07</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76.12</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宁沪置业公司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房地产开发与经营、咨询</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500,000,000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2,473,346,230.16</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1,241,355,685.37</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638,939.51</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0.02</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-97.05</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瀚威公司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房地产开发与经营</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374,499,800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1,519,268,864.81</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248,863,854.31</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10,350,092.07</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0.40</w:t>
                    </w:r>
                  </w:p>
                </w:tc>
                <w:tc>
                  <w:tcPr>
                    <w:tcW w:w="642"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扬子江管理公司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高速公路兴建、管理、养护等</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50,000,000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58,937,334.51</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54,104,966.85</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680,018.87</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0.03</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-31.18</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龙潭大桥公司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高速公路兴建、管理、养护及收费</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1,937,260,000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57.33</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5,613,293,377.14</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3,698,808,845.04</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50,704.77</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-93.61</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宁沪国际公司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境外基础设施投资</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732,310.87</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104,508.88</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19,102.61</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-609.29</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 - </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-97.17</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长江商能公司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高速公路服务区等配套设施经营管理</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100,000,000.00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101,000,827.23</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100,453,476.23</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750,984.31</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0.03</w:t>
                    </w:r>
                  </w:p>
                </w:tc>
                <w:tc>
                  <w:tcPr>
                    <w:tcW w:w="642"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w:t>
                    </w:r>
                  </w:p>
                </w:tc>
              </w:tr>
              <w:tr>
                <w:tblPrEx>
                  <w:tblCellMar>
                    <w:top w:w="0" w:type="dxa"/>
                    <w:left w:w="108" w:type="dxa"/>
                    <w:bottom w:w="0" w:type="dxa"/>
                    <w:right w:w="108" w:type="dxa"/>
                  </w:tblCellMar>
                </w:tblPrEx>
                <w:trPr>
                  <w:cantSplit/>
                  <w:trHeight w:val="2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云杉清能公司</w:t>
                    </w:r>
                  </w:p>
                </w:tc>
                <w:tc>
                  <w:tcPr>
                    <w:tcW w:w="1276" w:type="dxa"/>
                    <w:tcBorders>
                      <w:top w:val="single" w:color="000000" w:sz="4" w:space="0"/>
                      <w:left w:val="nil"/>
                      <w:bottom w:val="single" w:color="000000" w:sz="4" w:space="0"/>
                      <w:right w:val="single" w:color="000000" w:sz="4" w:space="0"/>
                    </w:tcBorders>
                    <w:vAlign w:val="center"/>
                  </w:tcPr>
                  <w:p>
                    <w:pPr>
                      <w:rPr>
                        <w:rFonts w:ascii="Calibri" w:hAnsi="Calibri" w:eastAsia="宋体" w:cs="Times New Roman"/>
                        <w:bCs/>
                        <w:sz w:val="18"/>
                        <w:szCs w:val="18"/>
                      </w:rPr>
                    </w:pPr>
                    <w:r>
                      <w:rPr>
                        <w:rFonts w:hint="eastAsia" w:ascii="宋体" w:hAnsi="宋体" w:eastAsia="宋体" w:cs="宋体"/>
                        <w:bCs/>
                        <w:sz w:val="18"/>
                        <w:szCs w:val="18"/>
                      </w:rPr>
                      <w:t>光伏发电、风力发电的投资、开发、运营管理</w:t>
                    </w:r>
                  </w:p>
                </w:tc>
                <w:tc>
                  <w:tcPr>
                    <w:tcW w:w="99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2,041,782,181.20</w:t>
                    </w:r>
                  </w:p>
                </w:tc>
                <w:tc>
                  <w:tcPr>
                    <w:tcW w:w="709"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100</w:t>
                    </w:r>
                  </w:p>
                </w:tc>
                <w:tc>
                  <w:tcPr>
                    <w:tcW w:w="1418"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6,836,073,488.42</w:t>
                    </w:r>
                  </w:p>
                </w:tc>
                <w:tc>
                  <w:tcPr>
                    <w:tcW w:w="1417"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2,754,106,554.45</w:t>
                    </w:r>
                  </w:p>
                </w:tc>
                <w:tc>
                  <w:tcPr>
                    <w:tcW w:w="1134"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138,222,916.65</w:t>
                    </w:r>
                  </w:p>
                </w:tc>
                <w:tc>
                  <w:tcPr>
                    <w:tcW w:w="786" w:type="dxa"/>
                    <w:tcBorders>
                      <w:top w:val="single" w:color="000000" w:sz="4" w:space="0"/>
                      <w:left w:val="nil"/>
                      <w:bottom w:val="single" w:color="000000" w:sz="4" w:space="0"/>
                      <w:right w:val="single" w:color="000000" w:sz="4" w:space="0"/>
                    </w:tcBorders>
                    <w:vAlign w:val="center"/>
                  </w:tcPr>
                  <w:p>
                    <w:pPr>
                      <w:jc w:val="center"/>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5.34</w:t>
                    </w:r>
                  </w:p>
                </w:tc>
                <w:tc>
                  <w:tcPr>
                    <w:tcW w:w="642" w:type="dxa"/>
                    <w:tcBorders>
                      <w:top w:val="single" w:color="000000" w:sz="4" w:space="0"/>
                      <w:left w:val="nil"/>
                      <w:bottom w:val="single" w:color="000000" w:sz="4" w:space="0"/>
                      <w:right w:val="single" w:color="000000" w:sz="4" w:space="0"/>
                    </w:tcBorders>
                    <w:vAlign w:val="center"/>
                  </w:tcPr>
                  <w:p>
                    <w:pPr>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37.01</w:t>
                    </w:r>
                  </w:p>
                </w:tc>
              </w:tr>
            </w:tbl>
            <w:p>
              <w:pPr>
                <w:rPr>
                  <w:bCs/>
                  <w:sz w:val="18"/>
                  <w:szCs w:val="18"/>
                </w:rPr>
              </w:pPr>
              <w:r>
                <w:rPr>
                  <w:rFonts w:hint="eastAsia"/>
                  <w:sz w:val="18"/>
                  <w:szCs w:val="18"/>
                </w:rPr>
                <w:t>注1：本报告期，受益于集团经营路网通行量上升影响，集团内路桥板块子公司广靖锡澄公司、五峰山大桥公司经营业绩同比均有较大幅度增长。</w:t>
              </w:r>
            </w:p>
            <w:p>
              <w:pPr>
                <w:rPr>
                  <w:sz w:val="18"/>
                  <w:szCs w:val="18"/>
                </w:rPr>
              </w:pPr>
              <w:r>
                <w:rPr>
                  <w:rFonts w:hint="eastAsia"/>
                  <w:sz w:val="18"/>
                  <w:szCs w:val="18"/>
                </w:rPr>
                <w:t>注2：本报告期宁沪投资公司持有的其他非流动金融资产公允价值增值额及分红较去年同期均有所增加，受此影响净利润同比增长。</w:t>
              </w:r>
            </w:p>
            <w:p>
              <w:pPr>
                <w:rPr>
                  <w:sz w:val="18"/>
                  <w:szCs w:val="18"/>
                </w:rPr>
              </w:pPr>
              <w:r>
                <w:rPr>
                  <w:rFonts w:hint="eastAsia"/>
                  <w:sz w:val="18"/>
                  <w:szCs w:val="18"/>
                </w:rPr>
                <w:t>注3：宁沪置业公司、瀚威公司的经营及业绩变动情况见本报告“地产业务”部分的说明。</w:t>
              </w:r>
            </w:p>
            <w:p>
              <w:pPr>
                <w:pStyle w:val="111"/>
              </w:pPr>
              <w:r>
                <w:rPr>
                  <w:rFonts w:hint="eastAsia"/>
                  <w:sz w:val="18"/>
                  <w:szCs w:val="18"/>
                </w:rPr>
                <w:t>注4：</w:t>
              </w:r>
              <w:r>
                <w:rPr>
                  <w:rFonts w:hint="eastAsia"/>
                  <w:bCs w:val="0"/>
                  <w:sz w:val="18"/>
                  <w:szCs w:val="18"/>
                </w:rPr>
                <w:t>受益于天气等因素影响, 云杉清能公司海上风电项目上网电量较去年同期增加，在此带动下，其经营业绩同比增长。</w:t>
              </w:r>
            </w:p>
            <w:p>
              <w:pPr>
                <w:pStyle w:val="114"/>
              </w:pPr>
              <w:r>
                <w:rPr>
                  <w:rFonts w:hint="eastAsia"/>
                </w:rPr>
                <w:t xml:space="preserve"> </w:t>
              </w:r>
            </w:p>
            <w:p>
              <w:pPr>
                <w:pStyle w:val="114"/>
              </w:pPr>
              <w:r>
                <w:rPr>
                  <w:rFonts w:hint="eastAsia"/>
                </w:rPr>
                <w:t>2、重要联营公司经营情况</w:t>
              </w:r>
            </w:p>
            <w:p>
              <w:pPr>
                <w:ind w:firstLine="420" w:firstLineChars="200"/>
              </w:pPr>
              <w:r>
                <w:rPr>
                  <w:rFonts w:hint="eastAsia"/>
                </w:rPr>
                <w:t>报告期内，参股联营公司贡献投资收益约人民币461,732千元，同比增长约35.26%，主要由于在路网通行量上升的带动下，联营公司中占比较大的路桥板块企业经营业绩同比大幅增长。部分重要联营企业经营业绩如下：</w:t>
              </w:r>
            </w:p>
            <w:p>
              <w:pPr>
                <w:wordWrap w:val="0"/>
                <w:ind w:firstLine="482"/>
                <w:jc w:val="right"/>
                <w:rPr>
                  <w:sz w:val="18"/>
                  <w:szCs w:val="18"/>
                </w:rPr>
              </w:pPr>
              <w:r>
                <w:rPr>
                  <w:rFonts w:hint="eastAsia"/>
                  <w:sz w:val="18"/>
                  <w:szCs w:val="18"/>
                </w:rPr>
                <w:t>单位：元  币种：人民币</w:t>
              </w:r>
            </w:p>
            <w:tbl>
              <w:tblPr>
                <w:tblStyle w:val="10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320"/>
                <w:gridCol w:w="1656"/>
                <w:gridCol w:w="768"/>
                <w:gridCol w:w="1558"/>
                <w:gridCol w:w="1476"/>
                <w:gridCol w:w="698"/>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cs="Times New Roman"/>
                        <w:bCs/>
                        <w:color w:val="000000"/>
                        <w:sz w:val="18"/>
                        <w:szCs w:val="18"/>
                      </w:rPr>
                    </w:pPr>
                    <w:bookmarkStart w:id="46" w:name="_Hlk62485439"/>
                    <w:bookmarkEnd w:id="46"/>
                    <w:r>
                      <w:rPr>
                        <w:rFonts w:hint="eastAsia" w:ascii="宋体" w:hAnsi="宋体" w:eastAsia="宋体" w:cs="宋体"/>
                        <w:bCs/>
                        <w:color w:val="000000"/>
                        <w:sz w:val="18"/>
                        <w:szCs w:val="18"/>
                      </w:rPr>
                      <w:t>公司名称</w:t>
                    </w:r>
                  </w:p>
                </w:tc>
                <w:tc>
                  <w:tcPr>
                    <w:tcW w:w="1320" w:type="dxa"/>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主要业务</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投资成本</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本公司应占股本权益％</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归属于联营企业股东的净利润</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贡献的投资收益</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宋体" w:cs="Times New Roman"/>
                        <w:bCs/>
                        <w:color w:val="000000"/>
                        <w:sz w:val="18"/>
                        <w:szCs w:val="18"/>
                      </w:rPr>
                    </w:pPr>
                    <w:r>
                      <w:rPr>
                        <w:rFonts w:hint="eastAsia" w:ascii="宋体" w:hAnsi="宋体" w:eastAsia="宋体" w:cs="宋体"/>
                        <w:bCs/>
                        <w:color w:val="000000"/>
                        <w:sz w:val="18"/>
                        <w:szCs w:val="18"/>
                      </w:rPr>
                      <w:t>占本公司净利润的比重％</w:t>
                    </w:r>
                  </w:p>
                </w:tc>
                <w:tc>
                  <w:tcPr>
                    <w:tcW w:w="0" w:type="auto"/>
                    <w:tcBorders>
                      <w:top w:val="single" w:color="auto" w:sz="4" w:space="0"/>
                      <w:left w:val="nil"/>
                      <w:bottom w:val="single" w:color="auto" w:sz="4" w:space="0"/>
                      <w:right w:val="single" w:color="auto" w:sz="4" w:space="0"/>
                    </w:tcBorders>
                    <w:vAlign w:val="center"/>
                  </w:tcPr>
                  <w:p>
                    <w:pPr>
                      <w:jc w:val="center"/>
                      <w:rPr>
                        <w:rFonts w:ascii="Calibri" w:hAnsi="Calibri" w:eastAsia="Times New Roman" w:cs="Times New Roman"/>
                        <w:bCs/>
                        <w:color w:val="000000"/>
                        <w:sz w:val="18"/>
                        <w:szCs w:val="18"/>
                      </w:rPr>
                    </w:pPr>
                    <w:r>
                      <w:rPr>
                        <w:rFonts w:hint="eastAsia" w:ascii="宋体" w:hAnsi="宋体" w:eastAsia="宋体" w:cs="宋体"/>
                        <w:bCs/>
                        <w:color w:val="000000"/>
                        <w:sz w:val="18"/>
                        <w:szCs w:val="18"/>
                      </w:rPr>
                      <w:t>同比</w:t>
                    </w:r>
                  </w:p>
                  <w:p>
                    <w:pPr>
                      <w:jc w:val="center"/>
                      <w:rPr>
                        <w:rFonts w:ascii="Calibri" w:hAnsi="Calibri" w:eastAsia="Times New Roman" w:cs="Times New Roman"/>
                        <w:bCs/>
                        <w:color w:val="000000"/>
                        <w:sz w:val="18"/>
                        <w:szCs w:val="18"/>
                      </w:rPr>
                    </w:pPr>
                    <w:r>
                      <w:rPr>
                        <w:rFonts w:hint="eastAsia" w:ascii="宋体" w:hAnsi="宋体" w:eastAsia="宋体" w:cs="宋体"/>
                        <w:bCs/>
                        <w:color w:val="000000"/>
                        <w:sz w:val="18"/>
                        <w:szCs w:val="18"/>
                      </w:rPr>
                      <w:t>增减</w:t>
                    </w:r>
                  </w:p>
                  <w:p>
                    <w:pPr>
                      <w:jc w:val="center"/>
                      <w:rPr>
                        <w:rFonts w:ascii="Calibri" w:hAnsi="Calibri" w:eastAsia="宋体" w:cs="Times New Roman"/>
                        <w:bCs/>
                        <w:color w:val="000000"/>
                        <w:sz w:val="18"/>
                        <w:szCs w:val="18"/>
                      </w:rPr>
                    </w:pPr>
                    <w:r>
                      <w:rPr>
                        <w:rFonts w:hint="eastAsia" w:ascii="Calibri" w:hAnsi="Calibri" w:eastAsia="Times New Roman" w:cs="Calibri"/>
                        <w:bCs/>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苏州高速公司</w:t>
                    </w:r>
                  </w:p>
                </w:tc>
                <w:tc>
                  <w:tcPr>
                    <w:tcW w:w="1320" w:type="dxa"/>
                    <w:tcBorders>
                      <w:top w:val="single" w:color="auto" w:sz="4" w:space="0"/>
                      <w:left w:val="nil"/>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主要负责苏嘉杭高速、常嘉高速的管理和经营业务</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957,700,163.00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23.86</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272,270,000.05</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Arial" w:asciiTheme="minorEastAsia" w:hAnsiTheme="minorEastAsia" w:eastAsiaTheme="minorEastAsia"/>
                        <w:bCs/>
                        <w:color w:val="000000"/>
                        <w:sz w:val="18"/>
                        <w:szCs w:val="18"/>
                      </w:rPr>
                      <w:t>64,963,622.00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2.51</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32.54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扬子大桥公司</w:t>
                    </w:r>
                  </w:p>
                </w:tc>
                <w:tc>
                  <w:tcPr>
                    <w:tcW w:w="1320" w:type="dxa"/>
                    <w:tcBorders>
                      <w:top w:val="single" w:color="auto" w:sz="4" w:space="0"/>
                      <w:left w:val="nil"/>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主要负责江阴大桥的管理和经营</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631,159,243.00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26.66</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cs="Times New Roman" w:asciiTheme="minorEastAsia" w:hAnsiTheme="minorEastAsia" w:eastAsiaTheme="minorEastAsia"/>
                        <w:bCs/>
                        <w:sz w:val="18"/>
                        <w:szCs w:val="18"/>
                      </w:rPr>
                      <w:t>689,999,999.97</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Arial" w:asciiTheme="minorEastAsia" w:hAnsiTheme="minorEastAsia" w:eastAsiaTheme="minorEastAsia"/>
                        <w:bCs/>
                        <w:color w:val="000000"/>
                        <w:sz w:val="18"/>
                        <w:szCs w:val="18"/>
                      </w:rPr>
                      <w:t>183,954,000.00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7.11</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79.99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沿江公司</w:t>
                    </w:r>
                  </w:p>
                </w:tc>
                <w:tc>
                  <w:tcPr>
                    <w:tcW w:w="1320" w:type="dxa"/>
                    <w:tcBorders>
                      <w:top w:val="single" w:color="auto" w:sz="4" w:space="0"/>
                      <w:left w:val="nil"/>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主要负责沿江高速的管理和经营</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1,466,200,000.00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25.15</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Times New Roman" w:asciiTheme="minorEastAsia" w:hAnsiTheme="minorEastAsia" w:eastAsiaTheme="minorEastAsia"/>
                        <w:bCs/>
                        <w:color w:val="000000"/>
                        <w:sz w:val="18"/>
                        <w:szCs w:val="18"/>
                      </w:rPr>
                      <w:t>379,625,005.54</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Arial" w:asciiTheme="minorEastAsia" w:hAnsiTheme="minorEastAsia" w:eastAsiaTheme="minorEastAsia"/>
                        <w:bCs/>
                        <w:color w:val="000000"/>
                        <w:sz w:val="18"/>
                        <w:szCs w:val="18"/>
                      </w:rPr>
                      <w:t>104,776,501.53</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4.05</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23.58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紫金信托公司</w:t>
                    </w:r>
                  </w:p>
                </w:tc>
                <w:tc>
                  <w:tcPr>
                    <w:tcW w:w="1320" w:type="dxa"/>
                    <w:tcBorders>
                      <w:top w:val="single" w:color="auto" w:sz="4" w:space="0"/>
                      <w:left w:val="nil"/>
                      <w:bottom w:val="single" w:color="auto" w:sz="4" w:space="0"/>
                      <w:right w:val="single" w:color="auto" w:sz="4" w:space="0"/>
                    </w:tcBorders>
                    <w:vAlign w:val="center"/>
                  </w:tcPr>
                  <w:p>
                    <w:pPr>
                      <w:rPr>
                        <w:rFonts w:ascii="Calibri" w:hAnsi="Calibri" w:eastAsia="宋体" w:cs="Times New Roman"/>
                        <w:bCs/>
                        <w:color w:val="000000"/>
                        <w:sz w:val="18"/>
                        <w:szCs w:val="18"/>
                      </w:rPr>
                    </w:pPr>
                    <w:r>
                      <w:rPr>
                        <w:rFonts w:hint="eastAsia" w:ascii="宋体" w:hAnsi="宋体" w:eastAsia="宋体" w:cs="宋体"/>
                        <w:bCs/>
                        <w:color w:val="000000"/>
                        <w:sz w:val="18"/>
                        <w:szCs w:val="18"/>
                      </w:rPr>
                      <w:t>主要从事法律法规或中国银行业监督管理委员会批准的信托投资等业务</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1,989,582,000.00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sz w:val="18"/>
                        <w:szCs w:val="18"/>
                      </w:rPr>
                    </w:pPr>
                    <w:r>
                      <w:rPr>
                        <w:rFonts w:hint="eastAsia" w:cs="Calibri" w:asciiTheme="minorEastAsia" w:hAnsiTheme="minorEastAsia" w:eastAsiaTheme="minorEastAsia"/>
                        <w:bCs/>
                        <w:sz w:val="18"/>
                        <w:szCs w:val="18"/>
                      </w:rPr>
                      <w:t>20.00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Times New Roman" w:asciiTheme="minorEastAsia" w:hAnsiTheme="minorEastAsia" w:eastAsiaTheme="minorEastAsia"/>
                        <w:bCs/>
                        <w:color w:val="000000"/>
                        <w:sz w:val="18"/>
                        <w:szCs w:val="18"/>
                      </w:rPr>
                      <w:t>128,785,814.95</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cs="Arial" w:asciiTheme="minorEastAsia" w:hAnsiTheme="minorEastAsia" w:eastAsiaTheme="minorEastAsia"/>
                        <w:bCs/>
                        <w:color w:val="000000"/>
                        <w:sz w:val="18"/>
                        <w:szCs w:val="18"/>
                      </w:rPr>
                      <w:t>25,757,162.99</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1.00</w:t>
                    </w:r>
                  </w:p>
                </w:tc>
                <w:tc>
                  <w:tcPr>
                    <w:tcW w:w="0" w:type="auto"/>
                    <w:tcBorders>
                      <w:top w:val="single" w:color="auto" w:sz="4" w:space="0"/>
                      <w:left w:val="nil"/>
                      <w:bottom w:val="single" w:color="auto" w:sz="4" w:space="0"/>
                      <w:right w:val="single" w:color="auto" w:sz="4" w:space="0"/>
                    </w:tcBorders>
                    <w:vAlign w:val="center"/>
                  </w:tcPr>
                  <w:p>
                    <w:pPr>
                      <w:jc w:val="right"/>
                      <w:rPr>
                        <w:rFonts w:cs="Times New Roman" w:asciiTheme="minorEastAsia" w:hAnsiTheme="minorEastAsia" w:eastAsiaTheme="minorEastAsia"/>
                        <w:bCs/>
                        <w:color w:val="000000"/>
                        <w:sz w:val="18"/>
                        <w:szCs w:val="18"/>
                      </w:rPr>
                    </w:pPr>
                    <w:r>
                      <w:rPr>
                        <w:rFonts w:hint="eastAsia" w:cs="Calibri" w:asciiTheme="minorEastAsia" w:hAnsiTheme="minorEastAsia" w:eastAsiaTheme="minorEastAsia"/>
                        <w:bCs/>
                        <w:color w:val="000000"/>
                        <w:sz w:val="18"/>
                        <w:szCs w:val="18"/>
                      </w:rPr>
                      <w:t>-41.89</w:t>
                    </w:r>
                  </w:p>
                </w:tc>
              </w:tr>
            </w:tbl>
            <w:p>
              <w:pPr>
                <w:pStyle w:val="114"/>
              </w:pPr>
            </w:p>
          </w:sdtContent>
        </w:sdt>
      </w:sdtContent>
    </w:sdt>
    <w:sdt>
      <w:sdtPr>
        <w:rPr>
          <w:rFonts w:ascii="宋体" w:hAnsi="宋体" w:cs="宋体"/>
          <w:b w:val="0"/>
          <w:bCs w:val="0"/>
          <w:kern w:val="0"/>
          <w:szCs w:val="24"/>
        </w:rPr>
        <w:alias w:val="模块:公司控制的结构化主体情况"/>
        <w:tag w:val="_SEC_1ac5f271c9c14f569093b3be96ecc8d2"/>
        <w:id w:val="-183743710"/>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7"/>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117476825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5"/>
        </w:numPr>
        <w:tabs>
          <w:tab w:val="left" w:pos="426"/>
        </w:tabs>
        <w:ind w:left="422" w:hanging="422"/>
        <w:jc w:val="left"/>
        <w:rPr>
          <w:rFonts w:ascii="宋体" w:hAnsi="宋体" w:cs="宋体"/>
          <w:kern w:val="0"/>
          <w:szCs w:val="24"/>
        </w:rPr>
      </w:pPr>
      <w:r>
        <w:rPr>
          <w:rFonts w:hint="eastAsia" w:ascii="宋体" w:hAnsi="宋体" w:cs="宋体"/>
          <w:kern w:val="0"/>
          <w:szCs w:val="24"/>
        </w:rPr>
        <w:t>其他披露事项</w:t>
      </w:r>
    </w:p>
    <w:sdt>
      <w:sdtPr>
        <w:rPr>
          <w:rFonts w:ascii="宋体" w:hAnsi="宋体" w:cs="宋体"/>
          <w:b w:val="0"/>
          <w:bCs w:val="0"/>
          <w:kern w:val="0"/>
          <w:szCs w:val="24"/>
        </w:rPr>
        <w:alias w:val="模块:可能面对的风险"/>
        <w:tag w:val="_SEC_81e2de17d1214ba3b0e3ff89b6c2b65d"/>
        <w:id w:val="-147289720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13"/>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25342693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可能面对的风险"/>
            <w:tag w:val="_GBC_6e03b01ba4f1453dbc563404b41bfdbc"/>
            <w:id w:val="-1009214867"/>
            <w:lock w:val="sdtLocked"/>
            <w:placeholder>
              <w:docPart w:val="GBC22222222222222222222222222222"/>
            </w:placeholder>
          </w:sdtPr>
          <w:sdtEndPr>
            <w:rPr>
              <w:rFonts w:hint="eastAsia"/>
            </w:rPr>
          </w:sdtEndPr>
          <w:sdtContent>
            <w:p>
              <w:pPr>
                <w:ind w:firstLine="420" w:firstLineChars="200"/>
              </w:pPr>
              <w:r>
                <w:rPr>
                  <w:rFonts w:hint="eastAsia"/>
                </w:rPr>
                <w:t>结合宏观环境及当前业务情况，集团主要面临以下风险：</w:t>
              </w:r>
            </w:p>
            <w:p>
              <w:pPr>
                <w:ind w:firstLine="420" w:firstLineChars="200"/>
              </w:pPr>
              <w:r>
                <w:rPr>
                  <w:rFonts w:hint="eastAsia"/>
                </w:rPr>
                <w:t>1、行业政策风险</w:t>
              </w:r>
            </w:p>
            <w:p>
              <w:pPr>
                <w:ind w:firstLine="420" w:firstLineChars="200"/>
              </w:pPr>
              <w:r>
                <w:rPr>
                  <w:rFonts w:hint="eastAsia"/>
                </w:rPr>
                <w:t>风险分析：集团核心业务是收费路桥的投资、建设、运营和管理，通行费收入是集团当前主要收入来源。行业政策、国家宏观调控政策和税收政策的调整、变化将直接或间接地影响集团业务收入，面临着行业政策带来的经营风险。</w:t>
              </w:r>
            </w:p>
            <w:p>
              <w:pPr>
                <w:ind w:firstLine="420" w:firstLineChars="200"/>
              </w:pPr>
              <w:r>
                <w:rPr>
                  <w:rFonts w:hint="eastAsia"/>
                </w:rPr>
                <w:t>应对措施：针对政策性风险，集团密切关注政策动向，积极开展政策解读，建立政策风险动态跟踪评估机制，加强与政府有关部门，特别是交通、财政、税收、物价部门的联系和沟通，及时调整经营决策，拓展新的利润增长点，减少通行费收入下行压力；同时积极开展与主营业务相关的多种经营活动，降低产业结构相对单一带来的风险。</w:t>
              </w:r>
            </w:p>
            <w:p>
              <w:pPr>
                <w:ind w:firstLine="420" w:firstLineChars="200"/>
              </w:pPr>
              <w:r>
                <w:rPr>
                  <w:rFonts w:hint="eastAsia"/>
                </w:rPr>
                <w:t>2、竞争格局变化风险</w:t>
              </w:r>
            </w:p>
            <w:p>
              <w:pPr>
                <w:ind w:firstLine="420" w:firstLineChars="200"/>
              </w:pPr>
              <w:r>
                <w:rPr>
                  <w:rFonts w:hint="eastAsia"/>
                </w:rPr>
                <w:t>风险分析：随着高速公路网的逐年完善，行业竞争日趋激烈，具有替代效应的路桥开通将会降低集团市场份额及收入增长速度；江苏省内铁路网络的不断延伸，将会挤占集团原有的市场份额，影响集团未来主营业务的发展。</w:t>
              </w:r>
            </w:p>
            <w:p>
              <w:pPr>
                <w:ind w:firstLine="420" w:firstLineChars="200"/>
              </w:pPr>
              <w:r>
                <w:rPr>
                  <w:rFonts w:hint="eastAsia"/>
                </w:rPr>
                <w:t>应对措施：打造优质路况和路容路貌，创造舒适旅途环境，树立良好的品牌形象；建设路网运营协作平台，提升道路信息共享和管控能力，提高服务质量；推进“智慧高速”建设，探索 5G 场景应用，增加司乘人员对集团路段的粘度。同时，密切关注区域路网规划，及时制定应对策略，增强应变能力。</w:t>
              </w:r>
            </w:p>
            <w:p>
              <w:pPr>
                <w:ind w:firstLine="420" w:firstLineChars="200"/>
              </w:pPr>
              <w:r>
                <w:rPr>
                  <w:rFonts w:hint="eastAsia"/>
                </w:rPr>
                <w:t>3、项目投资风险</w:t>
              </w:r>
            </w:p>
            <w:p>
              <w:pPr>
                <w:ind w:firstLine="420" w:firstLineChars="200"/>
              </w:pPr>
              <w:r>
                <w:rPr>
                  <w:rFonts w:hint="eastAsia"/>
                </w:rPr>
                <w:t>风险分析：集团在建路桥项目、新建路桥项目，受到经济、政治及相关因素的影响，存在未来收益不及预期的风险；对于金融及类金融产品的投资，存在因市场波动或系统性风险而导致的投资损失及收益风险。</w:t>
              </w:r>
            </w:p>
            <w:p>
              <w:pPr>
                <w:ind w:firstLine="420" w:firstLineChars="200"/>
              </w:pPr>
              <w:r>
                <w:rPr>
                  <w:rFonts w:hint="eastAsia"/>
                </w:rPr>
                <w:t>应对措施：完善专业人才引进与培养机制，提升项目调研能力，增强前瞻性判断，提高投资成功概率；强化集团对外投资的内控措施，建立科学的投资决策程序，降低投资风险发生概率。</w:t>
              </w:r>
            </w:p>
            <w:p>
              <w:pPr>
                <w:ind w:firstLine="420" w:firstLineChars="200"/>
              </w:pPr>
              <w:r>
                <w:rPr>
                  <w:rFonts w:hint="eastAsia"/>
                </w:rPr>
                <w:t>4、房地产去库存不及预期风险</w:t>
              </w:r>
            </w:p>
            <w:p>
              <w:pPr>
                <w:ind w:firstLine="420" w:firstLineChars="200"/>
              </w:pPr>
              <w:r>
                <w:rPr>
                  <w:rFonts w:hint="eastAsia"/>
                </w:rPr>
                <w:t>风险分析：房地产产业链与周期较长，受市场环境和政策影响较大，经济运行环境，财政和货币政策变化，以及房地产调控政策，可能影响集团房地产的销售周期与销售业绩，导致房地产业务去化周期的延长，进一步影响去库存及地产基金退出进度。</w:t>
              </w:r>
            </w:p>
            <w:p>
              <w:pPr>
                <w:ind w:firstLine="420" w:firstLineChars="200"/>
              </w:pPr>
              <w:r>
                <w:rPr>
                  <w:rFonts w:hint="eastAsia"/>
                </w:rPr>
                <w:t>应对措施：建立风险管理体系和常态化的风险评估机制，实时关注行业政策、宏观经济和行业发展形势，将风险管理融入到房地产项目中去，提升项目专业化管理，加强对政策走势及市场走向的研判能力，采取有效的防范措施，增强去库存力度，加强地产基金的管控力度，最大限度地降低风险。</w:t>
              </w:r>
            </w:p>
          </w:sdtContent>
        </w:sdt>
      </w:sdtContent>
    </w:sdt>
    <w:p>
      <w:pPr>
        <w:pStyle w:val="114"/>
      </w:pPr>
    </w:p>
    <w:sdt>
      <w:sdtPr>
        <w:rPr>
          <w:rFonts w:ascii="宋体" w:hAnsi="宋体" w:cs="宋体"/>
          <w:b w:val="0"/>
          <w:bCs w:val="0"/>
          <w:kern w:val="0"/>
          <w:szCs w:val="24"/>
        </w:rPr>
        <w:alias w:val="模块:其他披露事项"/>
        <w:tag w:val="_SEC_2d00d0d8a1b7409b884a0beb6a447e0d"/>
        <w:id w:val="1240825446"/>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13"/>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190721087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kern w:val="2"/>
            </w:rPr>
            <w:alias w:val="董事会其他需要披露的事项"/>
            <w:tag w:val="_GBC_1751869900474e38a4456794ea384b7e"/>
            <w:id w:val="-349569706"/>
            <w:lock w:val="sdtLocked"/>
            <w:placeholder>
              <w:docPart w:val="GBC22222222222222222222222222222"/>
            </w:placeholder>
          </w:sdtPr>
          <w:sdtEndPr>
            <w:rPr>
              <w:bCs w:val="0"/>
              <w:kern w:val="0"/>
            </w:rPr>
          </w:sdtEndPr>
          <w:sdtContent>
            <w:p>
              <w:pPr>
                <w:ind w:firstLine="420" w:firstLineChars="200"/>
              </w:pPr>
              <w:r>
                <w:rPr>
                  <w:rFonts w:hint="eastAsia"/>
                </w:rPr>
                <w:t>1、投资计划及融资计划</w:t>
              </w:r>
            </w:p>
            <w:p>
              <w:pPr>
                <w:ind w:firstLine="420" w:firstLineChars="200"/>
              </w:pPr>
              <w:r>
                <w:rPr>
                  <w:rFonts w:hint="eastAsia"/>
                </w:rPr>
                <w:t>2023年下半年，本集团预计主要资本开支项目如下：</w:t>
              </w:r>
            </w:p>
            <w:tbl>
              <w:tblPr>
                <w:tblStyle w:val="109"/>
                <w:tblW w:w="4865" w:type="pct"/>
                <w:tblInd w:w="93" w:type="dxa"/>
                <w:tblLayout w:type="autofit"/>
                <w:tblCellMar>
                  <w:top w:w="0" w:type="dxa"/>
                  <w:left w:w="108" w:type="dxa"/>
                  <w:bottom w:w="0" w:type="dxa"/>
                  <w:right w:w="108" w:type="dxa"/>
                </w:tblCellMar>
              </w:tblPr>
              <w:tblGrid>
                <w:gridCol w:w="4268"/>
                <w:gridCol w:w="4537"/>
              </w:tblGrid>
              <w:tr>
                <w:tblPrEx>
                  <w:tblCellMar>
                    <w:top w:w="0" w:type="dxa"/>
                    <w:left w:w="108" w:type="dxa"/>
                    <w:bottom w:w="0" w:type="dxa"/>
                    <w:right w:w="108" w:type="dxa"/>
                  </w:tblCellMar>
                </w:tblPrEx>
                <w:trPr>
                  <w:trHeight w:val="270" w:hRule="atLeast"/>
                </w:trPr>
                <w:tc>
                  <w:tcPr>
                    <w:tcW w:w="4268" w:type="dxa"/>
                    <w:tcBorders>
                      <w:top w:val="single" w:color="auto" w:sz="4" w:space="0"/>
                      <w:left w:val="single" w:color="auto" w:sz="4" w:space="0"/>
                      <w:bottom w:val="single" w:color="auto" w:sz="4" w:space="0"/>
                      <w:right w:val="single" w:color="auto" w:sz="4" w:space="0"/>
                    </w:tcBorders>
                    <w:noWrap/>
                    <w:vAlign w:val="bottom"/>
                  </w:tcPr>
                  <w:p>
                    <w:pPr>
                      <w:ind w:firstLine="738" w:firstLineChars="350"/>
                      <w:rPr>
                        <w:rFonts w:ascii="Calibri" w:hAnsi="Calibri" w:eastAsia="宋体" w:cs="Times New Roman"/>
                        <w:b/>
                        <w:bCs w:val="0"/>
                        <w:color w:val="000000"/>
                        <w:sz w:val="21"/>
                        <w:szCs w:val="21"/>
                      </w:rPr>
                    </w:pPr>
                    <w:r>
                      <w:rPr>
                        <w:rFonts w:hint="eastAsia" w:ascii="宋体" w:hAnsi="宋体" w:eastAsia="宋体" w:cs="宋体"/>
                        <w:b/>
                        <w:bCs w:val="0"/>
                        <w:color w:val="000000"/>
                        <w:sz w:val="21"/>
                        <w:szCs w:val="21"/>
                      </w:rPr>
                      <w:t>投资项目名称</w:t>
                    </w:r>
                  </w:p>
                </w:tc>
                <w:tc>
                  <w:tcPr>
                    <w:tcW w:w="4537" w:type="dxa"/>
                    <w:tcBorders>
                      <w:top w:val="single" w:color="auto" w:sz="4" w:space="0"/>
                      <w:left w:val="nil"/>
                      <w:bottom w:val="single" w:color="auto" w:sz="4" w:space="0"/>
                      <w:right w:val="single" w:color="auto" w:sz="4" w:space="0"/>
                    </w:tcBorders>
                    <w:noWrap/>
                    <w:vAlign w:val="bottom"/>
                  </w:tcPr>
                  <w:p>
                    <w:pPr>
                      <w:rPr>
                        <w:rFonts w:ascii="Calibri" w:hAnsi="Calibri" w:eastAsia="宋体" w:cs="Times New Roman"/>
                        <w:bCs w:val="0"/>
                        <w:color w:val="000000"/>
                        <w:sz w:val="21"/>
                        <w:szCs w:val="21"/>
                      </w:rPr>
                    </w:pPr>
                    <w:r>
                      <w:rPr>
                        <w:rFonts w:hint="eastAsia" w:ascii="宋体" w:hAnsi="宋体" w:eastAsia="宋体" w:cs="宋体"/>
                        <w:bCs w:val="0"/>
                        <w:color w:val="000000"/>
                        <w:sz w:val="21"/>
                        <w:szCs w:val="21"/>
                      </w:rPr>
                      <w:t>　</w:t>
                    </w:r>
                    <w:r>
                      <w:rPr>
                        <w:rFonts w:hint="eastAsia" w:ascii="Calibri" w:hAnsi="Calibri" w:eastAsia="Times New Roman" w:cs="Times New Roman"/>
                        <w:bCs w:val="0"/>
                        <w:color w:val="000000"/>
                        <w:sz w:val="21"/>
                        <w:szCs w:val="21"/>
                      </w:rPr>
                      <w:t xml:space="preserve"> </w:t>
                    </w:r>
                    <w:r>
                      <w:rPr>
                        <w:rFonts w:ascii="Calibri" w:hAnsi="Calibri" w:eastAsia="Times New Roman" w:cs="Calibri"/>
                        <w:bCs w:val="0"/>
                        <w:color w:val="000000"/>
                        <w:sz w:val="21"/>
                        <w:szCs w:val="21"/>
                      </w:rPr>
                      <w:t xml:space="preserve">     </w:t>
                    </w:r>
                    <w:r>
                      <w:rPr>
                        <w:rFonts w:hint="eastAsia" w:ascii="宋体" w:hAnsi="宋体" w:eastAsia="宋体" w:cs="宋体"/>
                        <w:b/>
                        <w:bCs/>
                        <w:color w:val="000000"/>
                        <w:sz w:val="21"/>
                        <w:szCs w:val="21"/>
                      </w:rPr>
                      <w:t>金额（人民币元）</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bottom"/>
                  </w:tcPr>
                  <w:p>
                    <w:pPr>
                      <w:rPr>
                        <w:rFonts w:cs="Times New Roman" w:asciiTheme="minorEastAsia" w:hAnsiTheme="minorEastAsia" w:eastAsiaTheme="minorEastAsia"/>
                        <w:bCs w:val="0"/>
                        <w:sz w:val="21"/>
                        <w:szCs w:val="21"/>
                      </w:rPr>
                    </w:pPr>
                    <w:r>
                      <w:rPr>
                        <w:rFonts w:cs="Times New Roman" w:asciiTheme="minorEastAsia" w:hAnsiTheme="minorEastAsia" w:eastAsiaTheme="minorEastAsia"/>
                        <w:bCs/>
                        <w:sz w:val="21"/>
                        <w:szCs w:val="21"/>
                      </w:rPr>
                      <w:t>龙潭大桥及北接线项目</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1,704,145,404.00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bottom"/>
                  </w:tcPr>
                  <w:p>
                    <w:pPr>
                      <w:rPr>
                        <w:rFonts w:cs="Times New Roman" w:asciiTheme="minorEastAsia" w:hAnsiTheme="minorEastAsia" w:eastAsiaTheme="minorEastAsia"/>
                        <w:bCs/>
                        <w:sz w:val="21"/>
                        <w:szCs w:val="21"/>
                      </w:rPr>
                    </w:pPr>
                    <w:r>
                      <w:rPr>
                        <w:rFonts w:cs="Times New Roman" w:asciiTheme="minorEastAsia" w:hAnsiTheme="minorEastAsia" w:eastAsiaTheme="minorEastAsia"/>
                        <w:bCs/>
                        <w:sz w:val="21"/>
                        <w:szCs w:val="21"/>
                      </w:rPr>
                      <w:t>锡宜高速南段扩建项目</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1,142,012,431.00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bottom"/>
                  </w:tcPr>
                  <w:p>
                    <w:pPr>
                      <w:rPr>
                        <w:rFonts w:cs="Times New Roman" w:asciiTheme="minorEastAsia" w:hAnsiTheme="minorEastAsia" w:eastAsiaTheme="minorEastAsia"/>
                        <w:bCs w:val="0"/>
                        <w:sz w:val="21"/>
                        <w:szCs w:val="21"/>
                      </w:rPr>
                    </w:pPr>
                    <w:r>
                      <w:rPr>
                        <w:rFonts w:cs="Times New Roman" w:asciiTheme="minorEastAsia" w:hAnsiTheme="minorEastAsia" w:eastAsiaTheme="minorEastAsia"/>
                        <w:bCs/>
                        <w:sz w:val="21"/>
                        <w:szCs w:val="21"/>
                      </w:rPr>
                      <w:t>云杉清能公司光伏电站项目投资</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171,103,349.33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center"/>
                  </w:tcPr>
                  <w:p>
                    <w:pPr>
                      <w:rPr>
                        <w:rFonts w:cs="Times New Roman" w:asciiTheme="minorEastAsia" w:hAnsiTheme="minorEastAsia" w:eastAsiaTheme="minorEastAsia"/>
                        <w:bCs w:val="0"/>
                        <w:sz w:val="21"/>
                        <w:szCs w:val="21"/>
                      </w:rPr>
                    </w:pPr>
                    <w:r>
                      <w:rPr>
                        <w:rFonts w:cs="Times New Roman" w:asciiTheme="minorEastAsia" w:hAnsiTheme="minorEastAsia" w:eastAsiaTheme="minorEastAsia"/>
                        <w:bCs/>
                        <w:sz w:val="21"/>
                        <w:szCs w:val="21"/>
                      </w:rPr>
                      <w:t>服务区与收费站改扩建</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18,990,580.17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center"/>
                  </w:tcPr>
                  <w:p>
                    <w:pPr>
                      <w:rPr>
                        <w:rFonts w:cs="Times New Roman" w:asciiTheme="minorEastAsia" w:hAnsiTheme="minorEastAsia" w:eastAsiaTheme="minorEastAsia"/>
                        <w:bCs w:val="0"/>
                        <w:sz w:val="21"/>
                        <w:szCs w:val="21"/>
                      </w:rPr>
                    </w:pPr>
                    <w:r>
                      <w:rPr>
                        <w:rFonts w:cs="Times New Roman" w:asciiTheme="minorEastAsia" w:hAnsiTheme="minorEastAsia" w:eastAsiaTheme="minorEastAsia"/>
                        <w:bCs/>
                        <w:sz w:val="21"/>
                        <w:szCs w:val="21"/>
                      </w:rPr>
                      <w:t>三大系统及信息化建设项目</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112,822,998.21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center"/>
                  </w:tcPr>
                  <w:p>
                    <w:pPr>
                      <w:rPr>
                        <w:rFonts w:cs="Times New Roman" w:asciiTheme="minorEastAsia" w:hAnsiTheme="minorEastAsia" w:eastAsiaTheme="minorEastAsia"/>
                        <w:bCs w:val="0"/>
                        <w:sz w:val="21"/>
                        <w:szCs w:val="21"/>
                      </w:rPr>
                    </w:pPr>
                    <w:r>
                      <w:rPr>
                        <w:rFonts w:cs="Times New Roman" w:asciiTheme="minorEastAsia" w:hAnsiTheme="minorEastAsia" w:eastAsiaTheme="minorEastAsia"/>
                        <w:bCs/>
                        <w:sz w:val="21"/>
                        <w:szCs w:val="21"/>
                      </w:rPr>
                      <w:t>集团其他资本支出</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37,980,295.05 </w:t>
                    </w:r>
                  </w:p>
                </w:tc>
              </w:tr>
              <w:tr>
                <w:tblPrEx>
                  <w:tblCellMar>
                    <w:top w:w="0" w:type="dxa"/>
                    <w:left w:w="108" w:type="dxa"/>
                    <w:bottom w:w="0" w:type="dxa"/>
                    <w:right w:w="108" w:type="dxa"/>
                  </w:tblCellMar>
                </w:tblPrEx>
                <w:trPr>
                  <w:trHeight w:val="270" w:hRule="atLeast"/>
                </w:trPr>
                <w:tc>
                  <w:tcPr>
                    <w:tcW w:w="4268" w:type="dxa"/>
                    <w:tcBorders>
                      <w:top w:val="nil"/>
                      <w:left w:val="single" w:color="auto" w:sz="4" w:space="0"/>
                      <w:bottom w:val="single" w:color="auto" w:sz="4" w:space="0"/>
                      <w:right w:val="single" w:color="auto" w:sz="4" w:space="0"/>
                    </w:tcBorders>
                    <w:noWrap/>
                    <w:vAlign w:val="center"/>
                  </w:tcPr>
                  <w:p>
                    <w:pPr>
                      <w:jc w:val="center"/>
                      <w:rPr>
                        <w:rFonts w:cs="Times New Roman" w:asciiTheme="minorEastAsia" w:hAnsiTheme="minorEastAsia" w:eastAsiaTheme="minorEastAsia"/>
                        <w:b/>
                        <w:bCs w:val="0"/>
                        <w:sz w:val="21"/>
                        <w:szCs w:val="21"/>
                      </w:rPr>
                    </w:pPr>
                    <w:r>
                      <w:rPr>
                        <w:rFonts w:cs="Times New Roman" w:asciiTheme="minorEastAsia" w:hAnsiTheme="minorEastAsia" w:eastAsiaTheme="minorEastAsia"/>
                        <w:b/>
                        <w:bCs/>
                        <w:sz w:val="21"/>
                        <w:szCs w:val="21"/>
                      </w:rPr>
                      <w:t>合计</w:t>
                    </w:r>
                  </w:p>
                </w:tc>
                <w:tc>
                  <w:tcPr>
                    <w:tcW w:w="4537" w:type="dxa"/>
                    <w:tcBorders>
                      <w:top w:val="nil"/>
                      <w:left w:val="nil"/>
                      <w:bottom w:val="single" w:color="auto" w:sz="4" w:space="0"/>
                      <w:right w:val="single" w:color="auto" w:sz="4" w:space="0"/>
                    </w:tcBorders>
                    <w:noWrap/>
                    <w:vAlign w:val="center"/>
                  </w:tcPr>
                  <w:p>
                    <w:pPr>
                      <w:jc w:val="right"/>
                      <w:rPr>
                        <w:rFonts w:cs="Times New Roman" w:asciiTheme="minorEastAsia" w:hAnsiTheme="minorEastAsia" w:eastAsiaTheme="minorEastAsia"/>
                        <w:bCs w:val="0"/>
                        <w:sz w:val="21"/>
                        <w:szCs w:val="21"/>
                      </w:rPr>
                    </w:pPr>
                    <w:r>
                      <w:rPr>
                        <w:rFonts w:hint="eastAsia" w:cs="Times New Roman" w:asciiTheme="minorEastAsia" w:hAnsiTheme="minorEastAsia" w:eastAsiaTheme="minorEastAsia"/>
                        <w:bCs/>
                        <w:color w:val="000000"/>
                        <w:sz w:val="21"/>
                        <w:szCs w:val="21"/>
                      </w:rPr>
                      <w:t xml:space="preserve">3,187,055,057.76 </w:t>
                    </w:r>
                  </w:p>
                </w:tc>
              </w:tr>
            </w:tbl>
            <w:p>
              <w:pPr>
                <w:pStyle w:val="112"/>
                <w:ind w:firstLine="420" w:firstLineChars="200"/>
              </w:pPr>
              <w:r>
                <w:rPr>
                  <w:rFonts w:hint="eastAsia"/>
                </w:rPr>
                <w:t>本集团将在充分利用自有资金的基础上，根据资本市场情况，适时调整融资策略，进一步优化债务结构，降低资金成本，以满足集团经营、发展需要。同时积极探索多种融资方式，为集团发展提供有效的资金支撑，也为集团未来布局提前谋划。截至报告期末，本集团已在中国银行间市场交易商协会注册但尚未发行的有效期限为一年以上的超短融额度约人民币</w:t>
              </w:r>
              <w:r>
                <w:t>61.5</w:t>
              </w:r>
              <w:r>
                <w:rPr>
                  <w:rFonts w:hint="eastAsia"/>
                </w:rPr>
                <w:t>亿元；已在中国银行间市场交易商协会注册但尚未发行的有效期限为一年以上的中期票据额度为人民币45亿元；已获得中国证券监督管理委员会批准注册但尚未发行的有效期限为一年以上的绿色公司债额度为人民币10亿元；已与银行签署授信合同但尚未使用，授信期限在一年以上的借款额度不低于人民币</w:t>
              </w:r>
              <w:r>
                <w:t>1</w:t>
              </w:r>
              <w:r>
                <w:rPr>
                  <w:rFonts w:hint="eastAsia"/>
                </w:rPr>
                <w:t>00亿元。融资额度将足够支撑集团资本开支、债务滚动和业务发展。如有特殊情况需要其他资金支出的，本集团将根据支出规模和实际现金流情况调整融资计划。</w:t>
              </w:r>
            </w:p>
            <w:p>
              <w:pPr>
                <w:rPr>
                  <w:bCs/>
                  <w:kern w:val="2"/>
                </w:rPr>
              </w:pPr>
              <w:r>
                <w:br w:type="page"/>
              </w:r>
            </w:p>
          </w:sdtContent>
        </w:sdt>
      </w:sdtContent>
    </w:sdt>
    <w:bookmarkEnd w:id="33"/>
    <w:bookmarkEnd w:id="34"/>
    <w:p>
      <w:pPr>
        <w:pStyle w:val="2"/>
        <w:numPr>
          <w:ilvl w:val="0"/>
          <w:numId w:val="2"/>
        </w:numPr>
        <w:rPr>
          <w:rFonts w:ascii="黑体" w:hAnsi="黑体"/>
        </w:rPr>
      </w:pPr>
      <w:bookmarkStart w:id="47" w:name="_Toc76114275"/>
      <w:r>
        <w:rPr>
          <w:rFonts w:hint="eastAsia" w:ascii="黑体" w:hAnsi="黑体"/>
        </w:rPr>
        <w:t>公司治理</w:t>
      </w:r>
      <w:bookmarkEnd w:id="47"/>
    </w:p>
    <w:sdt>
      <w:sdtPr>
        <w:rPr>
          <w:rFonts w:ascii="宋体" w:hAnsi="宋体" w:cs="宋体"/>
          <w:b w:val="0"/>
          <w:bCs w:val="0"/>
          <w:kern w:val="0"/>
          <w:szCs w:val="24"/>
        </w:rPr>
        <w:alias w:val="模块:股东大会情况简介"/>
        <w:tag w:val="_SEC_d8b5f940b6314e479198b8ccc086b98d"/>
        <w:id w:val="-117383067"/>
        <w:lock w:val="sdtLocked"/>
        <w:placeholder>
          <w:docPart w:val="GBC22222222222222222222222222222"/>
        </w:placeholder>
      </w:sdtPr>
      <w:sdtEndPr>
        <w:rPr>
          <w:rFonts w:ascii="宋体" w:hAnsi="宋体" w:cs="宋体"/>
          <w:b w:val="0"/>
          <w:bCs w:val="0"/>
          <w:kern w:val="0"/>
          <w:szCs w:val="21"/>
        </w:rPr>
      </w:sdtEndPr>
      <w:sdtContent>
        <w:p>
          <w:pPr>
            <w:pStyle w:val="3"/>
            <w:numPr>
              <w:ilvl w:val="0"/>
              <w:numId w:val="14"/>
            </w:numPr>
            <w:tabs>
              <w:tab w:val="left" w:pos="426"/>
            </w:tabs>
            <w:ind w:firstLineChars="0"/>
            <w:jc w:val="left"/>
            <w:rPr>
              <w:rFonts w:ascii="宋体" w:hAnsi="宋体"/>
            </w:rPr>
          </w:pPr>
          <w:bookmarkStart w:id="48" w:name="_Hlk74646363"/>
          <w:r>
            <w:rPr>
              <w:rFonts w:ascii="宋体" w:hAnsi="宋体"/>
            </w:rPr>
            <w:t>股东大会情况简介</w:t>
          </w:r>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5"/>
            <w:gridCol w:w="1607"/>
            <w:gridCol w:w="2316"/>
            <w:gridCol w:w="1610"/>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sdt>
              <w:sdtPr>
                <w:tag w:val="_PLD_22bc61a8a37f49b2b6002bda8044b00b"/>
                <w:id w:val="1804499718"/>
                <w:lock w:val="sdtLocked"/>
              </w:sdtPr>
              <w:sdtContent>
                <w:tc>
                  <w:tcPr>
                    <w:tcW w:w="1030" w:type="pct"/>
                    <w:vAlign w:val="center"/>
                  </w:tcPr>
                  <w:p>
                    <w:pPr>
                      <w:widowControl w:val="0"/>
                      <w:jc w:val="center"/>
                    </w:pPr>
                    <w:r>
                      <w:t>会议届次</w:t>
                    </w:r>
                  </w:p>
                </w:tc>
              </w:sdtContent>
            </w:sdt>
            <w:sdt>
              <w:sdtPr>
                <w:tag w:val="_PLD_4d4c6f75c14e44a5ae87874c2dde133c"/>
                <w:id w:val="-513226702"/>
                <w:lock w:val="sdtLocked"/>
              </w:sdtPr>
              <w:sdtContent>
                <w:tc>
                  <w:tcPr>
                    <w:tcW w:w="965" w:type="pct"/>
                    <w:vAlign w:val="center"/>
                  </w:tcPr>
                  <w:p>
                    <w:pPr>
                      <w:widowControl w:val="0"/>
                      <w:jc w:val="center"/>
                    </w:pPr>
                    <w:r>
                      <w:t>召开日期</w:t>
                    </w:r>
                  </w:p>
                </w:tc>
              </w:sdtContent>
            </w:sdt>
            <w:sdt>
              <w:sdtPr>
                <w:tag w:val="_PLD_63dde22e2e0a412986c86439c3ed05c3"/>
                <w:id w:val="-2045738972"/>
                <w:lock w:val="sdtLocked"/>
              </w:sdtPr>
              <w:sdtContent>
                <w:tc>
                  <w:tcPr>
                    <w:tcW w:w="1073" w:type="pct"/>
                    <w:vAlign w:val="center"/>
                  </w:tcPr>
                  <w:p>
                    <w:pPr>
                      <w:widowControl w:val="0"/>
                      <w:jc w:val="center"/>
                    </w:pPr>
                    <w:r>
                      <w:t>决议刊登的指定网站的查询索引</w:t>
                    </w:r>
                  </w:p>
                </w:tc>
              </w:sdtContent>
            </w:sdt>
            <w:sdt>
              <w:sdtPr>
                <w:tag w:val="_PLD_68e4d17d74f541f9b1d7075bcbb5b6c5"/>
                <w:id w:val="865342844"/>
                <w:lock w:val="sdtLocked"/>
              </w:sdtPr>
              <w:sdtContent>
                <w:tc>
                  <w:tcPr>
                    <w:tcW w:w="966" w:type="pct"/>
                    <w:vAlign w:val="center"/>
                  </w:tcPr>
                  <w:p>
                    <w:pPr>
                      <w:widowControl w:val="0"/>
                      <w:jc w:val="center"/>
                    </w:pPr>
                    <w:r>
                      <w:t>决议刊登的披露日期</w:t>
                    </w:r>
                  </w:p>
                </w:tc>
              </w:sdtContent>
            </w:sdt>
            <w:tc>
              <w:tcPr>
                <w:tcW w:w="966" w:type="pct"/>
                <w:vAlign w:val="center"/>
              </w:tcPr>
              <w:sdt>
                <w:sdtPr>
                  <w:rPr>
                    <w:rFonts w:hint="eastAsia"/>
                  </w:rPr>
                  <w:tag w:val="_PLD_d7d78aa5be2349bcb77c83b55ac046e4"/>
                  <w:id w:val="1969929739"/>
                  <w:lock w:val="sdtLocked"/>
                </w:sdtPr>
                <w:sdtEndPr>
                  <w:rPr>
                    <w:rFonts w:hint="eastAsia"/>
                  </w:rPr>
                </w:sdtEndPr>
                <w:sdtContent>
                  <w:p>
                    <w:pPr>
                      <w:widowControl w:val="0"/>
                      <w:jc w:val="center"/>
                    </w:pPr>
                    <w:r>
                      <w:rPr>
                        <w:rFonts w:hint="eastAsia"/>
                      </w:rPr>
                      <w:t>会议决议</w:t>
                    </w:r>
                  </w:p>
                </w:sdtContent>
              </w:sdt>
            </w:tc>
          </w:tr>
          <w:sdt>
            <w:sdtPr>
              <w:rPr>
                <w:rFonts w:hint="eastAsia"/>
              </w:rPr>
              <w:alias w:val="股东大会情况"/>
              <w:tag w:val="_TUP_4299ac0eb78c4c11ae0a1812edf5a2f1"/>
              <w:id w:val="48012546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030" w:type="pct"/>
                  </w:tcPr>
                  <w:p>
                    <w:pPr>
                      <w:widowControl w:val="0"/>
                      <w:jc w:val="both"/>
                    </w:pPr>
                    <w:r>
                      <w:rPr>
                        <w:rFonts w:hint="eastAsia"/>
                      </w:rPr>
                      <w:t>2</w:t>
                    </w:r>
                    <w:r>
                      <w:t>022年年度股东大会、2023年第一次A股类别股东大会和2023年第一次H股类别股东大会</w:t>
                    </w:r>
                  </w:p>
                </w:tc>
                <w:tc>
                  <w:tcPr>
                    <w:tcW w:w="965" w:type="pct"/>
                  </w:tcPr>
                  <w:p>
                    <w:pPr>
                      <w:widowControl w:val="0"/>
                      <w:jc w:val="both"/>
                    </w:pPr>
                    <w:r>
                      <w:rPr>
                        <w:rFonts w:hint="eastAsia"/>
                      </w:rPr>
                      <w:t>2023年6月20日</w:t>
                    </w:r>
                  </w:p>
                </w:tc>
                <w:tc>
                  <w:tcPr>
                    <w:tcW w:w="1073" w:type="pct"/>
                  </w:tcPr>
                  <w:p>
                    <w:pPr>
                      <w:widowControl w:val="0"/>
                      <w:jc w:val="both"/>
                    </w:pPr>
                    <w:r>
                      <w:t>www.sse.com.cn；www.hkexnews.hk；www.jsexpressway.com</w:t>
                    </w:r>
                  </w:p>
                </w:tc>
                <w:tc>
                  <w:tcPr>
                    <w:tcW w:w="966" w:type="pct"/>
                  </w:tcPr>
                  <w:p>
                    <w:pPr>
                      <w:widowControl w:val="0"/>
                      <w:jc w:val="both"/>
                    </w:pPr>
                    <w:r>
                      <w:t>2023年6月2</w:t>
                    </w:r>
                    <w:r>
                      <w:rPr>
                        <w:rFonts w:hint="eastAsia"/>
                      </w:rPr>
                      <w:t>1</w:t>
                    </w:r>
                    <w:r>
                      <w:t>日</w:t>
                    </w:r>
                  </w:p>
                </w:tc>
                <w:tc>
                  <w:tcPr>
                    <w:tcW w:w="966" w:type="pct"/>
                  </w:tcPr>
                  <w:p>
                    <w:pPr>
                      <w:widowControl w:val="0"/>
                      <w:jc w:val="both"/>
                    </w:pPr>
                    <w:r>
                      <w:rPr>
                        <w:rFonts w:hint="eastAsia"/>
                      </w:rPr>
                      <w:t>有关详情见本公司</w:t>
                    </w:r>
                    <w:r>
                      <w:t>2023年6月21日于上交所网站www.sse.com.cn 及2023年6月2</w:t>
                    </w:r>
                    <w:r>
                      <w:rPr>
                        <w:rFonts w:hint="eastAsia"/>
                      </w:rPr>
                      <w:t>0</w:t>
                    </w:r>
                    <w:r>
                      <w:t>日于联交所网站www.hkexnews.hk 刊登的公告。</w:t>
                    </w:r>
                  </w:p>
                </w:tc>
              </w:tr>
            </w:sdtContent>
          </w:sdt>
        </w:tbl>
        <w:p>
          <w:pPr>
            <w:pStyle w:val="114"/>
          </w:pPr>
        </w:p>
      </w:sdtContent>
    </w:sdt>
    <w:bookmarkEnd w:id="48"/>
    <w:sdt>
      <w:sdtPr>
        <w:rPr>
          <w:rFonts w:hint="eastAsia"/>
          <w:b/>
        </w:rPr>
        <w:alias w:val="模块:表决权恢复的优先股股东请求召开临时股东大会 "/>
        <w:tag w:val="_SEC_d5dd00e8721a44d88174eb5aacf152b7"/>
        <w:id w:val="-195227695"/>
        <w:lock w:val="sdtLocked"/>
        <w:placeholder>
          <w:docPart w:val="GBC22222222222222222222222222222"/>
        </w:placeholder>
      </w:sdtPr>
      <w:sdtEndPr>
        <w:rPr>
          <w:rFonts w:hint="eastAsia"/>
          <w:b w:val="0"/>
          <w:color w:val="333399"/>
        </w:rPr>
      </w:sdtEndPr>
      <w:sdtContent>
        <w:p>
          <w:pPr>
            <w:rPr>
              <w:b/>
            </w:rPr>
          </w:pPr>
          <w:bookmarkStart w:id="49" w:name="_Hlk41294309"/>
          <w:r>
            <w:rPr>
              <w:rFonts w:hint="eastAsia"/>
              <w:b/>
            </w:rPr>
            <w:t>表决权恢复的优先股股东请求召开临时股东大会</w:t>
          </w:r>
        </w:p>
        <w:sdt>
          <w:sdtPr>
            <w:alias w:val="是否适用：表决权恢复的优先股股东请求召开临时股东大会[双击切换]"/>
            <w:tag w:val="_GBC_07c9bc8db9ab4498ac0bfac48beddedc"/>
            <w:id w:val="-25336901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9"/>
    <w:p>
      <w:pPr>
        <w:pStyle w:val="114"/>
      </w:pPr>
    </w:p>
    <w:sdt>
      <w:sdtPr>
        <w:rPr>
          <w:rFonts w:hint="eastAsia"/>
        </w:rPr>
        <w:alias w:val="模块:股东大会情况说明"/>
        <w:tag w:val="_SEC_bf1ce0d19a464ce2a3d1a1d438ffde42"/>
        <w:id w:val="-66958835"/>
        <w:lock w:val="sdtLocked"/>
        <w:placeholder>
          <w:docPart w:val="GBC22222222222222222222222222222"/>
        </w:placeholder>
      </w:sdtPr>
      <w:sdtEndPr>
        <w:rPr>
          <w:rFonts w:hint="eastAsia"/>
        </w:rPr>
      </w:sdtEndPr>
      <w:sdtContent>
        <w:p>
          <w:pPr>
            <w:pStyle w:val="114"/>
          </w:pPr>
          <w:r>
            <w:rPr>
              <w:rFonts w:hint="eastAsia"/>
            </w:rPr>
            <w:t>股东大会情况说明</w:t>
          </w:r>
        </w:p>
        <w:sdt>
          <w:sdtPr>
            <w:rPr>
              <w:rFonts w:hint="eastAsia"/>
            </w:rPr>
            <w:alias w:val="是否适用：股东大会情况说明[双击切换]"/>
            <w:tag w:val="_GBC_bc06fc78c35044b0a848192606e2a5ad"/>
            <w:id w:val="31630799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公司董事、监事、高级管理人员变动情况"/>
        <w:tag w:val="_SEC_fe90051e8bfd40b8bb8541284a29b30e"/>
        <w:id w:val="2115011237"/>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4"/>
            </w:numPr>
            <w:tabs>
              <w:tab w:val="left" w:pos="426"/>
            </w:tabs>
            <w:jc w:val="left"/>
            <w:rPr>
              <w:rFonts w:ascii="宋体" w:hAnsi="宋体"/>
            </w:rPr>
          </w:pPr>
          <w:bookmarkStart w:id="50" w:name="_Toc342566009"/>
          <w:bookmarkStart w:id="51" w:name="_Toc342057949"/>
          <w:r>
            <w:rPr>
              <w:rFonts w:hint="eastAsia" w:ascii="宋体" w:hAnsi="宋体"/>
            </w:rPr>
            <w:t>公司董事、监事、高级管理人员变动情况</w:t>
          </w:r>
          <w:bookmarkEnd w:id="50"/>
          <w:bookmarkEnd w:id="51"/>
        </w:p>
        <w:sdt>
          <w:sdtPr>
            <w:alias w:val="是否适用：公司董事、监事、高级管理人员变动情况[双击切换]"/>
            <w:tag w:val="_GBC_001d837207464f1aaa52a7fb8cd9d226"/>
            <w:id w:val="8329494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922"/>
            <w:gridCol w:w="3081"/>
            <w:gridCol w:w="2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8d21520223e04755b8822b634d237604"/>
                <w:id w:val="308836160"/>
                <w:lock w:val="sdtLocked"/>
              </w:sdtPr>
              <w:sdtContent>
                <w:tc>
                  <w:tcPr>
                    <w:tcW w:w="1643" w:type="pct"/>
                    <w:shd w:val="clear" w:color="auto" w:fill="auto"/>
                  </w:tcPr>
                  <w:p>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1078797998"/>
                <w:lock w:val="sdtLocked"/>
              </w:sdtPr>
              <w:sdtContent>
                <w:tc>
                  <w:tcPr>
                    <w:tcW w:w="1732" w:type="pct"/>
                    <w:shd w:val="clear" w:color="auto" w:fill="auto"/>
                  </w:tcPr>
                  <w:p>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1071930474"/>
                <w:lock w:val="sdtLocked"/>
              </w:sdtPr>
              <w:sdtContent>
                <w:tc>
                  <w:tcPr>
                    <w:tcW w:w="1625" w:type="pct"/>
                    <w:shd w:val="clear" w:color="auto" w:fill="auto"/>
                  </w:tcPr>
                  <w:p>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150848299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643" w:type="pct"/>
                  </w:tcPr>
                  <w:p>
                    <w:pPr>
                      <w:kinsoku w:val="0"/>
                      <w:overflowPunct w:val="0"/>
                      <w:autoSpaceDE w:val="0"/>
                      <w:autoSpaceDN w:val="0"/>
                      <w:adjustRightInd w:val="0"/>
                      <w:snapToGrid w:val="0"/>
                    </w:pPr>
                    <w:r>
                      <w:rPr>
                        <w:rFonts w:hint="eastAsia"/>
                      </w:rPr>
                      <w:t>陈延礼</w:t>
                    </w:r>
                  </w:p>
                </w:tc>
                <w:tc>
                  <w:tcPr>
                    <w:tcW w:w="1732" w:type="pct"/>
                  </w:tcPr>
                  <w:p>
                    <w:pPr>
                      <w:kinsoku w:val="0"/>
                      <w:overflowPunct w:val="0"/>
                      <w:autoSpaceDE w:val="0"/>
                      <w:autoSpaceDN w:val="0"/>
                      <w:adjustRightInd w:val="0"/>
                      <w:snapToGrid w:val="0"/>
                    </w:pPr>
                    <w:r>
                      <w:t>董事</w:t>
                    </w:r>
                  </w:p>
                </w:tc>
                <w:sdt>
                  <w:sdtPr>
                    <w:alias w:val="公司董事、监事、高级管理人员的变动情形"/>
                    <w:tag w:val="_GBC_466f24fb36cc4d949be4225fed8d37c7"/>
                    <w:id w:val="-1436367874"/>
                    <w:lock w:val="sdtLocked"/>
                    <w:comboBox>
                      <w:listItem w:displayText="聘任" w:value="聘任"/>
                      <w:listItem w:displayText="离任" w:value="离任"/>
                      <w:listItem w:displayText="解任" w:value="解任"/>
                      <w:listItem w:displayText="选举" w:value="选举"/>
                    </w:comboBox>
                  </w:sdtPr>
                  <w:sdtContent>
                    <w:tc>
                      <w:tcPr>
                        <w:tcW w:w="1625" w:type="pct"/>
                      </w:tcPr>
                      <w:p>
                        <w:pPr>
                          <w:kinsoku w:val="0"/>
                          <w:overflowPunct w:val="0"/>
                          <w:autoSpaceDE w:val="0"/>
                          <w:autoSpaceDN w:val="0"/>
                          <w:adjustRightInd w:val="0"/>
                          <w:snapToGrid w:val="0"/>
                          <w:rPr>
                            <w:color w:val="FFC000"/>
                          </w:rPr>
                        </w:pPr>
                        <w:r>
                          <w:t>离任</w:t>
                        </w:r>
                      </w:p>
                    </w:tc>
                  </w:sdtContent>
                </w:sdt>
              </w:tr>
            </w:sdtContent>
          </w:sdt>
          <w:sdt>
            <w:sdtPr>
              <w:rPr>
                <w:rFonts w:hint="eastAsia"/>
              </w:rPr>
              <w:alias w:val="在报告期内公司董事、监事、高级管理人员变动情况"/>
              <w:tag w:val="_GBC_f8245c93a5574f05bb6e0a400a7c4f3b"/>
              <w:id w:val="30682757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643" w:type="pct"/>
                  </w:tcPr>
                  <w:p>
                    <w:pPr>
                      <w:kinsoku w:val="0"/>
                      <w:overflowPunct w:val="0"/>
                      <w:autoSpaceDE w:val="0"/>
                      <w:autoSpaceDN w:val="0"/>
                      <w:adjustRightInd w:val="0"/>
                      <w:snapToGrid w:val="0"/>
                    </w:pPr>
                    <w:r>
                      <w:rPr>
                        <w:rFonts w:hint="eastAsia"/>
                      </w:rPr>
                      <w:t>姚永嘉</w:t>
                    </w:r>
                  </w:p>
                </w:tc>
                <w:tc>
                  <w:tcPr>
                    <w:tcW w:w="1732" w:type="pct"/>
                  </w:tcPr>
                  <w:p>
                    <w:pPr>
                      <w:kinsoku w:val="0"/>
                      <w:overflowPunct w:val="0"/>
                      <w:autoSpaceDE w:val="0"/>
                      <w:autoSpaceDN w:val="0"/>
                      <w:adjustRightInd w:val="0"/>
                      <w:snapToGrid w:val="0"/>
                    </w:pPr>
                    <w:r>
                      <w:t>副总经理</w:t>
                    </w:r>
                  </w:p>
                </w:tc>
                <w:sdt>
                  <w:sdtPr>
                    <w:alias w:val="公司董事、监事、高级管理人员的变动情形"/>
                    <w:tag w:val="_GBC_466f24fb36cc4d949be4225fed8d37c7"/>
                    <w:id w:val="1761015672"/>
                    <w:lock w:val="sdtLocked"/>
                    <w:comboBox>
                      <w:listItem w:displayText="聘任" w:value="聘任"/>
                      <w:listItem w:displayText="离任" w:value="离任"/>
                      <w:listItem w:displayText="解任" w:value="解任"/>
                      <w:listItem w:displayText="选举" w:value="选举"/>
                    </w:comboBox>
                  </w:sdtPr>
                  <w:sdtContent>
                    <w:tc>
                      <w:tcPr>
                        <w:tcW w:w="1625" w:type="pct"/>
                      </w:tcPr>
                      <w:p>
                        <w:pPr>
                          <w:kinsoku w:val="0"/>
                          <w:overflowPunct w:val="0"/>
                          <w:autoSpaceDE w:val="0"/>
                          <w:autoSpaceDN w:val="0"/>
                          <w:adjustRightInd w:val="0"/>
                          <w:snapToGrid w:val="0"/>
                          <w:rPr>
                            <w:color w:val="FFC000"/>
                          </w:rPr>
                        </w:pPr>
                        <w:r>
                          <w:t>离任</w:t>
                        </w:r>
                      </w:p>
                    </w:tc>
                  </w:sdtContent>
                </w:sdt>
              </w:tr>
            </w:sdtContent>
          </w:sdt>
          <w:sdt>
            <w:sdtPr>
              <w:rPr>
                <w:rFonts w:hint="eastAsia"/>
              </w:rPr>
              <w:alias w:val="在报告期内公司董事、监事、高级管理人员变动情况"/>
              <w:tag w:val="_GBC_f8245c93a5574f05bb6e0a400a7c4f3b"/>
              <w:id w:val="-2104331910"/>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643" w:type="pct"/>
                  </w:tcPr>
                  <w:p>
                    <w:pPr>
                      <w:kinsoku w:val="0"/>
                      <w:overflowPunct w:val="0"/>
                      <w:autoSpaceDE w:val="0"/>
                      <w:autoSpaceDN w:val="0"/>
                      <w:adjustRightInd w:val="0"/>
                      <w:snapToGrid w:val="0"/>
                    </w:pPr>
                    <w:r>
                      <w:rPr>
                        <w:rFonts w:hint="eastAsia"/>
                      </w:rPr>
                      <w:t>陈晋佳</w:t>
                    </w:r>
                  </w:p>
                </w:tc>
                <w:tc>
                  <w:tcPr>
                    <w:tcW w:w="1732" w:type="pct"/>
                  </w:tcPr>
                  <w:p>
                    <w:pPr>
                      <w:kinsoku w:val="0"/>
                      <w:overflowPunct w:val="0"/>
                      <w:autoSpaceDE w:val="0"/>
                      <w:autoSpaceDN w:val="0"/>
                      <w:adjustRightInd w:val="0"/>
                      <w:snapToGrid w:val="0"/>
                    </w:pPr>
                    <w:r>
                      <w:t>副总经理</w:t>
                    </w:r>
                  </w:p>
                </w:tc>
                <w:sdt>
                  <w:sdtPr>
                    <w:alias w:val="公司董事、监事、高级管理人员的变动情形"/>
                    <w:tag w:val="_GBC_466f24fb36cc4d949be4225fed8d37c7"/>
                    <w:id w:val="-87630220"/>
                    <w:lock w:val="sdtLocked"/>
                    <w:comboBox>
                      <w:listItem w:displayText="聘任" w:value="聘任"/>
                      <w:listItem w:displayText="离任" w:value="离任"/>
                      <w:listItem w:displayText="解任" w:value="解任"/>
                      <w:listItem w:displayText="选举" w:value="选举"/>
                    </w:comboBox>
                  </w:sdtPr>
                  <w:sdtContent>
                    <w:tc>
                      <w:tcPr>
                        <w:tcW w:w="1625" w:type="pct"/>
                      </w:tcPr>
                      <w:p>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912892144"/>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643" w:type="pct"/>
                  </w:tcPr>
                  <w:p>
                    <w:pPr>
                      <w:kinsoku w:val="0"/>
                      <w:overflowPunct w:val="0"/>
                      <w:autoSpaceDE w:val="0"/>
                      <w:autoSpaceDN w:val="0"/>
                      <w:adjustRightInd w:val="0"/>
                      <w:snapToGrid w:val="0"/>
                    </w:pPr>
                    <w:r>
                      <w:rPr>
                        <w:rFonts w:hint="eastAsia"/>
                      </w:rPr>
                      <w:t>徐海北</w:t>
                    </w:r>
                  </w:p>
                </w:tc>
                <w:tc>
                  <w:tcPr>
                    <w:tcW w:w="1732" w:type="pct"/>
                  </w:tcPr>
                  <w:p>
                    <w:pPr>
                      <w:kinsoku w:val="0"/>
                      <w:overflowPunct w:val="0"/>
                      <w:autoSpaceDE w:val="0"/>
                      <w:autoSpaceDN w:val="0"/>
                      <w:adjustRightInd w:val="0"/>
                      <w:snapToGrid w:val="0"/>
                    </w:pPr>
                    <w:r>
                      <w:t>董事</w:t>
                    </w:r>
                  </w:p>
                </w:tc>
                <w:sdt>
                  <w:sdtPr>
                    <w:alias w:val="公司董事、监事、高级管理人员的变动情形"/>
                    <w:tag w:val="_GBC_466f24fb36cc4d949be4225fed8d37c7"/>
                    <w:id w:val="-1530248918"/>
                    <w:lock w:val="sdtLocked"/>
                    <w:comboBox>
                      <w:listItem w:displayText="聘任" w:value="聘任"/>
                      <w:listItem w:displayText="离任" w:value="离任"/>
                      <w:listItem w:displayText="解任" w:value="解任"/>
                      <w:listItem w:displayText="选举" w:value="选举"/>
                    </w:comboBox>
                  </w:sdtPr>
                  <w:sdtContent>
                    <w:tc>
                      <w:tcPr>
                        <w:tcW w:w="1625" w:type="pct"/>
                      </w:tcPr>
                      <w:p>
                        <w:pPr>
                          <w:kinsoku w:val="0"/>
                          <w:overflowPunct w:val="0"/>
                          <w:autoSpaceDE w:val="0"/>
                          <w:autoSpaceDN w:val="0"/>
                          <w:adjustRightInd w:val="0"/>
                          <w:snapToGrid w:val="0"/>
                        </w:pPr>
                        <w:r>
                          <w:t>选举</w:t>
                        </w:r>
                      </w:p>
                    </w:tc>
                  </w:sdtContent>
                </w:sdt>
              </w:tr>
            </w:sdtContent>
          </w:sdt>
        </w:tbl>
        <w:p>
          <w:pPr>
            <w:pStyle w:val="114"/>
          </w:pPr>
        </w:p>
      </w:sdtContent>
    </w:sdt>
    <w:sdt>
      <w:sdtPr>
        <w:rPr>
          <w:rFonts w:hint="eastAsia"/>
        </w:rPr>
        <w:alias w:val="模块:公司董事、监事、高级管理人员变动的情况说明"/>
        <w:tag w:val="_SEC_9d764ab9e1c44e0e972e846b8ecf0813"/>
        <w:id w:val="-1022854886"/>
        <w:lock w:val="sdtLocked"/>
        <w:placeholder>
          <w:docPart w:val="GBC22222222222222222222222222222"/>
        </w:placeholder>
      </w:sdtPr>
      <w:sdtEndPr>
        <w:rPr>
          <w:rFonts w:hint="eastAsia"/>
        </w:rPr>
      </w:sdtEndPr>
      <w:sdtContent>
        <w:p>
          <w:pPr>
            <w:pStyle w:val="114"/>
          </w:pPr>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49413662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077901712"/>
            <w:lock w:val="sdtLocked"/>
            <w:placeholder>
              <w:docPart w:val="GBC22222222222222222222222222222"/>
            </w:placeholder>
          </w:sdtPr>
          <w:sdtEndPr>
            <w:rPr>
              <w:rFonts w:hint="eastAsia"/>
            </w:rPr>
          </w:sdtEndPr>
          <w:sdtContent>
            <w:p>
              <w:pPr>
                <w:ind w:firstLine="420" w:firstLineChars="200"/>
              </w:pPr>
              <w:r>
                <w:rPr>
                  <w:rFonts w:hint="eastAsia"/>
                </w:rPr>
                <w:t>陈延礼先生因已到达法定退休年龄于</w:t>
              </w:r>
              <w:r>
                <w:t>2023年3月24日辞去本公司非执行董事职务并于本公司2022年度股东大会（2023年6月20日）补选新任非执行董事后生效。</w:t>
              </w:r>
              <w:r>
                <w:rPr>
                  <w:rFonts w:hint="eastAsia"/>
                </w:rPr>
                <w:t>姚永嘉先生因工作原因于</w:t>
              </w:r>
              <w:r>
                <w:t>2023年5月26日辞去本公司副总经理职务。2023年5月26日本公司第十届董事会第十八次会议聘任陈晋佳女士为副总经理。2023年6月20日本公司2022年年度股东大会选举徐海北先生为非执行董事。</w:t>
              </w:r>
            </w:p>
          </w:sdtContent>
        </w:sdt>
      </w:sdtContent>
    </w:sdt>
    <w:p>
      <w:pPr>
        <w:pStyle w:val="114"/>
      </w:pPr>
    </w:p>
    <w:p>
      <w:pPr>
        <w:pStyle w:val="3"/>
        <w:numPr>
          <w:ilvl w:val="0"/>
          <w:numId w:val="14"/>
        </w:numPr>
        <w:tabs>
          <w:tab w:val="left" w:pos="426"/>
        </w:tabs>
        <w:ind w:left="422" w:hanging="422"/>
        <w:jc w:val="left"/>
        <w:rPr>
          <w:rFonts w:ascii="宋体" w:hAnsi="宋体"/>
        </w:rPr>
      </w:pPr>
      <w:r>
        <w:rPr>
          <w:rFonts w:ascii="宋体" w:hAnsi="宋体"/>
        </w:rPr>
        <w:t>利润分配或资本公积金转增预案</w:t>
      </w:r>
    </w:p>
    <w:p>
      <w:pPr>
        <w:rPr>
          <w:b/>
          <w:bCs/>
        </w:rPr>
      </w:pPr>
      <w:r>
        <w:rPr>
          <w:b/>
        </w:rPr>
        <w:t>半年度拟定的利润分配预案、公积金转增股本预案</w:t>
      </w:r>
    </w:p>
    <w:sdt>
      <w:sdtPr>
        <w:rPr>
          <w:rFonts w:ascii="宋体" w:hAnsi="宋体"/>
        </w:rPr>
        <w:alias w:val="模块:半年度拟定的利润分配预案"/>
        <w:tag w:val="_GBC_e4b48d016b974478b1fce3e8671a7227"/>
        <w:id w:val="1775521014"/>
        <w:lock w:val="sdtLocked"/>
        <w:placeholder>
          <w:docPart w:val="GBC22222222222222222222222222222"/>
        </w:placeholder>
      </w:sdtPr>
      <w:sdtEndPr>
        <w:rPr>
          <w:rFonts w:ascii="宋体" w:hAnsi="宋体"/>
        </w:rPr>
      </w:sdtEndPr>
      <w:sdtContent>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4"/>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rPr>
                <w:tag w:val="_PLD_dee68179c02c4ccc8a9b8d7e3f70f2c6"/>
                <w:id w:val="657118474"/>
                <w:lock w:val="sdtLocked"/>
              </w:sdtPr>
              <w:sdtEndPr>
                <w:rPr>
                  <w:rFonts w:ascii="Times New Roman" w:hAnsi="Times New Roman"/>
                </w:rPr>
              </w:sdtEndPr>
              <w:sdtContent>
                <w:tc>
                  <w:tcPr>
                    <w:tcW w:w="4524" w:type="dxa"/>
                  </w:tcPr>
                  <w:p>
                    <w:pPr>
                      <w:pStyle w:val="114"/>
                      <w:widowControl w:val="0"/>
                      <w:jc w:val="both"/>
                      <w:rPr>
                        <w:rFonts w:ascii="Times New Roman" w:hAnsi="Times New Roman"/>
                      </w:rPr>
                    </w:pPr>
                    <w:r>
                      <w:rPr>
                        <w:rFonts w:ascii="Times New Roman" w:hAnsi="Times New Roman"/>
                      </w:rPr>
                      <w:t>是否分配或转增</w:t>
                    </w:r>
                  </w:p>
                </w:tc>
              </w:sdtContent>
            </w:sdt>
            <w:sdt>
              <w:sdtPr>
                <w:rPr>
                  <w:rFonts w:hint="eastAsia" w:ascii="Times New Roman" w:hAnsi="Times New Roman"/>
                </w:rPr>
                <w:alias w:val="是否分配或转增"/>
                <w:tag w:val="_GBC_1aa3bb539f35454da0536200efcc4f60"/>
                <w:id w:val="1110253216"/>
                <w:lock w:val="sdtLocked"/>
                <w:comboBox>
                  <w:listItem w:displayText="是" w:value="true"/>
                  <w:listItem w:displayText="否" w:value="false"/>
                </w:comboBox>
              </w:sdtPr>
              <w:sdtEndPr>
                <w:rPr>
                  <w:rFonts w:hint="eastAsia" w:ascii="Times New Roman" w:hAnsi="Times New Roman"/>
                </w:rPr>
              </w:sdtEndPr>
              <w:sdtContent>
                <w:tc>
                  <w:tcPr>
                    <w:tcW w:w="4524" w:type="dxa"/>
                  </w:tcPr>
                  <w:p>
                    <w:pPr>
                      <w:widowControl w:val="0"/>
                      <w:jc w:val="left"/>
                      <w:rPr>
                        <w:rFonts w:ascii="Times New Roman" w:hAnsi="Times New Roman"/>
                      </w:rPr>
                    </w:pPr>
                    <w:r>
                      <w:rPr>
                        <w:rFonts w:hint="eastAsia" w:ascii="Times New Roman" w:hAnsi="Times New Roman"/>
                      </w:rPr>
                      <w:t>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d901803dd924026b7c6f59fdd31aad5"/>
                <w:id w:val="1025676590"/>
                <w:lock w:val="sdtLocked"/>
              </w:sdtPr>
              <w:sdtContent>
                <w:tc>
                  <w:tcPr>
                    <w:tcW w:w="4524" w:type="dxa"/>
                  </w:tcPr>
                  <w:p>
                    <w:pPr>
                      <w:pStyle w:val="114"/>
                      <w:widowControl w:val="0"/>
                      <w:jc w:val="both"/>
                      <w:rPr>
                        <w:rFonts w:ascii="Times New Roman" w:hAnsi="Times New Roman"/>
                      </w:rPr>
                    </w:pPr>
                    <w:r>
                      <w:rPr>
                        <w:rFonts w:ascii="Times New Roman" w:hAnsi="Times New Roman"/>
                      </w:rPr>
                      <w:t>每10股送红股数（股）</w:t>
                    </w:r>
                  </w:p>
                </w:tc>
              </w:sdtContent>
            </w:sdt>
            <w:tc>
              <w:tcPr>
                <w:tcW w:w="4524" w:type="dxa"/>
              </w:tcPr>
              <w:p>
                <w:pPr>
                  <w:widowControl w:val="0"/>
                  <w:jc w:val="right"/>
                  <w:rPr>
                    <w:rFonts w:ascii="Times New Roman" w:hAnsi="Times New Roman"/>
                  </w:rPr>
                </w:pPr>
                <w:r>
                  <w:rPr>
                    <w:rFonts w:hint="eastAsia"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cbe2a97f01847b28eeb312b29d1d347"/>
                <w:id w:val="1791780970"/>
                <w:lock w:val="sdtLocked"/>
              </w:sdtPr>
              <w:sdtContent>
                <w:tc>
                  <w:tcPr>
                    <w:tcW w:w="4524" w:type="dxa"/>
                  </w:tcPr>
                  <w:p>
                    <w:pPr>
                      <w:pStyle w:val="114"/>
                      <w:widowControl w:val="0"/>
                      <w:jc w:val="both"/>
                      <w:rPr>
                        <w:rFonts w:ascii="Times New Roman" w:hAnsi="Times New Roman"/>
                      </w:rPr>
                    </w:pPr>
                    <w:r>
                      <w:rPr>
                        <w:rFonts w:ascii="Times New Roman" w:hAnsi="Times New Roman"/>
                      </w:rPr>
                      <w:t>每10股派息数(元)（含税）</w:t>
                    </w:r>
                  </w:p>
                </w:tc>
              </w:sdtContent>
            </w:sdt>
            <w:tc>
              <w:tcPr>
                <w:tcW w:w="4524" w:type="dxa"/>
              </w:tcPr>
              <w:p>
                <w:pPr>
                  <w:widowControl w:val="0"/>
                  <w:jc w:val="right"/>
                  <w:rPr>
                    <w:rFonts w:ascii="Times New Roman" w:hAnsi="Times New Roman"/>
                  </w:rPr>
                </w:pPr>
                <w:r>
                  <w:rPr>
                    <w:rFonts w:hint="eastAsia"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a0844d0f72e40a392aba3e62b2e7e9c"/>
                <w:id w:val="339050204"/>
                <w:lock w:val="sdtLocked"/>
              </w:sdtPr>
              <w:sdtContent>
                <w:tc>
                  <w:tcPr>
                    <w:tcW w:w="4524" w:type="dxa"/>
                  </w:tcPr>
                  <w:p>
                    <w:pPr>
                      <w:pStyle w:val="114"/>
                      <w:widowControl w:val="0"/>
                      <w:jc w:val="both"/>
                      <w:rPr>
                        <w:rFonts w:ascii="Times New Roman" w:hAnsi="Times New Roman"/>
                      </w:rPr>
                    </w:pPr>
                    <w:r>
                      <w:rPr>
                        <w:rFonts w:ascii="Times New Roman" w:hAnsi="Times New Roman"/>
                      </w:rPr>
                      <w:t>每10股转增数（股）</w:t>
                    </w:r>
                  </w:p>
                </w:tc>
              </w:sdtContent>
            </w:sdt>
            <w:tc>
              <w:tcPr>
                <w:tcW w:w="4524" w:type="dxa"/>
              </w:tcPr>
              <w:p>
                <w:pPr>
                  <w:widowControl w:val="0"/>
                  <w:jc w:val="right"/>
                  <w:rPr>
                    <w:rFonts w:ascii="Times New Roman" w:hAnsi="Times New Roman"/>
                  </w:rPr>
                </w:pPr>
                <w:r>
                  <w:rPr>
                    <w:rFonts w:hint="eastAsia"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f4b1db2793f4d00b5b11589fa8a57fc"/>
                <w:id w:val="395089124"/>
                <w:lock w:val="sdtLocked"/>
              </w:sdtPr>
              <w:sdtContent>
                <w:tc>
                  <w:tcPr>
                    <w:tcW w:w="9048" w:type="dxa"/>
                    <w:gridSpan w:val="2"/>
                  </w:tcPr>
                  <w:p>
                    <w:pPr>
                      <w:widowControl w:val="0"/>
                      <w:jc w:val="center"/>
                      <w:rPr>
                        <w:rFonts w:ascii="Times New Roman" w:hAnsi="Times New Roman"/>
                      </w:rPr>
                    </w:pPr>
                    <w:r>
                      <w:rPr>
                        <w:rFonts w:ascii="Times New Roman" w:hAnsi="Times New Roman"/>
                      </w:rPr>
                      <w:t>利润分配或资本公积金转增预案的相关情况说明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alias w:val="利润分配或资本公积金转增预案详细情况"/>
                <w:tag w:val="_GBC_94bed1d7442547dda64f3e2963ffc525"/>
                <w:id w:val="1502855617"/>
                <w:lock w:val="sdtLocked"/>
              </w:sdtPr>
              <w:sdtContent>
                <w:tc>
                  <w:tcPr>
                    <w:tcW w:w="9048" w:type="dxa"/>
                    <w:gridSpan w:val="2"/>
                  </w:tcPr>
                  <w:p>
                    <w:pPr>
                      <w:pStyle w:val="114"/>
                      <w:widowControl w:val="0"/>
                      <w:jc w:val="both"/>
                      <w:rPr>
                        <w:rFonts w:ascii="Times New Roman" w:hAnsi="Times New Roman"/>
                      </w:rPr>
                    </w:pPr>
                    <w:r>
                      <w:rPr>
                        <w:rFonts w:hint="eastAsia" w:ascii="Times New Roman" w:hAnsi="Times New Roman"/>
                      </w:rPr>
                      <w:t>不适用</w:t>
                    </w:r>
                  </w:p>
                </w:tc>
              </w:sdtContent>
            </w:sdt>
          </w:tr>
        </w:tbl>
        <w:p>
          <w:pPr>
            <w:pStyle w:val="114"/>
          </w:pPr>
        </w:p>
      </w:sdtContent>
    </w:sdt>
    <w:p>
      <w:pPr>
        <w:pStyle w:val="3"/>
        <w:numPr>
          <w:ilvl w:val="0"/>
          <w:numId w:val="14"/>
        </w:numPr>
        <w:tabs>
          <w:tab w:val="left" w:pos="426"/>
        </w:tabs>
        <w:ind w:left="422" w:hanging="422"/>
        <w:jc w:val="left"/>
        <w:rPr>
          <w:rFonts w:ascii="宋体" w:hAnsi="宋体"/>
        </w:rPr>
      </w:pPr>
      <w:r>
        <w:rPr>
          <w:rFonts w:hint="eastAsia" w:ascii="宋体" w:hAnsi="宋体"/>
        </w:rPr>
        <w:t>公司股权激励计划、员工持股计划或其他员工激励措施的情况及其影响</w:t>
      </w:r>
    </w:p>
    <w:sdt>
      <w:sdtPr>
        <w:rPr>
          <w:rFonts w:ascii="宋体" w:hAnsi="宋体" w:cs="宋体"/>
          <w:b w:val="0"/>
          <w:bCs w:val="0"/>
          <w:kern w:val="0"/>
          <w:szCs w:val="24"/>
        </w:rPr>
        <w:alias w:val="模块:相关股权激励事项已在临时公告披露且后续实施无进展或变化的"/>
        <w:tag w:val="_SEC_27d68d30f5fb4d008c2e762ac7309c77"/>
        <w:id w:val="1643006043"/>
        <w:lock w:val="sdtLocked"/>
        <w:placeholder>
          <w:docPart w:val="GBC22222222222222222222222222222"/>
        </w:placeholder>
      </w:sdtPr>
      <w:sdtEndPr>
        <w:rPr>
          <w:rFonts w:ascii="宋体" w:hAnsi="宋体" w:cs="宋体"/>
          <w:b w:val="0"/>
          <w:bCs w:val="0"/>
          <w:kern w:val="0"/>
          <w:szCs w:val="21"/>
        </w:rPr>
      </w:sdtEndPr>
      <w:sdtContent>
        <w:p>
          <w:pPr>
            <w:pStyle w:val="4"/>
            <w:numPr>
              <w:ilvl w:val="1"/>
              <w:numId w:val="15"/>
            </w:numPr>
            <w:rPr>
              <w:rFonts w:ascii="宋体" w:hAnsi="宋体"/>
              <w:kern w:val="44"/>
            </w:rPr>
          </w:pPr>
          <w:bookmarkStart w:id="52" w:name="_Hlk74641818"/>
          <w:r>
            <w:rPr>
              <w:rFonts w:hint="eastAsia" w:ascii="宋体" w:hAnsi="宋体"/>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65915483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2"/>
    <w:p>
      <w:pPr>
        <w:pStyle w:val="4"/>
        <w:numPr>
          <w:ilvl w:val="1"/>
          <w:numId w:val="15"/>
        </w:numPr>
        <w:rPr>
          <w:rFonts w:ascii="宋体" w:hAnsi="宋体" w:cs="宋体"/>
          <w:kern w:val="0"/>
          <w:szCs w:val="24"/>
        </w:rPr>
      </w:pPr>
      <w:r>
        <w:rPr>
          <w:rFonts w:hint="eastAsia" w:ascii="宋体" w:hAnsi="宋体" w:cs="宋体"/>
          <w:kern w:val="0"/>
          <w:szCs w:val="24"/>
        </w:rPr>
        <w:t>临时公告未披露或有后续进展的激励情况</w:t>
      </w:r>
    </w:p>
    <w:p>
      <w:pPr>
        <w:pStyle w:val="114"/>
      </w:pPr>
      <w:r>
        <w:rPr>
          <w:rFonts w:hint="eastAsia"/>
        </w:rPr>
        <w:t>股权激励情况</w:t>
      </w:r>
    </w:p>
    <w:sdt>
      <w:sdtPr>
        <w:alias w:val="是否适用：股权激励情况[双击切换]"/>
        <w:tag w:val="_GBC_388221bc7be24cdca55be337256c8bc1"/>
        <w:id w:val="22718940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
      <w:sdtPr>
        <w:rPr>
          <w:rFonts w:hint="eastAsia"/>
        </w:rPr>
        <w:alias w:val="模块:股权激励情况的说明"/>
        <w:tag w:val="_SEC_a417a9b40b6a4adeba436d511837e016"/>
        <w:id w:val="905572482"/>
        <w:lock w:val="sdtLocked"/>
        <w:placeholder>
          <w:docPart w:val="GBC22222222222222222222222222222"/>
        </w:placeholder>
      </w:sdtPr>
      <w:sdtEndPr>
        <w:rPr>
          <w:rFonts w:hint="default"/>
        </w:rPr>
      </w:sdtEndPr>
      <w:sdtContent>
        <w:p>
          <w:pPr>
            <w:pStyle w:val="114"/>
          </w:pPr>
          <w:r>
            <w:rPr>
              <w:rFonts w:hint="eastAsia"/>
            </w:rPr>
            <w:t>其他说明</w:t>
          </w:r>
        </w:p>
        <w:p>
          <w:pPr>
            <w:pStyle w:val="114"/>
          </w:pPr>
          <w:sdt>
            <w:sdtPr>
              <w:rPr>
                <w:rFonts w:hint="eastAsia"/>
              </w:rPr>
              <w:alias w:val="是否适用：股权激励情况的说明[双击切换]"/>
              <w:tag w:val="_GBC_e5a032ecd3e24335b29a38809f65a990"/>
              <w:id w:val="2088113810"/>
              <w:lock w:val="sd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p>
      <w:pPr>
        <w:pStyle w:val="114"/>
      </w:pPr>
    </w:p>
    <w:sdt>
      <w:sdtPr>
        <w:rPr>
          <w:rFonts w:hint="eastAsia"/>
        </w:rPr>
        <w:alias w:val="模块:员工持股计划情况"/>
        <w:tag w:val="_SEC_70861e225efc4a6aa2a87c82bdeffa60"/>
        <w:id w:val="930482499"/>
        <w:lock w:val="sdtLocked"/>
        <w:placeholder>
          <w:docPart w:val="GBC22222222222222222222222222222"/>
        </w:placeholder>
      </w:sdtPr>
      <w:sdtEndPr>
        <w:rPr>
          <w:rFonts w:hint="eastAsia"/>
          <w:bCs/>
        </w:rPr>
      </w:sdtEndPr>
      <w:sdtContent>
        <w:p>
          <w:pPr>
            <w:pStyle w:val="114"/>
          </w:pPr>
          <w:r>
            <w:rPr>
              <w:rFonts w:hint="eastAsia"/>
            </w:rPr>
            <w:t>员工持股计划情况</w:t>
          </w:r>
        </w:p>
        <w:sdt>
          <w:sdtPr>
            <w:alias w:val="是否适用：员工持股计划情况[双击切换]"/>
            <w:tag w:val="_GBC_60a13b60efda4715a83fed9c5960ee3b"/>
            <w:id w:val="381684640"/>
            <w:lock w:val="sdtLocked"/>
            <w:placeholder>
              <w:docPart w:val="GBC22222222222222222222222222222"/>
            </w:placeholder>
          </w:sdtPr>
          <w:sdtContent>
            <w:p>
              <w:pPr>
                <w:rPr>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bCs/>
        </w:rPr>
      </w:pPr>
    </w:p>
    <w:sdt>
      <w:sdtPr>
        <w:rPr>
          <w:rFonts w:hint="eastAsia"/>
        </w:rPr>
        <w:alias w:val="模块:其他激励措施"/>
        <w:tag w:val="_SEC_63920368dc0b49e9a257b190129bf278"/>
        <w:id w:val="-1797753298"/>
        <w:lock w:val="sdtLocked"/>
        <w:placeholder>
          <w:docPart w:val="GBC22222222222222222222222222222"/>
        </w:placeholder>
      </w:sdtPr>
      <w:sdtEndPr>
        <w:rPr>
          <w:rFonts w:hint="eastAsia"/>
          <w:bCs/>
        </w:rPr>
      </w:sdtEndPr>
      <w:sdtContent>
        <w:p>
          <w:pPr>
            <w:pStyle w:val="114"/>
          </w:pPr>
          <w:r>
            <w:rPr>
              <w:rFonts w:hint="eastAsia"/>
            </w:rPr>
            <w:t>其他激励措施</w:t>
          </w:r>
        </w:p>
        <w:sdt>
          <w:sdtPr>
            <w:alias w:val="是否适用：其他激励措施[双击切换]"/>
            <w:tag w:val="_GBC_87e3c04518ac4bed97846d84cc8784e1"/>
            <w:id w:val="-1593001855"/>
            <w:lock w:val="sdtLocked"/>
            <w:placeholder>
              <w:docPart w:val="GBC22222222222222222222222222222"/>
            </w:placeholder>
          </w:sdtPr>
          <w:sdtContent>
            <w:p>
              <w:pPr>
                <w:rPr>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
        <w:br w:type="page"/>
      </w:r>
    </w:p>
    <w:p>
      <w:pPr>
        <w:pStyle w:val="2"/>
        <w:numPr>
          <w:ilvl w:val="0"/>
          <w:numId w:val="2"/>
        </w:numPr>
        <w:rPr>
          <w:rFonts w:ascii="黑体" w:hAnsi="黑体"/>
        </w:rPr>
      </w:pPr>
      <w:bookmarkStart w:id="53" w:name="_Toc76114276"/>
      <w:r>
        <w:rPr>
          <w:rFonts w:hint="eastAsia" w:ascii="黑体" w:hAnsi="黑体"/>
        </w:rPr>
        <w:t>环境与社会责任</w:t>
      </w:r>
      <w:bookmarkEnd w:id="53"/>
    </w:p>
    <w:p>
      <w:pPr>
        <w:pStyle w:val="3"/>
        <w:numPr>
          <w:ilvl w:val="0"/>
          <w:numId w:val="16"/>
        </w:numPr>
        <w:tabs>
          <w:tab w:val="left" w:pos="426"/>
        </w:tabs>
        <w:ind w:left="450" w:hanging="450" w:firstLineChars="0"/>
        <w:jc w:val="left"/>
        <w:rPr>
          <w:rFonts w:ascii="宋体" w:hAnsi="宋体"/>
        </w:rPr>
      </w:pPr>
      <w:r>
        <w:rPr>
          <w:rFonts w:hint="eastAsia" w:ascii="宋体" w:hAnsi="宋体"/>
        </w:rPr>
        <w:t>环境</w:t>
      </w:r>
      <w:r>
        <w:rPr>
          <w:rFonts w:ascii="宋体" w:hAnsi="宋体"/>
        </w:rPr>
        <w:t>信息情况</w:t>
      </w:r>
    </w:p>
    <w:p>
      <w:pPr>
        <w:pStyle w:val="4"/>
        <w:numPr>
          <w:ilvl w:val="0"/>
          <w:numId w:val="17"/>
        </w:numPr>
        <w:rPr>
          <w:rFonts w:ascii="宋体" w:hAnsi="宋体"/>
        </w:rPr>
      </w:pPr>
      <w:r>
        <w:rPr>
          <w:rFonts w:ascii="宋体" w:hAnsi="宋体"/>
        </w:rPr>
        <w:t>属于环境保护部门公布的重点排污单位的公司及其</w:t>
      </w:r>
      <w:r>
        <w:rPr>
          <w:rFonts w:hint="eastAsia" w:ascii="宋体" w:hAnsi="宋体"/>
        </w:rPr>
        <w:t>主要</w:t>
      </w:r>
      <w:r>
        <w:rPr>
          <w:rFonts w:ascii="宋体" w:hAnsi="宋体"/>
        </w:rPr>
        <w:t>子公司的环保情况说明</w:t>
      </w:r>
    </w:p>
    <w:sdt>
      <w:sdtPr>
        <w:rPr>
          <w:rFonts w:hint="eastAsia"/>
        </w:rPr>
        <w:alias w:val="是否适用：重点排污单位环保情况[双击切换]"/>
        <w:tag w:val="_GBC_820250e25791459fb9ab9ed79c168408"/>
        <w:id w:val="78639612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4"/>
        <w:numPr>
          <w:ilvl w:val="0"/>
          <w:numId w:val="17"/>
        </w:numPr>
        <w:rPr>
          <w:rFonts w:ascii="宋体" w:hAnsi="宋体"/>
        </w:rPr>
      </w:pPr>
      <w:r>
        <w:rPr>
          <w:rFonts w:hint="eastAsia" w:ascii="宋体" w:hAnsi="宋体"/>
        </w:rPr>
        <w:t>重点排污单位之外的公司环保情况说明</w:t>
      </w:r>
    </w:p>
    <w:sdt>
      <w:sdtPr>
        <w:alias w:val="是否适用：重点排污单位之外的公司的环保情况[双击切换]"/>
        <w:tag w:val="_GBC_5429e6d325df48abbf95eb4f87e71363"/>
        <w:id w:val="-202894129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b w:val="0"/>
          <w:bCs w:val="0"/>
          <w:kern w:val="0"/>
          <w:szCs w:val="21"/>
        </w:rPr>
        <w:alias w:val="模块:因环境问题受到行政处罚的情况  ____"/>
        <w:tag w:val="_SEC_0394b08510244ffd8c8d1de70ffde99e"/>
        <w:id w:val="-1855250530"/>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8"/>
            </w:numPr>
            <w:ind w:left="450" w:hanging="450"/>
            <w:rPr>
              <w:rFonts w:ascii="宋体" w:hAnsi="宋体"/>
              <w:szCs w:val="21"/>
            </w:rPr>
          </w:pPr>
          <w:bookmarkStart w:id="54" w:name="_Hlk74731776"/>
          <w:r>
            <w:rPr>
              <w:rFonts w:hint="eastAsia" w:ascii="宋体" w:hAnsi="宋体"/>
              <w:szCs w:val="21"/>
            </w:rPr>
            <w:t>因环境问题受到行政处罚的情况</w:t>
          </w:r>
        </w:p>
        <w:sdt>
          <w:sdtPr>
            <w:rPr>
              <w:rFonts w:ascii="宋体" w:hAnsi="宋体"/>
              <w:szCs w:val="21"/>
            </w:rPr>
            <w:alias w:val="是否适用：重点排污单位之外的公司因环境问题受到行政处罚的情况[双击切换]"/>
            <w:tag w:val="_GBC_305b6bc67ef1434084d2e95288a4935d"/>
            <w:id w:val="877284276"/>
            <w:lock w:val="sdtLocked"/>
            <w:placeholder>
              <w:docPart w:val="GBC22222222222222222222222222222"/>
            </w:placeholder>
          </w:sdtPr>
          <w:sdtEndPr>
            <w:rPr>
              <w:rFonts w:ascii="宋体" w:hAnsi="宋体"/>
              <w:szCs w:val="21"/>
            </w:rPr>
          </w:sdtEndPr>
          <w:sdtContent>
            <w:p>
              <w:pPr>
                <w:pStyle w:val="96"/>
                <w:ind w:firstLine="0" w:firstLineChars="0"/>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pPr>
            <w:pStyle w:val="114"/>
          </w:pPr>
        </w:p>
      </w:sdtContent>
    </w:sdt>
    <w:bookmarkEnd w:id="54"/>
    <w:sdt>
      <w:sdtPr>
        <w:rPr>
          <w:rFonts w:hint="eastAsia" w:ascii="宋体" w:hAnsi="宋体" w:cs="宋体"/>
          <w:b w:val="0"/>
          <w:bCs w:val="0"/>
          <w:kern w:val="0"/>
          <w:szCs w:val="21"/>
        </w:rPr>
        <w:alias w:val="模块:参照重点排污单位披露其它环境信息"/>
        <w:tag w:val="_SEC_15a234e4f4924e908104a96ce6984e16"/>
        <w:id w:val="1996686490"/>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8"/>
            </w:numPr>
            <w:ind w:left="450" w:hanging="450"/>
            <w:rPr>
              <w:rFonts w:ascii="宋体" w:hAnsi="宋体"/>
              <w:szCs w:val="21"/>
            </w:rPr>
          </w:pPr>
          <w:r>
            <w:rPr>
              <w:rFonts w:hint="eastAsia" w:ascii="宋体" w:hAnsi="宋体"/>
              <w:szCs w:val="21"/>
            </w:rPr>
            <w:t>参照</w:t>
          </w:r>
          <w:r>
            <w:rPr>
              <w:rFonts w:ascii="宋体" w:hAnsi="宋体"/>
              <w:szCs w:val="21"/>
            </w:rPr>
            <w:t>重点排污单位</w:t>
          </w:r>
          <w:r>
            <w:rPr>
              <w:rFonts w:hint="eastAsia" w:ascii="宋体" w:hAnsi="宋体"/>
              <w:szCs w:val="21"/>
            </w:rPr>
            <w:t>披露其他环境信息</w:t>
          </w:r>
        </w:p>
        <w:sdt>
          <w:sdtPr>
            <w:rPr>
              <w:rFonts w:ascii="宋体" w:hAnsi="宋体"/>
              <w:szCs w:val="21"/>
            </w:rPr>
            <w:alias w:val="是否适用：参照重点排污单位披露其它环境信息[双击切换]"/>
            <w:tag w:val="_GBC_9c01117420e34ec98e6c3270ab89a087"/>
            <w:id w:val="985749479"/>
            <w:lock w:val="sdtLocked"/>
            <w:placeholder>
              <w:docPart w:val="GBC22222222222222222222222222222"/>
            </w:placeholder>
          </w:sdtPr>
          <w:sdtEndPr>
            <w:rPr>
              <w:rFonts w:ascii="宋体" w:hAnsi="宋体"/>
              <w:szCs w:val="21"/>
            </w:rPr>
          </w:sdtEndPr>
          <w:sdtContent>
            <w:p>
              <w:pPr>
                <w:pStyle w:val="96"/>
                <w:ind w:firstLine="0" w:firstLineChars="0"/>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
          <w:sdtPr>
            <w:alias w:val="参照重点排污单位披露其它环境信息"/>
            <w:tag w:val="_GBC_d7868d84e7264843adc3176dd3298796"/>
            <w:id w:val="-2056302411"/>
            <w:lock w:val="sdtLocked"/>
            <w:placeholder>
              <w:docPart w:val="GBC22222222222222222222222222222"/>
            </w:placeholder>
          </w:sdtPr>
          <w:sdtContent>
            <w:p>
              <w:pPr>
                <w:ind w:firstLine="420" w:firstLineChars="200"/>
              </w:pPr>
              <w:r>
                <w:rPr>
                  <w:rFonts w:hint="eastAsia"/>
                </w:rPr>
                <w:t>（1）排污信息。根据《江苏省2023年环境监管重点单位名录》，本集团不属于环境监管重点单位。报告期内，本集团严格遵守国家对经营业务过程中产生的废气、废水、废弃物以及噪声处理的相关规定，确保各项排放达标处理。</w:t>
              </w:r>
            </w:p>
            <w:p>
              <w:pPr>
                <w:ind w:firstLine="420" w:firstLineChars="200"/>
              </w:pPr>
              <w:r>
                <w:rPr>
                  <w:rFonts w:hint="eastAsia"/>
                </w:rPr>
                <w:t>（2）防治污染设施的建设和运行情况。</w:t>
              </w:r>
            </w:p>
            <w:p>
              <w:pPr>
                <w:ind w:firstLine="422" w:firstLineChars="200"/>
              </w:pPr>
              <w:r>
                <w:rPr>
                  <w:rFonts w:hint="eastAsia"/>
                  <w:b/>
                  <w:bCs/>
                </w:rPr>
                <w:t>在废气减排方面：</w:t>
              </w:r>
              <w:r>
                <w:rPr>
                  <w:rFonts w:hint="eastAsia"/>
                </w:rPr>
                <w:t>提升清障救援的精准度与灵活度，减少因点位间行驶距离拉长造成的油耗增加和尾气排放；强化拟建公路路基边坡、边沟外绿化和日常养护管理，缓解运输车辆尾气排放对沿线环境空气质量的影响。</w:t>
              </w:r>
            </w:p>
            <w:p>
              <w:pPr>
                <w:ind w:firstLine="422" w:firstLineChars="200"/>
              </w:pPr>
              <w:r>
                <w:rPr>
                  <w:rFonts w:hint="eastAsia"/>
                  <w:b/>
                  <w:bCs/>
                </w:rPr>
                <w:t>在污水处理方面：</w:t>
              </w:r>
              <w:r>
                <w:rPr>
                  <w:rFonts w:hint="eastAsia"/>
                </w:rPr>
                <w:t>针对高速公路临近养殖户偷排污水的违法行为，采取定点调查举措，共调查潜在排污点5处，通过“详细桥理、精确定位”，进行常态化跟踪监测，努力确保“边沟通畅、路基稳固、度汛安全”。</w:t>
              </w:r>
            </w:p>
            <w:p>
              <w:pPr>
                <w:ind w:firstLine="422" w:firstLineChars="200"/>
              </w:pPr>
              <w:r>
                <w:rPr>
                  <w:rFonts w:hint="eastAsia"/>
                  <w:b/>
                  <w:bCs/>
                </w:rPr>
                <w:t>在噪音消减方面：</w:t>
              </w:r>
              <w:r>
                <w:rPr>
                  <w:rFonts w:hint="eastAsia"/>
                </w:rPr>
                <w:t>针对民生重点工程，摸排全线噪音敏感点，以沪宁高速无锡段为试点，基于同一路段内交通流量与沿线噪声的实时监测数据，建立交通量与噪声影响的计算模型，量化分析交通流量对沿线噪音的影响，编制了《宁沪高速公路沿线交通噪声量化分析报告》，为噪声的治理与防控提供规划决策的科学依据；采取铺设低噪声路面、绿化带、声屏障、隔声窗等防护措施从源头、传播途径等方面做好降噪工作。</w:t>
              </w:r>
            </w:p>
            <w:p>
              <w:pPr>
                <w:ind w:firstLine="420" w:firstLineChars="200"/>
              </w:pPr>
              <w:r>
                <w:rPr>
                  <w:rFonts w:hint="eastAsia"/>
                </w:rPr>
                <w:t>（3）突发环境事件应急预案。本集团严格贯彻落实国家、行业监管单位有关安全环保生产的法律法规，严格落实安全生产主体责任，完善安全生产体系建设，顺利完成安全提升项目，认真开展“安全生产月”等专项活动。2023年，公司承办公路特长水下隧道应急演练，搭建高地应急救援大应急咨询平台，提升了省内公路水下隧道安全防控和应急处置水平，强化多部门应急联勤联动，形成科学、规范、高效的公路水下隧道救援体系。</w:t>
              </w:r>
            </w:p>
            <w:p>
              <w:pPr>
                <w:pStyle w:val="114"/>
                <w:ind w:firstLine="420" w:firstLineChars="200"/>
              </w:pPr>
              <w:r>
                <w:rPr>
                  <w:rFonts w:hint="eastAsia"/>
                </w:rPr>
                <w:t>（4）环境自行监测方案。本集团持续做好环境管理监测，实行公司层级、二级单位和基层单位的三级管理环保体制，对公司环保体系文件进行全面梳理，紧抓各类环保制度落实情况，逐步建立各基层单位的《环保考核办法》，不断加强施工人员及承包单位环保宣传教育。</w:t>
              </w:r>
            </w:p>
          </w:sdtContent>
        </w:sdt>
        <w:p>
          <w:pPr>
            <w:pStyle w:val="114"/>
          </w:pPr>
        </w:p>
      </w:sdtContent>
    </w:sdt>
    <w:sdt>
      <w:sdtPr>
        <w:rPr>
          <w:rFonts w:hint="eastAsia" w:ascii="宋体" w:hAnsi="宋体" w:cs="宋体"/>
          <w:b w:val="0"/>
          <w:bCs w:val="0"/>
          <w:kern w:val="0"/>
          <w:szCs w:val="24"/>
        </w:rPr>
        <w:alias w:val="模块:重点排污单位之外的公司未披露环境信息的原因说明"/>
        <w:tag w:val="_SEC_dbf114d9dfed451c943c0db36f9761bc"/>
        <w:id w:val="363178972"/>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8"/>
            </w:numPr>
            <w:ind w:left="450" w:hanging="450"/>
            <w:rPr>
              <w:rFonts w:ascii="宋体" w:hAnsi="宋体"/>
              <w:szCs w:val="21"/>
            </w:rPr>
          </w:pPr>
          <w:r>
            <w:rPr>
              <w:rFonts w:hint="eastAsia" w:ascii="宋体" w:hAnsi="宋体"/>
              <w:szCs w:val="21"/>
            </w:rPr>
            <w:t>未披露其他环境信息的原因</w:t>
          </w:r>
        </w:p>
        <w:sdt>
          <w:sdtPr>
            <w:alias w:val="是否适用：重点排污单位之外的公司未披露环境信息的原因[双击切换]"/>
            <w:tag w:val="_GBC_31106daab34d41698243bfe90ff75054"/>
            <w:id w:val="-81942213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报告期内披露环境信息内容的后续进展或变化情况的说明"/>
        <w:tag w:val="_SEC_3c63bb32177f4f368bb662e3b696830a"/>
        <w:id w:val="174120380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17"/>
            </w:numPr>
            <w:rPr>
              <w:rFonts w:ascii="宋体" w:hAnsi="宋体"/>
            </w:rPr>
          </w:pPr>
          <w:r>
            <w:rPr>
              <w:rFonts w:hint="eastAsia" w:ascii="宋体" w:hAnsi="宋体"/>
            </w:rPr>
            <w:t>报告期内披露环境信息内容的后续进展或变化情况的说明</w:t>
          </w:r>
        </w:p>
        <w:sdt>
          <w:sdtPr>
            <w:alias w:val="是否适用：披露环境信息内容的后续进展或变化情况[双击切换]"/>
            <w:tag w:val="_GBC_451a415ae7344df7ba110ec71bce5279"/>
            <w:id w:val="186601630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有利于保护生态、防治污染、履行环境责任的相关信息  __..."/>
        <w:tag w:val="_SEC_94dff50e6ff346df8df30ef5135f60ea"/>
        <w:id w:val="-787512006"/>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17"/>
            </w:numPr>
            <w:ind w:left="450" w:hanging="450"/>
            <w:rPr>
              <w:rFonts w:ascii="宋体" w:hAnsi="宋体" w:cs="宋体"/>
              <w:kern w:val="0"/>
              <w:szCs w:val="24"/>
            </w:rPr>
          </w:pPr>
          <w:r>
            <w:rPr>
              <w:rFonts w:hint="eastAsia" w:ascii="宋体" w:hAnsi="宋体" w:cs="宋体"/>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142776176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有利于保护生态、防治污染、履行环境责任的相关信息"/>
            <w:tag w:val="_GBC_a7d973127b43494bb6876b836c3ec06c"/>
            <w:id w:val="1164747255"/>
            <w:lock w:val="sdtLocked"/>
            <w:placeholder>
              <w:docPart w:val="GBC22222222222222222222222222222"/>
            </w:placeholder>
          </w:sdtPr>
          <w:sdtContent>
            <w:p>
              <w:pPr>
                <w:ind w:firstLine="420" w:firstLineChars="200"/>
              </w:pPr>
              <w:r>
                <w:rPr>
                  <w:rFonts w:hint="eastAsia"/>
                </w:rPr>
                <w:t>报告期内，集团始终将环境保护和资源节约意识贯彻在工程建设及运营管理的各个方面和重要环节，关注并重视业务运营对环境带来的影响，大力推进运营工作与生态环保相融合，致力于迈向更加顺畅、更加智慧、更加绿色、更加健康的美好生活。</w:t>
              </w:r>
            </w:p>
            <w:p>
              <w:pPr>
                <w:ind w:firstLine="420" w:firstLineChars="200"/>
              </w:pPr>
              <w:r>
                <w:rPr>
                  <w:rFonts w:hint="eastAsia"/>
                </w:rPr>
                <w:t>1．积极保护生态。在日常养护工作中推广应用生态保护技术，根据日常养护季节性特点，开展包括草坪铺设、景观绿化补植、排水管道清理修缮、修补标线等环境整治行动；逐步形成低消耗、低污染、高效率的绿色生态养护，通过广泛应用同步碎石封层技术、就地热再生技术，大面积采用不粘轮乳化沥青，实现废弃物资源化与减量化。</w:t>
              </w:r>
            </w:p>
            <w:p>
              <w:pPr>
                <w:ind w:firstLine="420" w:firstLineChars="200"/>
              </w:pPr>
              <w:r>
                <w:rPr>
                  <w:rFonts w:hint="eastAsia"/>
                </w:rPr>
                <w:t>2．有效防治污染。积极落实污染防治攻坚工作相关要求，加大对服务区污染治理力度，认真做好服务区污水处理设备、油烟净化设备维护保养工作，持续加强服务区用水设施日常管理、落实计量器具维护、用水设施维护制度，致力于打造节水型高速公路服务区。</w:t>
              </w:r>
            </w:p>
            <w:p>
              <w:pPr>
                <w:pStyle w:val="114"/>
                <w:ind w:firstLine="420" w:firstLineChars="200"/>
              </w:pPr>
              <w:r>
                <w:rPr>
                  <w:rFonts w:hint="eastAsia"/>
                </w:rPr>
                <w:t>3．履行环境责任。强化环境主体责任落实，将环境管理工作纳入战略委员会日常管理，持续完善数据收集工作机制，设定年度环境量化目标并分解落地到责任部门；推动员工共同保护环境，组织员工参与节能降碳宣传、志愿服务活动等形式多样的环保主题宣传活动，积极推行绿色办公，倡导绿色出行。</w:t>
              </w:r>
            </w:p>
          </w:sdtContent>
        </w:sdt>
        <w:p>
          <w:pPr>
            <w:pStyle w:val="114"/>
          </w:pPr>
        </w:p>
      </w:sdtContent>
    </w:sdt>
    <w:sdt>
      <w:sdtPr>
        <w:rPr>
          <w:rFonts w:ascii="宋体" w:hAnsi="宋体" w:cs="宋体"/>
          <w:b w:val="0"/>
          <w:bCs w:val="0"/>
          <w:kern w:val="0"/>
          <w:szCs w:val="24"/>
        </w:rPr>
        <w:alias w:val="模块:在报告期内为减少其碳排放所采取的措施及效果"/>
        <w:tag w:val="_SEC_0a7b3a01a1cd4768be87b42742d0f169"/>
        <w:id w:val="-592164498"/>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17"/>
            </w:numPr>
            <w:ind w:left="450" w:hanging="450"/>
            <w:rPr>
              <w:rFonts w:ascii="宋体" w:hAnsi="宋体"/>
            </w:rPr>
          </w:pPr>
          <w:bookmarkStart w:id="55" w:name="_Hlk138060310"/>
          <w:r>
            <w:rPr>
              <w:rFonts w:ascii="宋体" w:hAnsi="宋体"/>
            </w:rPr>
            <w:t>在报告期内为减少其碳排放所采取的措施及效果</w:t>
          </w:r>
        </w:p>
        <w:sdt>
          <w:sdtPr>
            <w:alias w:val="是否适用：在报告期内为减少其碳排放所采取的措施及效果 [双击切换]"/>
            <w:tag w:val="_GBC_3f6f203e2a75413bbe27afcb7ca629ab"/>
            <w:id w:val="163944711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在报告期内为减少其碳排放所采取的措施及效果 "/>
            <w:tag w:val="_GBC_8746e0ea6a004dee9126fc2c7e2176a8"/>
            <w:id w:val="721942243"/>
            <w:lock w:val="sdtLocked"/>
            <w:placeholder>
              <w:docPart w:val="GBC22222222222222222222222222222"/>
            </w:placeholder>
          </w:sdtPr>
          <w:sdtContent>
            <w:p>
              <w:pPr>
                <w:ind w:firstLine="420" w:firstLineChars="200"/>
              </w:pPr>
              <w:r>
                <w:rPr>
                  <w:rFonts w:hint="eastAsia"/>
                </w:rPr>
                <w:t>集团始终遵循绿色发展理念，不断推动养护工程技术与设备的发展，助力道路养护向资源节约型、环境友好型转变。全面优化养护作业施工方案，根据不同项目的实际情况，因地制宜、因需而变，大力推行吹雪车、铲雪车等绿色环保类养护机械设备的使用，在降低施工占路率及安全风险的同时，有效减少融雪剂等化学物料对路面、桥梁及周边绿化的侵蚀，逐步形成低消耗、低污染、高效率的绿色生态养护，全力打造与自然和谐共生、可持续发展的高质量养护工程。</w:t>
              </w:r>
            </w:p>
            <w:p>
              <w:pPr>
                <w:pStyle w:val="114"/>
                <w:ind w:firstLine="420" w:firstLineChars="200"/>
              </w:pPr>
              <w:r>
                <w:rPr>
                  <w:rFonts w:hint="eastAsia"/>
                </w:rPr>
                <w:t>结合辖段内路基高填深挖路段较多的特点，着力研究高速公路边坡安全监测系统，建立边坡信息实时监管平台，采用灵活有效的防护措施，在强化路基边坡防护的同时，确保路基、路面的稳定性、安全性，增长道路的使用寿命，并在此前提下，逐步加大植被面积，建造生态公路、人文公路。</w:t>
              </w:r>
            </w:p>
          </w:sdtContent>
        </w:sdt>
      </w:sdtContent>
    </w:sdt>
    <w:bookmarkEnd w:id="55"/>
    <w:p>
      <w:pPr>
        <w:pStyle w:val="114"/>
      </w:pPr>
    </w:p>
    <w:sdt>
      <w:sdtPr>
        <w:rPr>
          <w:rFonts w:hint="eastAsia" w:ascii="宋体" w:hAnsi="宋体" w:cs="宋体"/>
          <w:b w:val="0"/>
          <w:bCs w:val="0"/>
          <w:kern w:val="0"/>
          <w:szCs w:val="24"/>
        </w:rPr>
        <w:alias w:val="模块:巩固拓展脱贫攻坚成果、乡村振兴工作具体情况"/>
        <w:tag w:val="_SEC_7eeef6a842224b3eac28c0a6aa105d7d"/>
        <w:id w:val="-530493318"/>
        <w:lock w:val="sdtLocked"/>
        <w:placeholder>
          <w:docPart w:val="GBC22222222222222222222222222222"/>
        </w:placeholder>
      </w:sdtPr>
      <w:sdtEndPr>
        <w:rPr>
          <w:rFonts w:hint="default" w:ascii="宋体" w:hAnsi="宋体" w:cs="宋体"/>
          <w:b w:val="0"/>
          <w:bCs w:val="0"/>
          <w:kern w:val="0"/>
          <w:szCs w:val="21"/>
        </w:rPr>
      </w:sdtEndPr>
      <w:sdtContent>
        <w:p>
          <w:pPr>
            <w:pStyle w:val="3"/>
            <w:numPr>
              <w:ilvl w:val="0"/>
              <w:numId w:val="16"/>
            </w:numPr>
            <w:tabs>
              <w:tab w:val="left" w:pos="426"/>
            </w:tabs>
            <w:jc w:val="left"/>
            <w:rPr>
              <w:rFonts w:ascii="宋体" w:hAnsi="宋体"/>
            </w:rPr>
          </w:pPr>
          <w:bookmarkStart w:id="56" w:name="_Hlk138060542"/>
          <w:bookmarkStart w:id="57" w:name="_Hlk137046383"/>
          <w:r>
            <w:rPr>
              <w:rFonts w:hint="eastAsia" w:ascii="宋体" w:hAnsi="宋体"/>
            </w:rPr>
            <w:t>巩固拓展脱贫攻坚成果、乡村振兴等工作具体情况</w:t>
          </w:r>
        </w:p>
        <w:sdt>
          <w:sdtPr>
            <w:alias w:val="是否适用：巩固拓展脱贫攻坚成果、乡村振兴工作具体情况[双击切换]"/>
            <w:tag w:val="_GBC_7f424183824c43c9809b2bbaefe89688"/>
            <w:id w:val="148612780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巩固拓展脱贫攻坚成果、乡村振兴工作具体情况"/>
            <w:tag w:val="_GBC_47fe8bcbd1294a14b7be74e9da037113"/>
            <w:id w:val="-102653736"/>
            <w:lock w:val="sdtLocked"/>
            <w:placeholder>
              <w:docPart w:val="GBC22222222222222222222222222222"/>
            </w:placeholder>
          </w:sdtPr>
          <w:sdtContent>
            <w:p>
              <w:pPr>
                <w:ind w:firstLine="420" w:firstLineChars="200"/>
              </w:pPr>
              <w:r>
                <w:rPr>
                  <w:rFonts w:hint="eastAsia"/>
                </w:rPr>
                <w:t>为贯彻省委、省政府关于开展“万企联万村 共走振兴路”行动的决策部署，推进 “城乡结对，文明共建”要求落地生根，本公司积极履行国有企业社会责任，勇担“交通强省 富民强企”的企业使命，及时成立专项工作组，多次组织赴大邹镇双溪村实地调研，切实开展企村党组织共建、村基础设施建设、思想文化交流等联建活动，及系列帮扶行动，深受村民认同和称赞。报告期内，根据上级单位部署要求，落实连云港市赣榆区乡村振兴帮促经费40万元。集团主动问民所需，大力开展“亚夫基地帮扶”“溧阳白茶采摘”“鲜果快速运输专项服务”等乡村振兴项目，以“学期慰问、定期回访、童心携手、圆梦未来”为主线，持续结对帮扶困难学生，长江商能公司主动帮助服务区周边生活困难果民设置农产品展销，用实际行动助力乡村振兴。</w:t>
              </w:r>
            </w:p>
          </w:sdtContent>
        </w:sdt>
        <w:p>
          <w:pPr>
            <w:pStyle w:val="114"/>
          </w:pPr>
        </w:p>
      </w:sdtContent>
    </w:sdt>
    <w:bookmarkEnd w:id="56"/>
    <w:p>
      <w:r>
        <w:br w:type="page"/>
      </w:r>
    </w:p>
    <w:p>
      <w:pPr>
        <w:sectPr>
          <w:pgSz w:w="11906" w:h="16838"/>
          <w:pgMar w:top="1525" w:right="1276" w:bottom="1440" w:left="1797" w:header="851" w:footer="992" w:gutter="0"/>
          <w:cols w:space="425" w:num="1"/>
          <w:docGrid w:linePitch="312" w:charSpace="0"/>
        </w:sectPr>
      </w:pPr>
    </w:p>
    <w:bookmarkEnd w:id="57"/>
    <w:p>
      <w:pPr>
        <w:pStyle w:val="2"/>
        <w:numPr>
          <w:ilvl w:val="0"/>
          <w:numId w:val="2"/>
        </w:numPr>
        <w:rPr>
          <w:rFonts w:ascii="黑体" w:hAnsi="黑体"/>
        </w:rPr>
      </w:pPr>
      <w:bookmarkStart w:id="58" w:name="_Toc76114277"/>
      <w:r>
        <w:rPr>
          <w:rFonts w:ascii="黑体" w:hAnsi="黑体"/>
        </w:rPr>
        <w:t>重要事项</w:t>
      </w:r>
      <w:bookmarkEnd w:id="58"/>
    </w:p>
    <w:p>
      <w:pPr>
        <w:pStyle w:val="114"/>
      </w:pPr>
    </w:p>
    <w:p>
      <w:pPr>
        <w:pStyle w:val="3"/>
        <w:numPr>
          <w:ilvl w:val="0"/>
          <w:numId w:val="19"/>
        </w:numPr>
        <w:tabs>
          <w:tab w:val="left" w:pos="426"/>
        </w:tabs>
        <w:ind w:firstLineChars="0"/>
        <w:jc w:val="left"/>
        <w:rPr>
          <w:rFonts w:ascii="宋体" w:hAnsi="宋体"/>
        </w:rPr>
      </w:pPr>
      <w:bookmarkStart w:id="59" w:name="_Toc342565988"/>
      <w:r>
        <w:rPr>
          <w:rFonts w:hint="eastAsia" w:ascii="宋体" w:hAnsi="宋体"/>
        </w:rPr>
        <w:t>承诺事项履行情况</w:t>
      </w:r>
    </w:p>
    <w:sdt>
      <w:sdtPr>
        <w:rPr>
          <w:rFonts w:hint="eastAsia" w:ascii="宋体" w:hAnsi="宋体" w:cs="宋体"/>
          <w:b w:val="0"/>
          <w:bCs w:val="0"/>
          <w:kern w:val="0"/>
          <w:szCs w:val="21"/>
        </w:rPr>
        <w:alias w:val="模块:公司实际控制人、股东、关联方、收购人以及公司等承诺相关方在报..."/>
        <w:tag w:val="_SEC_0b5886e57afd437b88c6e55a33dbccb9"/>
        <w:id w:val="-1206947548"/>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1"/>
              <w:numId w:val="20"/>
            </w:numPr>
            <w:rPr>
              <w:rFonts w:ascii="宋体" w:hAnsi="宋体"/>
              <w:szCs w:val="21"/>
            </w:rPr>
          </w:pPr>
          <w:r>
            <w:rPr>
              <w:rFonts w:hint="eastAsia" w:ascii="宋体" w:hAnsi="宋体"/>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27647553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报告期内控股股东及其他关联方非经营性占用资金情况"/>
        <w:tag w:val="_SEC_2f371a3cc949400ea818d66a836d5785"/>
        <w:id w:val="95069924"/>
        <w:lock w:val="sdtLocked"/>
        <w:placeholder>
          <w:docPart w:val="GBC22222222222222222222222222222"/>
        </w:placeholder>
      </w:sdtPr>
      <w:sdtEndPr>
        <w:rPr>
          <w:rFonts w:hint="default"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hint="eastAsia" w:ascii="宋体" w:hAnsi="宋体"/>
            </w:rPr>
            <w:t>报</w:t>
          </w:r>
          <w:r>
            <w:rPr>
              <w:rFonts w:ascii="宋体" w:hAnsi="宋体"/>
            </w:rPr>
            <w:t>告期内</w:t>
          </w:r>
          <w:r>
            <w:rPr>
              <w:rFonts w:hint="eastAsia" w:ascii="宋体" w:hAnsi="宋体"/>
            </w:rPr>
            <w:t>控股股东及其他关联方非经营性占用资金情况</w:t>
          </w:r>
        </w:p>
        <w:sdt>
          <w:sdtPr>
            <w:alias w:val="是否适用：资金被占用情况及清欠进展情况[双击切换]"/>
            <w:tag w:val="_GBC_ae82394ae54d49eba71e8d8d6447c499"/>
            <w:id w:val="-63973026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pPr>
                <w:pStyle w:val="114"/>
              </w:pPr>
            </w:p>
          </w:sdtContent>
        </w:sdt>
      </w:sdtContent>
    </w:sdt>
    <w:sdt>
      <w:sdtPr>
        <w:rPr>
          <w:rFonts w:hint="eastAsia" w:ascii="宋体" w:hAnsi="宋体" w:cs="宋体"/>
          <w:b w:val="0"/>
          <w:bCs w:val="0"/>
          <w:kern w:val="0"/>
          <w:szCs w:val="24"/>
        </w:rPr>
        <w:alias w:val="模块:违规担保情况"/>
        <w:tag w:val="_SEC_623f0c33c18d4979b146b229057a4e89"/>
        <w:id w:val="-1381158790"/>
        <w:lock w:val="sdtLocked"/>
        <w:placeholder>
          <w:docPart w:val="GBC22222222222222222222222222222"/>
        </w:placeholder>
      </w:sdtPr>
      <w:sdtEndPr>
        <w:rPr>
          <w:rFonts w:hint="default"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hint="eastAsia" w:ascii="宋体" w:hAnsi="宋体"/>
            </w:rPr>
            <w:t>违规担保情况</w:t>
          </w:r>
        </w:p>
        <w:sdt>
          <w:sdtPr>
            <w:alias w:val="是否适用：违规担保情况[双击切换]"/>
            <w:tag w:val="_GBC_725722c7a37d40c28caf80b13d948933"/>
            <w:id w:val="-68081708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ectPr>
          <w:pgSz w:w="16838" w:h="11906" w:orient="landscape"/>
          <w:pgMar w:top="1797" w:right="1525" w:bottom="1276" w:left="1440" w:header="851" w:footer="992" w:gutter="0"/>
          <w:cols w:space="425" w:num="1"/>
          <w:docGrid w:linePitch="312" w:charSpace="0"/>
        </w:sectPr>
      </w:pPr>
    </w:p>
    <w:p>
      <w:pPr>
        <w:pStyle w:val="3"/>
        <w:numPr>
          <w:ilvl w:val="0"/>
          <w:numId w:val="19"/>
        </w:numPr>
        <w:tabs>
          <w:tab w:val="left" w:pos="426"/>
        </w:tabs>
        <w:ind w:left="422" w:hanging="422"/>
        <w:jc w:val="left"/>
        <w:rPr>
          <w:rFonts w:ascii="宋体" w:hAnsi="宋体"/>
        </w:rPr>
      </w:pPr>
      <w:r>
        <w:rPr>
          <w:rFonts w:hint="eastAsia" w:ascii="宋体" w:hAnsi="宋体"/>
        </w:rPr>
        <w:t>半年报审计情况</w:t>
      </w:r>
    </w:p>
    <w:sdt>
      <w:sdtPr>
        <w:alias w:val="是否适用：半年报审计情况  [双击切换]"/>
        <w:tag w:val="_GBC_b2faf86be7fd4060a2a7ad4018aaf033"/>
        <w:id w:val="4016971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
      <w:sdtPr>
        <w:rPr>
          <w:rFonts w:hint="eastAsia" w:ascii="宋体" w:hAnsi="宋体" w:cs="宋体"/>
          <w:b w:val="0"/>
          <w:bCs w:val="0"/>
          <w:kern w:val="0"/>
          <w:szCs w:val="24"/>
        </w:rPr>
        <w:alias w:val="模块:公司对上年年度报告中的财务报告被注册会计师出具“非标准审计报..."/>
        <w:tag w:val="_SEC_10be83ff0126440a8620e35536191767"/>
        <w:id w:val="489300360"/>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hint="eastAsia" w:ascii="宋体" w:hAnsi="宋体"/>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172552141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破产重整相关事项"/>
        <w:tag w:val="_SEC_1ae3a3f4b3c4484980120137749e19ed"/>
        <w:id w:val="-1287187391"/>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hint="eastAsia" w:ascii="宋体" w:hAnsi="宋体"/>
            </w:rPr>
            <w:t>破产重整相关事项</w:t>
          </w:r>
        </w:p>
        <w:sdt>
          <w:sdtPr>
            <w:rPr>
              <w:rFonts w:hint="eastAsia"/>
            </w:rPr>
            <w:alias w:val="是否适用：破产重整相关事项[双击切换]"/>
            <w:tag w:val="_GBC_c4fc8890d63b44b19353d2188a5bce59"/>
            <w:id w:val="-113803738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19"/>
        </w:numPr>
        <w:tabs>
          <w:tab w:val="left" w:pos="426"/>
        </w:tabs>
        <w:ind w:left="422" w:hanging="422"/>
        <w:jc w:val="left"/>
        <w:rPr>
          <w:rFonts w:ascii="宋体" w:hAnsi="宋体"/>
        </w:rPr>
      </w:pPr>
      <w:r>
        <w:rPr>
          <w:rFonts w:ascii="宋体" w:hAnsi="宋体"/>
        </w:rPr>
        <w:t>重大诉讼、仲裁事项</w:t>
      </w:r>
    </w:p>
    <w:sdt>
      <w:sdtPr>
        <w:alias w:val="本年度公司有无重大诉讼、仲裁事项"/>
        <w:tag w:val="_GBC_0fcf1cd2d0814185bde747855edf5227"/>
        <w:id w:val="1315992608"/>
        <w:lock w:val="sdtLocked"/>
        <w:placeholder>
          <w:docPart w:val="GBC22222222222222222222222222222"/>
        </w:placeholder>
      </w:sdtPr>
      <w:sdtContent>
        <w:p>
          <w:pPr>
            <w:pStyle w:val="114"/>
          </w:pPr>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p>
      <w:pPr>
        <w:pStyle w:val="114"/>
      </w:pPr>
    </w:p>
    <w:p>
      <w:pPr>
        <w:pStyle w:val="114"/>
      </w:pPr>
    </w:p>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1873334497"/>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ascii="宋体" w:hAnsi="宋体"/>
            </w:rPr>
            <w:t>上市公司</w:t>
          </w:r>
          <w:r>
            <w:rPr>
              <w:rFonts w:hint="eastAsia" w:ascii="宋体" w:hAnsi="宋体"/>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24500107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报告期内公司及其控股股东、实际控制人诚信状况的说明"/>
        <w:tag w:val="_SEC_b6520273283341408b24eceadfb999dd"/>
        <w:id w:val="-747960420"/>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19"/>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47791627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3"/>
        <w:numPr>
          <w:ilvl w:val="0"/>
          <w:numId w:val="19"/>
        </w:numPr>
        <w:tabs>
          <w:tab w:val="left" w:pos="426"/>
        </w:tabs>
        <w:ind w:left="422" w:hanging="422"/>
        <w:jc w:val="left"/>
        <w:rPr>
          <w:rFonts w:ascii="宋体" w:hAnsi="宋体"/>
        </w:rPr>
      </w:pPr>
      <w:r>
        <w:rPr>
          <w:rFonts w:hint="eastAsia" w:ascii="宋体" w:hAnsi="宋体"/>
        </w:rPr>
        <w:t>重大关联交易</w:t>
      </w:r>
    </w:p>
    <w:p>
      <w:pPr>
        <w:pStyle w:val="4"/>
        <w:numPr>
          <w:ilvl w:val="2"/>
          <w:numId w:val="4"/>
        </w:numPr>
        <w:rPr>
          <w:rFonts w:ascii="宋体" w:hAnsi="宋体"/>
        </w:rPr>
      </w:pPr>
      <w:r>
        <w:rPr>
          <w:rFonts w:hint="eastAsia" w:ascii="宋体" w:hAnsi="宋体"/>
        </w:rPr>
        <w:t>与日常经营相关的关联交易</w:t>
      </w:r>
    </w:p>
    <w:sdt>
      <w:sdtPr>
        <w:rPr>
          <w:rFonts w:ascii="宋体" w:hAnsi="宋体" w:cs="宋体"/>
          <w:b w:val="0"/>
          <w:bCs w:val="0"/>
          <w:kern w:val="0"/>
          <w:szCs w:val="22"/>
        </w:rPr>
        <w:alias w:val="模块:已在临时公告披露且后续实施无进展或变化的事项"/>
        <w:tag w:val="_SEC_b9489dd6b4c843e6be6e5a97de24b51b"/>
        <w:id w:val="-734472495"/>
        <w:lock w:val="sdtLocked"/>
        <w:placeholder>
          <w:docPart w:val="GBC22222222222222222222222222222"/>
        </w:placeholder>
      </w:sdtPr>
      <w:sdtEndPr>
        <w:rPr>
          <w:rFonts w:ascii="宋体" w:hAnsi="宋体" w:cs="宋体"/>
          <w:b w:val="0"/>
          <w:bCs w:val="0"/>
          <w:kern w:val="0"/>
          <w:szCs w:val="21"/>
        </w:rPr>
      </w:sdtEndPr>
      <w:sdtContent>
        <w:p>
          <w:pPr>
            <w:pStyle w:val="5"/>
            <w:numPr>
              <w:ilvl w:val="2"/>
              <w:numId w:val="21"/>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109251367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4"/>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978b66ad729485ab420902ac1d8641a"/>
                <w:id w:val="-192848137"/>
                <w:lock w:val="sdtLocked"/>
              </w:sdtPr>
              <w:sdtContent>
                <w:tc>
                  <w:tcPr>
                    <w:tcW w:w="4524" w:type="dxa"/>
                  </w:tcPr>
                  <w:p>
                    <w:pPr>
                      <w:widowControl w:val="0"/>
                      <w:jc w:val="center"/>
                      <w:rPr>
                        <w:rFonts w:ascii="Times New Roman" w:hAnsi="Times New Roman"/>
                      </w:rPr>
                    </w:pPr>
                    <w:r>
                      <w:rPr>
                        <w:rFonts w:ascii="Times New Roman" w:hAnsi="Times New Roman"/>
                      </w:rPr>
                      <w:t>事项概述</w:t>
                    </w:r>
                  </w:p>
                </w:tc>
              </w:sdtContent>
            </w:sdt>
            <w:sdt>
              <w:sdtPr>
                <w:tag w:val="_PLD_28c260015cd145a7bdcdc3be1a2f9896"/>
                <w:id w:val="1925832565"/>
                <w:lock w:val="sdtLocked"/>
              </w:sdtPr>
              <w:sdtContent>
                <w:tc>
                  <w:tcPr>
                    <w:tcW w:w="4524" w:type="dxa"/>
                  </w:tcPr>
                  <w:p>
                    <w:pPr>
                      <w:widowControl w:val="0"/>
                      <w:jc w:val="center"/>
                      <w:rPr>
                        <w:rFonts w:ascii="Times New Roman" w:hAnsi="Times New Roman"/>
                      </w:rPr>
                    </w:pPr>
                    <w:r>
                      <w:rPr>
                        <w:rFonts w:ascii="Times New Roman" w:hAnsi="Times New Roman"/>
                      </w:rPr>
                      <w:t>查询索引</w:t>
                    </w:r>
                  </w:p>
                </w:tc>
              </w:sdtContent>
            </w:sdt>
          </w:tr>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7401809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2020年8月28日，本公司与控股子公司宜长公司（本公司的关连附属公司的子公司）订立《关于租赁经营宜长公司张渚服务区加油站的协议》，宜长公司将所属张渚加油站租赁给本公司经营管理，经营租赁期限自张渚服务区加油站正式对外经营之日起3年。租赁费总计不超过人民币532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有关详情见本公司2020年8月29日于上交所网站www.sse.com.cn及2020年8月28日于联交所网站www.hkexnews.hk刊登的董事会决议公告。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819308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2020年10月30日，本公司全资子公司扬子江管理公司与锡泰公司（本公司控股股东联系人）签署《委托管理协议》。委托管理期限自2021年1月1日至2023年12月31日，共36个月；预计委托管理费用上限为人民币126万元（预计202</w:t>
                    </w:r>
                    <w:r>
                      <w:rPr>
                        <w:rFonts w:hint="eastAsia" w:ascii="Times New Roman" w:hAnsi="Times New Roman"/>
                        <w:sz w:val="18"/>
                        <w:szCs w:val="18"/>
                      </w:rPr>
                      <w:t>3</w:t>
                    </w:r>
                    <w:r>
                      <w:rPr>
                        <w:rFonts w:ascii="Times New Roman" w:hAnsi="Times New Roman"/>
                        <w:sz w:val="18"/>
                        <w:szCs w:val="18"/>
                      </w:rPr>
                      <w:t>年度不超过人民币4</w:t>
                    </w:r>
                    <w:r>
                      <w:rPr>
                        <w:rFonts w:hint="eastAsia" w:ascii="Times New Roman" w:hAnsi="Times New Roman"/>
                        <w:sz w:val="18"/>
                        <w:szCs w:val="18"/>
                      </w:rPr>
                      <w:t>3</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有关详情见本公司2020年10月31日于上交所网站www.sse.com.cn及2020年10月30日于联交所网站www.hkexnews.hk刊登的董事会决议公告。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12288240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2020年11月27日，本公司与五峰山大桥公司（本公司关联附属公司）订立五峰山大桥服务区加油站租赁经营协议，五峰山大桥公司将所属五峰山大桥服务区加油站租赁给本公司经营管理，经营租赁期限自五峰山大桥服务区加油站正式对外经营之日起三年，预计三年租金总额不超过人民币1,600万元（其中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575</w:t>
                    </w:r>
                    <w:r>
                      <w:rPr>
                        <w:rFonts w:ascii="Times New Roman" w:hAnsi="Times New Roman"/>
                        <w:sz w:val="18"/>
                        <w:szCs w:val="18"/>
                      </w:rPr>
                      <w:t>万元，</w:t>
                    </w:r>
                    <w:r>
                      <w:rPr>
                        <w:rFonts w:hint="eastAsia" w:ascii="Times New Roman" w:hAnsi="Times New Roman"/>
                        <w:sz w:val="18"/>
                        <w:szCs w:val="18"/>
                      </w:rPr>
                      <w:t>2024年不超过人民币325万元</w:t>
                    </w:r>
                    <w:r>
                      <w:rPr>
                        <w:rFonts w:ascii="Times New Roman" w:hAnsi="Times New Roman"/>
                        <w:sz w:val="18"/>
                        <w:szCs w:val="18"/>
                      </w:rPr>
                      <w:t>）。</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有关详情见本公司2020年11月28日于上交所网站www.sse.com.cn及2020年11月27日于联交所网站www.hkexnews.hk刊登的董事会决议公告。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03053338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就本公司及全资子公司SDWAN二阶段服务项目、ETC服务费等事项与通行宝公司（本公司控股股东联系人）签署框架协议，协议期限自2021年4月1日至2023年12月31日，协议金额不超过人民币867万元，预计202</w:t>
                    </w:r>
                    <w:r>
                      <w:rPr>
                        <w:rFonts w:hint="eastAsia" w:ascii="Times New Roman" w:hAnsi="Times New Roman"/>
                        <w:sz w:val="18"/>
                        <w:szCs w:val="18"/>
                      </w:rPr>
                      <w:t>3</w:t>
                    </w:r>
                    <w:r>
                      <w:rPr>
                        <w:rFonts w:ascii="Times New Roman" w:hAnsi="Times New Roman"/>
                        <w:sz w:val="18"/>
                        <w:szCs w:val="18"/>
                      </w:rPr>
                      <w:t>年金额不超过人民币</w:t>
                    </w:r>
                    <w:r>
                      <w:rPr>
                        <w:rFonts w:hint="eastAsia" w:ascii="Times New Roman" w:hAnsi="Times New Roman"/>
                        <w:sz w:val="18"/>
                        <w:szCs w:val="18"/>
                      </w:rPr>
                      <w:t>130</w:t>
                    </w:r>
                    <w:r>
                      <w:rPr>
                        <w:rFonts w:ascii="Times New Roman" w:hAnsi="Times New Roman"/>
                        <w:sz w:val="18"/>
                        <w:szCs w:val="18"/>
                      </w:rPr>
                      <w:t>万元；本公司控股子公司五峰山大桥公司与通行宝公司就云调度及SDWAN服务等项目签署框架协议，协议期限自2021年4月1日至2023年12月31日，协议金额不超过人民币980万元，预计202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130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79697612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2021年3月26日，本公司就本公司及全资子公司福利采购等事项与翠屏山宾馆(本公司控股股东联系人）签署年度框架协议，协议期限自2021年4月1日至2023年12月31日，协议金额不超过人民币448万元，预计202</w:t>
                    </w:r>
                    <w:r>
                      <w:rPr>
                        <w:rFonts w:hint="eastAsia" w:ascii="Times New Roman" w:hAnsi="Times New Roman"/>
                        <w:sz w:val="18"/>
                        <w:szCs w:val="18"/>
                      </w:rPr>
                      <w:t>3</w:t>
                    </w:r>
                    <w:r>
                      <w:rPr>
                        <w:rFonts w:ascii="Times New Roman" w:hAnsi="Times New Roman"/>
                        <w:sz w:val="18"/>
                        <w:szCs w:val="18"/>
                      </w:rPr>
                      <w:t>年金额不超过人民币</w:t>
                    </w:r>
                    <w:r>
                      <w:rPr>
                        <w:rFonts w:hint="eastAsia" w:ascii="Times New Roman" w:hAnsi="Times New Roman"/>
                        <w:sz w:val="18"/>
                        <w:szCs w:val="18"/>
                      </w:rPr>
                      <w:t>60</w:t>
                    </w:r>
                    <w:r>
                      <w:rPr>
                        <w:rFonts w:ascii="Times New Roman" w:hAnsi="Times New Roman"/>
                        <w:sz w:val="18"/>
                        <w:szCs w:val="18"/>
                      </w:rPr>
                      <w:t>万元；广靖锡澄公司及其控股子公司常宜公司、宜长公司就开展物资采购等业务分别与翠屏山宾馆签署有关框架协议，协议期限自2021年1月1日至2023年12月31日，协议金额不超过人民币470万元，202</w:t>
                    </w:r>
                    <w:r>
                      <w:rPr>
                        <w:rFonts w:hint="eastAsia" w:ascii="Times New Roman" w:hAnsi="Times New Roman"/>
                        <w:sz w:val="18"/>
                        <w:szCs w:val="18"/>
                      </w:rPr>
                      <w:t>3</w:t>
                    </w:r>
                    <w:r>
                      <w:rPr>
                        <w:rFonts w:ascii="Times New Roman" w:hAnsi="Times New Roman"/>
                        <w:sz w:val="18"/>
                        <w:szCs w:val="18"/>
                      </w:rPr>
                      <w:t>年预计金额不超过人民币</w:t>
                    </w:r>
                    <w:r>
                      <w:rPr>
                        <w:rFonts w:hint="eastAsia" w:ascii="Times New Roman" w:hAnsi="Times New Roman"/>
                        <w:sz w:val="18"/>
                        <w:szCs w:val="18"/>
                      </w:rPr>
                      <w:t>160</w:t>
                    </w:r>
                    <w:r>
                      <w:rPr>
                        <w:rFonts w:ascii="Times New Roman" w:hAnsi="Times New Roman"/>
                        <w:sz w:val="18"/>
                        <w:szCs w:val="18"/>
                      </w:rPr>
                      <w:t>万元（广靖锡澄公司不超过人民币110万元，常宜公司不超过人民币20万元，宜长公司不超过人民币30万元）。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5211149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就本公司及全资子公司物业服务、租赁及管理等事项与交控商运公司（本公司控股股东联系人）签署框架协议，协议期限自2021年4月1日至2023年12月31日，预计协议金额不超过人民币214.702583万元，202</w:t>
                    </w:r>
                    <w:r>
                      <w:rPr>
                        <w:rFonts w:hint="eastAsia" w:ascii="Times New Roman" w:hAnsi="Times New Roman"/>
                        <w:sz w:val="18"/>
                        <w:szCs w:val="18"/>
                      </w:rPr>
                      <w:t>3</w:t>
                    </w:r>
                    <w:r>
                      <w:rPr>
                        <w:rFonts w:ascii="Times New Roman" w:hAnsi="Times New Roman"/>
                        <w:sz w:val="18"/>
                        <w:szCs w:val="18"/>
                      </w:rPr>
                      <w:t>年金额不超过人民币46.930383万元。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64196510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2021年3月26日，广靖锡澄公司及其控股子公司常宜公司、宜长公司就监控、通信系统维护及备品备件采购事项，分别与高速信息公司</w:t>
                    </w:r>
                    <w:r>
                      <w:rPr>
                        <w:rFonts w:hint="eastAsia" w:ascii="Times New Roman" w:hAnsi="Times New Roman"/>
                        <w:sz w:val="18"/>
                        <w:szCs w:val="18"/>
                      </w:rPr>
                      <w:t>（本公司控股股东联系人）</w:t>
                    </w:r>
                    <w:r>
                      <w:rPr>
                        <w:rFonts w:ascii="Times New Roman" w:hAnsi="Times New Roman"/>
                        <w:sz w:val="18"/>
                        <w:szCs w:val="18"/>
                      </w:rPr>
                      <w:t>签署有关框架协议，协议期限自2021年1月1日至2023年12月31日，协议金额不超过人民币3,300万元，预计202</w:t>
                    </w:r>
                    <w:r>
                      <w:rPr>
                        <w:rFonts w:hint="eastAsia" w:ascii="Times New Roman" w:hAnsi="Times New Roman"/>
                        <w:sz w:val="18"/>
                        <w:szCs w:val="18"/>
                      </w:rPr>
                      <w:t>3</w:t>
                    </w:r>
                    <w:r>
                      <w:rPr>
                        <w:rFonts w:ascii="Times New Roman" w:hAnsi="Times New Roman"/>
                        <w:sz w:val="18"/>
                        <w:szCs w:val="18"/>
                      </w:rPr>
                      <w:t>年协议金额不超过人民币1,</w:t>
                    </w:r>
                    <w:r>
                      <w:rPr>
                        <w:rFonts w:hint="eastAsia" w:ascii="Times New Roman" w:hAnsi="Times New Roman"/>
                        <w:sz w:val="18"/>
                        <w:szCs w:val="18"/>
                      </w:rPr>
                      <w:t>2</w:t>
                    </w:r>
                    <w:r>
                      <w:rPr>
                        <w:rFonts w:ascii="Times New Roman" w:hAnsi="Times New Roman"/>
                        <w:sz w:val="18"/>
                        <w:szCs w:val="18"/>
                      </w:rPr>
                      <w:t>00万元（广靖锡澄公司不超过人民币800万元，常宜公司不超过人民币</w:t>
                    </w:r>
                    <w:r>
                      <w:rPr>
                        <w:rFonts w:hint="eastAsia" w:ascii="Times New Roman" w:hAnsi="Times New Roman"/>
                        <w:sz w:val="18"/>
                        <w:szCs w:val="18"/>
                      </w:rPr>
                      <w:t>200</w:t>
                    </w:r>
                    <w:r>
                      <w:rPr>
                        <w:rFonts w:ascii="Times New Roman" w:hAnsi="Times New Roman"/>
                        <w:sz w:val="18"/>
                        <w:szCs w:val="18"/>
                      </w:rPr>
                      <w:t>万元，宜长公司不超过人民币</w:t>
                    </w:r>
                    <w:r>
                      <w:rPr>
                        <w:rFonts w:hint="eastAsia" w:ascii="Times New Roman" w:hAnsi="Times New Roman"/>
                        <w:sz w:val="18"/>
                        <w:szCs w:val="18"/>
                      </w:rPr>
                      <w:t>200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7381641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2021年3月26日，本公司就本公司及全资子公司云平台技术服务项目与江苏交控签署年度框架协议，协议期限自2021年1月1日至2023年12月31日，协议金额不超过人民币493万元，预计202</w:t>
                    </w:r>
                    <w:r>
                      <w:rPr>
                        <w:rFonts w:hint="eastAsia" w:ascii="Times New Roman" w:hAnsi="Times New Roman"/>
                        <w:sz w:val="18"/>
                        <w:szCs w:val="18"/>
                      </w:rPr>
                      <w:t>3</w:t>
                    </w:r>
                    <w:r>
                      <w:rPr>
                        <w:rFonts w:ascii="Times New Roman" w:hAnsi="Times New Roman"/>
                        <w:sz w:val="18"/>
                        <w:szCs w:val="18"/>
                      </w:rPr>
                      <w:t>年金额不超过人民币1</w:t>
                    </w:r>
                    <w:r>
                      <w:rPr>
                        <w:rFonts w:hint="eastAsia" w:ascii="Times New Roman" w:hAnsi="Times New Roman"/>
                        <w:sz w:val="18"/>
                        <w:szCs w:val="18"/>
                      </w:rPr>
                      <w:t>2</w:t>
                    </w:r>
                    <w:r>
                      <w:rPr>
                        <w:rFonts w:ascii="Times New Roman" w:hAnsi="Times New Roman"/>
                        <w:sz w:val="18"/>
                        <w:szCs w:val="18"/>
                      </w:rPr>
                      <w:t>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1580420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就委托经营管理事项与控股子公司五峰山大桥公司(本公司关联附属公司)和苏锡常南部高速公司(本公司控股股东联系人）分别签署委托管理协议，将各自公司日常经营管理事务（不含服务区及加油站业务）委托给本公司，委托管理期限自2021年1月1日至2023年12月31日，协议总金额不超过人民币33,600万元，其中：预计五峰山大桥公司202</w:t>
                    </w:r>
                    <w:r>
                      <w:rPr>
                        <w:rFonts w:hint="eastAsia" w:ascii="Times New Roman" w:hAnsi="Times New Roman"/>
                        <w:sz w:val="18"/>
                        <w:szCs w:val="18"/>
                      </w:rPr>
                      <w:t>3</w:t>
                    </w:r>
                    <w:r>
                      <w:rPr>
                        <w:rFonts w:ascii="Times New Roman" w:hAnsi="Times New Roman"/>
                        <w:sz w:val="18"/>
                        <w:szCs w:val="18"/>
                      </w:rPr>
                      <w:t>年金额不超过人民币</w:t>
                    </w:r>
                    <w:r>
                      <w:rPr>
                        <w:rFonts w:hint="eastAsia" w:ascii="Times New Roman" w:hAnsi="Times New Roman"/>
                        <w:sz w:val="18"/>
                        <w:szCs w:val="18"/>
                      </w:rPr>
                      <w:t>7</w:t>
                    </w:r>
                    <w:r>
                      <w:rPr>
                        <w:rFonts w:ascii="Times New Roman" w:hAnsi="Times New Roman"/>
                        <w:sz w:val="18"/>
                        <w:szCs w:val="18"/>
                      </w:rPr>
                      <w:t>,</w:t>
                    </w:r>
                    <w:r>
                      <w:rPr>
                        <w:rFonts w:hint="eastAsia" w:ascii="Times New Roman" w:hAnsi="Times New Roman"/>
                        <w:sz w:val="18"/>
                        <w:szCs w:val="18"/>
                      </w:rPr>
                      <w:t>1</w:t>
                    </w:r>
                    <w:r>
                      <w:rPr>
                        <w:rFonts w:ascii="Times New Roman" w:hAnsi="Times New Roman"/>
                        <w:sz w:val="18"/>
                        <w:szCs w:val="18"/>
                      </w:rPr>
                      <w:t>00万元，苏锡常南部高速公司202</w:t>
                    </w:r>
                    <w:r>
                      <w:rPr>
                        <w:rFonts w:hint="eastAsia" w:ascii="Times New Roman" w:hAnsi="Times New Roman"/>
                        <w:sz w:val="18"/>
                        <w:szCs w:val="18"/>
                      </w:rPr>
                      <w:t>3</w:t>
                    </w:r>
                    <w:r>
                      <w:rPr>
                        <w:rFonts w:ascii="Times New Roman" w:hAnsi="Times New Roman"/>
                        <w:sz w:val="18"/>
                        <w:szCs w:val="18"/>
                      </w:rPr>
                      <w:t>年金额不超过人民币</w:t>
                    </w:r>
                    <w:r>
                      <w:rPr>
                        <w:rFonts w:hint="eastAsia" w:ascii="Times New Roman" w:hAnsi="Times New Roman"/>
                        <w:sz w:val="18"/>
                        <w:szCs w:val="18"/>
                      </w:rPr>
                      <w:t>7</w:t>
                    </w:r>
                    <w:r>
                      <w:rPr>
                        <w:rFonts w:ascii="Times New Roman" w:hAnsi="Times New Roman"/>
                        <w:sz w:val="18"/>
                        <w:szCs w:val="18"/>
                      </w:rPr>
                      <w:t>,</w:t>
                    </w:r>
                    <w:r>
                      <w:rPr>
                        <w:rFonts w:hint="eastAsia" w:ascii="Times New Roman" w:hAnsi="Times New Roman"/>
                        <w:sz w:val="18"/>
                        <w:szCs w:val="18"/>
                      </w:rPr>
                      <w:t>1</w:t>
                    </w:r>
                    <w:r>
                      <w:rPr>
                        <w:rFonts w:ascii="Times New Roman" w:hAnsi="Times New Roman"/>
                        <w:sz w:val="18"/>
                        <w:szCs w:val="18"/>
                      </w:rPr>
                      <w:t>00万元。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4224028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控股子公司广靖锡澄公司及其控股子公司常宜公司、宜长公司拟就工程物资采购事项与和泰高速经营公司(本公司控股股东联系人）签署有关采购协议，协议期限自2021年4月1日至2024年3月31日，协议金额不超过人民币585万元。预计202</w:t>
                    </w:r>
                    <w:r>
                      <w:rPr>
                        <w:rFonts w:hint="eastAsia" w:ascii="Times New Roman" w:hAnsi="Times New Roman"/>
                        <w:sz w:val="18"/>
                        <w:szCs w:val="18"/>
                      </w:rPr>
                      <w:t>3</w:t>
                    </w:r>
                    <w:r>
                      <w:rPr>
                        <w:rFonts w:ascii="Times New Roman" w:hAnsi="Times New Roman"/>
                        <w:sz w:val="18"/>
                        <w:szCs w:val="18"/>
                      </w:rPr>
                      <w:t>年广靖锡澄公司金额不超过人民币</w:t>
                    </w:r>
                    <w:r>
                      <w:rPr>
                        <w:rFonts w:hint="eastAsia" w:ascii="Times New Roman" w:hAnsi="Times New Roman"/>
                        <w:sz w:val="18"/>
                        <w:szCs w:val="18"/>
                      </w:rPr>
                      <w:t>120</w:t>
                    </w:r>
                    <w:r>
                      <w:rPr>
                        <w:rFonts w:ascii="Times New Roman" w:hAnsi="Times New Roman"/>
                        <w:sz w:val="18"/>
                        <w:szCs w:val="18"/>
                      </w:rPr>
                      <w:t>万元，常宜公司金额不超过人民币</w:t>
                    </w:r>
                    <w:r>
                      <w:rPr>
                        <w:rFonts w:hint="eastAsia" w:ascii="Times New Roman" w:hAnsi="Times New Roman"/>
                        <w:sz w:val="18"/>
                        <w:szCs w:val="18"/>
                      </w:rPr>
                      <w:t>30</w:t>
                    </w:r>
                    <w:r>
                      <w:rPr>
                        <w:rFonts w:ascii="Times New Roman" w:hAnsi="Times New Roman"/>
                        <w:sz w:val="18"/>
                        <w:szCs w:val="18"/>
                      </w:rPr>
                      <w:t>万元，宜长公司金额不超过人民币</w:t>
                    </w:r>
                    <w:r>
                      <w:rPr>
                        <w:rFonts w:hint="eastAsia" w:ascii="Times New Roman" w:hAnsi="Times New Roman"/>
                        <w:sz w:val="18"/>
                        <w:szCs w:val="18"/>
                      </w:rPr>
                      <w:t>40</w:t>
                    </w:r>
                    <w:r>
                      <w:rPr>
                        <w:rFonts w:ascii="Times New Roman" w:hAnsi="Times New Roman"/>
                        <w:sz w:val="18"/>
                        <w:szCs w:val="18"/>
                      </w:rPr>
                      <w:t>万元；</w:t>
                    </w:r>
                    <w:r>
                      <w:rPr>
                        <w:rFonts w:hint="eastAsia" w:ascii="Times New Roman" w:hAnsi="Times New Roman"/>
                        <w:sz w:val="18"/>
                        <w:szCs w:val="18"/>
                      </w:rPr>
                      <w:t>预计</w:t>
                    </w:r>
                    <w:r>
                      <w:rPr>
                        <w:rFonts w:ascii="Times New Roman" w:hAnsi="Times New Roman"/>
                        <w:sz w:val="18"/>
                        <w:szCs w:val="18"/>
                      </w:rPr>
                      <w:t>202</w:t>
                    </w:r>
                    <w:r>
                      <w:rPr>
                        <w:rFonts w:hint="eastAsia" w:ascii="Times New Roman" w:hAnsi="Times New Roman"/>
                        <w:sz w:val="18"/>
                        <w:szCs w:val="18"/>
                      </w:rPr>
                      <w:t>4</w:t>
                    </w:r>
                    <w:r>
                      <w:rPr>
                        <w:rFonts w:ascii="Times New Roman" w:hAnsi="Times New Roman"/>
                        <w:sz w:val="18"/>
                        <w:szCs w:val="18"/>
                      </w:rPr>
                      <w:t>年</w:t>
                    </w:r>
                    <w:r>
                      <w:rPr>
                        <w:rFonts w:hint="eastAsia" w:ascii="Times New Roman" w:hAnsi="Times New Roman"/>
                        <w:sz w:val="18"/>
                        <w:szCs w:val="18"/>
                      </w:rPr>
                      <w:t>1月1日至2024年3月31日</w:t>
                    </w:r>
                    <w:r>
                      <w:rPr>
                        <w:rFonts w:ascii="Times New Roman" w:hAnsi="Times New Roman"/>
                        <w:sz w:val="18"/>
                        <w:szCs w:val="18"/>
                      </w:rPr>
                      <w:t>广靖锡澄公司金额不超过人民币</w:t>
                    </w:r>
                    <w:r>
                      <w:rPr>
                        <w:rFonts w:hint="eastAsia" w:ascii="Times New Roman" w:hAnsi="Times New Roman"/>
                        <w:sz w:val="18"/>
                        <w:szCs w:val="18"/>
                      </w:rPr>
                      <w:t>20</w:t>
                    </w:r>
                    <w:r>
                      <w:rPr>
                        <w:rFonts w:ascii="Times New Roman" w:hAnsi="Times New Roman"/>
                        <w:sz w:val="18"/>
                        <w:szCs w:val="18"/>
                      </w:rPr>
                      <w:t>万元，常宜公司金额不超过人民币</w:t>
                    </w:r>
                    <w:r>
                      <w:rPr>
                        <w:rFonts w:hint="eastAsia" w:ascii="Times New Roman" w:hAnsi="Times New Roman"/>
                        <w:sz w:val="18"/>
                        <w:szCs w:val="18"/>
                      </w:rPr>
                      <w:t>10</w:t>
                    </w:r>
                    <w:r>
                      <w:rPr>
                        <w:rFonts w:ascii="Times New Roman" w:hAnsi="Times New Roman"/>
                        <w:sz w:val="18"/>
                        <w:szCs w:val="18"/>
                      </w:rPr>
                      <w:t>万元，宜长公司金额不超过人民币</w:t>
                    </w:r>
                    <w:r>
                      <w:rPr>
                        <w:rFonts w:hint="eastAsia" w:ascii="Times New Roman" w:hAnsi="Times New Roman"/>
                        <w:sz w:val="18"/>
                        <w:szCs w:val="18"/>
                      </w:rPr>
                      <w:t>15</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71264242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控股子公司广靖锡澄公司就服务区加油站租赁事项与高速石油公司(本公司控股股东联系人）及其全资子公司泰兴油品公司(本公司控股股东联系人）签署有关协议，租赁价格为根据加油量定价，保底租金50万元，协议期限自2021年1月1日至2023年12月31日，并根据预估2021年至2023年的加油量，预计协议金额不超过人民币7,800万元（202</w:t>
                    </w:r>
                    <w:r>
                      <w:rPr>
                        <w:rFonts w:hint="eastAsia" w:ascii="Times New Roman" w:hAnsi="Times New Roman"/>
                        <w:sz w:val="18"/>
                        <w:szCs w:val="18"/>
                      </w:rPr>
                      <w:t>3</w:t>
                    </w:r>
                    <w:r>
                      <w:rPr>
                        <w:rFonts w:ascii="Times New Roman" w:hAnsi="Times New Roman"/>
                        <w:sz w:val="18"/>
                        <w:szCs w:val="18"/>
                      </w:rPr>
                      <w:t>年不超过人民币2,</w:t>
                    </w:r>
                    <w:r>
                      <w:rPr>
                        <w:rFonts w:hint="eastAsia" w:ascii="Times New Roman" w:hAnsi="Times New Roman"/>
                        <w:sz w:val="18"/>
                        <w:szCs w:val="18"/>
                      </w:rPr>
                      <w:t>7</w:t>
                    </w:r>
                    <w:r>
                      <w:rPr>
                        <w:rFonts w:ascii="Times New Roman" w:hAnsi="Times New Roman"/>
                        <w:sz w:val="18"/>
                        <w:szCs w:val="18"/>
                      </w:rPr>
                      <w:t>00万元）。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36691452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控股子公司广靖锡澄公司控股子公司常宜公司、宜长公司就路网管理服务分别与联网公司(本公司控股股东联系人）签署框架协议，协议期限自2021年1月1日至2023年12月31日，协议金额不超过人民币900万元。其中：预计202</w:t>
                    </w:r>
                    <w:r>
                      <w:rPr>
                        <w:rFonts w:hint="eastAsia" w:ascii="Times New Roman" w:hAnsi="Times New Roman"/>
                        <w:sz w:val="18"/>
                        <w:szCs w:val="18"/>
                      </w:rPr>
                      <w:t>3</w:t>
                    </w:r>
                    <w:r>
                      <w:rPr>
                        <w:rFonts w:ascii="Times New Roman" w:hAnsi="Times New Roman"/>
                        <w:sz w:val="18"/>
                        <w:szCs w:val="18"/>
                      </w:rPr>
                      <w:t>年常宜公司金额不超过人民币</w:t>
                    </w:r>
                    <w:r>
                      <w:rPr>
                        <w:rFonts w:hint="eastAsia" w:ascii="Times New Roman" w:hAnsi="Times New Roman"/>
                        <w:sz w:val="18"/>
                        <w:szCs w:val="18"/>
                      </w:rPr>
                      <w:t>20</w:t>
                    </w:r>
                    <w:r>
                      <w:rPr>
                        <w:rFonts w:ascii="Times New Roman" w:hAnsi="Times New Roman"/>
                        <w:sz w:val="18"/>
                        <w:szCs w:val="18"/>
                      </w:rPr>
                      <w:t>0万元，宜长公司金额不超过</w:t>
                    </w:r>
                    <w:r>
                      <w:rPr>
                        <w:rFonts w:hint="eastAsia" w:ascii="Times New Roman" w:hAnsi="Times New Roman"/>
                        <w:sz w:val="18"/>
                        <w:szCs w:val="18"/>
                      </w:rPr>
                      <w:t>200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49522859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控股子公司镇丹公司、五峰山大桥公司与感动科技公司（本公司控股股东联系人）就云值机等信息化系统开发维护项目分别签署框架协议，其中：五峰山大桥公司协议期限自2021年4月1日至2023年12月31日，协议金额不超过人民币380万元，预计202</w:t>
                    </w:r>
                    <w:r>
                      <w:rPr>
                        <w:rFonts w:hint="eastAsia" w:ascii="Times New Roman" w:hAnsi="Times New Roman"/>
                        <w:sz w:val="18"/>
                        <w:szCs w:val="18"/>
                      </w:rPr>
                      <w:t>3</w:t>
                    </w:r>
                    <w:r>
                      <w:rPr>
                        <w:rFonts w:ascii="Times New Roman" w:hAnsi="Times New Roman"/>
                        <w:sz w:val="18"/>
                        <w:szCs w:val="18"/>
                      </w:rPr>
                      <w:t>年金额不超过人民币60万元。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72812241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全资子公司扬子江管理公司就车辆租赁等事项与广靖锡澄公司(本公司关联附属公司)、扬子大桥公司(本公司控股股东联系人)分别签署有关租赁协议，协议期限自2021年1月1日至2023年12月31日，协议金额不超过人民币81万，其中：预计(1)扬子江管理公司支付给广靖锡澄公司的租赁费用不超过人民币36万元（202</w:t>
                    </w:r>
                    <w:r>
                      <w:rPr>
                        <w:rFonts w:hint="eastAsia" w:ascii="Times New Roman" w:hAnsi="Times New Roman"/>
                        <w:sz w:val="18"/>
                        <w:szCs w:val="18"/>
                      </w:rPr>
                      <w:t>3</w:t>
                    </w:r>
                    <w:r>
                      <w:rPr>
                        <w:rFonts w:ascii="Times New Roman" w:hAnsi="Times New Roman"/>
                        <w:sz w:val="18"/>
                        <w:szCs w:val="18"/>
                      </w:rPr>
                      <w:t>年不超过人民币12万元）；(2)扬子江管理公司支付给扬子大桥公司的租赁费不超过人民币45万元（202</w:t>
                    </w:r>
                    <w:r>
                      <w:rPr>
                        <w:rFonts w:hint="eastAsia" w:ascii="Times New Roman" w:hAnsi="Times New Roman"/>
                        <w:sz w:val="18"/>
                        <w:szCs w:val="18"/>
                      </w:rPr>
                      <w:t>3</w:t>
                    </w:r>
                    <w:r>
                      <w:rPr>
                        <w:rFonts w:ascii="Times New Roman" w:hAnsi="Times New Roman"/>
                        <w:sz w:val="18"/>
                        <w:szCs w:val="18"/>
                      </w:rPr>
                      <w:t>年不超过人民币15万元）。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82416531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全资子公司扬子江管理公司就委托经营管理与扬子大桥公司(本公司控股股东联系人)、沪通大桥公司(本公司控股股东联系人)、广靖锡澄公司(本公司关联附属公司)、常宜公司(本公司关联附属公司)、宜长公司(本公司关联附属公司)分别签署委托管理协议，本次委托经营管理期限自2021年4月1日至2023年12月31日止，委托管理费不超过人民币18,839万元。其中：预计(1)扬子大桥公司支付给扬子江管理公司的委托费不超过人民币6,438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2,283</w:t>
                    </w:r>
                    <w:r>
                      <w:rPr>
                        <w:rFonts w:ascii="Times New Roman" w:hAnsi="Times New Roman"/>
                        <w:sz w:val="18"/>
                        <w:szCs w:val="18"/>
                      </w:rPr>
                      <w:t>万元）；(2)沪通大桥公司支付给扬子江管理公司的委托费不超过人民币3,455万元（202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1,227</w:t>
                    </w:r>
                    <w:r>
                      <w:rPr>
                        <w:rFonts w:ascii="Times New Roman" w:hAnsi="Times New Roman"/>
                        <w:sz w:val="18"/>
                        <w:szCs w:val="18"/>
                      </w:rPr>
                      <w:t>万元）；(3)广靖锡澄公司支付给扬子江管理公司的委托费不超过人民币6,934万元（202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2,460</w:t>
                    </w:r>
                    <w:r>
                      <w:rPr>
                        <w:rFonts w:ascii="Times New Roman" w:hAnsi="Times New Roman"/>
                        <w:sz w:val="18"/>
                        <w:szCs w:val="18"/>
                      </w:rPr>
                      <w:t>万元）；(4)常宜公司支付给扬子江管理公司的委托费不超过人民币897万元（202</w:t>
                    </w:r>
                    <w:r>
                      <w:rPr>
                        <w:rFonts w:hint="eastAsia" w:ascii="Times New Roman" w:hAnsi="Times New Roman"/>
                        <w:sz w:val="18"/>
                        <w:szCs w:val="18"/>
                      </w:rPr>
                      <w:t>3</w:t>
                    </w:r>
                    <w:r>
                      <w:rPr>
                        <w:rFonts w:ascii="Times New Roman" w:hAnsi="Times New Roman"/>
                        <w:sz w:val="18"/>
                        <w:szCs w:val="18"/>
                      </w:rPr>
                      <w:t>年不超过人民币3</w:t>
                    </w:r>
                    <w:r>
                      <w:rPr>
                        <w:rFonts w:hint="eastAsia" w:ascii="Times New Roman" w:hAnsi="Times New Roman"/>
                        <w:sz w:val="18"/>
                        <w:szCs w:val="18"/>
                      </w:rPr>
                      <w:t>44</w:t>
                    </w:r>
                    <w:r>
                      <w:rPr>
                        <w:rFonts w:ascii="Times New Roman" w:hAnsi="Times New Roman"/>
                        <w:sz w:val="18"/>
                        <w:szCs w:val="18"/>
                      </w:rPr>
                      <w:t>万元）；(5)宜长公司支付给扬子江管理公司的委托费不超过人民币1,115万元（202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427</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73258152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2021年3月26日，本公司全资子公司扬子江管理公司就员工拓展培训与宁杭文旅公司(本公司控股股东联系人）签署关联交易协议，协议期限自2021年1月1日至2023年12月31日，协议金额不超过人民币75万元（预计202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30</w:t>
                    </w:r>
                    <w:r>
                      <w:rPr>
                        <w:rFonts w:ascii="Times New Roman" w:hAnsi="Times New Roman"/>
                        <w:sz w:val="18"/>
                        <w:szCs w:val="18"/>
                      </w:rPr>
                      <w:t>万元）；本公司控股子公司广靖锡澄公司及其控股子公司常宜公司、宜长公司就员工业务技能培训等事项与宁杭文旅公司签署关联交易协议，协议期限自2021年1月1日至2023年12月31日，协议金额不超过人民币285万元，其中：202</w:t>
                    </w:r>
                    <w:r>
                      <w:rPr>
                        <w:rFonts w:hint="eastAsia" w:ascii="Times New Roman" w:hAnsi="Times New Roman"/>
                        <w:sz w:val="18"/>
                        <w:szCs w:val="18"/>
                      </w:rPr>
                      <w:t>3</w:t>
                    </w:r>
                    <w:r>
                      <w:rPr>
                        <w:rFonts w:ascii="Times New Roman" w:hAnsi="Times New Roman"/>
                        <w:sz w:val="18"/>
                        <w:szCs w:val="18"/>
                      </w:rPr>
                      <w:t>年预计发生费用不超过人民币</w:t>
                    </w:r>
                    <w:r>
                      <w:rPr>
                        <w:rFonts w:hint="eastAsia" w:ascii="Times New Roman" w:hAnsi="Times New Roman"/>
                        <w:sz w:val="18"/>
                        <w:szCs w:val="18"/>
                      </w:rPr>
                      <w:t>110</w:t>
                    </w:r>
                    <w:r>
                      <w:rPr>
                        <w:rFonts w:ascii="Times New Roman" w:hAnsi="Times New Roman"/>
                        <w:sz w:val="18"/>
                        <w:szCs w:val="18"/>
                      </w:rPr>
                      <w:t>万元（广靖锡澄公司不超过人民币</w:t>
                    </w:r>
                    <w:r>
                      <w:rPr>
                        <w:rFonts w:hint="eastAsia" w:ascii="Times New Roman" w:hAnsi="Times New Roman"/>
                        <w:sz w:val="18"/>
                        <w:szCs w:val="18"/>
                      </w:rPr>
                      <w:t>65</w:t>
                    </w:r>
                    <w:r>
                      <w:rPr>
                        <w:rFonts w:ascii="Times New Roman" w:hAnsi="Times New Roman"/>
                        <w:sz w:val="18"/>
                        <w:szCs w:val="18"/>
                      </w:rPr>
                      <w:t>万元，常宜公司不超过人民币</w:t>
                    </w:r>
                    <w:r>
                      <w:rPr>
                        <w:rFonts w:hint="eastAsia" w:ascii="Times New Roman" w:hAnsi="Times New Roman"/>
                        <w:sz w:val="18"/>
                        <w:szCs w:val="18"/>
                      </w:rPr>
                      <w:t>20</w:t>
                    </w:r>
                    <w:r>
                      <w:rPr>
                        <w:rFonts w:ascii="Times New Roman" w:hAnsi="Times New Roman"/>
                        <w:sz w:val="18"/>
                        <w:szCs w:val="18"/>
                      </w:rPr>
                      <w:t>万元，宜长公司不超过人民币</w:t>
                    </w:r>
                    <w:r>
                      <w:rPr>
                        <w:rFonts w:hint="eastAsia" w:ascii="Times New Roman" w:hAnsi="Times New Roman"/>
                        <w:sz w:val="18"/>
                        <w:szCs w:val="18"/>
                      </w:rPr>
                      <w:t>25</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80318938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全资子公司长江商能公司就服务区委托管理事项与控股子公司五峰山大桥公司(本公司关联附属公司)、苏锡常高速公司(本公司控股股东联系人）签署有关框架协议，经营租赁期限自五峰山大桥服务区、雪堰服务区正式对外经营之日起三年，协议金额不超过人民币4,680万元。其中：预计与五峰山大桥公司该项金额不超过人民币2,880万元（自开通之日起首年不超过850万、第二年不超过980万、第三年不超过1,050万），预计与苏锡常高速公司该项金额不超过人民币1,800万元（自开通之日起首年不超过550万、第二年不超过600万、第三年不超过650万）。</w:t>
                    </w:r>
                  </w:p>
                  <w:p>
                    <w:pPr>
                      <w:widowControl w:val="0"/>
                      <w:jc w:val="both"/>
                      <w:rPr>
                        <w:rFonts w:ascii="Times New Roman" w:hAnsi="Times New Roman"/>
                        <w:sz w:val="18"/>
                        <w:szCs w:val="18"/>
                      </w:rPr>
                    </w:pPr>
                    <w:r>
                      <w:rPr>
                        <w:rFonts w:ascii="Times New Roman" w:hAnsi="Times New Roman"/>
                        <w:sz w:val="18"/>
                        <w:szCs w:val="18"/>
                      </w:rPr>
                      <w:t>2023年3月24日，本公司终止经公司九届二十八次董事会审议批准的全资子公司长江商能公司与五峰山大桥公司（本公司关连附属公司）签署的服务区委托管理协议，并就扬州广陵服务区的委托管理由本公司与五峰山大桥公司重新签署年度框架协议，其中服务区委托管理协议的履约期限为2023年5月1日至2024年4月30日，五峰山大桥公司的协议金额为人民币1,360万元（2023年不超过人民币980万元，2024年不超过人民币380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2023年3月27日于上交所网站www.sse.com.cn及联交所网站www.hkexnews.hk刊登的日常关联/持续关连交易公告。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12642383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全资子公司长江商能公司就加油站租赁事项与控股子公司五峰山大桥公司(本公司关联附属公司)、苏锡常高速公司(本公司控股股东联系人)签署有关框架协议，五峰山大桥公司、苏锡常高速公司将服务区加油站出租给长江商能公司经营，经营租赁期限自五峰山大桥服务区、雪堰服务区加油站正式对外经营之日起三年，协议金额不超过人民币2,000万元。其中：预计与五峰山大桥公司该项金额不超过人民币1,600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65</w:t>
                    </w:r>
                    <w:r>
                      <w:rPr>
                        <w:rFonts w:ascii="Times New Roman" w:hAnsi="Times New Roman"/>
                        <w:sz w:val="18"/>
                        <w:szCs w:val="18"/>
                      </w:rPr>
                      <w:t>0万元），预计与苏锡常高速公司该项金额不超过人民币400万元（预计202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150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67399622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2021年3月26日，本公司与铁集公司(本公司控股股东联系人）签署房屋租赁协议，年租金为人民币397.364万元，租赁期限自2021年1月1日至2023年12月31日，合计租金约人民币1,192.092万元。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4722998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3月26日，广靖锡澄公司及其控股子公司常宜公司、宜长公司就广告媒体租赁事项，分别与交通传媒公司（本公司控股股东联系人）签署有关协议，协议期限自2021年1月1日至2023年12月31日，预计交通传媒公司支付租金三年总金额不超过人民币2,040万元，其中：与广靖锡澄公司协议金额不超过人民币1,700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900</w:t>
                    </w:r>
                    <w:r>
                      <w:rPr>
                        <w:rFonts w:ascii="Times New Roman" w:hAnsi="Times New Roman"/>
                        <w:sz w:val="18"/>
                        <w:szCs w:val="18"/>
                      </w:rPr>
                      <w:t>万元），与常宜公司协议金额不超过人民币150万元（202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70</w:t>
                    </w:r>
                    <w:r>
                      <w:rPr>
                        <w:rFonts w:ascii="Times New Roman" w:hAnsi="Times New Roman"/>
                        <w:sz w:val="18"/>
                        <w:szCs w:val="18"/>
                      </w:rPr>
                      <w:t>万元），与宜长公司协议金额不超过人民币190万元（202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有关详情见本公司2021年3月29日于上交所网站www.sse.com.cn及于联交所网站www.hkexnews.hk刊登的日常关联</w:t>
                    </w:r>
                    <w:r>
                      <w:rPr>
                        <w:rFonts w:hint="eastAsia" w:ascii="宋体" w:hAnsi="宋体"/>
                        <w:sz w:val="18"/>
                        <w:szCs w:val="18"/>
                      </w:rPr>
                      <w:t>╱</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4590342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2021年12月22日，本公司控股子公司五峰山大桥公司（本公司关联附属公司）与交控人力资源公司（本公司控股股东联系人）合作开展收费服务外包项目并签署收费服务外包协议，协议期限自2021年12月22日至2024年11月30日，外包服务费预估总额不超过人民币1,100万元，预计202</w:t>
                    </w:r>
                    <w:r>
                      <w:rPr>
                        <w:rFonts w:hint="eastAsia" w:ascii="Times New Roman" w:hAnsi="Times New Roman"/>
                        <w:sz w:val="18"/>
                        <w:szCs w:val="18"/>
                      </w:rPr>
                      <w:t>3</w:t>
                    </w:r>
                    <w:r>
                      <w:rPr>
                        <w:rFonts w:ascii="Times New Roman" w:hAnsi="Times New Roman"/>
                        <w:sz w:val="18"/>
                        <w:szCs w:val="18"/>
                      </w:rPr>
                      <w:t>年不超过人民币3</w:t>
                    </w:r>
                    <w:r>
                      <w:rPr>
                        <w:rFonts w:hint="eastAsia" w:ascii="Times New Roman" w:hAnsi="Times New Roman"/>
                        <w:sz w:val="18"/>
                        <w:szCs w:val="18"/>
                      </w:rPr>
                      <w:t>7</w:t>
                    </w:r>
                    <w:r>
                      <w:rPr>
                        <w:rFonts w:ascii="Times New Roman" w:hAnsi="Times New Roman"/>
                        <w:sz w:val="18"/>
                        <w:szCs w:val="18"/>
                      </w:rPr>
                      <w:t>0万元</w:t>
                    </w:r>
                    <w:r>
                      <w:rPr>
                        <w:rFonts w:hint="eastAsia" w:ascii="Times New Roman" w:hAnsi="Times New Roman"/>
                        <w:sz w:val="18"/>
                        <w:szCs w:val="18"/>
                      </w:rPr>
                      <w:t>,2024年不超过人民币360万元</w:t>
                    </w:r>
                    <w:r>
                      <w:rPr>
                        <w:rFonts w:ascii="Times New Roman" w:hAnsi="Times New Roman"/>
                        <w:sz w:val="18"/>
                        <w:szCs w:val="18"/>
                      </w:rPr>
                      <w:t>。</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有关详情见本公司2021年12月23日于上交所网站www.sse.com.cn及2021年12月22日于联交所网站www.hkexnews.hk刊登的董事会决议公告。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05508077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控股子公司五峰山大桥公司、广靖锡澄公司及其控股子公司常宜公司、宜长公司与感动科技公司（本公司控股股东联系人）就数字化转型上云服务签署年度框架协议。协议期限为2022年5月1日至2023年4月30日，协议金额为不超过人民币423.39万元。其中，本公司与感动科技公司协议金额为不超过人民币310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11</w:t>
                    </w:r>
                    <w:r>
                      <w:rPr>
                        <w:rFonts w:ascii="Times New Roman" w:hAnsi="Times New Roman"/>
                        <w:sz w:val="18"/>
                        <w:szCs w:val="18"/>
                      </w:rPr>
                      <w:t>0万元）；五峰山大桥公司与感动科技公司协议金额为不超过人民币65万元（预计202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18</w:t>
                    </w:r>
                    <w:r>
                      <w:rPr>
                        <w:rFonts w:ascii="Times New Roman" w:hAnsi="Times New Roman"/>
                        <w:sz w:val="18"/>
                        <w:szCs w:val="18"/>
                      </w:rPr>
                      <w:t>万元）；广靖锡澄公司与感动科技公司协议金额为不超过人民币31.12万元（预计202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10.12</w:t>
                    </w:r>
                    <w:r>
                      <w:rPr>
                        <w:rFonts w:ascii="Times New Roman" w:hAnsi="Times New Roman"/>
                        <w:sz w:val="18"/>
                        <w:szCs w:val="18"/>
                      </w:rPr>
                      <w:t>万元）；常宜公司与感动科技公司协议金额为不超过人民币2.6万元（预计202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0.9</w:t>
                    </w:r>
                    <w:r>
                      <w:rPr>
                        <w:rFonts w:ascii="Times New Roman" w:hAnsi="Times New Roman"/>
                        <w:sz w:val="18"/>
                        <w:szCs w:val="18"/>
                      </w:rPr>
                      <w:t>万元）；宜长公司与感动科技公司协议金额为不超过人民币14.67万元（预计202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4.9</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94670005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控股子公司五峰山大桥公司与高速信息公司（本公司控股股东联系人）就机电系统建设维护服务、备件委托管理服务、智慧服务区开发及应用管理服务签署年度框架协议。其中，本公司与高速信息公司机电系统建设维护期限自2022年5月1日至2023年4月30日，金额不超过人民币3,300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w:t>
                    </w:r>
                    <w:r>
                      <w:rPr>
                        <w:rFonts w:ascii="Times New Roman" w:hAnsi="Times New Roman"/>
                        <w:sz w:val="18"/>
                        <w:szCs w:val="18"/>
                      </w:rPr>
                      <w:t>,</w:t>
                    </w:r>
                    <w:r>
                      <w:rPr>
                        <w:rFonts w:hint="eastAsia" w:ascii="Times New Roman" w:hAnsi="Times New Roman"/>
                        <w:sz w:val="18"/>
                        <w:szCs w:val="18"/>
                      </w:rPr>
                      <w:t>1</w:t>
                    </w:r>
                    <w:r>
                      <w:rPr>
                        <w:rFonts w:ascii="Times New Roman" w:hAnsi="Times New Roman"/>
                        <w:sz w:val="18"/>
                        <w:szCs w:val="18"/>
                      </w:rPr>
                      <w:t>00万元）；本公司与高速信息公司备件委托管理服务期限自2022年5月1日至2023年4月30日，金额不超过人民币700万元（预计202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w:t>
                    </w:r>
                    <w:r>
                      <w:rPr>
                        <w:rFonts w:ascii="Times New Roman" w:hAnsi="Times New Roman"/>
                        <w:sz w:val="18"/>
                        <w:szCs w:val="18"/>
                      </w:rPr>
                      <w:t>00万元）；本公司与高速信息公司智慧服务区开发及应用管理服务期限自2022年5月1日至2023年4月30日，金额不超过人民币300万元（预计202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100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90868798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控股子公司镇丹公司、五峰山大桥公司、广靖锡澄公司及其控股子公司宜长公司、常宜公司与通行宝公司（本公司控股股东联系人）就云调度技术服务及SD-WAN服务等网络系统服务、路网技术服务、ETC无感支付系统服务及ETC客服网点出租签署年度框架协议。其中，本公司与通行宝公司路网技术服务期限为2023年1月1日至4月30日，金额为不超过人民币900万元；广靖锡澄公司与通行宝公司路网技术服务期限为2022年5月1日至2023年4月30日，金额为不超过人民币670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22</w:t>
                    </w:r>
                    <w:r>
                      <w:rPr>
                        <w:rFonts w:ascii="Times New Roman" w:hAnsi="Times New Roman"/>
                        <w:sz w:val="18"/>
                        <w:szCs w:val="18"/>
                      </w:rPr>
                      <w:t>0万元）；常宜公司与通行宝公司路网技术服务期限为2022年5月1日至2023年4月30日，金额为不超过人民币85万元（预计202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35</w:t>
                    </w:r>
                    <w:r>
                      <w:rPr>
                        <w:rFonts w:ascii="Times New Roman" w:hAnsi="Times New Roman"/>
                        <w:sz w:val="18"/>
                        <w:szCs w:val="18"/>
                      </w:rPr>
                      <w:t>万元）；宜长公司与通行宝公司路网技术服务期限为2022年5月1日至2023年4月30日，金额为不超过人民币90万元（预计202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40</w:t>
                    </w:r>
                    <w:r>
                      <w:rPr>
                        <w:rFonts w:ascii="Times New Roman" w:hAnsi="Times New Roman"/>
                        <w:sz w:val="18"/>
                        <w:szCs w:val="18"/>
                      </w:rPr>
                      <w:t>万元）；镇丹公司与通行宝公司路网技术服务期限为2023年1月1日至4月30日，金额为不超过人民币25万元；五峰山大桥公司与通行宝公司路网技术服务期限为2023年1月1日至4月30日，金额为不超过人民币130万元；本公司与通行宝公司云调度技术服务期限为2022年5月1日至2023年4月30日，金额为不超过人民币200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67</w:t>
                    </w:r>
                    <w:r>
                      <w:rPr>
                        <w:rFonts w:ascii="Times New Roman" w:hAnsi="Times New Roman"/>
                        <w:sz w:val="18"/>
                        <w:szCs w:val="18"/>
                      </w:rPr>
                      <w:t>万元）；镇丹公司与通行宝公司云调度技术服务期限为2022年5月1日至2023年4月30日，金额为不超过人民币6万元（预计202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w:t>
                    </w:r>
                    <w:r>
                      <w:rPr>
                        <w:rFonts w:ascii="Times New Roman" w:hAnsi="Times New Roman"/>
                        <w:sz w:val="18"/>
                        <w:szCs w:val="18"/>
                      </w:rPr>
                      <w:t>万元）；广靖锡澄公司与通行宝公司云调度技术服务期限为2023年1月1日至4月30日，金额为不超过人民币20万元；常宜公司与通行宝公司云调度技术服务期限为2023年1月1日至4月30日，金额为不超过人民币1万元；宜长公司与通行宝公司云调度技术服务期限为2023年1月1日至4月30日，金额为不超过人民币10万元；本公司与通行宝公司SD-WAN服务期限为2023年1月1日至4月30日，金额为不超过人民币120万元；广靖锡澄公司与通行宝公司SD-WAN服务期限为2023年1月1日至4月30日，金额为不超过人民币40万元；常宜公司与通行宝公司SD-WAN服务期限为2023年1月1日至4月30日，金额为不超过人民币6万元；宜长公司与通行宝公司SD-WAN服务期限为2023年1月1日至4月30日，金额为不超过人民币3万元；镇丹公司与通行宝公司SD-WAN服务期限为2023年1月1日至4月30日，金额为不超过人民币10万元；本公司与通行宝公司ETC客服网点租赁期限为2022年5月1日至2023年4月30日，金额为不超过人民币80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27</w:t>
                    </w:r>
                    <w:r>
                      <w:rPr>
                        <w:rFonts w:ascii="Times New Roman" w:hAnsi="Times New Roman"/>
                        <w:sz w:val="18"/>
                        <w:szCs w:val="18"/>
                      </w:rPr>
                      <w:t>万元）；广靖锡澄公司与通行宝公司ETC客服网点租赁期限为2023年1月1日至4月30日，金额为不超过人民币3万元；本公司与通行宝公司ETC无感支付系统服务期限为2022年5月1日至2023年4月30日，金额为不超过人民币210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70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87998230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控股子公司镇丹公司、五峰山大桥公司、广靖锡澄公司及其控股子公司常宜公司、宜长公司与现代路桥公司（本公司控股股东联系人）就公路养护施工服务、桥梁伸缩缝更换服务、绿化整治和环境提升项目服务、交安设施提升工程项目服务签署年度框架协议。其中，本公司与现代路桥公司公路养护施工服务协议期限自2022年5月1日至2023年4月30日，金额为不超过人民币17,187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3,962</w:t>
                    </w:r>
                    <w:r>
                      <w:rPr>
                        <w:rFonts w:ascii="Times New Roman" w:hAnsi="Times New Roman"/>
                        <w:sz w:val="18"/>
                        <w:szCs w:val="18"/>
                      </w:rPr>
                      <w:t>万元）；广靖锡澄公司与现代路桥公司公路养护施工服务协议期限自2022年5月1日至2023年4月30日，金额为不超过人民币14,983万元（预计202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820</w:t>
                    </w:r>
                    <w:r>
                      <w:rPr>
                        <w:rFonts w:ascii="Times New Roman" w:hAnsi="Times New Roman"/>
                        <w:sz w:val="18"/>
                        <w:szCs w:val="18"/>
                      </w:rPr>
                      <w:t>万元）；常宜公司与现代路桥公司公路养护施工服务协议期限自2022年5月1日至2023年4月30日，金额为不超过人民币140万元（预计202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60</w:t>
                    </w:r>
                    <w:r>
                      <w:rPr>
                        <w:rFonts w:ascii="Times New Roman" w:hAnsi="Times New Roman"/>
                        <w:sz w:val="18"/>
                        <w:szCs w:val="18"/>
                      </w:rPr>
                      <w:t>万元）；宜长公司与现代路桥公司公路养护施工服务协议期限自2022年5月1日至2023年4月30日，金额为不超过人民币230万元（预计202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80</w:t>
                    </w:r>
                    <w:r>
                      <w:rPr>
                        <w:rFonts w:ascii="Times New Roman" w:hAnsi="Times New Roman"/>
                        <w:sz w:val="18"/>
                        <w:szCs w:val="18"/>
                      </w:rPr>
                      <w:t>万元）；镇丹公司与现代路桥公司公路养护施工服务协议期限自2022年5月1日至2023年4月30日，金额为不超过人民币436万元（预计202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145</w:t>
                    </w:r>
                    <w:r>
                      <w:rPr>
                        <w:rFonts w:ascii="Times New Roman" w:hAnsi="Times New Roman"/>
                        <w:sz w:val="18"/>
                        <w:szCs w:val="18"/>
                      </w:rPr>
                      <w:t>万元）；五峰山大桥公司与现代路桥公司公路养护施工服务协议期限自2022年5月1日至2023年4月30日，金额为不超过人民币417万元（预计202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139</w:t>
                    </w:r>
                    <w:r>
                      <w:rPr>
                        <w:rFonts w:ascii="Times New Roman" w:hAnsi="Times New Roman"/>
                        <w:sz w:val="18"/>
                        <w:szCs w:val="18"/>
                      </w:rPr>
                      <w:t>万元）；本公司与现代路桥公司伸缩缝更换服务协议期限自2022年5月1日至2023年4月30日，金额为不超过人民币1,281万元（预计202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281</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95351760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控股子公司镇丹公司、五峰山大桥公司、广靖锡澄公司及其控股子公司常宜公司、宜长公司与养护技术公司（本公司控股股东联系人）就养护技术综合服务、理事会基础会费及桥梁通航安全风险排查及综合评估咨询服务签署年度框架协议。其中，本公司与养护技术公司的养护技术综合服务期限为2022年5月1日至2023年4月30日，金额为不超过人民币1,526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100</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62058064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与华通工程公司（本公司控股股东联系人）就动态称重系统运维服务、桥梁维修加固项目签署年度框架协议。其中，本公司与华通工程公司的桥梁维修加固服务期限为2022年5月1日至2023年4月30日，金额为不超过人民币1,950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15</w:t>
                    </w:r>
                    <w:r>
                      <w:rPr>
                        <w:rFonts w:ascii="Times New Roman" w:hAnsi="Times New Roman"/>
                        <w:sz w:val="18"/>
                        <w:szCs w:val="18"/>
                      </w:rPr>
                      <w:t>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95898424"/>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全资子公司宁沪投资公司及其全资子公司保理公司、扬子江管理公司及控股子公司广靖锡澄公司与交控商运公司（本公司控股股东联系人）就办公用房租赁及物资采购签署年度框架协议。其中，宁沪投资公司与交控商运公司的办公用房租赁期限为2023年1月1日至4月30日，金额为不超过人民币85万元；保理公司与交控商运公司的办公用房租赁期限为2023年1月1日至4月30日，金额为不超过人民币45万元；扬子江管理公司与交控商运公司的物资采购服务期限为2022年5月1日至2023年4月30日，金额为不超过人民币12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w:t>
                    </w:r>
                    <w:r>
                      <w:rPr>
                        <w:rFonts w:ascii="Times New Roman" w:hAnsi="Times New Roman"/>
                        <w:sz w:val="18"/>
                        <w:szCs w:val="18"/>
                      </w:rPr>
                      <w:t>万元）；广靖锡澄公司与交控商运公司的物资采购服务期限为2022年5月1日至2023年4月30日，金额为不超过人民币45万元（预计202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5</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67557772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全资子公司扬子江管理公司、宁沪投资公司及其全资子公司保理公司、宁沪置业公司及控股子公司广靖锡澄公司及其控股子公司常宜公司、宜长公司与交控人力资源公司（本公司控股股东联系人）就人力资源服务签署年度框架协议，协议期限为2022年1月1日至2023年4月30日，协议金额为不超过人民币2,000万元。其中，本公司协议金额为不超过人民币1,570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628</w:t>
                    </w:r>
                    <w:r>
                      <w:rPr>
                        <w:rFonts w:ascii="Times New Roman" w:hAnsi="Times New Roman"/>
                        <w:sz w:val="18"/>
                        <w:szCs w:val="18"/>
                      </w:rPr>
                      <w:t>万元），扬子江管理公司协议金额为不超过人民币90万元（预计202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36</w:t>
                    </w:r>
                    <w:r>
                      <w:rPr>
                        <w:rFonts w:ascii="Times New Roman" w:hAnsi="Times New Roman"/>
                        <w:sz w:val="18"/>
                        <w:szCs w:val="18"/>
                      </w:rPr>
                      <w:t>万元），广靖锡澄公司协议金额为不超过人民币200万元（预计202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w:t>
                    </w:r>
                    <w:r>
                      <w:rPr>
                        <w:rFonts w:ascii="Times New Roman" w:hAnsi="Times New Roman"/>
                        <w:sz w:val="18"/>
                        <w:szCs w:val="18"/>
                      </w:rPr>
                      <w:t>0万元），常宜公司协议金额为不超过人民币50万元（预计202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w:t>
                    </w:r>
                    <w:r>
                      <w:rPr>
                        <w:rFonts w:ascii="Times New Roman" w:hAnsi="Times New Roman"/>
                        <w:sz w:val="18"/>
                        <w:szCs w:val="18"/>
                      </w:rPr>
                      <w:t>0万元），宜长公司协议金额为不超过人民币60万元（预计202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24</w:t>
                    </w:r>
                    <w:r>
                      <w:rPr>
                        <w:rFonts w:ascii="Times New Roman" w:hAnsi="Times New Roman"/>
                        <w:sz w:val="18"/>
                        <w:szCs w:val="18"/>
                      </w:rPr>
                      <w:t>万元），宁沪投资公司协议金额为不超过人民币10万元（预计202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w:t>
                    </w:r>
                    <w:r>
                      <w:rPr>
                        <w:rFonts w:ascii="Times New Roman" w:hAnsi="Times New Roman"/>
                        <w:sz w:val="18"/>
                        <w:szCs w:val="18"/>
                      </w:rPr>
                      <w:t>万元），保理公司协议金额为不超过人民币10万元（预计202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w:t>
                    </w:r>
                    <w:r>
                      <w:rPr>
                        <w:rFonts w:ascii="Times New Roman" w:hAnsi="Times New Roman"/>
                        <w:sz w:val="18"/>
                        <w:szCs w:val="18"/>
                      </w:rPr>
                      <w:t>万元），宁沪置业公司协议金额为不超过人民币10万元（预计202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9956837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2022年3月25日，本公司与高速石油公司（本公司控股股东联系人）就宁常镇溧段4个服务区的7座加油站出租签署年度框架协议，协议期限为2022年1月1日至2023年4月30日，协议金额为不超过人民币2,560万元（预计202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66</w:t>
                    </w:r>
                    <w:r>
                      <w:rPr>
                        <w:rFonts w:ascii="Times New Roman" w:hAnsi="Times New Roman"/>
                        <w:sz w:val="18"/>
                        <w:szCs w:val="18"/>
                      </w:rPr>
                      <w:t>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907756303"/>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与五峰山大桥公司（本公司关联附属公司）、苏锡常南部高速公司（本公司控股股东联系人）就租赁扬州广陵、武进太湖湾服务区加油站事项签署年度框架协议。其中，五峰山大桥公司服务区加油站出租期限为2022年5月1日至2023年4月30日，金额为不超过人民币310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7</w:t>
                    </w:r>
                    <w:r>
                      <w:rPr>
                        <w:rFonts w:ascii="Times New Roman" w:hAnsi="Times New Roman"/>
                        <w:sz w:val="18"/>
                        <w:szCs w:val="18"/>
                      </w:rPr>
                      <w:t>0万元）；苏锡常南部高速公司服务区加油站出租期限为开通之日至2023年4月30日，金额为不超过人民币95万元（预计202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35</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7218123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全资子公司宁沪投资公司与交通传媒公司（本公司控股股东联系人）就宣传委托制作服务、广告经营发布合作签署年度框架协议。其中，本公司与交通传媒公司的宣传制作服务委托期限为2022年5月1日至2023年4月30日，金额为不超过人民币506.23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20</w:t>
                    </w:r>
                    <w:r>
                      <w:rPr>
                        <w:rFonts w:ascii="Times New Roman" w:hAnsi="Times New Roman"/>
                        <w:sz w:val="18"/>
                        <w:szCs w:val="18"/>
                      </w:rPr>
                      <w:t>万元）；宁沪投资公司与交通传媒公司的广告经营发布合作期限为2022年5月1日至2025年4月30日，金额为不超过人民币12,100万元（预计202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w:t>
                    </w:r>
                    <w:r>
                      <w:rPr>
                        <w:rFonts w:ascii="Times New Roman" w:hAnsi="Times New Roman"/>
                        <w:sz w:val="18"/>
                        <w:szCs w:val="18"/>
                      </w:rPr>
                      <w:t>,</w:t>
                    </w:r>
                    <w:r>
                      <w:rPr>
                        <w:rFonts w:hint="eastAsia" w:ascii="Times New Roman" w:hAnsi="Times New Roman"/>
                        <w:sz w:val="18"/>
                        <w:szCs w:val="18"/>
                      </w:rPr>
                      <w:t>0</w:t>
                    </w:r>
                    <w:r>
                      <w:rPr>
                        <w:rFonts w:ascii="Times New Roman" w:hAnsi="Times New Roman"/>
                        <w:sz w:val="18"/>
                        <w:szCs w:val="18"/>
                      </w:rPr>
                      <w:t>00万元</w:t>
                    </w:r>
                    <w:r>
                      <w:rPr>
                        <w:rFonts w:hint="eastAsia" w:ascii="Times New Roman" w:hAnsi="Times New Roman"/>
                        <w:sz w:val="18"/>
                        <w:szCs w:val="18"/>
                      </w:rPr>
                      <w:t>,2024年不超过人民币4,000万元，2025年不超过人民币1,400万元</w:t>
                    </w:r>
                    <w:r>
                      <w:rPr>
                        <w:rFonts w:ascii="Times New Roman" w:hAnsi="Times New Roman"/>
                        <w:sz w:val="18"/>
                        <w:szCs w:val="18"/>
                      </w:rPr>
                      <w:t>）；宁沪投资公司与交通传媒公司的委托管理费期限为2022年5月1日至2025年4月30日，金额为不超过人民币1,750万元（预计202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580</w:t>
                    </w:r>
                    <w:r>
                      <w:rPr>
                        <w:rFonts w:ascii="Times New Roman" w:hAnsi="Times New Roman"/>
                        <w:sz w:val="18"/>
                        <w:szCs w:val="18"/>
                      </w:rPr>
                      <w:t>万元,2024年不超过人民币</w:t>
                    </w:r>
                    <w:r>
                      <w:rPr>
                        <w:rFonts w:hint="eastAsia" w:ascii="Times New Roman" w:hAnsi="Times New Roman"/>
                        <w:sz w:val="18"/>
                        <w:szCs w:val="18"/>
                      </w:rPr>
                      <w:t>580</w:t>
                    </w:r>
                    <w:r>
                      <w:rPr>
                        <w:rFonts w:ascii="Times New Roman" w:hAnsi="Times New Roman"/>
                        <w:sz w:val="18"/>
                        <w:szCs w:val="18"/>
                      </w:rPr>
                      <w:t>万元，2025年不超过人民币</w:t>
                    </w:r>
                    <w:r>
                      <w:rPr>
                        <w:rFonts w:hint="eastAsia" w:ascii="Times New Roman" w:hAnsi="Times New Roman"/>
                        <w:sz w:val="18"/>
                        <w:szCs w:val="18"/>
                      </w:rPr>
                      <w:t>2</w:t>
                    </w:r>
                    <w:r>
                      <w:rPr>
                        <w:rFonts w:ascii="Times New Roman" w:hAnsi="Times New Roman"/>
                        <w:sz w:val="18"/>
                        <w:szCs w:val="18"/>
                      </w:rPr>
                      <w:t>00万元）。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91616880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全资子公司宁沪投资公司及其全资子公司保理公司与翠屏山宾馆（本公司控股股东联系人）就商品及服务采购签署年度框架协议，协议期限为2022年5月1日至2023年4月30日，协议金额为不超过人民币300.39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77</w:t>
                    </w:r>
                    <w:r>
                      <w:rPr>
                        <w:rFonts w:ascii="Times New Roman" w:hAnsi="Times New Roman"/>
                        <w:sz w:val="18"/>
                        <w:szCs w:val="18"/>
                      </w:rPr>
                      <w:t>万元）。其中，本公司金额不超过人民币292.39万元（预计202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74</w:t>
                    </w:r>
                    <w:r>
                      <w:rPr>
                        <w:rFonts w:ascii="Times New Roman" w:hAnsi="Times New Roman"/>
                        <w:sz w:val="18"/>
                        <w:szCs w:val="18"/>
                      </w:rPr>
                      <w:t>万元），宁沪投资公司金额不超过人民币3万元（预计202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w:t>
                    </w:r>
                    <w:r>
                      <w:rPr>
                        <w:rFonts w:ascii="Times New Roman" w:hAnsi="Times New Roman"/>
                        <w:sz w:val="18"/>
                        <w:szCs w:val="18"/>
                      </w:rPr>
                      <w:t>万元），保理公司金额不超过人民币5万元（预计202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2</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78627522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及全资子公司保理公司及控股子公司广靖锡澄公司、镇丹公司、五峰山大桥公司与快鹿公司（本公司控股股东联系人）的汽车租赁业务签署年度框架协议，协议期限为2022年5月1日至2023年4月30日，协议金额为不超过人民币2,729.12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882.51</w:t>
                    </w:r>
                    <w:r>
                      <w:rPr>
                        <w:rFonts w:ascii="Times New Roman" w:hAnsi="Times New Roman"/>
                        <w:sz w:val="18"/>
                        <w:szCs w:val="18"/>
                      </w:rPr>
                      <w:t>万元）。其中，本公司金额不超过人民币1,953.12万元（预计202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625.51</w:t>
                    </w:r>
                    <w:r>
                      <w:rPr>
                        <w:rFonts w:ascii="Times New Roman" w:hAnsi="Times New Roman"/>
                        <w:sz w:val="18"/>
                        <w:szCs w:val="18"/>
                      </w:rPr>
                      <w:t>万元），保理公司金额不超过人民币4万元（预计202</w:t>
                    </w:r>
                    <w:r>
                      <w:rPr>
                        <w:rFonts w:hint="eastAsia" w:ascii="Times New Roman" w:hAnsi="Times New Roman"/>
                        <w:sz w:val="18"/>
                        <w:szCs w:val="18"/>
                      </w:rPr>
                      <w:t>3</w:t>
                    </w:r>
                    <w:r>
                      <w:rPr>
                        <w:rFonts w:ascii="Times New Roman" w:hAnsi="Times New Roman"/>
                        <w:sz w:val="18"/>
                        <w:szCs w:val="18"/>
                      </w:rPr>
                      <w:t>年不超过人民币2万元），广靖锡澄公司金额不超过人民币145万元（预计202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45</w:t>
                    </w:r>
                    <w:r>
                      <w:rPr>
                        <w:rFonts w:ascii="Times New Roman" w:hAnsi="Times New Roman"/>
                        <w:sz w:val="18"/>
                        <w:szCs w:val="18"/>
                      </w:rPr>
                      <w:t>万元），五峰山大桥公司金额不超过人民币466万元（预计202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156</w:t>
                    </w:r>
                    <w:r>
                      <w:rPr>
                        <w:rFonts w:ascii="Times New Roman" w:hAnsi="Times New Roman"/>
                        <w:sz w:val="18"/>
                        <w:szCs w:val="18"/>
                      </w:rPr>
                      <w:t>万元），镇丹公司金额不超过人民币161万元（预计202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54</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43753121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2022年3月25日，本公司与常宜公司（本公司关联附属公司）接受委托运营管理常宜一期项目北段事项签署年度框架协议，协议期限为2022年5月1日至2023年4月30日，协议金额为不超过人民币952万元（预计202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322</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有关详情见本公司2022年3月28日于上交所网站www.sse.com.cn及联交所网站www.hkexnews.hk 刊登的日常关联/持续关连交易公告。 </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42159775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于2021年12月16日，云杉清能公司与交控商运公司（本公司控股股东联系人）签署租赁协议（注），交控商运公司于2022年1月1日至2025年9月30日向云杉清能公司出租租赁紫金金融中心A2幢写字楼18、20层部分共2,304.66平方米办公用房</w:t>
                    </w:r>
                    <w:r>
                      <w:rPr>
                        <w:rFonts w:hint="eastAsia" w:ascii="Times New Roman" w:hAnsi="Times New Roman"/>
                        <w:sz w:val="18"/>
                        <w:szCs w:val="18"/>
                      </w:rPr>
                      <w:t>及负</w:t>
                    </w:r>
                    <w:r>
                      <w:rPr>
                        <w:rFonts w:ascii="Times New Roman" w:hAnsi="Times New Roman"/>
                        <w:sz w:val="18"/>
                        <w:szCs w:val="18"/>
                      </w:rPr>
                      <w:t>5层24个车位、(2)负3层1个车位。2023年交易额不超过人民币401.17万元、0.99万元；2024年交易额不超过人民币412.85万元、1.02万元；2025年1月1日至9月30日交易额不超过人民币212.27万元、0.53万元。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有关详情见本公司2022年4月30日于上交所网站www.sse.com.cn及2022年4月29日于联交所网站www.hkexnews.hk刊登的董事会决议公告。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08993394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江苏交控的若干联系人协议（注）向云杉清能公司（作为承租人）提供若干土地、屋顶的租赁予云杉清能公司以建设及经营光伏发电业务。根据行业惯例，云杉清能公司签订的协议期限超过3年，通常为自生效之日起20年（中国法律允许的最长期限），于部分协议，云杉清能公司可选择续签5年，以涵盖整个光伏发电业务25年设计运营期。</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有关详情见本公司2022年4月30日于上交所网站www.sse.com.cn及2022年4月29日于联交所网站www.hkexnews.hk刊登的董事会决议公告。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32030901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6月17日，本公司及全资子公司宁沪投资公司及其全资子公司保理公司、宁沪置业公司、瀚威公司与交控商运公司（本公司控股股东联系人）就物资采购事项签署协议，协议期限为2022年7月1日至2023年4月30日，协议金额为不超过人民币2,309.60万元（预计202</w:t>
                    </w:r>
                    <w:r>
                      <w:rPr>
                        <w:rFonts w:hint="eastAsia" w:ascii="Times New Roman" w:hAnsi="Times New Roman"/>
                        <w:sz w:val="18"/>
                        <w:szCs w:val="18"/>
                      </w:rPr>
                      <w:t>3</w:t>
                    </w:r>
                    <w:r>
                      <w:rPr>
                        <w:rFonts w:ascii="Times New Roman" w:hAnsi="Times New Roman"/>
                        <w:sz w:val="18"/>
                        <w:szCs w:val="18"/>
                      </w:rPr>
                      <w:t>年不超过人民币</w:t>
                    </w:r>
                    <w:r>
                      <w:rPr>
                        <w:rFonts w:hint="eastAsia" w:ascii="Times New Roman" w:hAnsi="Times New Roman"/>
                        <w:sz w:val="18"/>
                        <w:szCs w:val="18"/>
                      </w:rPr>
                      <w:t>868</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有关详情见本公司2022年6月18日于上交所网站www.sse.com.cn及2022年6月17日于联交所网站www.hkexnews.hk 刊登的日常关联/持续关连交易公告。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84347573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2022年10月26日，本公司与感动科技公司（本公司控股股东联系人）签署职业技能等级认定模拟系统开发项目合同，合同期限为2022年12月26日至2023年7月25日，合同金额不超过人民币189.88万元（预计202</w:t>
                    </w:r>
                    <w:r>
                      <w:rPr>
                        <w:rFonts w:hint="eastAsia" w:ascii="Times New Roman" w:hAnsi="Times New Roman"/>
                        <w:sz w:val="18"/>
                        <w:szCs w:val="18"/>
                      </w:rPr>
                      <w:t>3</w:t>
                    </w:r>
                    <w:r>
                      <w:rPr>
                        <w:rFonts w:ascii="Times New Roman" w:hAnsi="Times New Roman"/>
                        <w:sz w:val="18"/>
                        <w:szCs w:val="18"/>
                      </w:rPr>
                      <w:t>年不超过人民币9</w:t>
                    </w:r>
                    <w:r>
                      <w:rPr>
                        <w:rFonts w:hint="eastAsia" w:ascii="Times New Roman" w:hAnsi="Times New Roman"/>
                        <w:sz w:val="18"/>
                        <w:szCs w:val="18"/>
                      </w:rPr>
                      <w:t>4.88</w:t>
                    </w:r>
                    <w:r>
                      <w:rPr>
                        <w:rFonts w:ascii="Times New Roman" w:hAnsi="Times New Roman"/>
                        <w:sz w:val="18"/>
                        <w:szCs w:val="18"/>
                      </w:rPr>
                      <w:t>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有关详情见本公司2022年10月27日于上交所网站www.sse.com.cn及2022年10月26日于联交所网站www.hkexnews.hk刊登的董事会决议公告。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1788961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2022年10月26日，本公司与快鹿公司（本公司控股股东联系人）签署车辆ETC通行费收款协议，协议期限为2022年1月1日至2024年12月31日，协议金额不超过人民币330万元（预计202</w:t>
                    </w:r>
                    <w:r>
                      <w:rPr>
                        <w:rFonts w:hint="eastAsia" w:ascii="Times New Roman" w:hAnsi="Times New Roman"/>
                        <w:sz w:val="18"/>
                        <w:szCs w:val="18"/>
                      </w:rPr>
                      <w:t>3</w:t>
                    </w:r>
                    <w:r>
                      <w:rPr>
                        <w:rFonts w:ascii="Times New Roman" w:hAnsi="Times New Roman"/>
                        <w:sz w:val="18"/>
                        <w:szCs w:val="18"/>
                      </w:rPr>
                      <w:t>年不超过人民币1</w:t>
                    </w:r>
                    <w:r>
                      <w:rPr>
                        <w:rFonts w:hint="eastAsia" w:ascii="Times New Roman" w:hAnsi="Times New Roman"/>
                        <w:sz w:val="18"/>
                        <w:szCs w:val="18"/>
                      </w:rPr>
                      <w:t>1</w:t>
                    </w:r>
                    <w:r>
                      <w:rPr>
                        <w:rFonts w:ascii="Times New Roman" w:hAnsi="Times New Roman"/>
                        <w:sz w:val="18"/>
                        <w:szCs w:val="18"/>
                      </w:rPr>
                      <w:t>0万元</w:t>
                    </w:r>
                    <w:r>
                      <w:rPr>
                        <w:rFonts w:hint="eastAsia" w:ascii="Times New Roman" w:hAnsi="Times New Roman"/>
                        <w:sz w:val="18"/>
                        <w:szCs w:val="18"/>
                      </w:rPr>
                      <w:t>,2024年不超过人民币120万元</w:t>
                    </w:r>
                    <w:r>
                      <w:rPr>
                        <w:rFonts w:ascii="Times New Roman" w:hAnsi="Times New Roman"/>
                        <w:sz w:val="18"/>
                        <w:szCs w:val="18"/>
                      </w:rPr>
                      <w:t>），结算费用以实际通行费为准，2023年1-6月结算费用为人民币1.84万元。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有关详情见本公司2022年10月27日于上交所网站www.sse.com.cn及2022年10月26日于联交所网站www.hkexnews.hk刊登的董事会决议公告。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303926434"/>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及控股子公司广靖锡澄公司、镇丹公司、五峰山大桥公司分别与联网公司（本公司控股股东联系人）签署路网管理服务协议，协议期限均自2023年1月1日至2023年4月30日，协议总金额为不超过人民币1,795万元。其中本公司与联网公司协议金额为不超过人民币1,300万元，广靖锡澄公司与联网公司协议金额为不超过人民币270万元，镇丹公司与联网公司协议金额为不超过人民币40万元，五峰山大桥公司与联网公司协议金额为不超过人民币185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78434469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2022年12月15日，本公司与快鹿公司（本公司控股股东联系人）签订房屋租赁补充协议，延长租赁期至2023年3月31日止，租金为人民币54.71万元。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68989859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2022年12月15日，本公司与现代检测公司（本公司控股股东联系人）签署马群工程管理中心租赁协议，签署期限自2023年1月1日至2025年4月30日，年租金为人民币218.34万元，合计租金约人民币509.46万元。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2148811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全资子公司苏交控清能江苏公司与江苏东部高速公路管理有限公司（本公司控股股东联系人）就租用高速互通区土地签署《江苏东部高速公路互通分布式光伏发电项目土地使用权租赁合同》，合同期限自2023年1月1日至2042年12月31日止，合同金额为人民币162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98422328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全资子公司苏交控清能江苏公司与江苏宁靖盐高速公路有限公司（本公司控股股东联系人）就租用高速互通区土地签署《江苏宁靖盐高速公路互通分布式光伏发电项目土地使用权租赁合同》，合同期限自2023年1月1日至2042年12月31日止，合同金额为人民币942.30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43717352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及子公司镇丹公司、广靖锡澄公司、常宜公司、宜长公司分别与数研院（本公司控股股东联系人）签署“交控云”及云端资源技术服务项目协议，协议期限自2023年1月1日至2023年4月30日，协议金额不超过人民币506万元。其中宁沪公司与数研院协议金额不超过人民币411万元，镇丹公司与数研院协协议金额不超过人民币11万元，广靖锡澄公司与数研院协议协议金额不超过人民币72万元，常宜公司与数研院协议金额不超过人民币4万元，宜长公司与数研院协议金额不超过人民币8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5228463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2022年12月15日，本公司全资子公司瀚威公司与交控商运公司（本公司控股股东联系人）签署物业管理协议。协议期限为2023年1月1日至2024年4月30日，协议金额为不超过人民币787万元（预计 2023年不超过人民币590万元，2024年1月1日至2024年4月30日不超过人民币197万元）。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14665699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Times New Roman" w:hAnsi="Times New Roman"/>
                        <w:sz w:val="18"/>
                        <w:szCs w:val="18"/>
                      </w:rPr>
                      <w:t>2022年12月15日，本公司与南通天电新兴能源有限公司（本公司控股股东联系人）签署购售电协议，协议期限为2023年1月1日至2025年12月31日，每年交易金额不超过人民币3,850万元，协议总金额不超过人民币11,550万元。</w:t>
                    </w:r>
                  </w:p>
                </w:tc>
                <w:tc>
                  <w:tcPr>
                    <w:tcW w:w="4524" w:type="dxa"/>
                  </w:tcPr>
                  <w:p>
                    <w:pPr>
                      <w:widowControl w:val="0"/>
                      <w:jc w:val="both"/>
                      <w:rPr>
                        <w:rFonts w:ascii="Times New Roman" w:hAnsi="Times New Roman"/>
                        <w:sz w:val="18"/>
                        <w:szCs w:val="18"/>
                      </w:rPr>
                    </w:pPr>
                    <w:r>
                      <w:rPr>
                        <w:rFonts w:ascii="Times New Roman" w:hAnsi="Times New Roman"/>
                        <w:sz w:val="18"/>
                        <w:szCs w:val="18"/>
                      </w:rPr>
                      <w:t>有关详情见本公司2022年12月16日于上交所网站www.sse.com.cn及2022年12月15日于联交所网站www.hkexnews.hk刊登的董事会决议公告。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83780144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hint="eastAsia" w:ascii="宋体" w:hAnsi="宋体" w:eastAsiaTheme="minorEastAsia" w:cstheme="minorBidi"/>
                        <w:bCs/>
                        <w:kern w:val="2"/>
                        <w:sz w:val="18"/>
                        <w:szCs w:val="18"/>
                      </w:rPr>
                      <w:t>2023年2月17日，本公司全资子公司云杉清能公司全资子公司苏交控清能江苏公司向京沪公司（本公司控股股东联系人）</w:t>
                    </w:r>
                    <w:r>
                      <w:rPr>
                        <w:rFonts w:ascii="宋体" w:hAnsi="宋体" w:eastAsiaTheme="minorEastAsia" w:cstheme="minorBidi"/>
                        <w:bCs/>
                        <w:kern w:val="2"/>
                        <w:sz w:val="18"/>
                        <w:szCs w:val="18"/>
                      </w:rPr>
                      <w:t>就氾水服务区1.06MW分布式光伏电站项目租用场地，并与之签署《京沪高速公路氾水服务区分布式光伏电站合同能源管理协议》，期限20年。苏交控清能江苏公司以在协议运营期限内优先向京沪公司供应光伏电站项目所发电能，并提供当地电网同时段电价的15%的优惠，替代向京沪公司缴纳场地租金。</w:t>
                    </w:r>
                    <w:r>
                      <w:rPr>
                        <w:rFonts w:hint="eastAsia" w:ascii="宋体" w:hAnsi="宋体" w:eastAsiaTheme="minorEastAsia" w:cstheme="minorBidi"/>
                        <w:bCs/>
                        <w:kern w:val="2"/>
                        <w:sz w:val="18"/>
                        <w:szCs w:val="18"/>
                      </w:rPr>
                      <w:t>预计</w:t>
                    </w:r>
                    <w:r>
                      <w:rPr>
                        <w:rFonts w:ascii="宋体" w:hAnsi="宋体" w:eastAsiaTheme="minorEastAsia" w:cstheme="minorBidi"/>
                        <w:bCs/>
                        <w:kern w:val="2"/>
                        <w:sz w:val="18"/>
                        <w:szCs w:val="18"/>
                      </w:rPr>
                      <w:t>2023-2025年服务区每年用电量不高于每年80万度,协议年电价不高于人民币476,000元,每年减免电费预计不高于人民币84,000元。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2023年2月18日于上交所网站www.sse.com.cn及于2023年2月17日于联交所网站www.hkexnews.hk刊登的董事会决议公告。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3014050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hint="eastAsia" w:ascii="宋体" w:hAnsi="宋体" w:eastAsiaTheme="minorEastAsia" w:cstheme="minorBidi"/>
                        <w:bCs/>
                        <w:kern w:val="2"/>
                        <w:sz w:val="18"/>
                        <w:szCs w:val="18"/>
                      </w:rPr>
                      <w:t>2023年3月24日，本公司就本公司及控股子公司的云值机服务、高速公路管理监控系统上云服务、清排障移动支付服务、状态名单服务（针对欠费、逃费等车辆，在全国范围下发名单，禁止驶入高速，达到追缴的目的）、零售管理系统升级服务、档案系统建设服务与感动科技公司（本公司控股股东联系人）签署年度框架协议，其中云值机服务协议期限为</w:t>
                    </w:r>
                    <w:r>
                      <w:rPr>
                        <w:rFonts w:ascii="Times New Roman" w:hAnsi="Times New Roman"/>
                        <w:sz w:val="18"/>
                        <w:szCs w:val="18"/>
                      </w:rPr>
                      <w:t xml:space="preserve"> 2023年5月1日至2024年4月30日，本公司协议金额为不超过人民币</w:t>
                    </w:r>
                    <w:r>
                      <w:rPr>
                        <w:rFonts w:hint="eastAsia" w:ascii="Times New Roman" w:hAnsi="Times New Roman"/>
                        <w:sz w:val="18"/>
                        <w:szCs w:val="18"/>
                      </w:rPr>
                      <w:t>270万元（预计2023年不超过人民币172万元，2024年不超过人民币98万元）、五峰山大桥公司协议金额为不超过人民币30万元（预计2023年不超过人民币20万元，2024年不超过人民币10万元）；高速公路管理监控系统上云服务协议期限为</w:t>
                    </w:r>
                    <w:r>
                      <w:rPr>
                        <w:rFonts w:ascii="Times New Roman" w:hAnsi="Times New Roman"/>
                        <w:sz w:val="18"/>
                        <w:szCs w:val="18"/>
                      </w:rPr>
                      <w:t xml:space="preserve"> 2023年5月1日至2024年4月30日，本公司协议金额为不超过人民币</w:t>
                    </w:r>
                    <w:r>
                      <w:rPr>
                        <w:rFonts w:hint="eastAsia" w:ascii="Times New Roman" w:hAnsi="Times New Roman"/>
                        <w:sz w:val="18"/>
                        <w:szCs w:val="18"/>
                      </w:rPr>
                      <w:t>50</w:t>
                    </w:r>
                    <w:r>
                      <w:rPr>
                        <w:rFonts w:ascii="Times New Roman" w:hAnsi="Times New Roman"/>
                        <w:sz w:val="18"/>
                        <w:szCs w:val="18"/>
                      </w:rPr>
                      <w:t>万元（预计2023年不超过人民币</w:t>
                    </w:r>
                    <w:r>
                      <w:rPr>
                        <w:rFonts w:hint="eastAsia" w:ascii="Times New Roman" w:hAnsi="Times New Roman"/>
                        <w:sz w:val="18"/>
                        <w:szCs w:val="18"/>
                      </w:rPr>
                      <w:t>30</w:t>
                    </w:r>
                    <w:r>
                      <w:rPr>
                        <w:rFonts w:ascii="Times New Roman" w:hAnsi="Times New Roman"/>
                        <w:sz w:val="18"/>
                        <w:szCs w:val="18"/>
                      </w:rPr>
                      <w:t>万元，2024年不超过人民币</w:t>
                    </w:r>
                    <w:r>
                      <w:rPr>
                        <w:rFonts w:hint="eastAsia" w:ascii="Times New Roman" w:hAnsi="Times New Roman"/>
                        <w:sz w:val="18"/>
                        <w:szCs w:val="18"/>
                      </w:rPr>
                      <w:t>20</w:t>
                    </w:r>
                    <w:r>
                      <w:rPr>
                        <w:rFonts w:ascii="Times New Roman" w:hAnsi="Times New Roman"/>
                        <w:sz w:val="18"/>
                        <w:szCs w:val="18"/>
                      </w:rPr>
                      <w:t>万元）、</w:t>
                    </w:r>
                    <w:r>
                      <w:rPr>
                        <w:rFonts w:hint="eastAsia" w:ascii="Times New Roman" w:hAnsi="Times New Roman"/>
                        <w:sz w:val="18"/>
                        <w:szCs w:val="18"/>
                      </w:rPr>
                      <w:t>五峰山大桥公司协议金额为不超过人民币15</w:t>
                    </w:r>
                    <w:r>
                      <w:rPr>
                        <w:rFonts w:ascii="Times New Roman" w:hAnsi="Times New Roman"/>
                        <w:sz w:val="18"/>
                        <w:szCs w:val="18"/>
                      </w:rPr>
                      <w:t>万元（预计2023年不超过人民币</w:t>
                    </w:r>
                    <w:r>
                      <w:rPr>
                        <w:rFonts w:hint="eastAsia" w:ascii="Times New Roman" w:hAnsi="Times New Roman"/>
                        <w:sz w:val="18"/>
                        <w:szCs w:val="18"/>
                      </w:rPr>
                      <w:t>10</w:t>
                    </w:r>
                    <w:r>
                      <w:rPr>
                        <w:rFonts w:ascii="Times New Roman" w:hAnsi="Times New Roman"/>
                        <w:sz w:val="18"/>
                        <w:szCs w:val="18"/>
                      </w:rPr>
                      <w:t>万元，2024年不超过人民币</w:t>
                    </w:r>
                    <w:r>
                      <w:rPr>
                        <w:rFonts w:hint="eastAsia" w:ascii="Times New Roman" w:hAnsi="Times New Roman"/>
                        <w:sz w:val="18"/>
                        <w:szCs w:val="18"/>
                      </w:rPr>
                      <w:t>5</w:t>
                    </w:r>
                    <w:r>
                      <w:rPr>
                        <w:rFonts w:ascii="Times New Roman" w:hAnsi="Times New Roman"/>
                        <w:sz w:val="18"/>
                        <w:szCs w:val="18"/>
                      </w:rPr>
                      <w:t>万元）、</w:t>
                    </w:r>
                    <w:r>
                      <w:rPr>
                        <w:rFonts w:hint="eastAsia" w:ascii="Times New Roman" w:hAnsi="Times New Roman"/>
                        <w:sz w:val="18"/>
                        <w:szCs w:val="18"/>
                      </w:rPr>
                      <w:t>广靖锡澄公司协议金额为不超过人民币33</w:t>
                    </w:r>
                    <w:r>
                      <w:rPr>
                        <w:rFonts w:ascii="Times New Roman" w:hAnsi="Times New Roman"/>
                        <w:sz w:val="18"/>
                        <w:szCs w:val="18"/>
                      </w:rPr>
                      <w:t>万元（预计2023年不超过人民币2</w:t>
                    </w:r>
                    <w:r>
                      <w:rPr>
                        <w:rFonts w:hint="eastAsia" w:ascii="Times New Roman" w:hAnsi="Times New Roman"/>
                        <w:sz w:val="18"/>
                        <w:szCs w:val="18"/>
                      </w:rPr>
                      <w:t>2</w:t>
                    </w:r>
                    <w:r>
                      <w:rPr>
                        <w:rFonts w:ascii="Times New Roman" w:hAnsi="Times New Roman"/>
                        <w:sz w:val="18"/>
                        <w:szCs w:val="18"/>
                      </w:rPr>
                      <w:t>万元，2024年不超过人民币1</w:t>
                    </w:r>
                    <w:r>
                      <w:rPr>
                        <w:rFonts w:hint="eastAsia" w:ascii="Times New Roman" w:hAnsi="Times New Roman"/>
                        <w:sz w:val="18"/>
                        <w:szCs w:val="18"/>
                      </w:rPr>
                      <w:t>1</w:t>
                    </w:r>
                    <w:r>
                      <w:rPr>
                        <w:rFonts w:ascii="Times New Roman" w:hAnsi="Times New Roman"/>
                        <w:sz w:val="18"/>
                        <w:szCs w:val="18"/>
                      </w:rPr>
                      <w:t>万元）、</w:t>
                    </w:r>
                    <w:r>
                      <w:rPr>
                        <w:rFonts w:hint="eastAsia" w:ascii="Times New Roman" w:hAnsi="Times New Roman"/>
                        <w:sz w:val="18"/>
                        <w:szCs w:val="18"/>
                      </w:rPr>
                      <w:t>宜长公司协议金额为不超过人民币15</w:t>
                    </w:r>
                    <w:r>
                      <w:rPr>
                        <w:rFonts w:ascii="Times New Roman" w:hAnsi="Times New Roman"/>
                        <w:sz w:val="18"/>
                        <w:szCs w:val="18"/>
                      </w:rPr>
                      <w:t>万元（预计2023年不超过人民币</w:t>
                    </w:r>
                    <w:r>
                      <w:rPr>
                        <w:rFonts w:hint="eastAsia" w:ascii="Times New Roman" w:hAnsi="Times New Roman"/>
                        <w:sz w:val="18"/>
                        <w:szCs w:val="18"/>
                      </w:rPr>
                      <w:t>10</w:t>
                    </w:r>
                    <w:r>
                      <w:rPr>
                        <w:rFonts w:ascii="Times New Roman" w:hAnsi="Times New Roman"/>
                        <w:sz w:val="18"/>
                        <w:szCs w:val="18"/>
                      </w:rPr>
                      <w:t>万元，2024年不超过人民币</w:t>
                    </w:r>
                    <w:r>
                      <w:rPr>
                        <w:rFonts w:hint="eastAsia" w:ascii="Times New Roman" w:hAnsi="Times New Roman"/>
                        <w:sz w:val="18"/>
                        <w:szCs w:val="18"/>
                      </w:rPr>
                      <w:t>5</w:t>
                    </w:r>
                    <w:r>
                      <w:rPr>
                        <w:rFonts w:ascii="Times New Roman" w:hAnsi="Times New Roman"/>
                        <w:sz w:val="18"/>
                        <w:szCs w:val="18"/>
                      </w:rPr>
                      <w:t>万元）、</w:t>
                    </w:r>
                    <w:r>
                      <w:rPr>
                        <w:rFonts w:hint="eastAsia" w:ascii="Times New Roman" w:hAnsi="Times New Roman"/>
                        <w:sz w:val="18"/>
                        <w:szCs w:val="18"/>
                      </w:rPr>
                      <w:t>常宜公司协议金额为不超过人民币6</w:t>
                    </w:r>
                    <w:r>
                      <w:rPr>
                        <w:rFonts w:ascii="Times New Roman" w:hAnsi="Times New Roman"/>
                        <w:sz w:val="18"/>
                        <w:szCs w:val="18"/>
                      </w:rPr>
                      <w:t>万元（预计2023年不超过人民币</w:t>
                    </w:r>
                    <w:r>
                      <w:rPr>
                        <w:rFonts w:hint="eastAsia" w:ascii="Times New Roman" w:hAnsi="Times New Roman"/>
                        <w:sz w:val="18"/>
                        <w:szCs w:val="18"/>
                      </w:rPr>
                      <w:t>4</w:t>
                    </w:r>
                    <w:r>
                      <w:rPr>
                        <w:rFonts w:ascii="Times New Roman" w:hAnsi="Times New Roman"/>
                        <w:sz w:val="18"/>
                        <w:szCs w:val="18"/>
                      </w:rPr>
                      <w:t>万元，2024年不超过人民币</w:t>
                    </w:r>
                    <w:r>
                      <w:rPr>
                        <w:rFonts w:hint="eastAsia" w:ascii="Times New Roman" w:hAnsi="Times New Roman"/>
                        <w:sz w:val="18"/>
                        <w:szCs w:val="18"/>
                      </w:rPr>
                      <w:t>2</w:t>
                    </w:r>
                    <w:r>
                      <w:rPr>
                        <w:rFonts w:ascii="Times New Roman" w:hAnsi="Times New Roman"/>
                        <w:sz w:val="18"/>
                        <w:szCs w:val="18"/>
                      </w:rPr>
                      <w:t>万元）；</w:t>
                    </w:r>
                    <w:r>
                      <w:rPr>
                        <w:rFonts w:hint="eastAsia" w:ascii="Times New Roman" w:hAnsi="Times New Roman"/>
                        <w:sz w:val="18"/>
                        <w:szCs w:val="18"/>
                      </w:rPr>
                      <w:t>清排障移动支付服务期限为</w:t>
                    </w:r>
                    <w:r>
                      <w:rPr>
                        <w:rFonts w:ascii="Times New Roman" w:hAnsi="Times New Roman"/>
                        <w:sz w:val="18"/>
                        <w:szCs w:val="18"/>
                      </w:rPr>
                      <w:t xml:space="preserve"> 2023年5月1日至2024年4月30日，本公司协议金额为不超过人民币</w:t>
                    </w:r>
                    <w:r>
                      <w:rPr>
                        <w:rFonts w:hint="eastAsia" w:ascii="Times New Roman" w:hAnsi="Times New Roman"/>
                        <w:sz w:val="18"/>
                        <w:szCs w:val="18"/>
                      </w:rPr>
                      <w:t>45.5</w:t>
                    </w:r>
                    <w:r>
                      <w:rPr>
                        <w:rFonts w:ascii="Times New Roman" w:hAnsi="Times New Roman"/>
                        <w:sz w:val="18"/>
                        <w:szCs w:val="18"/>
                      </w:rPr>
                      <w:t>万元（预计2023年不超过人民币</w:t>
                    </w:r>
                    <w:r>
                      <w:rPr>
                        <w:rFonts w:hint="eastAsia" w:ascii="Times New Roman" w:hAnsi="Times New Roman"/>
                        <w:sz w:val="18"/>
                        <w:szCs w:val="18"/>
                      </w:rPr>
                      <w:t>30</w:t>
                    </w:r>
                    <w:r>
                      <w:rPr>
                        <w:rFonts w:ascii="Times New Roman" w:hAnsi="Times New Roman"/>
                        <w:sz w:val="18"/>
                        <w:szCs w:val="18"/>
                      </w:rPr>
                      <w:t>万元，2024年不超过人民币</w:t>
                    </w:r>
                    <w:r>
                      <w:rPr>
                        <w:rFonts w:hint="eastAsia" w:ascii="Times New Roman" w:hAnsi="Times New Roman"/>
                        <w:sz w:val="18"/>
                        <w:szCs w:val="18"/>
                      </w:rPr>
                      <w:t>15.5</w:t>
                    </w:r>
                    <w:r>
                      <w:rPr>
                        <w:rFonts w:ascii="Times New Roman" w:hAnsi="Times New Roman"/>
                        <w:sz w:val="18"/>
                        <w:szCs w:val="18"/>
                      </w:rPr>
                      <w:t>万元）、</w:t>
                    </w:r>
                    <w:r>
                      <w:rPr>
                        <w:rFonts w:hint="eastAsia" w:ascii="Times New Roman" w:hAnsi="Times New Roman"/>
                        <w:sz w:val="18"/>
                        <w:szCs w:val="18"/>
                      </w:rPr>
                      <w:t>五峰山大桥公司协议金额不超过人民币</w:t>
                    </w:r>
                    <w:r>
                      <w:rPr>
                        <w:rFonts w:ascii="Times New Roman" w:hAnsi="Times New Roman"/>
                        <w:sz w:val="18"/>
                        <w:szCs w:val="18"/>
                      </w:rPr>
                      <w:t>2.5万元（预计2023年不超过人民币1.5万元，2024年不超过人民币1万元），镇丹公司协议金额不超过人民币2万元（预计2023年不超过人民币1.5万元，2024年不超过人民币0.5万元），广靖锡澄公司协议金额不超过人民币6万元（预计2023年不超过人民币3万元，2024年不超过人民币3万元），宜长公司协议金额不超过人民币6万元（预计2023年不超过人民币3万元，2024年不超过人民币3万元）；</w:t>
                    </w:r>
                    <w:r>
                      <w:rPr>
                        <w:rFonts w:hint="eastAsia" w:ascii="Times New Roman" w:hAnsi="Times New Roman"/>
                        <w:sz w:val="18"/>
                        <w:szCs w:val="18"/>
                      </w:rPr>
                      <w:t>状态名单服务协议期限为</w:t>
                    </w:r>
                    <w:r>
                      <w:rPr>
                        <w:rFonts w:ascii="Times New Roman" w:hAnsi="Times New Roman"/>
                        <w:sz w:val="18"/>
                        <w:szCs w:val="18"/>
                      </w:rPr>
                      <w:t>2023年5月1日至2024年4月30日，广靖锡澄公司协议金额不超过人民币10.5万元（预计2023年不超过人民币7万元，2024年不超过人民币3.5万元），宜长公司协议金额不超过人民币1.5万元（预计2023年不超过人民币1万元，2024年不超过人民币0.5万元），常宜公司协议金额不超过人民币1.5万元（预计2023年不超过人民币1万元，2024年不超过人民币0.5万元）；</w:t>
                    </w:r>
                    <w:r>
                      <w:rPr>
                        <w:rFonts w:hint="eastAsia" w:ascii="Times New Roman" w:hAnsi="Times New Roman"/>
                        <w:sz w:val="18"/>
                        <w:szCs w:val="18"/>
                      </w:rPr>
                      <w:t>零售管理系统升级服务协议期限为</w:t>
                    </w:r>
                    <w:r>
                      <w:rPr>
                        <w:rFonts w:ascii="Times New Roman" w:hAnsi="Times New Roman"/>
                        <w:sz w:val="18"/>
                        <w:szCs w:val="18"/>
                      </w:rPr>
                      <w:t>2023年5月1日至2023年12月31日，本公司协议金额不超过人民币250万元；</w:t>
                    </w:r>
                    <w:r>
                      <w:rPr>
                        <w:rFonts w:hint="eastAsia" w:ascii="Times New Roman" w:hAnsi="Times New Roman"/>
                        <w:sz w:val="18"/>
                        <w:szCs w:val="18"/>
                      </w:rPr>
                      <w:t>档案系统建设协议期限为</w:t>
                    </w:r>
                    <w:r>
                      <w:rPr>
                        <w:rFonts w:ascii="Times New Roman" w:hAnsi="Times New Roman"/>
                        <w:sz w:val="18"/>
                        <w:szCs w:val="18"/>
                      </w:rPr>
                      <w:t>2023年5月1日至2023年12月31日，本公司协议金额不超过人民币14万元</w:t>
                    </w:r>
                    <w:r>
                      <w:rPr>
                        <w:rFonts w:hint="eastAsia" w:ascii="Times New Roman" w:hAnsi="Times New Roman"/>
                        <w:sz w:val="18"/>
                        <w:szCs w:val="18"/>
                      </w:rPr>
                      <w:t>，扬子江管理公司协议金额不超过人民币</w:t>
                    </w:r>
                    <w:r>
                      <w:rPr>
                        <w:rFonts w:ascii="Times New Roman" w:hAnsi="Times New Roman"/>
                        <w:sz w:val="18"/>
                        <w:szCs w:val="18"/>
                      </w:rPr>
                      <w:t>14万元。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w:t>
                    </w:r>
                    <w:r>
                      <w:rPr>
                        <w:rFonts w:hint="eastAsia" w:ascii="Times New Roman" w:hAnsi="Times New Roman"/>
                        <w:sz w:val="18"/>
                        <w:szCs w:val="18"/>
                      </w:rPr>
                      <w:t>3</w:t>
                    </w:r>
                    <w:r>
                      <w:rPr>
                        <w:rFonts w:ascii="Times New Roman" w:hAnsi="Times New Roman"/>
                        <w:sz w:val="18"/>
                        <w:szCs w:val="18"/>
                      </w:rPr>
                      <w:t>月</w:t>
                    </w:r>
                    <w:r>
                      <w:rPr>
                        <w:rFonts w:hint="eastAsia" w:ascii="Times New Roman" w:hAnsi="Times New Roman"/>
                        <w:sz w:val="18"/>
                        <w:szCs w:val="18"/>
                      </w:rPr>
                      <w:t>27</w:t>
                    </w:r>
                    <w:r>
                      <w:rPr>
                        <w:rFonts w:ascii="Times New Roman" w:hAnsi="Times New Roman"/>
                        <w:sz w:val="18"/>
                        <w:szCs w:val="18"/>
                      </w:rPr>
                      <w:t>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17022607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2023年3月24日，本公司就本公司及控股子公司的监控通信系统维护服务、机电系统建设维护服务、服务区智慧管理平台维护项目与高速信息公司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监控通信系统维护服务协议期限为</w:t>
                    </w:r>
                    <w:r>
                      <w:rPr>
                        <w:rFonts w:ascii="宋体" w:hAnsi="宋体" w:eastAsiaTheme="minorEastAsia" w:cstheme="minorBidi"/>
                        <w:bCs/>
                        <w:kern w:val="2"/>
                        <w:sz w:val="18"/>
                        <w:szCs w:val="18"/>
                      </w:rPr>
                      <w:t>2023年7月1日至2024年4月30日，本公司协议金额不超过人民币129.44万元（预计2023年不超过人民币109.44万元，2024年不超过人民币20万元）；</w:t>
                    </w:r>
                    <w:r>
                      <w:rPr>
                        <w:rFonts w:hint="eastAsia" w:ascii="宋体" w:hAnsi="宋体" w:eastAsiaTheme="minorEastAsia" w:cstheme="minorBidi"/>
                        <w:bCs/>
                        <w:kern w:val="2"/>
                        <w:sz w:val="18"/>
                        <w:szCs w:val="18"/>
                      </w:rPr>
                      <w:t>机电系统建设维护服务协议期限为</w:t>
                    </w:r>
                    <w:r>
                      <w:rPr>
                        <w:rFonts w:ascii="宋体" w:hAnsi="宋体" w:eastAsiaTheme="minorEastAsia" w:cstheme="minorBidi"/>
                        <w:bCs/>
                        <w:kern w:val="2"/>
                        <w:sz w:val="18"/>
                        <w:szCs w:val="18"/>
                      </w:rPr>
                      <w:t>2024年1月1日至2024年4月30日，广靖锡澄公司协议金额不超过人民币40万元、常宜公司协议金额不超过人民币5万元、宜长公司协议金额不超过人民币6万元；</w:t>
                    </w:r>
                    <w:r>
                      <w:rPr>
                        <w:rFonts w:hint="eastAsia" w:ascii="宋体" w:hAnsi="宋体" w:eastAsiaTheme="minorEastAsia" w:cstheme="minorBidi"/>
                        <w:bCs/>
                        <w:kern w:val="2"/>
                        <w:sz w:val="18"/>
                        <w:szCs w:val="18"/>
                      </w:rPr>
                      <w:t>服务区智慧管理平台维护项目协议期限为</w:t>
                    </w:r>
                    <w:r>
                      <w:rPr>
                        <w:rFonts w:ascii="宋体" w:hAnsi="宋体" w:eastAsiaTheme="minorEastAsia" w:cstheme="minorBidi"/>
                        <w:bCs/>
                        <w:kern w:val="2"/>
                        <w:sz w:val="18"/>
                        <w:szCs w:val="18"/>
                      </w:rPr>
                      <w:t>2023年5月1日至2023年12月31日，镇丹公司协议金额不超过人民币2万元。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23265538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2023年3月24日，本公司就本公司的消防救援站点建设服务与江苏交控（本公司控股股东）签署年度框架协议消防救援站试点建设服务协议期限为2023年5月1日至2023年12月31日，本公司协议金额不超过人民币1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214.78万元。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866559863"/>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2023年3月24日，本公司就本公司及控股子公司的云调度技术服务及SD-WAN技术服务等网络系统服务、路网技术服务、ETC客服网点出租、ETC加油聚合支付技术服务与通行宝公司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路网技术服务协议期限为</w:t>
                    </w:r>
                    <w:r>
                      <w:rPr>
                        <w:rFonts w:ascii="宋体" w:hAnsi="宋体" w:eastAsiaTheme="minorEastAsia" w:cstheme="minorBidi"/>
                        <w:bCs/>
                        <w:kern w:val="2"/>
                        <w:sz w:val="18"/>
                        <w:szCs w:val="18"/>
                      </w:rPr>
                      <w:t>2023年5月1日至2024年4月30日，本公司协议金额不超过人民币3000万元（预计2023年不超过人民币2000万元，2024年不超过人民币1000万元），五峰山大桥公司协议金额不超过人民币430万元（预计2023年不超过人民币285万元，2024年不超过人民币145万元），镇丹公司协议金额不超过人民币130万元（预计2023年不超过人民币85万元，2024年不超过人民币45万元），广靖锡澄公司协议金额不超过人民币1010万元（预计2023年不超过人民币660万元，2024年不超过</w:t>
                    </w:r>
                    <w:r>
                      <w:rPr>
                        <w:rFonts w:hint="eastAsia" w:ascii="宋体" w:hAnsi="宋体" w:eastAsiaTheme="minorEastAsia" w:cstheme="minorBidi"/>
                        <w:bCs/>
                        <w:kern w:val="2"/>
                        <w:sz w:val="18"/>
                        <w:szCs w:val="18"/>
                      </w:rPr>
                      <w:t>人民币</w:t>
                    </w:r>
                    <w:r>
                      <w:rPr>
                        <w:rFonts w:ascii="宋体" w:hAnsi="宋体" w:eastAsiaTheme="minorEastAsia" w:cstheme="minorBidi"/>
                        <w:bCs/>
                        <w:kern w:val="2"/>
                        <w:sz w:val="18"/>
                        <w:szCs w:val="18"/>
                      </w:rPr>
                      <w:t>350万元），宜长公司协议金额不超过人民币115万元（预计2023年不超过人民币75万元，2024年不超过人民币40万元），常宜公司协议金额不超过人民币85万元（预计2023年不超过人民币55万元，2024年不超过人民币30万元）；</w:t>
                    </w:r>
                    <w:r>
                      <w:rPr>
                        <w:rFonts w:hint="eastAsia" w:ascii="宋体" w:hAnsi="宋体" w:eastAsiaTheme="minorEastAsia" w:cstheme="minorBidi"/>
                        <w:bCs/>
                        <w:kern w:val="2"/>
                        <w:sz w:val="18"/>
                        <w:szCs w:val="18"/>
                      </w:rPr>
                      <w:t>云调度技术服务协议期限为</w:t>
                    </w:r>
                    <w:r>
                      <w:rPr>
                        <w:rFonts w:ascii="宋体" w:hAnsi="宋体" w:eastAsiaTheme="minorEastAsia" w:cstheme="minorBidi"/>
                        <w:bCs/>
                        <w:kern w:val="2"/>
                        <w:sz w:val="18"/>
                        <w:szCs w:val="18"/>
                      </w:rPr>
                      <w:t>2023年5月1日至2024年4月30日，本公司协议金额不超过人民币200万元（预计2023年不超过人民币134万元，2024年不超过人民币66万元），五峰山大桥公司协议金额不超过人民币28.2万元（预计2023年不超过人民币18.8万元，2024年不超过人民币9.4万元），镇丹公司协议金额不超过人民币5.7万元（预计2023年不超过人民币3.8万元，2024年不超过人民币1.9万元），广靖锡澄公司协议金额不超过人民币60万元（预计2023年不超过人民币40万元，2024年不超过人民</w:t>
                    </w:r>
                    <w:r>
                      <w:rPr>
                        <w:rFonts w:hint="eastAsia" w:ascii="宋体" w:hAnsi="宋体" w:eastAsiaTheme="minorEastAsia" w:cstheme="minorBidi"/>
                        <w:bCs/>
                        <w:kern w:val="2"/>
                        <w:sz w:val="18"/>
                        <w:szCs w:val="18"/>
                      </w:rPr>
                      <w:t>币</w:t>
                    </w:r>
                    <w:r>
                      <w:rPr>
                        <w:rFonts w:ascii="宋体" w:hAnsi="宋体" w:eastAsiaTheme="minorEastAsia" w:cstheme="minorBidi"/>
                        <w:bCs/>
                        <w:kern w:val="2"/>
                        <w:sz w:val="18"/>
                        <w:szCs w:val="18"/>
                      </w:rPr>
                      <w:t>20万元），宜长公司协议金额不超过人民币30万元（预计2023年不超过人民币20万元，2024年不超过人民币10万元），常宜公司协议金额不超过人民币6万元（预计2023年不超过人民币4万元，2024年不超过人民币2万元）；SD-WAN技术服务协议期限为2023年5月1日至2024年4月30日，本公司协议金额不超过人民币575万元（预计2023年不超过人民币455万元，2024年不超过人民币120万元），五峰山大桥公司协议金额不超过人民币41万元（预计2023年不超过人民币27万元，2024年不超过人民币14万元），镇丹公司协议金额不超过人民币30万元（预计2023年不超过人民币20万元，2024年不超过人民币10万元），广靖锡澄公司协议金额不超过人民币157万元（预计2023年不超过人民币105万元，2024年不超过人民币52万元），宜长公司协议金额不超过人民币18万元（预计2023年不超过人民币12万元，2024年不超过人民币6万元），常宜公司协议金额不超过人民币18万元（预计2023年不超过人民币12万元，2024年不超过人民币6万元）；ETC客服网点出租协议期限为2023年5月1日至2024年4月30日，本公司协议金额不超过人民币80万元（预计2023年不超过人民币60万元，2024年不超过人民币20万元），广靖锡澄公司协议金额不超过人民币6.3万元（预计2023年不超过人民币4.7万元，2024年不超过人民币1.6万元）；ETC加油聚合支付技术服务协议金额不超过人民币300万元（预计2023年不超过人民币200万元，2024年不超过人民币100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85677560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的声屏障增设工程、污水管道改造及维修、服务区消防管道维修、智慧养护工区建设、养排业务宣教室建设工程、恶劣天气除冰扫雪项目服务及控股子公司的养护工程设计项目与现代路桥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声屏障增设工程协议期限为</w:t>
                    </w:r>
                    <w:r>
                      <w:rPr>
                        <w:rFonts w:ascii="宋体" w:hAnsi="宋体" w:eastAsiaTheme="minorEastAsia" w:cstheme="minorBidi"/>
                        <w:bCs/>
                        <w:kern w:val="2"/>
                        <w:sz w:val="18"/>
                        <w:szCs w:val="18"/>
                      </w:rPr>
                      <w:t>2023年5月1日至2023年12月31日，本公司协议金额不超过人民币745万元；</w:t>
                    </w:r>
                    <w:r>
                      <w:rPr>
                        <w:rFonts w:hint="eastAsia" w:ascii="宋体" w:hAnsi="宋体" w:eastAsiaTheme="minorEastAsia" w:cstheme="minorBidi"/>
                        <w:bCs/>
                        <w:kern w:val="2"/>
                        <w:sz w:val="18"/>
                        <w:szCs w:val="18"/>
                      </w:rPr>
                      <w:t>污水管道改造及维修协议期限为</w:t>
                    </w:r>
                    <w:r>
                      <w:rPr>
                        <w:rFonts w:ascii="宋体" w:hAnsi="宋体" w:eastAsiaTheme="minorEastAsia" w:cstheme="minorBidi"/>
                        <w:bCs/>
                        <w:kern w:val="2"/>
                        <w:sz w:val="18"/>
                        <w:szCs w:val="18"/>
                      </w:rPr>
                      <w:t>2023年5月1日至2024年4月30日，本公司协议金额不超过人民币900万元（预计2023年不超过人民币600万元，2024年不超过为人民币300万元）；</w:t>
                    </w:r>
                    <w:r>
                      <w:rPr>
                        <w:rFonts w:hint="eastAsia" w:ascii="宋体" w:hAnsi="宋体" w:eastAsiaTheme="minorEastAsia" w:cstheme="minorBidi"/>
                        <w:bCs/>
                        <w:kern w:val="2"/>
                        <w:sz w:val="18"/>
                        <w:szCs w:val="18"/>
                      </w:rPr>
                      <w:t>服务区消防管道维修协议期限为</w:t>
                    </w:r>
                    <w:r>
                      <w:rPr>
                        <w:rFonts w:ascii="宋体" w:hAnsi="宋体" w:eastAsiaTheme="minorEastAsia" w:cstheme="minorBidi"/>
                        <w:bCs/>
                        <w:kern w:val="2"/>
                        <w:sz w:val="18"/>
                        <w:szCs w:val="18"/>
                      </w:rPr>
                      <w:t>2023年5月1日至2023年12月31日，本公司协议金额不超过人民币360万元；</w:t>
                    </w:r>
                    <w:r>
                      <w:rPr>
                        <w:rFonts w:hint="eastAsia" w:ascii="宋体" w:hAnsi="宋体" w:eastAsiaTheme="minorEastAsia" w:cstheme="minorBidi"/>
                        <w:bCs/>
                        <w:kern w:val="2"/>
                        <w:sz w:val="18"/>
                        <w:szCs w:val="18"/>
                      </w:rPr>
                      <w:t>智慧养护工区建设协议期限为</w:t>
                    </w:r>
                    <w:r>
                      <w:rPr>
                        <w:rFonts w:ascii="宋体" w:hAnsi="宋体" w:eastAsiaTheme="minorEastAsia" w:cstheme="minorBidi"/>
                        <w:bCs/>
                        <w:kern w:val="2"/>
                        <w:sz w:val="18"/>
                        <w:szCs w:val="18"/>
                      </w:rPr>
                      <w:t>2023年5月1日至2023年12月31日，本公司协议金额不超过人民币132万元；</w:t>
                    </w:r>
                    <w:r>
                      <w:rPr>
                        <w:rFonts w:hint="eastAsia" w:ascii="宋体" w:hAnsi="宋体" w:eastAsiaTheme="minorEastAsia" w:cstheme="minorBidi"/>
                        <w:bCs/>
                        <w:kern w:val="2"/>
                        <w:sz w:val="18"/>
                        <w:szCs w:val="18"/>
                      </w:rPr>
                      <w:t>养排业务宣教室建设工程协议期限为</w:t>
                    </w:r>
                    <w:r>
                      <w:rPr>
                        <w:rFonts w:ascii="宋体" w:hAnsi="宋体" w:eastAsiaTheme="minorEastAsia" w:cstheme="minorBidi"/>
                        <w:bCs/>
                        <w:kern w:val="2"/>
                        <w:sz w:val="18"/>
                        <w:szCs w:val="18"/>
                      </w:rPr>
                      <w:t>2023年5月1日至2023年12月31日，本公司协议金额不超过人民币125万元；</w:t>
                    </w:r>
                    <w:r>
                      <w:rPr>
                        <w:rFonts w:hint="eastAsia" w:ascii="宋体" w:hAnsi="宋体" w:eastAsiaTheme="minorEastAsia" w:cstheme="minorBidi"/>
                        <w:bCs/>
                        <w:kern w:val="2"/>
                        <w:sz w:val="18"/>
                        <w:szCs w:val="18"/>
                      </w:rPr>
                      <w:t>恶劣天气除冰扫雪项目协议期限为</w:t>
                    </w:r>
                    <w:r>
                      <w:rPr>
                        <w:rFonts w:ascii="宋体" w:hAnsi="宋体" w:eastAsiaTheme="minorEastAsia" w:cstheme="minorBidi"/>
                        <w:bCs/>
                        <w:kern w:val="2"/>
                        <w:sz w:val="18"/>
                        <w:szCs w:val="18"/>
                      </w:rPr>
                      <w:t>2023年5月1日至2023年12月31日，本公司协议金额不超过人民币1875万元；</w:t>
                    </w:r>
                    <w:r>
                      <w:rPr>
                        <w:rFonts w:hint="eastAsia" w:ascii="宋体" w:hAnsi="宋体" w:eastAsiaTheme="minorEastAsia" w:cstheme="minorBidi"/>
                        <w:bCs/>
                        <w:kern w:val="2"/>
                        <w:sz w:val="18"/>
                        <w:szCs w:val="18"/>
                      </w:rPr>
                      <w:t>养护工程设计项目项目协议期限为</w:t>
                    </w:r>
                    <w:r>
                      <w:rPr>
                        <w:rFonts w:ascii="宋体" w:hAnsi="宋体" w:eastAsiaTheme="minorEastAsia" w:cstheme="minorBidi"/>
                        <w:bCs/>
                        <w:kern w:val="2"/>
                        <w:sz w:val="18"/>
                        <w:szCs w:val="18"/>
                      </w:rPr>
                      <w:t>2023年5月1日至2023年12月31日，广靖锡澄公司协议金额不超过人民币245万元，宜长公司协议金额不超过人民币20万元。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213941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2023年3月24日，本公司就本公司及控股子公司的路桥检查检测服务与现代检测公司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路桥检查检测服务协议期限为</w:t>
                    </w:r>
                    <w:r>
                      <w:rPr>
                        <w:rFonts w:ascii="宋体" w:hAnsi="宋体" w:eastAsiaTheme="minorEastAsia" w:cstheme="minorBidi"/>
                        <w:bCs/>
                        <w:kern w:val="2"/>
                        <w:sz w:val="18"/>
                        <w:szCs w:val="18"/>
                      </w:rPr>
                      <w:t>2023年5月1日至2023年12月31日，本公司协议金额不超过人民币485万元；广靖锡澄公司协议金额不超过人民币15万元；常宜公司协议金额不超过人民币109万元；宜长公司协议金额不超过人民币48万元。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85326473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2023年3月24日，本公司就本公司及控股子公司的养护技术综合服务、服务区零碳改造服务、普通桥梁检测数据对接服务、既有沥青路面力学行为研究服务、理事会基础会费与养护技术公司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养护技术综合服务项目协议期限为</w:t>
                    </w:r>
                    <w:r>
                      <w:rPr>
                        <w:rFonts w:ascii="宋体" w:hAnsi="宋体" w:eastAsiaTheme="minorEastAsia" w:cstheme="minorBidi"/>
                        <w:bCs/>
                        <w:kern w:val="2"/>
                        <w:sz w:val="18"/>
                        <w:szCs w:val="18"/>
                      </w:rPr>
                      <w:t>2023年5月1日至2023年12月31日，本公司协议金额不超过人民币1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710万元，广靖锡澄公司协议金额不超过人民币267万元，常宜公司协议金额不超过人民币37万元，宜长公司协议金额不超过人民币43万元，镇丹公司协议金额不超过人民币35万元，五峰山大桥公司协议金额不超过人民币71万元。</w:t>
                    </w:r>
                    <w:r>
                      <w:rPr>
                        <w:rFonts w:hint="eastAsia" w:ascii="宋体" w:hAnsi="宋体" w:eastAsiaTheme="minorEastAsia" w:cstheme="minorBidi"/>
                        <w:bCs/>
                        <w:kern w:val="2"/>
                        <w:sz w:val="18"/>
                        <w:szCs w:val="18"/>
                      </w:rPr>
                      <w:t>理事会基础会费项目协议期限为</w:t>
                    </w:r>
                    <w:r>
                      <w:rPr>
                        <w:rFonts w:ascii="宋体" w:hAnsi="宋体" w:eastAsiaTheme="minorEastAsia" w:cstheme="minorBidi"/>
                        <w:bCs/>
                        <w:kern w:val="2"/>
                        <w:sz w:val="18"/>
                        <w:szCs w:val="18"/>
                      </w:rPr>
                      <w:t>2023年5月1日至2023年12月31日，本公司协议金额不超过人民币392万元，广靖锡澄公司协议金额不超过人民币100万元，常宜公司协议金额不超过人民币10万元，宜长公司协议金额不超过人民币15万元，镇丹公司协议金额不超过人民币12万元，五峰山大桥公司协议金额不超过人民币20万元。</w:t>
                    </w:r>
                    <w:r>
                      <w:rPr>
                        <w:rFonts w:hint="eastAsia" w:ascii="宋体" w:hAnsi="宋体" w:eastAsiaTheme="minorEastAsia" w:cstheme="minorBidi"/>
                        <w:bCs/>
                        <w:kern w:val="2"/>
                        <w:sz w:val="18"/>
                        <w:szCs w:val="18"/>
                      </w:rPr>
                      <w:t>服务区零碳改造服务项目协议期限为</w:t>
                    </w:r>
                    <w:r>
                      <w:rPr>
                        <w:rFonts w:ascii="宋体" w:hAnsi="宋体" w:eastAsiaTheme="minorEastAsia" w:cstheme="minorBidi"/>
                        <w:bCs/>
                        <w:kern w:val="2"/>
                        <w:sz w:val="18"/>
                        <w:szCs w:val="18"/>
                      </w:rPr>
                      <w:t>2023年5月1日至2023年9月30日，本公司协议金额不超过人民币30万元。</w:t>
                    </w:r>
                    <w:r>
                      <w:rPr>
                        <w:rFonts w:hint="eastAsia" w:ascii="宋体" w:hAnsi="宋体" w:eastAsiaTheme="minorEastAsia" w:cstheme="minorBidi"/>
                        <w:bCs/>
                        <w:kern w:val="2"/>
                        <w:sz w:val="18"/>
                        <w:szCs w:val="18"/>
                      </w:rPr>
                      <w:t>普通桥梁检测数据对接服务项目协议期限为</w:t>
                    </w:r>
                    <w:r>
                      <w:rPr>
                        <w:rFonts w:ascii="宋体" w:hAnsi="宋体" w:eastAsiaTheme="minorEastAsia" w:cstheme="minorBidi"/>
                        <w:bCs/>
                        <w:kern w:val="2"/>
                        <w:sz w:val="18"/>
                        <w:szCs w:val="18"/>
                      </w:rPr>
                      <w:t>2023年5月1日至2023年12月31日，本公司协议金额不超过人民币50万元。</w:t>
                    </w:r>
                    <w:r>
                      <w:rPr>
                        <w:rFonts w:hint="eastAsia" w:ascii="宋体" w:hAnsi="宋体" w:eastAsiaTheme="minorEastAsia" w:cstheme="minorBidi"/>
                        <w:bCs/>
                        <w:kern w:val="2"/>
                        <w:sz w:val="18"/>
                        <w:szCs w:val="18"/>
                      </w:rPr>
                      <w:t>既有沥青路面力学行为及性能衰减规律研究服务项目协议期限为</w:t>
                    </w:r>
                    <w:r>
                      <w:rPr>
                        <w:rFonts w:ascii="宋体" w:hAnsi="宋体" w:eastAsiaTheme="minorEastAsia" w:cstheme="minorBidi"/>
                        <w:bCs/>
                        <w:kern w:val="2"/>
                        <w:sz w:val="18"/>
                        <w:szCs w:val="18"/>
                      </w:rPr>
                      <w:t>2023年5月1日至2025年12月31日，本公司协议金额不超过人民币270万元（预计2023年不超过人民币81万元，2024年不超过人民币81万元，2025年不超过人民币108万元）。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520626406"/>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2023年3月24日，本公司就本公司的沪宁高速苏州段跨路桥梁主动防撞预警装置增设项目、及控股子公司的芒稻河特大桥在线监测系统项目与华通工程公司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签署年度框架协议，其中沪宁高速苏州段跨路桥梁主动防撞预警装置增设项目协议期限为2023年5月1日至2023年12月31日，本公司协议金额不超过人民币25.8万元。</w:t>
                    </w:r>
                    <w:r>
                      <w:rPr>
                        <w:rFonts w:hint="eastAsia" w:ascii="宋体" w:hAnsi="宋体" w:eastAsiaTheme="minorEastAsia" w:cstheme="minorBidi"/>
                        <w:bCs/>
                        <w:kern w:val="2"/>
                        <w:sz w:val="18"/>
                        <w:szCs w:val="18"/>
                      </w:rPr>
                      <w:t>芒稻河特大桥在线监测系统项目协议期限为</w:t>
                    </w:r>
                    <w:r>
                      <w:rPr>
                        <w:rFonts w:ascii="宋体" w:hAnsi="宋体" w:eastAsiaTheme="minorEastAsia" w:cstheme="minorBidi"/>
                        <w:bCs/>
                        <w:kern w:val="2"/>
                        <w:sz w:val="18"/>
                        <w:szCs w:val="18"/>
                      </w:rPr>
                      <w:t>2023年5月1日至2023年12月31日，五峰山大桥公司协议金额不超过人民币91.6万元。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16227711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办公用房租赁、物业服务、物资采购与交控商运公司（本公司控股股东联系人）签署年度框架协议，其中物业服务，本公司（协议期限为2023年5月1日至2024年4月30日）协议金额不超过人民币249.20万元（预计2023年不超过人民币166.13万元，2024年不超过人民币83.07万元）；五峰山大桥公司（协议期限为2023年9月1日至2024年4月30日）协议金额不超过人民币415.92万元（预计2023年不超过人民币194.25万元，2024年不超过人民币221.67万元）；镇丹公司（协议期限为2023年12月1日至2024年4月30日）协议金额不超过人民币103.69万元（预计2023年不超过人民币20.74万元，2024年不超过人民币82.95万元）。物资采购协议期限为2023年5月1日至2024年4月30日，本公司协议金额不超过人民币270万元（预计2023年不超过人民币158万元，2024年不超过人民币112万元）；宁沪投资公司协议金额不超过人民币16万元（预计2023年不超过人民币11万元，2024年不超过人民币5万元）；扬子江管理公司协议金额不超过人民</w:t>
                    </w:r>
                    <w:r>
                      <w:rPr>
                        <w:rFonts w:hint="eastAsia" w:ascii="宋体" w:hAnsi="宋体" w:eastAsiaTheme="minorEastAsia" w:cstheme="minorBidi"/>
                        <w:bCs/>
                        <w:kern w:val="2"/>
                        <w:sz w:val="18"/>
                        <w:szCs w:val="18"/>
                      </w:rPr>
                      <w:t>币</w:t>
                    </w:r>
                    <w:r>
                      <w:rPr>
                        <w:rFonts w:ascii="宋体" w:hAnsi="宋体" w:eastAsiaTheme="minorEastAsia" w:cstheme="minorBidi"/>
                        <w:bCs/>
                        <w:kern w:val="2"/>
                        <w:sz w:val="18"/>
                        <w:szCs w:val="18"/>
                      </w:rPr>
                      <w:t>12万元（预计2023年不超过人民币8万元，2024年不超过人民币4万元）；广靖锡澄公司协议金额不超过人民币120万元（预计2023年不超过人民币80万元，2024年不超过人民币40万元）；常宜公司协议金额不超过人民币6万元（预计2023年不超过人民币4万元，2024年不超过人民币2万元）；宜长公司协议金额不超过人民币12万元（预计2023年不超过人民币8万元，2024年不超过人民币4万元）。办公用房租赁协议期限为2023年5月1日至2024年4月30日，宁沪投资公司协议金额不超过人民币247万元（预计2023年不超过人民币165万元，2024年不超过人民币82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06270651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2023年3月24日，本公司就本公司及控股子公司的企业管理咨询服务、劳务外包服务与</w:t>
                    </w:r>
                    <w:r>
                      <w:rPr>
                        <w:rFonts w:hint="eastAsia" w:ascii="宋体" w:hAnsi="宋体" w:eastAsiaTheme="minorEastAsia" w:cstheme="minorBidi"/>
                        <w:bCs/>
                        <w:kern w:val="2"/>
                        <w:sz w:val="18"/>
                        <w:szCs w:val="18"/>
                      </w:rPr>
                      <w:t>交控</w:t>
                    </w:r>
                    <w:r>
                      <w:rPr>
                        <w:rFonts w:ascii="宋体" w:hAnsi="宋体" w:eastAsiaTheme="minorEastAsia" w:cstheme="minorBidi"/>
                        <w:bCs/>
                        <w:kern w:val="2"/>
                        <w:sz w:val="18"/>
                        <w:szCs w:val="18"/>
                      </w:rPr>
                      <w:t>人力资源公司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签署年度框架协议，其中企业管理咨询服务协议期限为2023年5月1日至2024年4月30日，本公司协议金额为人民币2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207万元（预计2023年不超过人民币1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825万元，2024年不超过人民币382万元）；扬子江管理公司协议金额为人民币170万元（预计2023年不超过人民币110万元，2024年不超过人民币60万元）；广靖锡澄公司协议金额为人民币270万元（预计2023年不超过人民币180万元，2024年不超过人民币90万</w:t>
                    </w:r>
                    <w:r>
                      <w:rPr>
                        <w:rFonts w:hint="eastAsia" w:ascii="宋体" w:hAnsi="宋体" w:eastAsiaTheme="minorEastAsia" w:cstheme="minorBidi"/>
                        <w:bCs/>
                        <w:kern w:val="2"/>
                        <w:sz w:val="18"/>
                        <w:szCs w:val="18"/>
                      </w:rPr>
                      <w:t>元）；常宜公司协议金额为人民币</w:t>
                    </w:r>
                    <w:r>
                      <w:rPr>
                        <w:rFonts w:ascii="宋体" w:hAnsi="宋体" w:eastAsiaTheme="minorEastAsia" w:cstheme="minorBidi"/>
                        <w:bCs/>
                        <w:kern w:val="2"/>
                        <w:sz w:val="18"/>
                        <w:szCs w:val="18"/>
                      </w:rPr>
                      <w:t>75万元（预计2023年不超过人民币45万元，2024年不超过人民币30万元）；</w:t>
                    </w:r>
                    <w:r>
                      <w:rPr>
                        <w:rFonts w:hint="eastAsia" w:ascii="宋体" w:hAnsi="宋体" w:eastAsiaTheme="minorEastAsia" w:cstheme="minorBidi"/>
                        <w:bCs/>
                        <w:kern w:val="2"/>
                        <w:sz w:val="18"/>
                        <w:szCs w:val="18"/>
                      </w:rPr>
                      <w:t>宜长公司协议金额为人民币</w:t>
                    </w:r>
                    <w:r>
                      <w:rPr>
                        <w:rFonts w:ascii="宋体" w:hAnsi="宋体" w:eastAsiaTheme="minorEastAsia" w:cstheme="minorBidi"/>
                        <w:bCs/>
                        <w:kern w:val="2"/>
                        <w:sz w:val="18"/>
                        <w:szCs w:val="18"/>
                      </w:rPr>
                      <w:t>100万元（预计2023年不超过人民币65万元，2024年不超过人民币35万元）；云杉清能公司协议金额为人民币50万元（预计2023年不超过人民币30万元，2024年不超过人民币20万元）；宁沪投资公司协议金额为人民币15万元（预计2023年不超过人民币10万元，2024年不超过人民币5万元）；宁沪置业公司协议金额为人民币10万元（预计2023年和2024年发生额均不超过人民币5万元）。</w:t>
                    </w:r>
                    <w:r>
                      <w:rPr>
                        <w:rFonts w:hint="eastAsia" w:ascii="宋体" w:hAnsi="宋体" w:eastAsiaTheme="minorEastAsia" w:cstheme="minorBidi"/>
                        <w:bCs/>
                        <w:kern w:val="2"/>
                        <w:sz w:val="18"/>
                        <w:szCs w:val="18"/>
                      </w:rPr>
                      <w:t>劳务外包服务协议期限为</w:t>
                    </w:r>
                    <w:r>
                      <w:rPr>
                        <w:rFonts w:ascii="宋体" w:hAnsi="宋体" w:eastAsiaTheme="minorEastAsia" w:cstheme="minorBidi"/>
                        <w:bCs/>
                        <w:kern w:val="2"/>
                        <w:sz w:val="18"/>
                        <w:szCs w:val="18"/>
                      </w:rPr>
                      <w:t>2023年5月1日至2024年4月30日，本公司协议金额为人民币470万元（预计2023年不超过人民币330万元，2024年不超过人民币140万元）；宁沪投资公司协议金额为人民币30万元（预计2023年不超过人民币20万元，2024年不超过人民币10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89811508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本公司的茅山、长荡湖、滆湖、荣炳服务区及子公司广靖锡澄公司宜兴、堰桥服务区加油站出租经营与高速能源公司（本公司控股股东联系人）签署年度框架协议，其中加油站出租经营服务，本公司（协议期限为2023年5月1日至2024年4月30日）协议金额为人民币1,900万元（预计2023年不超过人民币1,240万元，2024年不超过人民币660万元）；广靖锡澄公司（协议期限为2024年1月1日至2024年4月30日）协议金额为人民币245万元（2024年不超过人民币245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76375629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2023年3月24日，本公司就本公司服务区加油站租赁事项与五峰山大桥公司</w:t>
                    </w:r>
                    <w:r>
                      <w:rPr>
                        <w:rFonts w:hint="eastAsia" w:ascii="宋体" w:hAnsi="宋体" w:eastAsiaTheme="minorEastAsia" w:cstheme="minorBidi"/>
                        <w:bCs/>
                        <w:kern w:val="2"/>
                        <w:sz w:val="18"/>
                        <w:szCs w:val="18"/>
                      </w:rPr>
                      <w:t>（本公司关联附属公司）</w:t>
                    </w:r>
                    <w:r>
                      <w:rPr>
                        <w:rFonts w:ascii="宋体" w:hAnsi="宋体" w:eastAsiaTheme="minorEastAsia" w:cstheme="minorBidi"/>
                        <w:bCs/>
                        <w:kern w:val="2"/>
                        <w:sz w:val="18"/>
                        <w:szCs w:val="18"/>
                      </w:rPr>
                      <w:t>、苏锡常南部高速公司(本公司控股股东联系人）签署年度框架协议，其中五峰山大桥公司服务区加油站出租服务协议期限为2023年5月1日至2024年4月30日，本公司协议金额为人民币450万元（预计2023年不超过人民币310万元，2024年不超过人民币140万元）；苏锡常南部高速公司服务区加油站出租服务协议期限为2023年5月1日至2024年4月30日，本公司协议金额为人民币300万元（预计2023年不超过人民币230万元，2024年不超过人民币70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07955772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宣传委托制作服务、广告经营发布与交通传媒公司（本公司控股股东联系人）签署年度框架协议，其中宣传委托制作服务（本公司的协议期限为2023年5月1日至2024年4月30日，其他接受服务公司的协议期限为2023年5月1日至2023年12月31日），本公司协议金额为人民币868万元（预计2023年不超过人民币858万元，2024年不超过人民币10万元）；扬子江管理公司协议金额为人民币20万元；广靖锡澄公司协议金额为人民币26.5万元；常宜公司协议金额为人民币2万元；</w:t>
                    </w:r>
                    <w:r>
                      <w:rPr>
                        <w:rFonts w:hint="eastAsia" w:ascii="宋体" w:hAnsi="宋体" w:eastAsiaTheme="minorEastAsia" w:cstheme="minorBidi"/>
                        <w:bCs/>
                        <w:kern w:val="2"/>
                        <w:sz w:val="18"/>
                        <w:szCs w:val="18"/>
                      </w:rPr>
                      <w:t>五峰山大桥公司协议金额为人民币</w:t>
                    </w:r>
                    <w:r>
                      <w:rPr>
                        <w:rFonts w:ascii="宋体" w:hAnsi="宋体" w:eastAsiaTheme="minorEastAsia" w:cstheme="minorBidi"/>
                        <w:bCs/>
                        <w:kern w:val="2"/>
                        <w:sz w:val="18"/>
                        <w:szCs w:val="18"/>
                      </w:rPr>
                      <w:t>65万元；云杉清能公司协议金额为人民币60万元。广告经营发布服务协议期限为2023年5月1日至2026年4月30日，镇丹公司协议金额为人民币60万元（预计2023年不超过人民币13.4万元，2024年不超过人民币20万元，2025年不超过20万元、2026年不超过6.6万元）；五峰山大桥公司协议金额为人民币90万元（预计2023年不超过人民币20万元，2024年不超过人民币30万元，2025年不超过30万元、2026年不超过10万元）；宁沪投资公司协议金额为人民币364万元（预</w:t>
                    </w:r>
                    <w:r>
                      <w:rPr>
                        <w:rFonts w:hint="eastAsia" w:ascii="宋体" w:hAnsi="宋体" w:eastAsiaTheme="minorEastAsia" w:cstheme="minorBidi"/>
                        <w:bCs/>
                        <w:kern w:val="2"/>
                        <w:sz w:val="18"/>
                        <w:szCs w:val="18"/>
                      </w:rPr>
                      <w:t>计</w:t>
                    </w:r>
                    <w:r>
                      <w:rPr>
                        <w:rFonts w:ascii="宋体" w:hAnsi="宋体" w:eastAsiaTheme="minorEastAsia" w:cstheme="minorBidi"/>
                        <w:bCs/>
                        <w:kern w:val="2"/>
                        <w:sz w:val="18"/>
                        <w:szCs w:val="18"/>
                      </w:rPr>
                      <w:t>2023年不超过人民币121.33万元，2024年不超过人民币182万元，2025年不超过60.67万元，2026年预计不会产生费用）。</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63216007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2023年3月24日，本公司就本公司及控股子公司的商品及服务采购与翠屏山宾馆</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签署年度框架协议，其中商品及服务采购服务协议期限为2023年5月1日至2024年4月30日，本公司协议金额为人民币266万元（预计2023年不超过人民币205.5万元，2024年不超过人民币60.5万元）；</w:t>
                    </w:r>
                    <w:r>
                      <w:rPr>
                        <w:rFonts w:hint="eastAsia" w:ascii="宋体" w:hAnsi="宋体" w:eastAsiaTheme="minorEastAsia" w:cstheme="minorBidi"/>
                        <w:bCs/>
                        <w:kern w:val="2"/>
                        <w:sz w:val="18"/>
                        <w:szCs w:val="18"/>
                      </w:rPr>
                      <w:t>扬子江管理公司协议金额为人民币</w:t>
                    </w:r>
                    <w:r>
                      <w:rPr>
                        <w:rFonts w:ascii="宋体" w:hAnsi="宋体" w:eastAsiaTheme="minorEastAsia" w:cstheme="minorBidi"/>
                        <w:bCs/>
                        <w:kern w:val="2"/>
                        <w:sz w:val="18"/>
                        <w:szCs w:val="18"/>
                      </w:rPr>
                      <w:t>62.1万元（预计2023年不超过人民币32.1万元，2024年不超过人民币30万元）；</w:t>
                    </w:r>
                    <w:r>
                      <w:rPr>
                        <w:rFonts w:hint="eastAsia" w:ascii="宋体" w:hAnsi="宋体" w:eastAsiaTheme="minorEastAsia" w:cstheme="minorBidi"/>
                        <w:bCs/>
                        <w:kern w:val="2"/>
                        <w:sz w:val="18"/>
                        <w:szCs w:val="18"/>
                      </w:rPr>
                      <w:t>广靖锡澄公司协议金额为人民币</w:t>
                    </w:r>
                    <w:r>
                      <w:rPr>
                        <w:rFonts w:ascii="宋体" w:hAnsi="宋体" w:eastAsiaTheme="minorEastAsia" w:cstheme="minorBidi"/>
                        <w:bCs/>
                        <w:kern w:val="2"/>
                        <w:sz w:val="18"/>
                        <w:szCs w:val="18"/>
                      </w:rPr>
                      <w:t>112万元（预计2023年不超过人民币62万元，2024年不超过人民币50万元）；</w:t>
                    </w:r>
                    <w:r>
                      <w:rPr>
                        <w:rFonts w:hint="eastAsia" w:ascii="宋体" w:hAnsi="宋体" w:eastAsiaTheme="minorEastAsia" w:cstheme="minorBidi"/>
                        <w:bCs/>
                        <w:kern w:val="2"/>
                        <w:sz w:val="18"/>
                        <w:szCs w:val="18"/>
                      </w:rPr>
                      <w:t>常宜公司协议金额为人民币</w:t>
                    </w:r>
                    <w:r>
                      <w:rPr>
                        <w:rFonts w:ascii="宋体" w:hAnsi="宋体" w:eastAsiaTheme="minorEastAsia" w:cstheme="minorBidi"/>
                        <w:bCs/>
                        <w:kern w:val="2"/>
                        <w:sz w:val="18"/>
                        <w:szCs w:val="18"/>
                      </w:rPr>
                      <w:t>30万元（预计2023年和2024年发生额均不超过人民币15万元）；</w:t>
                    </w:r>
                    <w:r>
                      <w:rPr>
                        <w:rFonts w:hint="eastAsia" w:ascii="宋体" w:hAnsi="宋体" w:eastAsiaTheme="minorEastAsia" w:cstheme="minorBidi"/>
                        <w:bCs/>
                        <w:kern w:val="2"/>
                        <w:sz w:val="18"/>
                        <w:szCs w:val="18"/>
                      </w:rPr>
                      <w:t>宜长公司协议金额为人民币</w:t>
                    </w:r>
                    <w:r>
                      <w:rPr>
                        <w:rFonts w:ascii="宋体" w:hAnsi="宋体" w:eastAsiaTheme="minorEastAsia" w:cstheme="minorBidi"/>
                        <w:bCs/>
                        <w:kern w:val="2"/>
                        <w:sz w:val="18"/>
                        <w:szCs w:val="18"/>
                      </w:rPr>
                      <w:t>31.8万元（预计2023年不超过人民币16.8万元，2024年不超过人民币15万元）。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13693208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2023年3月24日，本公司就由快鹿公司为本公司及控股子公司提供公务用车租赁，及本公司的苏州上高路1号房屋出租事项，与快鹿公司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汽车租赁服务协议期限为</w:t>
                    </w:r>
                    <w:r>
                      <w:rPr>
                        <w:rFonts w:ascii="宋体" w:hAnsi="宋体" w:eastAsiaTheme="minorEastAsia" w:cstheme="minorBidi"/>
                        <w:bCs/>
                        <w:kern w:val="2"/>
                        <w:sz w:val="18"/>
                        <w:szCs w:val="18"/>
                      </w:rPr>
                      <w:t>2023年5月1日至2024年4月30日，本公司协议金额不超过人民币2239.62万元（2023年不超过人民币1462.31万元，2024年不超过人民币777.31万元）；</w:t>
                    </w:r>
                    <w:r>
                      <w:rPr>
                        <w:rFonts w:hint="eastAsia" w:ascii="宋体" w:hAnsi="宋体" w:eastAsiaTheme="minorEastAsia" w:cstheme="minorBidi"/>
                        <w:bCs/>
                        <w:kern w:val="2"/>
                        <w:sz w:val="18"/>
                        <w:szCs w:val="18"/>
                      </w:rPr>
                      <w:t>云杉清能公司协议金额不超过人民币</w:t>
                    </w:r>
                    <w:r>
                      <w:rPr>
                        <w:rFonts w:ascii="宋体" w:hAnsi="宋体" w:eastAsiaTheme="minorEastAsia" w:cstheme="minorBidi"/>
                        <w:bCs/>
                        <w:kern w:val="2"/>
                        <w:sz w:val="18"/>
                        <w:szCs w:val="18"/>
                      </w:rPr>
                      <w:t>10万元（2023年不超过人民币6万元，2024年不超过人民币4万元）；</w:t>
                    </w:r>
                    <w:r>
                      <w:rPr>
                        <w:rFonts w:hint="eastAsia" w:ascii="宋体" w:hAnsi="宋体" w:eastAsiaTheme="minorEastAsia" w:cstheme="minorBidi"/>
                        <w:bCs/>
                        <w:kern w:val="2"/>
                        <w:sz w:val="18"/>
                        <w:szCs w:val="18"/>
                      </w:rPr>
                      <w:t>五峰山大桥公司协议金额不超过人民币</w:t>
                    </w:r>
                    <w:r>
                      <w:rPr>
                        <w:rFonts w:ascii="宋体" w:hAnsi="宋体" w:eastAsiaTheme="minorEastAsia" w:cstheme="minorBidi"/>
                        <w:bCs/>
                        <w:kern w:val="2"/>
                        <w:sz w:val="18"/>
                        <w:szCs w:val="18"/>
                      </w:rPr>
                      <w:t>403.22万元（2023年不超过人民币268.75万元，2024年不超过人民币134.47万元）；</w:t>
                    </w:r>
                    <w:r>
                      <w:rPr>
                        <w:rFonts w:hint="eastAsia" w:ascii="宋体" w:hAnsi="宋体" w:eastAsiaTheme="minorEastAsia" w:cstheme="minorBidi"/>
                        <w:bCs/>
                        <w:kern w:val="2"/>
                        <w:sz w:val="18"/>
                        <w:szCs w:val="18"/>
                      </w:rPr>
                      <w:t>镇丹公司协议金额不超过人民币</w:t>
                    </w:r>
                    <w:r>
                      <w:rPr>
                        <w:rFonts w:ascii="宋体" w:hAnsi="宋体" w:eastAsiaTheme="minorEastAsia" w:cstheme="minorBidi"/>
                        <w:bCs/>
                        <w:kern w:val="2"/>
                        <w:sz w:val="18"/>
                        <w:szCs w:val="18"/>
                      </w:rPr>
                      <w:t>139万元（2023年不超过人民币92.6万元，2024年不超过人民币46.4万元）；</w:t>
                    </w:r>
                    <w:r>
                      <w:rPr>
                        <w:rFonts w:hint="eastAsia" w:ascii="宋体" w:hAnsi="宋体" w:eastAsiaTheme="minorEastAsia" w:cstheme="minorBidi"/>
                        <w:bCs/>
                        <w:kern w:val="2"/>
                        <w:sz w:val="18"/>
                        <w:szCs w:val="18"/>
                      </w:rPr>
                      <w:t>广靖锡澄公司协议金额不超过人民币</w:t>
                    </w:r>
                    <w:r>
                      <w:rPr>
                        <w:rFonts w:ascii="宋体" w:hAnsi="宋体" w:eastAsiaTheme="minorEastAsia" w:cstheme="minorBidi"/>
                        <w:bCs/>
                        <w:kern w:val="2"/>
                        <w:sz w:val="18"/>
                        <w:szCs w:val="18"/>
                      </w:rPr>
                      <w:t>108万元（2023年不超过人民币76万元，2024年不超过人民币32万元）。</w:t>
                    </w:r>
                    <w:r>
                      <w:rPr>
                        <w:rFonts w:hint="eastAsia" w:ascii="宋体" w:hAnsi="宋体" w:eastAsiaTheme="minorEastAsia" w:cstheme="minorBidi"/>
                        <w:bCs/>
                        <w:kern w:val="2"/>
                        <w:sz w:val="18"/>
                        <w:szCs w:val="18"/>
                      </w:rPr>
                      <w:t>房屋租赁服务协议期限为</w:t>
                    </w:r>
                    <w:r>
                      <w:rPr>
                        <w:rFonts w:ascii="宋体" w:hAnsi="宋体" w:eastAsiaTheme="minorEastAsia" w:cstheme="minorBidi"/>
                        <w:bCs/>
                        <w:kern w:val="2"/>
                        <w:sz w:val="18"/>
                        <w:szCs w:val="18"/>
                      </w:rPr>
                      <w:t>2023年4月1日至2026年3月31日，本公司协议金额不超过人民币473.31万元（2023年不超过人民币118.3275万元，2024年不超过人民币157.77万元，2025年不超过人民币157.77万元，2026年不超过人民币39.4425万元）。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617834194"/>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2023年3月24日，本公司就控股子公司广靖锡澄公司的日常养护服务与工程养护公司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签署年度框架协议，其中公路日常养护服务协议期限为2023年5月1日至12月31日，协议金额不超过人民币303万元。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540672069"/>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2023年3月24日，本公司就本公司及控股子公司的路网管理费与高速联网公司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路网管理服务协议期限为</w:t>
                    </w:r>
                    <w:r>
                      <w:rPr>
                        <w:rFonts w:ascii="宋体" w:hAnsi="宋体" w:eastAsiaTheme="minorEastAsia" w:cstheme="minorBidi"/>
                        <w:bCs/>
                        <w:kern w:val="2"/>
                        <w:sz w:val="18"/>
                        <w:szCs w:val="18"/>
                      </w:rPr>
                      <w:t>2023年5月1日至2024年4月30日，本公司协议金额为人民币4</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000万元（2023年不超过人民币2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650万元，2024年不超过人民币1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350万元）；</w:t>
                    </w:r>
                    <w:r>
                      <w:rPr>
                        <w:rFonts w:hint="eastAsia" w:ascii="宋体" w:hAnsi="宋体" w:eastAsiaTheme="minorEastAsia" w:cstheme="minorBidi"/>
                        <w:bCs/>
                        <w:kern w:val="2"/>
                        <w:sz w:val="18"/>
                        <w:szCs w:val="18"/>
                      </w:rPr>
                      <w:t>五峰山大桥公司协议金额为人民币</w:t>
                    </w:r>
                    <w:r>
                      <w:rPr>
                        <w:rFonts w:ascii="宋体" w:hAnsi="宋体" w:eastAsiaTheme="minorEastAsia" w:cstheme="minorBidi"/>
                        <w:bCs/>
                        <w:kern w:val="2"/>
                        <w:sz w:val="18"/>
                        <w:szCs w:val="18"/>
                      </w:rPr>
                      <w:t>610万元（2023年不超过人民币405万元，2024年不超过人民币205万元）；</w:t>
                    </w:r>
                    <w:r>
                      <w:rPr>
                        <w:rFonts w:hint="eastAsia" w:ascii="宋体" w:hAnsi="宋体" w:eastAsiaTheme="minorEastAsia" w:cstheme="minorBidi"/>
                        <w:bCs/>
                        <w:kern w:val="2"/>
                        <w:sz w:val="18"/>
                        <w:szCs w:val="18"/>
                      </w:rPr>
                      <w:t>镇丹公司协议金额为人民币</w:t>
                    </w:r>
                    <w:r>
                      <w:rPr>
                        <w:rFonts w:ascii="宋体" w:hAnsi="宋体" w:eastAsiaTheme="minorEastAsia" w:cstheme="minorBidi"/>
                        <w:bCs/>
                        <w:kern w:val="2"/>
                        <w:sz w:val="18"/>
                        <w:szCs w:val="18"/>
                      </w:rPr>
                      <w:t>130万元（2023年不超过人民币85万元，2024年不超过人民币45万元）；</w:t>
                    </w:r>
                    <w:r>
                      <w:rPr>
                        <w:rFonts w:hint="eastAsia" w:ascii="宋体" w:hAnsi="宋体" w:eastAsiaTheme="minorEastAsia" w:cstheme="minorBidi"/>
                        <w:bCs/>
                        <w:kern w:val="2"/>
                        <w:sz w:val="18"/>
                        <w:szCs w:val="18"/>
                      </w:rPr>
                      <w:t>广靖锡澄公司协议金额为人民币</w:t>
                    </w:r>
                    <w:r>
                      <w:rPr>
                        <w:rFonts w:ascii="宋体" w:hAnsi="宋体" w:eastAsiaTheme="minorEastAsia" w:cstheme="minorBidi"/>
                        <w:bCs/>
                        <w:kern w:val="2"/>
                        <w:sz w:val="18"/>
                        <w:szCs w:val="18"/>
                      </w:rPr>
                      <w:t>1230万元（2023年不超过人民币830万元，2024年不超过人民币400万元）；</w:t>
                    </w:r>
                    <w:r>
                      <w:rPr>
                        <w:rFonts w:hint="eastAsia" w:ascii="宋体" w:hAnsi="宋体" w:eastAsiaTheme="minorEastAsia" w:cstheme="minorBidi"/>
                        <w:bCs/>
                        <w:kern w:val="2"/>
                        <w:sz w:val="18"/>
                        <w:szCs w:val="18"/>
                      </w:rPr>
                      <w:t>常宜公司协议金额为人民币</w:t>
                    </w:r>
                    <w:r>
                      <w:rPr>
                        <w:rFonts w:ascii="宋体" w:hAnsi="宋体" w:eastAsiaTheme="minorEastAsia" w:cstheme="minorBidi"/>
                        <w:bCs/>
                        <w:kern w:val="2"/>
                        <w:sz w:val="18"/>
                        <w:szCs w:val="18"/>
                      </w:rPr>
                      <w:t>85万元（2023年不超过人民币55万元，2024年不超过人民币30万元）；</w:t>
                    </w:r>
                    <w:r>
                      <w:rPr>
                        <w:rFonts w:hint="eastAsia" w:ascii="宋体" w:hAnsi="宋体" w:eastAsiaTheme="minorEastAsia" w:cstheme="minorBidi"/>
                        <w:bCs/>
                        <w:kern w:val="2"/>
                        <w:sz w:val="18"/>
                        <w:szCs w:val="18"/>
                      </w:rPr>
                      <w:t>宜长公司协议金额为人民币</w:t>
                    </w:r>
                    <w:r>
                      <w:rPr>
                        <w:rFonts w:ascii="宋体" w:hAnsi="宋体" w:eastAsiaTheme="minorEastAsia" w:cstheme="minorBidi"/>
                        <w:bCs/>
                        <w:kern w:val="2"/>
                        <w:sz w:val="18"/>
                        <w:szCs w:val="18"/>
                      </w:rPr>
                      <w:t>115万元（2023年不超过人民币75万元，2024年不超过人民币40万元）。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25401266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2023年3月24日，本公司就本公司及控股子公司的平台及云端资源技术服务与数研院</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w:t>
                    </w:r>
                    <w:r>
                      <w:rPr>
                        <w:rFonts w:hint="eastAsia" w:ascii="宋体" w:hAnsi="宋体" w:eastAsiaTheme="minorEastAsia" w:cstheme="minorBidi"/>
                        <w:bCs/>
                        <w:kern w:val="2"/>
                        <w:sz w:val="18"/>
                        <w:szCs w:val="18"/>
                      </w:rPr>
                      <w:t>平台及云端资源技术服务协议期限为</w:t>
                    </w:r>
                    <w:r>
                      <w:rPr>
                        <w:rFonts w:ascii="宋体" w:hAnsi="宋体" w:eastAsiaTheme="minorEastAsia" w:cstheme="minorBidi"/>
                        <w:bCs/>
                        <w:kern w:val="2"/>
                        <w:sz w:val="18"/>
                        <w:szCs w:val="18"/>
                      </w:rPr>
                      <w:t>2023年5月1日至2024年4月30日，</w:t>
                    </w:r>
                    <w:r>
                      <w:rPr>
                        <w:rFonts w:hint="eastAsia" w:ascii="宋体" w:hAnsi="宋体" w:eastAsiaTheme="minorEastAsia" w:cstheme="minorBidi"/>
                        <w:bCs/>
                        <w:kern w:val="2"/>
                        <w:sz w:val="18"/>
                        <w:szCs w:val="18"/>
                      </w:rPr>
                      <w:t>本公司协议金额为人民币</w:t>
                    </w:r>
                    <w:r>
                      <w:rPr>
                        <w:rFonts w:ascii="宋体" w:hAnsi="宋体" w:eastAsiaTheme="minorEastAsia" w:cstheme="minorBidi"/>
                        <w:bCs/>
                        <w:kern w:val="2"/>
                        <w:sz w:val="18"/>
                        <w:szCs w:val="18"/>
                      </w:rPr>
                      <w:t>460万元（2023年不超过人民币300万元，2024年不超过人民币160万元）；</w:t>
                    </w:r>
                    <w:r>
                      <w:rPr>
                        <w:rFonts w:hint="eastAsia" w:ascii="宋体" w:hAnsi="宋体" w:eastAsiaTheme="minorEastAsia" w:cstheme="minorBidi"/>
                        <w:bCs/>
                        <w:kern w:val="2"/>
                        <w:sz w:val="18"/>
                        <w:szCs w:val="18"/>
                      </w:rPr>
                      <w:t>五峰山大桥公司协议金额为人民币</w:t>
                    </w:r>
                    <w:r>
                      <w:rPr>
                        <w:rFonts w:ascii="宋体" w:hAnsi="宋体" w:eastAsiaTheme="minorEastAsia" w:cstheme="minorBidi"/>
                        <w:bCs/>
                        <w:kern w:val="2"/>
                        <w:sz w:val="18"/>
                        <w:szCs w:val="18"/>
                      </w:rPr>
                      <w:t>17万元（2023年不超过人民币11万元，2024年不超过人民币6万元）；</w:t>
                    </w:r>
                    <w:r>
                      <w:rPr>
                        <w:rFonts w:hint="eastAsia" w:ascii="宋体" w:hAnsi="宋体" w:eastAsiaTheme="minorEastAsia" w:cstheme="minorBidi"/>
                        <w:bCs/>
                        <w:kern w:val="2"/>
                        <w:sz w:val="18"/>
                        <w:szCs w:val="18"/>
                      </w:rPr>
                      <w:t>镇丹公司协议金额为人民币</w:t>
                    </w:r>
                    <w:r>
                      <w:rPr>
                        <w:rFonts w:ascii="宋体" w:hAnsi="宋体" w:eastAsiaTheme="minorEastAsia" w:cstheme="minorBidi"/>
                        <w:bCs/>
                        <w:kern w:val="2"/>
                        <w:sz w:val="18"/>
                        <w:szCs w:val="18"/>
                      </w:rPr>
                      <w:t>9万元（2023年不超过人民币6万元，2024年不超过人民币3万元）；</w:t>
                    </w:r>
                    <w:r>
                      <w:rPr>
                        <w:rFonts w:hint="eastAsia" w:ascii="宋体" w:hAnsi="宋体" w:eastAsiaTheme="minorEastAsia" w:cstheme="minorBidi"/>
                        <w:bCs/>
                        <w:kern w:val="2"/>
                        <w:sz w:val="18"/>
                        <w:szCs w:val="18"/>
                      </w:rPr>
                      <w:t>广靖锡澄公司协议金额为人民币</w:t>
                    </w:r>
                    <w:r>
                      <w:rPr>
                        <w:rFonts w:ascii="宋体" w:hAnsi="宋体" w:eastAsiaTheme="minorEastAsia" w:cstheme="minorBidi"/>
                        <w:bCs/>
                        <w:kern w:val="2"/>
                        <w:sz w:val="18"/>
                        <w:szCs w:val="18"/>
                      </w:rPr>
                      <w:t>104万元（2023年不超过人民币78万元，2024年不超过人民币26万元）；</w:t>
                    </w:r>
                    <w:r>
                      <w:rPr>
                        <w:rFonts w:hint="eastAsia" w:ascii="宋体" w:hAnsi="宋体" w:eastAsiaTheme="minorEastAsia" w:cstheme="minorBidi"/>
                        <w:bCs/>
                        <w:kern w:val="2"/>
                        <w:sz w:val="18"/>
                        <w:szCs w:val="18"/>
                      </w:rPr>
                      <w:t>常宜公司协议金额为人民币</w:t>
                    </w:r>
                    <w:r>
                      <w:rPr>
                        <w:rFonts w:ascii="宋体" w:hAnsi="宋体" w:eastAsiaTheme="minorEastAsia" w:cstheme="minorBidi"/>
                        <w:bCs/>
                        <w:kern w:val="2"/>
                        <w:sz w:val="18"/>
                        <w:szCs w:val="18"/>
                      </w:rPr>
                      <w:t>5.5万元（2023年不超过人民币4万元，2024年不超过人民币1.5万元）；</w:t>
                    </w:r>
                    <w:r>
                      <w:rPr>
                        <w:rFonts w:hint="eastAsia" w:ascii="宋体" w:hAnsi="宋体" w:eastAsiaTheme="minorEastAsia" w:cstheme="minorBidi"/>
                        <w:bCs/>
                        <w:kern w:val="2"/>
                        <w:sz w:val="18"/>
                        <w:szCs w:val="18"/>
                      </w:rPr>
                      <w:t>宜长公司协议金额为人民币</w:t>
                    </w:r>
                    <w:r>
                      <w:rPr>
                        <w:rFonts w:ascii="宋体" w:hAnsi="宋体" w:eastAsiaTheme="minorEastAsia" w:cstheme="minorBidi"/>
                        <w:bCs/>
                        <w:kern w:val="2"/>
                        <w:sz w:val="18"/>
                        <w:szCs w:val="18"/>
                      </w:rPr>
                      <w:t>11万元（2023年不超过人民币8万元，2024年不超过人民币3万元）；</w:t>
                    </w:r>
                    <w:r>
                      <w:rPr>
                        <w:rFonts w:hint="eastAsia" w:ascii="宋体" w:hAnsi="宋体" w:eastAsiaTheme="minorEastAsia" w:cstheme="minorBidi"/>
                        <w:bCs/>
                        <w:kern w:val="2"/>
                        <w:sz w:val="18"/>
                        <w:szCs w:val="18"/>
                      </w:rPr>
                      <w:t>云杉清能公司协议金额为人民币</w:t>
                    </w:r>
                    <w:r>
                      <w:rPr>
                        <w:rFonts w:ascii="宋体" w:hAnsi="宋体" w:eastAsiaTheme="minorEastAsia" w:cstheme="minorBidi"/>
                        <w:bCs/>
                        <w:kern w:val="2"/>
                        <w:sz w:val="18"/>
                        <w:szCs w:val="18"/>
                      </w:rPr>
                      <w:t>10万元（2023年不超过人民币6万元，2024年不超过人民币4万元）。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547675288"/>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2023年3月24日，本公司就控股子公司的广陵服务区加油站租赁与泰兴油品公司</w:t>
                    </w:r>
                    <w:r>
                      <w:rPr>
                        <w:rFonts w:hint="eastAsia" w:ascii="宋体" w:hAnsi="宋体" w:eastAsiaTheme="minorEastAsia" w:cstheme="minorBidi"/>
                        <w:bCs/>
                        <w:kern w:val="2"/>
                        <w:sz w:val="18"/>
                        <w:szCs w:val="18"/>
                      </w:rPr>
                      <w:t>（本公司控股股东联系人）</w:t>
                    </w:r>
                    <w:r>
                      <w:rPr>
                        <w:rFonts w:ascii="宋体" w:hAnsi="宋体" w:eastAsiaTheme="minorEastAsia" w:cstheme="minorBidi"/>
                        <w:bCs/>
                        <w:kern w:val="2"/>
                        <w:sz w:val="18"/>
                        <w:szCs w:val="18"/>
                      </w:rPr>
                      <w:t>签署年度框架协议，其中加油站租赁服务协议期限为2024年1月1日至2024年4月30日，协议金额不超过人民币130万元。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57179846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ascii="宋体" w:hAnsi="宋体" w:eastAsiaTheme="minorEastAsia" w:cstheme="minorBidi"/>
                        <w:bCs/>
                        <w:kern w:val="2"/>
                        <w:sz w:val="18"/>
                        <w:szCs w:val="18"/>
                      </w:rPr>
                      <w:t>2023年3月24日，本公司就本公司接受委托运营管理常宜高速一期项目北段事项与常宜公司</w:t>
                    </w:r>
                    <w:r>
                      <w:rPr>
                        <w:rFonts w:hint="eastAsia" w:ascii="宋体" w:hAnsi="宋体" w:eastAsiaTheme="minorEastAsia" w:cstheme="minorBidi"/>
                        <w:bCs/>
                        <w:kern w:val="2"/>
                        <w:sz w:val="18"/>
                        <w:szCs w:val="18"/>
                      </w:rPr>
                      <w:t>（本公司关联附属公司）</w:t>
                    </w:r>
                    <w:r>
                      <w:rPr>
                        <w:rFonts w:ascii="宋体" w:hAnsi="宋体" w:eastAsiaTheme="minorEastAsia" w:cstheme="minorBidi"/>
                        <w:bCs/>
                        <w:kern w:val="2"/>
                        <w:sz w:val="18"/>
                        <w:szCs w:val="18"/>
                      </w:rPr>
                      <w:t>签署年度框架协议，常宜运营管理委托协议的履约期限为2023年5月1日至2024年4月30日，常宜公司的协议金额为人民币850万元（2023年不超过人民币560万元，2024年不超过人民币290万元）。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722320440"/>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宋体" w:hAnsi="宋体" w:eastAsiaTheme="minorEastAsia" w:cstheme="minorBidi"/>
                        <w:bCs/>
                        <w:kern w:val="2"/>
                        <w:sz w:val="18"/>
                        <w:szCs w:val="18"/>
                      </w:rPr>
                    </w:pPr>
                    <w:r>
                      <w:rPr>
                        <w:rFonts w:ascii="宋体" w:hAnsi="宋体" w:eastAsiaTheme="minorEastAsia" w:cstheme="minorBidi"/>
                        <w:bCs/>
                        <w:kern w:val="2"/>
                        <w:sz w:val="18"/>
                        <w:szCs w:val="18"/>
                      </w:rPr>
                      <w:t>2023年3月24日，本公司就控股子公司扬子江管理公司的接受委托管理运营高速公路与扬子大桥公司(本公司控股股东联系人）、广靖锡澄公司(本公司关联附属公司)、沪通大桥公司(本公司控股股东联系人）、常宜公司(本公司关联附属公司)、宜长公司(本公司关联附属公司)、锡泰隧道公司(本公司控股股东联系人）、张靖皋公司(本公司控股股东联系人）签署委托经营管理协议，其中扬子大桥公司协议期限为2024年1月1日至2026年12月31日，协议金额不超过6</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123.2万元（2024年不超过人民币1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961.31万元，2025年不超过人民币2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149.26万元，2026年不超过人民币2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012.63万元）。</w:t>
                    </w:r>
                    <w:r>
                      <w:rPr>
                        <w:rFonts w:hint="eastAsia" w:ascii="宋体" w:hAnsi="宋体" w:eastAsiaTheme="minorEastAsia" w:cstheme="minorBidi"/>
                        <w:bCs/>
                        <w:kern w:val="2"/>
                        <w:sz w:val="18"/>
                        <w:szCs w:val="18"/>
                      </w:rPr>
                      <w:t>广靖锡澄公司协议期限为</w:t>
                    </w:r>
                    <w:r>
                      <w:rPr>
                        <w:rFonts w:ascii="宋体" w:hAnsi="宋体" w:eastAsiaTheme="minorEastAsia" w:cstheme="minorBidi"/>
                        <w:bCs/>
                        <w:kern w:val="2"/>
                        <w:sz w:val="18"/>
                        <w:szCs w:val="18"/>
                      </w:rPr>
                      <w:t>2024年1月1日至2026年12月31日，协议金额不超过6864.41万元（2024年不超过人民币2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198.68万元，2025年不超过人民币2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352.58万元，2026年不超过人民币2</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313.15万元）。</w:t>
                    </w:r>
                    <w:r>
                      <w:rPr>
                        <w:rFonts w:hint="eastAsia" w:ascii="宋体" w:hAnsi="宋体" w:eastAsiaTheme="minorEastAsia" w:cstheme="minorBidi"/>
                        <w:bCs/>
                        <w:kern w:val="2"/>
                        <w:sz w:val="18"/>
                        <w:szCs w:val="18"/>
                      </w:rPr>
                      <w:t>沪通大桥公司协议期限为</w:t>
                    </w:r>
                    <w:r>
                      <w:rPr>
                        <w:rFonts w:ascii="宋体" w:hAnsi="宋体" w:eastAsiaTheme="minorEastAsia" w:cstheme="minorBidi"/>
                        <w:bCs/>
                        <w:kern w:val="2"/>
                        <w:sz w:val="18"/>
                        <w:szCs w:val="18"/>
                      </w:rPr>
                      <w:t>2024年1月1日至2026年12月31日，协议金额不超过3493.66万元（2024年不超过人民币1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091.87万元，2025年不超过人民币1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163.6万元，2026年不超过人民币1</w:t>
                    </w:r>
                    <w:r>
                      <w:rPr>
                        <w:rFonts w:hint="eastAsia" w:ascii="宋体" w:hAnsi="宋体" w:eastAsiaTheme="minorEastAsia" w:cstheme="minorBidi"/>
                        <w:bCs/>
                        <w:kern w:val="2"/>
                        <w:sz w:val="18"/>
                        <w:szCs w:val="18"/>
                      </w:rPr>
                      <w:t>,</w:t>
                    </w:r>
                    <w:r>
                      <w:rPr>
                        <w:rFonts w:ascii="宋体" w:hAnsi="宋体" w:eastAsiaTheme="minorEastAsia" w:cstheme="minorBidi"/>
                        <w:bCs/>
                        <w:kern w:val="2"/>
                        <w:sz w:val="18"/>
                        <w:szCs w:val="18"/>
                      </w:rPr>
                      <w:t>238.19万元）。</w:t>
                    </w:r>
                    <w:r>
                      <w:rPr>
                        <w:rFonts w:hint="eastAsia" w:ascii="宋体" w:hAnsi="宋体" w:eastAsiaTheme="minorEastAsia" w:cstheme="minorBidi"/>
                        <w:bCs/>
                        <w:kern w:val="2"/>
                        <w:sz w:val="18"/>
                        <w:szCs w:val="18"/>
                      </w:rPr>
                      <w:t>常宜公司协议期限为</w:t>
                    </w:r>
                    <w:r>
                      <w:rPr>
                        <w:rFonts w:ascii="宋体" w:hAnsi="宋体" w:eastAsiaTheme="minorEastAsia" w:cstheme="minorBidi"/>
                        <w:bCs/>
                        <w:kern w:val="2"/>
                        <w:sz w:val="18"/>
                        <w:szCs w:val="18"/>
                      </w:rPr>
                      <w:t>2024年1月1日至2026年12月31日，协议金额不超过642.39万元（2024年不超过人民币202.21万元，2025年不超过人民币216.47万元，2026年不超过人民币223.71万元）。</w:t>
                    </w:r>
                    <w:r>
                      <w:rPr>
                        <w:rFonts w:hint="eastAsia" w:ascii="宋体" w:hAnsi="宋体" w:eastAsiaTheme="minorEastAsia" w:cstheme="minorBidi"/>
                        <w:bCs/>
                        <w:kern w:val="2"/>
                        <w:sz w:val="18"/>
                        <w:szCs w:val="18"/>
                      </w:rPr>
                      <w:t>宜长公司协议期限为</w:t>
                    </w:r>
                    <w:r>
                      <w:rPr>
                        <w:rFonts w:ascii="宋体" w:hAnsi="宋体" w:eastAsiaTheme="minorEastAsia" w:cstheme="minorBidi"/>
                        <w:bCs/>
                        <w:kern w:val="2"/>
                        <w:sz w:val="18"/>
                        <w:szCs w:val="18"/>
                      </w:rPr>
                      <w:t>2024年1月1日至2026年12月31日，协议金额不超过883.04万元（2024年不超过人民币278.12万元，2025年不超过人民币297.84万元，2026年不超过人民币307.08万元）。</w:t>
                    </w:r>
                    <w:r>
                      <w:rPr>
                        <w:rFonts w:hint="eastAsia" w:ascii="宋体" w:hAnsi="宋体" w:eastAsiaTheme="minorEastAsia" w:cstheme="minorBidi"/>
                        <w:bCs/>
                        <w:kern w:val="2"/>
                        <w:sz w:val="18"/>
                        <w:szCs w:val="18"/>
                      </w:rPr>
                      <w:t>锡泰隧道公司协议期限为</w:t>
                    </w:r>
                    <w:r>
                      <w:rPr>
                        <w:rFonts w:ascii="宋体" w:hAnsi="宋体" w:eastAsiaTheme="minorEastAsia" w:cstheme="minorBidi"/>
                        <w:bCs/>
                        <w:kern w:val="2"/>
                        <w:sz w:val="18"/>
                        <w:szCs w:val="18"/>
                      </w:rPr>
                      <w:t>2024年1月1日至2026年12月31日，协议金额不超过706.32万元（2024年不超过人民币44元、2025年不超过人民币45万元，2026年不超过人民币617.32万元）。</w:t>
                    </w:r>
                    <w:r>
                      <w:rPr>
                        <w:rFonts w:hint="eastAsia" w:ascii="宋体" w:hAnsi="宋体" w:eastAsiaTheme="minorEastAsia" w:cstheme="minorBidi"/>
                        <w:bCs/>
                        <w:kern w:val="2"/>
                        <w:sz w:val="18"/>
                        <w:szCs w:val="18"/>
                      </w:rPr>
                      <w:t>张靖皋公司协议期限为</w:t>
                    </w:r>
                    <w:r>
                      <w:rPr>
                        <w:rFonts w:ascii="宋体" w:hAnsi="宋体" w:eastAsiaTheme="minorEastAsia" w:cstheme="minorBidi"/>
                        <w:bCs/>
                        <w:kern w:val="2"/>
                        <w:sz w:val="18"/>
                        <w:szCs w:val="18"/>
                      </w:rPr>
                      <w:t>2023年4月1日至2025年12月31日，协议金额不超过135万元（2023年不超过人民币44万元、2024年不超过人民币45元、2025年不超过人民币46万元）。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2023年3月27日于上交所网站www.sse.com.cn及于联交所网站www.hkexnews.hk刊登的</w:t>
                    </w:r>
                    <w:r>
                      <w:rPr>
                        <w:rFonts w:hint="eastAsia" w:ascii="Times New Roman" w:hAnsi="Times New Roman"/>
                        <w:sz w:val="18"/>
                        <w:szCs w:val="18"/>
                      </w:rPr>
                      <w:t>日常关联</w:t>
                    </w:r>
                    <w:r>
                      <w:rPr>
                        <w:rFonts w:ascii="Times New Roman" w:hAnsi="Times New Roman"/>
                        <w:sz w:val="18"/>
                        <w:szCs w:val="18"/>
                      </w:rPr>
                      <w:t>/持续关连交易公告。</w:t>
                    </w:r>
                  </w:p>
                </w:tc>
              </w:tr>
            </w:sdtContent>
          </w:sdt>
          <w:sdt>
            <w:sdtPr>
              <w:rPr>
                <w:rFonts w:hint="eastAsia" w:ascii="宋体" w:hAnsi="宋体" w:eastAsiaTheme="minorEastAsia" w:cstheme="minorBidi"/>
                <w:bCs/>
                <w:kern w:val="2"/>
                <w:sz w:val="18"/>
                <w:szCs w:val="18"/>
              </w:rPr>
              <w:alias w:val="与日常经营相关的关联交易事项已在临时报告披露且后续实施无进展或变化的"/>
              <w:tag w:val="_TUP_9c260e6d68f140909c4bb894b803a95c"/>
              <w:id w:val="190086075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sz w:val="18"/>
                        <w:szCs w:val="18"/>
                      </w:rPr>
                    </w:pPr>
                    <w:r>
                      <w:rPr>
                        <w:rFonts w:hint="eastAsia" w:ascii="宋体" w:hAnsi="宋体" w:eastAsiaTheme="minorEastAsia" w:cstheme="minorBidi"/>
                        <w:bCs/>
                        <w:kern w:val="2"/>
                        <w:sz w:val="18"/>
                        <w:szCs w:val="18"/>
                      </w:rPr>
                      <w:t>2023年6月20日，本公司全资子公司云杉清能公司控股子公司如东公司与江苏交控（本公司控股股东）签订《关于保证合同的担保收费协议》的补充协议之二，约定担保收费协议自本公司与贷款人签订保证合同生效之日起终止，如东公司就江苏交控</w:t>
                    </w:r>
                    <w:r>
                      <w:rPr>
                        <w:rFonts w:ascii="宋体" w:hAnsi="宋体" w:eastAsiaTheme="minorEastAsia" w:cstheme="minorBidi"/>
                        <w:bCs/>
                        <w:kern w:val="2"/>
                        <w:sz w:val="18"/>
                        <w:szCs w:val="18"/>
                      </w:rPr>
                      <w:t>2023年已提供的连带责任保证，向其支付担保费用人民币3,588,017.97元。</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2023年</w:t>
                    </w:r>
                    <w:r>
                      <w:rPr>
                        <w:rFonts w:hint="eastAsia" w:ascii="Times New Roman" w:hAnsi="Times New Roman"/>
                        <w:sz w:val="18"/>
                        <w:szCs w:val="18"/>
                      </w:rPr>
                      <w:t>6</w:t>
                    </w:r>
                    <w:r>
                      <w:rPr>
                        <w:rFonts w:ascii="Times New Roman" w:hAnsi="Times New Roman"/>
                        <w:sz w:val="18"/>
                        <w:szCs w:val="18"/>
                      </w:rPr>
                      <w:t>月</w:t>
                    </w:r>
                    <w:r>
                      <w:rPr>
                        <w:rFonts w:hint="eastAsia" w:ascii="Times New Roman" w:hAnsi="Times New Roman"/>
                        <w:sz w:val="18"/>
                        <w:szCs w:val="18"/>
                      </w:rPr>
                      <w:t>21</w:t>
                    </w:r>
                    <w:r>
                      <w:rPr>
                        <w:rFonts w:ascii="Times New Roman" w:hAnsi="Times New Roman"/>
                        <w:sz w:val="18"/>
                        <w:szCs w:val="18"/>
                      </w:rPr>
                      <w:t>日于上交所网站www.sse.com.cn及于联交所网站www.hkexnews.hk刊登的董事会决议公告。</w:t>
                    </w:r>
                  </w:p>
                </w:tc>
              </w:tr>
            </w:sdtContent>
          </w:sdt>
        </w:tbl>
        <w:p>
          <w:pPr>
            <w:rPr>
              <w:sz w:val="18"/>
              <w:szCs w:val="18"/>
            </w:rPr>
          </w:pPr>
          <w:r>
            <w:rPr>
              <w:rFonts w:hint="eastAsia"/>
              <w:sz w:val="18"/>
              <w:szCs w:val="18"/>
            </w:rPr>
            <w:t>注</w:t>
          </w:r>
          <w:r>
            <w:rPr>
              <w:sz w:val="18"/>
              <w:szCs w:val="18"/>
            </w:rPr>
            <w:t>:云杉清能公司于2022年7月完成工商变更登记工作并成为本公司全资拥有的附属公司，因此上述交易于本报告期为本公司的持续</w:t>
          </w:r>
          <w:r>
            <w:rPr>
              <w:rFonts w:hint="eastAsia"/>
              <w:sz w:val="18"/>
              <w:szCs w:val="18"/>
            </w:rPr>
            <w:t>关联</w:t>
          </w:r>
          <w:r>
            <w:rPr>
              <w:sz w:val="18"/>
              <w:szCs w:val="18"/>
            </w:rPr>
            <w:t>交易。</w:t>
          </w:r>
        </w:p>
        <w:p>
          <w:pPr>
            <w:pStyle w:val="114"/>
          </w:pPr>
        </w:p>
      </w:sdtContent>
    </w:sdt>
    <w:sdt>
      <w:sdtPr>
        <w:rPr>
          <w:rFonts w:ascii="宋体" w:hAnsi="宋体" w:cs="宋体"/>
          <w:b w:val="0"/>
          <w:bCs w:val="0"/>
          <w:kern w:val="0"/>
          <w:szCs w:val="22"/>
        </w:rPr>
        <w:alias w:val="模块:已在临时公告披露，但有后续实施的进展或变化的事项"/>
        <w:tag w:val="_SEC_ec9777844cc44aa6b3f98c8af0a20f95"/>
        <w:id w:val="-1832899869"/>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2"/>
              <w:numId w:val="21"/>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20232740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2"/>
        </w:rPr>
        <w:alias w:val="模块:临时公告未披露的事项"/>
        <w:tag w:val="_SEC_227a4feb5cd045acb20f0e655bf26ea8"/>
        <w:id w:val="-63756610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2"/>
              <w:numId w:val="21"/>
            </w:numPr>
            <w:rPr>
              <w:rFonts w:ascii="宋体" w:hAnsi="宋体"/>
            </w:rPr>
          </w:pPr>
          <w:r>
            <w:rPr>
              <w:rFonts w:hint="eastAsia" w:ascii="宋体" w:hAnsi="宋体"/>
            </w:rPr>
            <w:t>临时公告未披露的事项</w:t>
          </w:r>
        </w:p>
        <w:sdt>
          <w:sdtPr>
            <w:alias w:val="是否适用：与日常经营相关的关联交易_临时公告未披露的事项[双击切换]"/>
            <w:tag w:val="_GBC_91ad548daaa84603a8faa6c0ce358499"/>
            <w:id w:val="-165104606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4"/>
        <w:numPr>
          <w:ilvl w:val="2"/>
          <w:numId w:val="4"/>
        </w:numPr>
        <w:rPr>
          <w:rFonts w:ascii="宋体" w:hAnsi="宋体"/>
        </w:rPr>
      </w:pPr>
      <w:r>
        <w:rPr>
          <w:rFonts w:ascii="宋体" w:hAnsi="宋体"/>
        </w:rPr>
        <w:t>资产收购</w:t>
      </w:r>
      <w:r>
        <w:rPr>
          <w:rFonts w:hint="eastAsia" w:ascii="宋体" w:hAnsi="宋体"/>
        </w:rPr>
        <w:t>或股权收购</w:t>
      </w:r>
      <w:r>
        <w:rPr>
          <w:rFonts w:ascii="宋体" w:hAnsi="宋体"/>
        </w:rPr>
        <w:t>、出售发生的关联交易</w:t>
      </w:r>
    </w:p>
    <w:sdt>
      <w:sdtPr>
        <w:rPr>
          <w:rFonts w:ascii="宋体" w:hAnsi="宋体" w:cs="宋体"/>
          <w:b w:val="0"/>
          <w:bCs w:val="0"/>
          <w:kern w:val="0"/>
          <w:szCs w:val="22"/>
        </w:rPr>
        <w:alias w:val="模块:已在临时公告披露且后续实施无进展或变化的事项"/>
        <w:tag w:val="_SEC_bf9131838c5b421d81cb3165b3861506"/>
        <w:id w:val="-823968984"/>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22"/>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3517690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4"/>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c23fd3fbb5e4f64a3e8c04645a2ad17"/>
                <w:id w:val="-1549370331"/>
                <w:lock w:val="sdtLocked"/>
              </w:sdtPr>
              <w:sdtContent>
                <w:tc>
                  <w:tcPr>
                    <w:tcW w:w="4524" w:type="dxa"/>
                  </w:tcPr>
                  <w:p>
                    <w:pPr>
                      <w:widowControl w:val="0"/>
                      <w:jc w:val="center"/>
                      <w:rPr>
                        <w:rFonts w:ascii="Times New Roman" w:hAnsi="Times New Roman"/>
                      </w:rPr>
                    </w:pPr>
                    <w:r>
                      <w:rPr>
                        <w:rFonts w:ascii="Times New Roman" w:hAnsi="Times New Roman"/>
                      </w:rPr>
                      <w:t>事项概述</w:t>
                    </w:r>
                  </w:p>
                </w:tc>
              </w:sdtContent>
            </w:sdt>
            <w:sdt>
              <w:sdtPr>
                <w:tag w:val="_PLD_33ab4723b35a485a88f0f87d615efe5f"/>
                <w:id w:val="-514231876"/>
                <w:lock w:val="sdtLocked"/>
              </w:sdtPr>
              <w:sdtContent>
                <w:tc>
                  <w:tcPr>
                    <w:tcW w:w="4524" w:type="dxa"/>
                  </w:tcPr>
                  <w:p>
                    <w:pPr>
                      <w:widowControl w:val="0"/>
                      <w:jc w:val="center"/>
                      <w:rPr>
                        <w:rFonts w:ascii="Times New Roman" w:hAnsi="Times New Roman"/>
                      </w:rPr>
                    </w:pPr>
                    <w:r>
                      <w:rPr>
                        <w:rFonts w:ascii="Times New Roman" w:hAnsi="Times New Roman"/>
                      </w:rPr>
                      <w:t>查询索引</w:t>
                    </w:r>
                  </w:p>
                </w:tc>
              </w:sdtContent>
            </w:sdt>
          </w:tr>
          <w:sdt>
            <w:sdtPr>
              <w:rPr>
                <w:rFonts w:hint="eastAsia" w:ascii="宋体" w:hAnsi="宋体"/>
                <w:sz w:val="18"/>
                <w:szCs w:val="18"/>
              </w:rPr>
              <w:alias w:val="资产收购、出售发生的关联交易事项已在临时报告披露且后续实施无进展或变化的"/>
              <w:tag w:val="_TUP_02b62502f0834ef584cdfe6ac293aa5a"/>
              <w:id w:val="-1707636035"/>
              <w:lock w:val="sdtLocked"/>
            </w:sdtPr>
            <w:sdtEndPr>
              <w:rPr>
                <w:rFonts w:hint="eastAsia" w:ascii="宋体" w:hAnsi="宋体"/>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hint="eastAsia" w:ascii="宋体" w:hAnsi="宋体"/>
                        <w:sz w:val="18"/>
                        <w:szCs w:val="18"/>
                      </w:rPr>
                      <w:t>2023年2月17日，经本公司第十届董事会第十五次会议同意，本公司全资子公司宁沪投资公司将其持有的保理公司100%股权转让给江苏交控和云杉资本。</w:t>
                    </w:r>
                    <w:r>
                      <w:rPr>
                        <w:rFonts w:ascii="宋体" w:hAnsi="宋体"/>
                        <w:sz w:val="18"/>
                        <w:szCs w:val="18"/>
                      </w:rPr>
                      <w:t>2023年2月27日，本公司全资子公司宁沪投资公司、保理公司与江苏交控、云杉资本签署了《股权转让协议》，根据国有资产管理部门备案后的评估结果，本次交易价格为人民币34,600万元，其中：江苏交控80%标的股权的转让对价为人民币27,680万元；云杉资本20%标的股权的转让对价为人民币6,920万元。2023年7月，广州市地方金融监督管理局批复同意办理保理公司股东变更。截至报告日，宁沪投资公司已收到保理公司全部股权转让款34,600万元，双方完成交割，目前正在办理工商变更手续</w:t>
                    </w:r>
                    <w:r>
                      <w:rPr>
                        <w:rFonts w:hint="eastAsia" w:ascii="宋体" w:hAnsi="宋体"/>
                        <w:sz w:val="18"/>
                        <w:szCs w:val="18"/>
                      </w:rPr>
                      <w:t>。</w:t>
                    </w:r>
                  </w:p>
                </w:tc>
                <w:tc>
                  <w:tcPr>
                    <w:tcW w:w="4524" w:type="dxa"/>
                  </w:tcPr>
                  <w:p>
                    <w:pPr>
                      <w:widowControl w:val="0"/>
                      <w:jc w:val="left"/>
                      <w:rPr>
                        <w:rFonts w:ascii="Times New Roman" w:hAnsi="Times New Roman"/>
                        <w:sz w:val="18"/>
                        <w:szCs w:val="18"/>
                      </w:rPr>
                    </w:pPr>
                    <w:r>
                      <w:rPr>
                        <w:rFonts w:hint="eastAsia" w:ascii="Times New Roman" w:hAnsi="Times New Roman"/>
                        <w:sz w:val="18"/>
                        <w:szCs w:val="18"/>
                      </w:rPr>
                      <w:t>有关详情见本公司于</w:t>
                    </w:r>
                    <w:r>
                      <w:rPr>
                        <w:rFonts w:ascii="Times New Roman" w:hAnsi="Times New Roman"/>
                        <w:sz w:val="18"/>
                        <w:szCs w:val="18"/>
                      </w:rPr>
                      <w:t>202</w:t>
                    </w:r>
                    <w:r>
                      <w:rPr>
                        <w:rFonts w:hint="eastAsia" w:ascii="Times New Roman" w:hAnsi="Times New Roman"/>
                        <w:sz w:val="18"/>
                        <w:szCs w:val="18"/>
                      </w:rPr>
                      <w:t>3</w:t>
                    </w:r>
                    <w:r>
                      <w:rPr>
                        <w:rFonts w:ascii="Times New Roman" w:hAnsi="Times New Roman"/>
                        <w:sz w:val="18"/>
                        <w:szCs w:val="18"/>
                      </w:rPr>
                      <w:t>年</w:t>
                    </w:r>
                    <w:r>
                      <w:rPr>
                        <w:rFonts w:hint="eastAsia" w:ascii="Times New Roman" w:hAnsi="Times New Roman"/>
                        <w:sz w:val="18"/>
                        <w:szCs w:val="18"/>
                      </w:rPr>
                      <w:t>2</w:t>
                    </w:r>
                    <w:r>
                      <w:rPr>
                        <w:rFonts w:ascii="Times New Roman" w:hAnsi="Times New Roman"/>
                        <w:sz w:val="18"/>
                        <w:szCs w:val="18"/>
                      </w:rPr>
                      <w:t>月</w:t>
                    </w:r>
                    <w:r>
                      <w:rPr>
                        <w:rFonts w:hint="eastAsia" w:ascii="Times New Roman" w:hAnsi="Times New Roman"/>
                        <w:sz w:val="18"/>
                        <w:szCs w:val="18"/>
                      </w:rPr>
                      <w:t>18</w:t>
                    </w:r>
                    <w:r>
                      <w:rPr>
                        <w:rFonts w:ascii="Times New Roman" w:hAnsi="Times New Roman"/>
                        <w:sz w:val="18"/>
                        <w:szCs w:val="18"/>
                      </w:rPr>
                      <w:t>日于上交所网站www.sse.com.cn及于202</w:t>
                    </w:r>
                    <w:r>
                      <w:rPr>
                        <w:rFonts w:hint="eastAsia" w:ascii="Times New Roman" w:hAnsi="Times New Roman"/>
                        <w:sz w:val="18"/>
                        <w:szCs w:val="18"/>
                      </w:rPr>
                      <w:t>3</w:t>
                    </w:r>
                    <w:r>
                      <w:rPr>
                        <w:rFonts w:ascii="Times New Roman" w:hAnsi="Times New Roman"/>
                        <w:sz w:val="18"/>
                        <w:szCs w:val="18"/>
                      </w:rPr>
                      <w:t>年</w:t>
                    </w:r>
                    <w:r>
                      <w:rPr>
                        <w:rFonts w:hint="eastAsia" w:ascii="Times New Roman" w:hAnsi="Times New Roman"/>
                        <w:sz w:val="18"/>
                        <w:szCs w:val="18"/>
                      </w:rPr>
                      <w:t>2</w:t>
                    </w:r>
                    <w:r>
                      <w:rPr>
                        <w:rFonts w:ascii="Times New Roman" w:hAnsi="Times New Roman"/>
                        <w:sz w:val="18"/>
                        <w:szCs w:val="18"/>
                      </w:rPr>
                      <w:t>月</w:t>
                    </w:r>
                    <w:r>
                      <w:rPr>
                        <w:rFonts w:hint="eastAsia" w:ascii="Times New Roman" w:hAnsi="Times New Roman"/>
                        <w:sz w:val="18"/>
                        <w:szCs w:val="18"/>
                      </w:rPr>
                      <w:t>17</w:t>
                    </w:r>
                    <w:r>
                      <w:rPr>
                        <w:rFonts w:ascii="Times New Roman" w:hAnsi="Times New Roman"/>
                        <w:sz w:val="18"/>
                        <w:szCs w:val="18"/>
                      </w:rPr>
                      <w:t>日于联交所网站www.hkexnews.hk刊登的</w:t>
                    </w:r>
                    <w:r>
                      <w:rPr>
                        <w:rFonts w:hint="eastAsia" w:ascii="Times New Roman" w:hAnsi="Times New Roman"/>
                        <w:sz w:val="18"/>
                        <w:szCs w:val="18"/>
                      </w:rPr>
                      <w:t>董事会</w:t>
                    </w:r>
                    <w:r>
                      <w:rPr>
                        <w:rFonts w:ascii="Times New Roman" w:hAnsi="Times New Roman"/>
                        <w:sz w:val="18"/>
                        <w:szCs w:val="18"/>
                      </w:rPr>
                      <w:t>决议公告及</w:t>
                    </w:r>
                    <w:r>
                      <w:rPr>
                        <w:rFonts w:hint="eastAsia" w:ascii="Times New Roman" w:hAnsi="Times New Roman"/>
                        <w:sz w:val="18"/>
                        <w:szCs w:val="18"/>
                      </w:rPr>
                      <w:t>本公司于</w:t>
                    </w:r>
                    <w:r>
                      <w:rPr>
                        <w:rFonts w:ascii="Times New Roman" w:hAnsi="Times New Roman"/>
                        <w:sz w:val="18"/>
                        <w:szCs w:val="18"/>
                      </w:rPr>
                      <w:t>2023年2月</w:t>
                    </w:r>
                    <w:r>
                      <w:rPr>
                        <w:rFonts w:hint="eastAsia" w:ascii="Times New Roman" w:hAnsi="Times New Roman"/>
                        <w:sz w:val="18"/>
                        <w:szCs w:val="18"/>
                      </w:rPr>
                      <w:t>2</w:t>
                    </w:r>
                    <w:r>
                      <w:rPr>
                        <w:rFonts w:ascii="Times New Roman" w:hAnsi="Times New Roman"/>
                        <w:sz w:val="18"/>
                        <w:szCs w:val="18"/>
                      </w:rPr>
                      <w:t>8日于上交所网站www.sse.com.cn及于2023年2月</w:t>
                    </w:r>
                    <w:r>
                      <w:rPr>
                        <w:rFonts w:hint="eastAsia" w:ascii="Times New Roman" w:hAnsi="Times New Roman"/>
                        <w:sz w:val="18"/>
                        <w:szCs w:val="18"/>
                      </w:rPr>
                      <w:t>27</w:t>
                    </w:r>
                    <w:r>
                      <w:rPr>
                        <w:rFonts w:ascii="Times New Roman" w:hAnsi="Times New Roman"/>
                        <w:sz w:val="18"/>
                        <w:szCs w:val="18"/>
                      </w:rPr>
                      <w:t>日于联交所网站www.hkexnews.hk刊登的</w:t>
                    </w:r>
                    <w:r>
                      <w:rPr>
                        <w:rFonts w:hint="eastAsia" w:ascii="Times New Roman" w:hAnsi="Times New Roman"/>
                        <w:sz w:val="18"/>
                        <w:szCs w:val="18"/>
                      </w:rPr>
                      <w:t>关于向关联人</w:t>
                    </w:r>
                    <w:r>
                      <w:rPr>
                        <w:rFonts w:ascii="Times New Roman" w:hAnsi="Times New Roman"/>
                        <w:sz w:val="18"/>
                        <w:szCs w:val="18"/>
                      </w:rPr>
                      <w:t>/关连人士出售资产的关联/关连交易进展公告</w:t>
                    </w:r>
                    <w:r>
                      <w:rPr>
                        <w:rFonts w:hint="eastAsia" w:ascii="Times New Roman" w:hAnsi="Times New Roman"/>
                        <w:sz w:val="18"/>
                        <w:szCs w:val="18"/>
                      </w:rPr>
                      <w:t>。</w:t>
                    </w:r>
                  </w:p>
                </w:tc>
              </w:tr>
            </w:sdtContent>
          </w:sdt>
        </w:tbl>
        <w:p>
          <w:pPr>
            <w:pStyle w:val="114"/>
          </w:pPr>
        </w:p>
      </w:sdtContent>
    </w:sdt>
    <w:sdt>
      <w:sdtPr>
        <w:rPr>
          <w:rFonts w:ascii="宋体" w:hAnsi="宋体" w:cs="宋体"/>
          <w:b w:val="0"/>
          <w:bCs w:val="0"/>
          <w:kern w:val="0"/>
          <w:szCs w:val="22"/>
        </w:rPr>
        <w:alias w:val="模块:已在临时公告披露，但有后续实施的进展或变化的事项"/>
        <w:tag w:val="_SEC_f9a57b14408248c4bc6881cfd0e81074"/>
        <w:id w:val="1565754611"/>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2"/>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03172157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2"/>
        </w:rPr>
        <w:alias w:val="模块:临时公告未披露的事项"/>
        <w:tag w:val="_SEC_a7b4eef2f39c4550974e81ee8caca798"/>
        <w:id w:val="183875152"/>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2"/>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102632236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sdt>
      <w:sdtPr>
        <w:rPr>
          <w:rFonts w:ascii="宋体" w:hAnsi="宋体" w:cs="宋体"/>
          <w:b w:val="0"/>
          <w:bCs w:val="0"/>
          <w:kern w:val="0"/>
          <w:szCs w:val="24"/>
        </w:rPr>
        <w:alias w:val="模块:涉及业绩约定的，应当披露报告期内的业绩实现情况"/>
        <w:tag w:val="_SEC_e17a03ced9e54c92b773a7e185d85bd3"/>
        <w:id w:val="-419561286"/>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22"/>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190532464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2"/>
          <w:numId w:val="4"/>
        </w:numPr>
        <w:rPr>
          <w:rFonts w:ascii="宋体" w:hAnsi="宋体"/>
        </w:rPr>
      </w:pPr>
      <w:r>
        <w:rPr>
          <w:rFonts w:ascii="宋体" w:hAnsi="宋体"/>
        </w:rPr>
        <w:t>共同对外投资的重大关联交易</w:t>
      </w:r>
    </w:p>
    <w:sdt>
      <w:sdtPr>
        <w:rPr>
          <w:rFonts w:ascii="宋体" w:hAnsi="宋体" w:cs="宋体"/>
          <w:b w:val="0"/>
          <w:bCs w:val="0"/>
          <w:kern w:val="0"/>
          <w:szCs w:val="22"/>
        </w:rPr>
        <w:alias w:val="模块:已在临时公告披露且后续实施无进展或变化的事项"/>
        <w:tag w:val="_SEC_d9e67609bdab489e985efba8758860bd"/>
        <w:id w:val="687108026"/>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2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58681285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已在临时公告披露，但有后续实施的进展或变化的事项"/>
        <w:tag w:val="_SEC_53e4f8cd2c114fb1a1c9d74236ebd2fc"/>
        <w:id w:val="-832916141"/>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9406755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临时公告未披露的事项"/>
        <w:tag w:val="_SEC_25e347f9cbc546cbafdf30522b654328"/>
        <w:id w:val="-1547905741"/>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3"/>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153980859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p>
      <w:pPr>
        <w:pStyle w:val="4"/>
        <w:numPr>
          <w:ilvl w:val="2"/>
          <w:numId w:val="4"/>
        </w:numPr>
        <w:rPr>
          <w:rFonts w:ascii="宋体" w:hAnsi="宋体"/>
        </w:rPr>
      </w:pPr>
      <w:r>
        <w:rPr>
          <w:rFonts w:hint="eastAsia" w:ascii="宋体" w:hAnsi="宋体"/>
        </w:rPr>
        <w:t>关联债权债务往来</w:t>
      </w:r>
    </w:p>
    <w:sdt>
      <w:sdtPr>
        <w:rPr>
          <w:rFonts w:ascii="宋体" w:hAnsi="宋体" w:cs="宋体"/>
          <w:b w:val="0"/>
          <w:bCs w:val="0"/>
          <w:kern w:val="0"/>
          <w:szCs w:val="22"/>
        </w:rPr>
        <w:alias w:val="模块:已在临时公告披露且后续实施无进展或变化的事项"/>
        <w:tag w:val="_SEC_2fd4e717dd2949d2b4b4fb580dfce32a"/>
        <w:id w:val="593761491"/>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24"/>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180866234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4"/>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41b1d616473417fb552300d6ca71fd6"/>
                <w:id w:val="223493929"/>
                <w:lock w:val="sdtLocked"/>
              </w:sdtPr>
              <w:sdtContent>
                <w:tc>
                  <w:tcPr>
                    <w:tcW w:w="4524" w:type="dxa"/>
                  </w:tcPr>
                  <w:p>
                    <w:pPr>
                      <w:widowControl w:val="0"/>
                      <w:jc w:val="center"/>
                      <w:rPr>
                        <w:rFonts w:ascii="Times New Roman" w:hAnsi="Times New Roman"/>
                      </w:rPr>
                    </w:pPr>
                    <w:r>
                      <w:rPr>
                        <w:rFonts w:ascii="Times New Roman" w:hAnsi="Times New Roman"/>
                      </w:rPr>
                      <w:t>事项概述</w:t>
                    </w:r>
                  </w:p>
                </w:tc>
              </w:sdtContent>
            </w:sdt>
            <w:sdt>
              <w:sdtPr>
                <w:tag w:val="_PLD_f3cd8fe278c448b684f454e30de3ca1f"/>
                <w:id w:val="1664287903"/>
                <w:lock w:val="sdtLocked"/>
              </w:sdtPr>
              <w:sdtContent>
                <w:tc>
                  <w:tcPr>
                    <w:tcW w:w="4524" w:type="dxa"/>
                  </w:tcPr>
                  <w:p>
                    <w:pPr>
                      <w:widowControl w:val="0"/>
                      <w:jc w:val="center"/>
                      <w:rPr>
                        <w:rFonts w:ascii="Times New Roman" w:hAnsi="Times New Roman"/>
                      </w:rPr>
                    </w:pPr>
                    <w:r>
                      <w:rPr>
                        <w:rFonts w:ascii="Times New Roman" w:hAnsi="Times New Roman"/>
                      </w:rPr>
                      <w:t>查询索引</w:t>
                    </w:r>
                  </w:p>
                </w:tc>
              </w:sdtContent>
            </w:sdt>
          </w:tr>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66715787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2月26日，本公司与五峰山大桥公司（本公司关联附属公司）签订借款协议，本公司向本公司控股子公司五峰山大桥公司提供借款不超过人民币15亿元，借款自股东大会批准日起三年内有效，借款用于路桥项目工程，按照工程进度提取，自提取之日起，贷款期限为三年。利息按本公司发行公司债券当期利率计算，有关还本付息等相关费用由五峰山大桥公司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有关详情见本公司2020年2月27日于上交所网站www.sse.com.cn及联交所网站www.hkexnews.hk刊登的关联╱关连交易公告及2020年3月6日于上交所网站www.sse.com.cn及2020年3月5日于联交所网站www.hkexnews.hk发布的相关通函。</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204829100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2月26日，本公司分别与常宜公司、宜长公司（两者均是本公司的关联附属公司的子公司）签订借款协议，向本公司间接控股子公司常宜公司和宜长公司分别提供不超过人民币3亿元及人民币7亿元的借款，以上借款自股东大会批准日起三年内有效，用于路桥项目工程，按照工程进度提取，自提取之日起，贷款期限三年。利息按本公司发行公司债券当期利率计算，有关还本付息等相关费用分别由常宜公司、宜长公司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有关详情见本公司2020年2月27日于上交所网站www.sse.com.cn及联交所网站www.hkexnews.hk刊登的关联╱关连交易公告及2020年3月6日于上交所网站www.sse.com.cn及2020年3月5日于联交所网站www.hkexnews.hk发布的相关通函。</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5884645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3月31日，本公司与五峰山大桥公司（本公司控股股东联系人）签订借款协议，本公司使用拟发行的中期票据筹集的资金向本公司控股子公司五峰山大桥公司提供借款不超过人民币18亿元，用于路桥项目建设或后期项目贷款置换，以上借款自股东大会批准日起两年内有效，借款期限三年。利息按本公司发行中期票据当期利率计算，有关还本付息等相关费用由五峰山大桥公司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于2020年4月1日于上交所网站www.sse.com.cn及联交所网站www.hkexnews.hk刊登的关联╱关连交易及须予披露的交易公告及2020年5月7日于上交所网站www.sse.com.cn及2020年5月6日于联交所网站www.hkexnews.hk发布的相关通函。</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752196627"/>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3月31日，本公司与宜长公司（本公司的关联附属公司的子公司）签订借款协议，向本公司间接控股子公司宜长公司提供借款不超过人民币10亿元，用于路桥项目建设，以上借款自股东大会批准日起两年内有效，借款期限三年。利息按本公司发行中期票据当期利率计算，有关还本付息等相关费用由宜长公司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于2020年4月1日于上交所网站www.sse.com.cn及联交所网站www.hkexnews.hk刊登的关联╱关连交易及须予披露的交易公告及2020年5月7日于上交所网站www.sse.com.cn及2020年5月6日于联交所网站www.hkexnews.hk发布的相关通函。</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212163580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6月24日，本公司与江苏交控（本公司控股股东）签署直接融资统借统还资金使用协议。江苏交控将申请的地方政府专项债券筹集的资金提供给本公司，融资余额不超过人民币5亿元，资金使用成本以债券的金额、利率、期限及手续费的实际发生额为准、且利率不高于中国人民银行同期贷款利率，有关还本付息等相关费用由本公司支付。本公司无需提供相应抵押和担保。借款执行期为自协议签署之日起三年；利息按江苏交控发行地方政府专项债券当期利率计算，有关还本付息等相关费用由本公司支付。本公司控股子公司五峰山大桥公司、常宜公司、宜长公司与江苏交控（本公司控股股东）签署直接融资统借统还资金使用协议。以江苏交控为主体通过发行短期融资券、超短期融资券、中期票据、企业债券、公司债券、保险资金等直接融资品种代为融资的方式筹集资金。资金用于五峰山大桥项目、常宜、宜长高速段项目建设、补充流动资金、偿还有息债务等。融资余额均不超过人民币10亿元，资金使用成本以融资产品的金额、利率、期限及手续费的实际发生额为准、且利率不高于中国人民银行同期贷款利率，有关还本付息等相关费用由各借款子公司自行支付。五峰山大桥公司、常宜公司、宜长公司无需提供相应抵押和担保。借款执行期为自协议签署之日起三年；利息按江苏交控发行地方政府专项债券当期利率计算，有关还本付息等相关费用由五峰山大桥公司、常宜公司、宜长公司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有关详情见本公司2020年6月29日于上交所网站www.sse.com.cn及2020年6月24日于联交所网站www.hkexnews.hk刊登的董事会决议公告。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64134739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2020年10月30日，本公司与广靖锡澄公司（本公司的关联附属公司）签署了借款协议。根据该借款协议，本公司将使用发行的超短期融资券筹集的资金向本公司控股子公司广靖锡澄公司提供不超过人民币5亿元的借款，用于广靖锡澄公司归还银行贷款。借款期限为三年，借款利息按拟发行的超短期融资券的当期利率计算，有关本公司超短期融资券发行及还本付息等相关费用由广靖锡澄公司承担并支付。</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有关详情见本公司2020年10月31日于上交所网站www.sse.com.cn及2020年11月1日于联交所网站www.hkexnews.hk刊登的关联╱关连公告。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849562371"/>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2021年3月26日，本公司及控股子公司龙潭大桥公司、广靖锡澄公司与江苏交控（本公司控股股东）签署直接融资统借统还资金使用协议。以江苏交控为主体通过发行超短期融资券、中期票据、企业债券、公司债券、保险债权计划、地方政府专项债等直接融资品种代为融资的方式筹集资金。资金用于偿还到期债务、项目建设、股权出资、补充营运资金以及法律法规允许的其他用途。本公司及控股子公司龙潭大桥公司、广靖锡澄公司融资余额均不超过人民币10亿元，资金使用成本以融资产品的金额、利率、期限及手续费的实际发生额为准、且利率不高于中国人民银行同期贷款利率，有关还本付息等相关费用由各借款子公司自行支付。本公司、龙潭大桥公司及广靖锡澄公司均无需提供相应抵押和担保。借款执行期为自协议签署之日起三年。</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有关详情见本公司2021年3月29日于上交所网站www.sse.com.cn及于2021年3月28日联交所网站www.hkexnews.hk刊登的董事会决议公告。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073743423"/>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2021年3月26日，本公司与广靖锡澄公司（本公司的关联附属公司）签署借款协议。根据该借款协议，本公司使用直接融资募集的资金向广靖锡澄公司提供不超过人民币8亿元的借款，借款期限三年，利息按公司发行的融资产品的当期利率计算，有关融资产品发行及还本付息等相关费用由广靖锡澄公司支付；借款执行有效期自股东大会批准日起两年内有效。</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有关详情见本公司2021年3月29日于上交所网站www.sse.com.cn及于2021年3月29日联交所网站www.hkexnews.hk刊登的关联╱关连公告。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82411424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2021年3月26日，本公司与五峰山大桥公司（本公司的关联附属公司）签署借款协议。根据该借款协议，本公司使用直接融资募集的资金向五峰山大桥公司提供不超过人民币10亿元的借款，借款期限三年，利息按公司发行的融资产品的当期利率计算，有关融资产品发行及还本付息等相关费用由五峰山大桥公司支付；借款执行有效期自股东大会批准日起两年内有效。</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有关详情见本公司2021年3月29日于上交所网站www.sse.com.cn及于2021年3月29日联交所网站www.hkexnews.hk刊登的关联╱关连公告。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984197935"/>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2022年3月25日，本公司与财务公司（本公司控股股东联系人）签订自2022年4月1日起为期三年的《金融服务协议》，每日最高存款余额（包括应计利息）不超过人民币6亿元且低于本公司经审计营业收入、总资产或市值的5%；同时，财务公司给予本公司不低于人民币50亿元的综合授信额度，并承诺向本公司提供的贷款利率不高于中国人民银行规定的同期贷款基准利率且同等条件下不高于国有大型商业银行和全国性股份制商业银行给予本公司的利率水平，且无需本公司提供任何抵押或担保。</w:t>
                    </w:r>
                  </w:p>
                  <w:p>
                    <w:pPr>
                      <w:widowControl w:val="0"/>
                      <w:jc w:val="left"/>
                      <w:rPr>
                        <w:rFonts w:ascii="Times New Roman" w:hAnsi="Times New Roman"/>
                        <w:sz w:val="18"/>
                        <w:szCs w:val="18"/>
                      </w:rPr>
                    </w:pPr>
                    <w:r>
                      <w:rPr>
                        <w:rFonts w:ascii="Times New Roman" w:hAnsi="Times New Roman"/>
                        <w:sz w:val="18"/>
                        <w:szCs w:val="18"/>
                      </w:rPr>
                      <w:t>2023年3月24日，本公司与集团财务公司签订《金融服务协议补充协议》（以下简称“补充协议”），同意将本公司在集团财务公司的每日最高存款余额（含利息）不超过人民币6亿元且低于本公司经审计营业收入、总资产或市值的5%，调整为每日最高存款余额（含利息）不超过人民币4亿元且低于本公司经审计营业收入、总资产或市值的5%，其他条款不变；补充协议有效期自2023年4月1日至2024年3月31日。补充协议到期后，本公司视资金使用情况选择按原协议约定条款执行，或与集团财务公司签署新的补充协议。</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有关详情见本公司于2022年3月28日于上交所网站www.sse.com.cn及于联交所网站www.hkexnews.hk刊登的日常关联╱持续关连交易公告。</w:t>
                    </w:r>
                  </w:p>
                  <w:p>
                    <w:pPr>
                      <w:widowControl w:val="0"/>
                      <w:jc w:val="left"/>
                      <w:rPr>
                        <w:rFonts w:ascii="Times New Roman" w:hAnsi="Times New Roman"/>
                        <w:sz w:val="18"/>
                        <w:szCs w:val="18"/>
                      </w:rPr>
                    </w:pPr>
                    <w:r>
                      <w:rPr>
                        <w:rFonts w:hint="eastAsia" w:ascii="Times New Roman" w:hAnsi="Times New Roman"/>
                        <w:sz w:val="18"/>
                        <w:szCs w:val="18"/>
                      </w:rPr>
                      <w:t>有关详情见本公司</w:t>
                    </w:r>
                    <w:r>
                      <w:rPr>
                        <w:rFonts w:ascii="Times New Roman" w:hAnsi="Times New Roman"/>
                        <w:sz w:val="18"/>
                        <w:szCs w:val="18"/>
                      </w:rPr>
                      <w:t>2023年3月27日于上交所网站www.sse.com.cn及2023年3月26日于联交所网站www.hkexnews.hk刊登的关于调低与江苏交通控股集团财务有限公司的金融服务关联交易存款余额额度的公告。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684983142"/>
              <w:lock w:val="sdtLocked"/>
            </w:sdtPr>
            <w:sdtEndPr>
              <w:rPr>
                <w:rFonts w:hint="eastAsia" w:ascii="宋体" w:hAnsi="宋体" w:eastAsiaTheme="minorEastAsia" w:cstheme="minorBidi"/>
                <w:bCs/>
                <w:kern w:val="2"/>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left"/>
                      <w:rPr>
                        <w:rFonts w:ascii="Times New Roman" w:hAnsi="Times New Roman"/>
                        <w:sz w:val="18"/>
                        <w:szCs w:val="18"/>
                      </w:rPr>
                    </w:pPr>
                    <w:r>
                      <w:rPr>
                        <w:rFonts w:ascii="Times New Roman" w:hAnsi="Times New Roman"/>
                        <w:sz w:val="18"/>
                        <w:szCs w:val="18"/>
                      </w:rPr>
                      <w:t>江苏交控（本公司控股股东）于2020年1月17日与云杉清能公司72%控股的附属公司如东公司签署贷款协议向如东公司提供人民币3亿元的贷款和2020年3月19日的担保协议就如东公司在国家开发银行江苏省分行的贷款（授信总额度人民币40亿元）提供担保。人民币3 亿元贷款到期日为2025 年1 月20日，如东公司负责按照江苏交控为提供该贷款而发行的年息3.74%绿色债券的条款支付利息和偿还本金。利率不高于贷款市场报价利率。年担保费用按国有资产持股比例确定，鉴于相关项目公司由云杉清能公司持有72%，担保总额中72%年担保费用为0.1%，担保总额其余的部分年担保费用为1%。</w:t>
                    </w:r>
                  </w:p>
                  <w:p>
                    <w:pPr>
                      <w:widowControl w:val="0"/>
                      <w:jc w:val="left"/>
                      <w:rPr>
                        <w:rFonts w:ascii="Times New Roman" w:hAnsi="Times New Roman"/>
                        <w:sz w:val="18"/>
                        <w:szCs w:val="18"/>
                      </w:rPr>
                    </w:pPr>
                    <w:r>
                      <w:rPr>
                        <w:rFonts w:ascii="Times New Roman" w:hAnsi="Times New Roman"/>
                        <w:sz w:val="18"/>
                        <w:szCs w:val="18"/>
                      </w:rPr>
                      <w:t>云杉清能公司股权交割工作已经完成及并于2022年7月完成工商变更登记工作，因此上述交易构成本公司的持续关联交易。</w:t>
                    </w:r>
                  </w:p>
                </w:tc>
                <w:tc>
                  <w:tcPr>
                    <w:tcW w:w="4524" w:type="dxa"/>
                  </w:tcPr>
                  <w:p>
                    <w:pPr>
                      <w:widowControl w:val="0"/>
                      <w:jc w:val="left"/>
                      <w:rPr>
                        <w:rFonts w:ascii="Times New Roman" w:hAnsi="Times New Roman"/>
                        <w:sz w:val="18"/>
                        <w:szCs w:val="18"/>
                      </w:rPr>
                    </w:pPr>
                    <w:r>
                      <w:rPr>
                        <w:rFonts w:ascii="Times New Roman" w:hAnsi="Times New Roman"/>
                        <w:sz w:val="18"/>
                        <w:szCs w:val="18"/>
                      </w:rPr>
                      <w:t>有关详情见本公司2022年4月30日于上交所网站www.sse.com.cn及2022年4月29日于联交所网站www.hkexnews.hk刊登的董事会决议公告。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8752485"/>
              <w:lock w:val="sdtLocked"/>
            </w:sdtPr>
            <w:sdtEndPr>
              <w:rPr>
                <w:rFonts w:hint="default" w:ascii="Times New Roman" w:hAnsi="Times New Roman" w:eastAsia="宋体" w:cs="宋体"/>
                <w:bCs w:val="0"/>
                <w:kern w:val="0"/>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eastAsiaTheme="minorEastAsia" w:cstheme="minorBidi"/>
                        <w:bCs/>
                        <w:kern w:val="2"/>
                        <w:sz w:val="18"/>
                        <w:szCs w:val="18"/>
                      </w:rPr>
                    </w:pPr>
                    <w:r>
                      <w:rPr>
                        <w:rFonts w:hint="eastAsia" w:ascii="宋体" w:hAnsi="宋体" w:eastAsiaTheme="minorEastAsia" w:cstheme="minorBidi"/>
                        <w:bCs/>
                        <w:kern w:val="2"/>
                        <w:sz w:val="18"/>
                        <w:szCs w:val="18"/>
                      </w:rPr>
                      <w:t>2023年3月24日，本公司及控股子公司五峰山大桥公司、广靖锡澄公司、常宜公司、宜长公司分别与江苏交控签署直接融资统借统还资金使用协议。协议期均自协议签署之日起三年。以江苏交控为主体通过发行超短融、中票、企业债、公司债、保险债权计划等直接融资品种代为融资的方式筹集资金。资金用于股权出资、项目建设、偿还有息债务和补充流动资金等法律法规允许的相关用途。本公司融资余额不超过人民币</w:t>
                    </w:r>
                    <w:r>
                      <w:rPr>
                        <w:rFonts w:ascii="宋体" w:hAnsi="宋体" w:eastAsiaTheme="minorEastAsia" w:cstheme="minorBidi"/>
                        <w:bCs/>
                        <w:kern w:val="2"/>
                        <w:sz w:val="18"/>
                        <w:szCs w:val="18"/>
                      </w:rPr>
                      <w:t>15亿元，五峰山大桥公司、广靖锡澄公司、常宜公司、宜长</w:t>
                    </w:r>
                    <w:r>
                      <w:rPr>
                        <w:rFonts w:hint="eastAsia" w:ascii="宋体" w:hAnsi="宋体" w:eastAsiaTheme="minorEastAsia" w:cstheme="minorBidi"/>
                        <w:bCs/>
                        <w:kern w:val="2"/>
                        <w:sz w:val="18"/>
                        <w:szCs w:val="18"/>
                      </w:rPr>
                      <w:t>公司融资余额均不超过人民币</w:t>
                    </w:r>
                    <w:r>
                      <w:rPr>
                        <w:rFonts w:ascii="宋体" w:hAnsi="宋体" w:eastAsiaTheme="minorEastAsia" w:cstheme="minorBidi"/>
                        <w:bCs/>
                        <w:kern w:val="2"/>
                        <w:sz w:val="18"/>
                        <w:szCs w:val="18"/>
                      </w:rPr>
                      <w:t>10亿元，资金使用成本以融资产品的金额、利率、期限及手续费的实际发生额为准、且利率不高于中国人民银行同期贷款利率,有关还本付息等相关费用由各借款公司自行支付。本公司及控股子公司五峰山大桥公司、广靖锡澄公司、常宜公司、宜长公司均无需提供相应抵押和担保。</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w:t>
                    </w:r>
                    <w:r>
                      <w:rPr>
                        <w:rFonts w:ascii="Times New Roman" w:hAnsi="Times New Roman"/>
                        <w:sz w:val="18"/>
                        <w:szCs w:val="18"/>
                      </w:rPr>
                      <w:t>202</w:t>
                    </w:r>
                    <w:r>
                      <w:rPr>
                        <w:rFonts w:hint="eastAsia" w:ascii="Times New Roman" w:hAnsi="Times New Roman"/>
                        <w:sz w:val="18"/>
                        <w:szCs w:val="18"/>
                      </w:rPr>
                      <w:t>3</w:t>
                    </w:r>
                    <w:r>
                      <w:rPr>
                        <w:rFonts w:ascii="Times New Roman" w:hAnsi="Times New Roman"/>
                        <w:sz w:val="18"/>
                        <w:szCs w:val="18"/>
                      </w:rPr>
                      <w:t>年</w:t>
                    </w:r>
                    <w:r>
                      <w:rPr>
                        <w:rFonts w:hint="eastAsia" w:ascii="Times New Roman" w:hAnsi="Times New Roman"/>
                        <w:sz w:val="18"/>
                        <w:szCs w:val="18"/>
                      </w:rPr>
                      <w:t>3</w:t>
                    </w:r>
                    <w:r>
                      <w:rPr>
                        <w:rFonts w:ascii="Times New Roman" w:hAnsi="Times New Roman"/>
                        <w:sz w:val="18"/>
                        <w:szCs w:val="18"/>
                      </w:rPr>
                      <w:t>月</w:t>
                    </w:r>
                    <w:r>
                      <w:rPr>
                        <w:rFonts w:hint="eastAsia" w:ascii="Times New Roman" w:hAnsi="Times New Roman"/>
                        <w:sz w:val="18"/>
                        <w:szCs w:val="18"/>
                      </w:rPr>
                      <w:t>27</w:t>
                    </w:r>
                    <w:r>
                      <w:rPr>
                        <w:rFonts w:ascii="Times New Roman" w:hAnsi="Times New Roman"/>
                        <w:sz w:val="18"/>
                        <w:szCs w:val="18"/>
                      </w:rPr>
                      <w:t>日于上交所网站www.sse.com.cn及2023年3月2</w:t>
                    </w:r>
                    <w:r>
                      <w:rPr>
                        <w:rFonts w:hint="eastAsia" w:ascii="Times New Roman" w:hAnsi="Times New Roman"/>
                        <w:sz w:val="18"/>
                        <w:szCs w:val="18"/>
                      </w:rPr>
                      <w:t>6</w:t>
                    </w:r>
                    <w:r>
                      <w:rPr>
                        <w:rFonts w:ascii="Times New Roman" w:hAnsi="Times New Roman"/>
                        <w:sz w:val="18"/>
                        <w:szCs w:val="18"/>
                      </w:rPr>
                      <w:t>日于联交所网站www.hkexnews.hk刊登的董事会决议公告。</w:t>
                    </w:r>
                  </w:p>
                </w:tc>
              </w:tr>
            </w:sdtContent>
          </w:sdt>
          <w:sdt>
            <w:sdtPr>
              <w:rPr>
                <w:rFonts w:hint="eastAsia" w:ascii="宋体" w:hAnsi="宋体" w:eastAsiaTheme="minorEastAsia" w:cstheme="minorBidi"/>
                <w:bCs/>
                <w:kern w:val="2"/>
                <w:sz w:val="18"/>
                <w:szCs w:val="18"/>
              </w:rPr>
              <w:alias w:val="关联债权债务往来事项已在临时报告披露且后续实施无进展或变化的"/>
              <w:tag w:val="_TUP_6246e091e442453faab72c85d5135243"/>
              <w:id w:val="1429231695"/>
              <w:lock w:val="sdtLocked"/>
            </w:sdtPr>
            <w:sdtEndPr>
              <w:rPr>
                <w:rFonts w:hint="default" w:ascii="Times New Roman" w:hAnsi="Times New Roman" w:eastAsia="宋体" w:cs="宋体"/>
                <w:bCs w:val="0"/>
                <w:kern w:val="0"/>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tcPr>
                  <w:p>
                    <w:pPr>
                      <w:widowControl w:val="0"/>
                      <w:jc w:val="both"/>
                      <w:rPr>
                        <w:rFonts w:ascii="Times New Roman" w:hAnsi="Times New Roman" w:eastAsiaTheme="minorEastAsia" w:cstheme="minorBidi"/>
                        <w:bCs/>
                        <w:kern w:val="2"/>
                        <w:sz w:val="18"/>
                        <w:szCs w:val="18"/>
                      </w:rPr>
                    </w:pPr>
                    <w:r>
                      <w:rPr>
                        <w:rFonts w:hint="eastAsia" w:ascii="宋体" w:hAnsi="宋体" w:eastAsiaTheme="minorEastAsia" w:cstheme="minorBidi"/>
                        <w:bCs/>
                        <w:kern w:val="2"/>
                        <w:sz w:val="18"/>
                        <w:szCs w:val="18"/>
                      </w:rPr>
                      <w:t>2023年3月24日，本公司与五峰山大桥公司、广靖锡澄公司、宜长公司及常宜公司签署具体条件借款协议。本公司使用直接融资资金向五峰山大桥公司提供不超过人民币</w:t>
                    </w:r>
                    <w:r>
                      <w:rPr>
                        <w:rFonts w:ascii="宋体" w:hAnsi="宋体" w:eastAsiaTheme="minorEastAsia" w:cstheme="minorBidi"/>
                        <w:bCs/>
                        <w:kern w:val="2"/>
                        <w:sz w:val="18"/>
                        <w:szCs w:val="18"/>
                      </w:rPr>
                      <w:t>18亿元的借款，用于五峰山项目的建设、置换项目贷款、补充流动资金、归还到期借款以及法律法规允许的其他用途。本次借款借款期限</w:t>
                    </w:r>
                    <w:r>
                      <w:rPr>
                        <w:rFonts w:hint="eastAsia" w:ascii="宋体" w:hAnsi="宋体" w:eastAsiaTheme="minorEastAsia" w:cstheme="minorBidi"/>
                        <w:bCs/>
                        <w:kern w:val="2"/>
                        <w:sz w:val="18"/>
                        <w:szCs w:val="18"/>
                      </w:rPr>
                      <w:t>自</w:t>
                    </w:r>
                    <w:r>
                      <w:rPr>
                        <w:rFonts w:ascii="宋体" w:hAnsi="宋体" w:eastAsiaTheme="minorEastAsia" w:cstheme="minorBidi"/>
                        <w:bCs/>
                        <w:kern w:val="2"/>
                        <w:sz w:val="18"/>
                        <w:szCs w:val="18"/>
                      </w:rPr>
                      <w:t>2023年12月15日起三年。借款利息按本公司发行的直接融资产品的当期利率计算，有关本公司融资产品发行及还本付息等相关费用由五峰山大桥公司自行承担并支付。</w:t>
                    </w:r>
                    <w:r>
                      <w:rPr>
                        <w:rFonts w:hint="eastAsia" w:ascii="宋体" w:hAnsi="宋体" w:eastAsiaTheme="minorEastAsia" w:cstheme="minorBidi"/>
                        <w:bCs/>
                        <w:kern w:val="2"/>
                        <w:sz w:val="18"/>
                        <w:szCs w:val="18"/>
                      </w:rPr>
                      <w:t>本公司使用直接融资资金向广靖锡澄公司提供不超过人民币</w:t>
                    </w:r>
                    <w:r>
                      <w:rPr>
                        <w:rFonts w:ascii="宋体" w:hAnsi="宋体" w:eastAsiaTheme="minorEastAsia" w:cstheme="minorBidi"/>
                        <w:bCs/>
                        <w:kern w:val="2"/>
                        <w:sz w:val="18"/>
                        <w:szCs w:val="18"/>
                      </w:rPr>
                      <w:t>15亿元的借款，用于广靖锡澄公司补充流动资金、归还到期借款以及法律法规允许的其他用途。本次借款借款期限</w:t>
                    </w:r>
                    <w:r>
                      <w:rPr>
                        <w:rFonts w:hint="eastAsia" w:ascii="宋体" w:hAnsi="宋体" w:eastAsiaTheme="minorEastAsia" w:cstheme="minorBidi"/>
                        <w:bCs/>
                        <w:kern w:val="2"/>
                        <w:sz w:val="18"/>
                        <w:szCs w:val="18"/>
                      </w:rPr>
                      <w:t>自</w:t>
                    </w:r>
                    <w:r>
                      <w:rPr>
                        <w:rFonts w:ascii="宋体" w:hAnsi="宋体" w:eastAsiaTheme="minorEastAsia" w:cstheme="minorBidi"/>
                        <w:bCs/>
                        <w:kern w:val="2"/>
                        <w:sz w:val="18"/>
                        <w:szCs w:val="18"/>
                      </w:rPr>
                      <w:t>2023年7月1日起三年。借款利息按本公司发行的直接融资产品的当期利率计算，有关本公司融资产品发行及还本付息等相关费用由广靖锡澄公司自行承担并支付。</w:t>
                    </w:r>
                    <w:r>
                      <w:rPr>
                        <w:rFonts w:hint="eastAsia" w:ascii="宋体" w:hAnsi="宋体" w:eastAsiaTheme="minorEastAsia" w:cstheme="minorBidi"/>
                        <w:bCs/>
                        <w:kern w:val="2"/>
                        <w:sz w:val="18"/>
                        <w:szCs w:val="18"/>
                      </w:rPr>
                      <w:t>本公司使用直接融资资金向宜长公司提供不超过人民币</w:t>
                    </w:r>
                    <w:r>
                      <w:rPr>
                        <w:rFonts w:ascii="宋体" w:hAnsi="宋体" w:eastAsiaTheme="minorEastAsia" w:cstheme="minorBidi"/>
                        <w:bCs/>
                        <w:kern w:val="2"/>
                        <w:sz w:val="18"/>
                        <w:szCs w:val="18"/>
                      </w:rPr>
                      <w:t>5亿元的借款，用于宜长公司置换项目贷款、补充流动资金、归还到期借款以及法律法规允许的其他用途。本次借款借款期限</w:t>
                    </w:r>
                    <w:r>
                      <w:rPr>
                        <w:rFonts w:hint="eastAsia" w:ascii="宋体" w:hAnsi="宋体" w:eastAsiaTheme="minorEastAsia" w:cstheme="minorBidi"/>
                        <w:bCs/>
                        <w:kern w:val="2"/>
                        <w:sz w:val="18"/>
                        <w:szCs w:val="18"/>
                      </w:rPr>
                      <w:t>自</w:t>
                    </w:r>
                    <w:r>
                      <w:rPr>
                        <w:rFonts w:ascii="宋体" w:hAnsi="宋体" w:eastAsiaTheme="minorEastAsia" w:cstheme="minorBidi"/>
                        <w:bCs/>
                        <w:kern w:val="2"/>
                        <w:sz w:val="18"/>
                        <w:szCs w:val="18"/>
                      </w:rPr>
                      <w:t>2023年10月1日起三年。借款利息按本公司发行的直接融资产品的当期利率计算，有关本公司融资产品发行及还本付息等相关费用由宜长公司自行承担并支付。</w:t>
                    </w:r>
                    <w:r>
                      <w:rPr>
                        <w:rFonts w:hint="eastAsia" w:ascii="宋体" w:hAnsi="宋体" w:eastAsiaTheme="minorEastAsia" w:cstheme="minorBidi"/>
                        <w:bCs/>
                        <w:kern w:val="2"/>
                        <w:sz w:val="18"/>
                        <w:szCs w:val="18"/>
                      </w:rPr>
                      <w:t>本公司使用直接融资资金向常宜公司提供不超过人民币</w:t>
                    </w:r>
                    <w:r>
                      <w:rPr>
                        <w:rFonts w:ascii="宋体" w:hAnsi="宋体" w:eastAsiaTheme="minorEastAsia" w:cstheme="minorBidi"/>
                        <w:bCs/>
                        <w:kern w:val="2"/>
                        <w:sz w:val="18"/>
                        <w:szCs w:val="18"/>
                      </w:rPr>
                      <w:t>7亿元的借款，用于常宜公司置换项目贷款、补充流动资金、归还到期借款以及法律法规允许的其他用途。本次借款借款期限</w:t>
                    </w:r>
                    <w:r>
                      <w:rPr>
                        <w:rFonts w:hint="eastAsia" w:ascii="宋体" w:hAnsi="宋体" w:eastAsiaTheme="minorEastAsia" w:cstheme="minorBidi"/>
                        <w:bCs/>
                        <w:kern w:val="2"/>
                        <w:sz w:val="18"/>
                        <w:szCs w:val="18"/>
                      </w:rPr>
                      <w:t>自</w:t>
                    </w:r>
                    <w:r>
                      <w:rPr>
                        <w:rFonts w:ascii="宋体" w:hAnsi="宋体" w:eastAsiaTheme="minorEastAsia" w:cstheme="minorBidi"/>
                        <w:bCs/>
                        <w:kern w:val="2"/>
                        <w:sz w:val="18"/>
                        <w:szCs w:val="18"/>
                      </w:rPr>
                      <w:t>2023年10月1日起三年。借款利息按本公司发行的直接融资产品的当期利率计算，有关本公司融资产品发行及还本付息等相关费用由常宜公司自行承担并支付。</w:t>
                    </w:r>
                  </w:p>
                </w:tc>
                <w:tc>
                  <w:tcPr>
                    <w:tcW w:w="4524" w:type="dxa"/>
                  </w:tcPr>
                  <w:p>
                    <w:pPr>
                      <w:widowControl w:val="0"/>
                      <w:jc w:val="both"/>
                      <w:rPr>
                        <w:rFonts w:ascii="Times New Roman" w:hAnsi="Times New Roman"/>
                        <w:sz w:val="18"/>
                        <w:szCs w:val="18"/>
                      </w:rPr>
                    </w:pPr>
                    <w:r>
                      <w:rPr>
                        <w:rFonts w:hint="eastAsia" w:ascii="Times New Roman" w:hAnsi="Times New Roman"/>
                        <w:sz w:val="18"/>
                        <w:szCs w:val="18"/>
                      </w:rPr>
                      <w:t>有关详情见本公司</w:t>
                    </w:r>
                    <w:r>
                      <w:rPr>
                        <w:rFonts w:ascii="Times New Roman" w:hAnsi="Times New Roman"/>
                        <w:sz w:val="18"/>
                        <w:szCs w:val="18"/>
                      </w:rPr>
                      <w:t>2023年3月27日于上交所网站www.sse.com.cn及2023年3月24日于联交所网站www.hkexnews.hk刊登的关联╱持续关连交易及须予披露的交易公告、2023年5月20日于上交所网站www.sse.com.cn及2023年5月19日于联交所网站www.hkexnews.hk刊登的2022年年度股东大会、2023年第一次A股类别股东大会和2023年第一次H股类别股东大会的通函。</w:t>
                    </w:r>
                  </w:p>
                </w:tc>
              </w:tr>
            </w:sdtContent>
          </w:sdt>
        </w:tbl>
        <w:p>
          <w:pPr>
            <w:pStyle w:val="114"/>
          </w:pPr>
        </w:p>
      </w:sdtContent>
    </w:sdt>
    <w:sdt>
      <w:sdtPr>
        <w:rPr>
          <w:rFonts w:ascii="宋体" w:hAnsi="宋体" w:cs="宋体"/>
          <w:b w:val="0"/>
          <w:bCs w:val="0"/>
          <w:kern w:val="0"/>
          <w:szCs w:val="22"/>
        </w:rPr>
        <w:alias w:val="模块:已在临时公告披露，但有后续实施的进展或变化的事项"/>
        <w:tag w:val="_SEC_dcb3650518df4296931e576a9d6fdaf3"/>
        <w:id w:val="2012490183"/>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98103800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2"/>
        </w:rPr>
        <w:alias w:val="模块:临时公告未披露的事项"/>
        <w:tag w:val="_SEC_da19abf815bb4e3a97fcb901c6225551"/>
        <w:id w:val="-1923253929"/>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4"/>
            </w:numPr>
            <w:rPr>
              <w:rFonts w:ascii="宋体" w:hAnsi="宋体"/>
            </w:rPr>
          </w:pPr>
          <w:r>
            <w:rPr>
              <w:rFonts w:hint="eastAsia" w:ascii="宋体" w:hAnsi="宋体"/>
            </w:rPr>
            <w:t>临时公告未披露的事项</w:t>
          </w:r>
        </w:p>
        <w:sdt>
          <w:sdtPr>
            <w:alias w:val="是否适用：关联债权债务往来_临时公告未披露的事项[双击切换]"/>
            <w:tag w:val="_GBC_0f4a6802ca704b49a413888379a91f0b"/>
            <w:id w:val="-36050747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4"/>
        <w:numPr>
          <w:ilvl w:val="2"/>
          <w:numId w:val="4"/>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169387843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b w:val="0"/>
          <w:bCs w:val="0"/>
          <w:kern w:val="0"/>
          <w:szCs w:val="24"/>
        </w:rPr>
        <w:alias w:val="模块:存款业务"/>
        <w:tag w:val="_SEC_fc426ce94f134c9ba4ffd1e1a862890e"/>
        <w:id w:val="-1467341562"/>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25"/>
            </w:numPr>
            <w:rPr>
              <w:rFonts w:ascii="宋体" w:hAnsi="宋体"/>
            </w:rPr>
          </w:pPr>
          <w:bookmarkStart w:id="60" w:name="_Hlk106875230"/>
          <w:r>
            <w:rPr>
              <w:rFonts w:hint="eastAsia" w:ascii="宋体" w:hAnsi="宋体"/>
            </w:rPr>
            <w:t>存款业务</w:t>
          </w:r>
        </w:p>
        <w:sdt>
          <w:sdtPr>
            <w:alias w:val="是否适用：存款业务[双击切换]"/>
            <w:tag w:val="_GBC_f9224e59e79e4e7f90861dc9c88bbaf5"/>
            <w:id w:val="-108861257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存款业务情况"/>
              <w:tag w:val="_GBC_9ecd65a8331e452c98309d736d6493e0"/>
              <w:id w:val="12864580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元</w:t>
              </w:r>
            </w:sdtContent>
          </w:sdt>
          <w:r>
            <w:rPr>
              <w:rFonts w:hint="eastAsia"/>
            </w:rPr>
            <w:t xml:space="preserve">  币种：</w:t>
          </w:r>
          <w:sdt>
            <w:sdtPr>
              <w:rPr>
                <w:rFonts w:hint="eastAsia"/>
              </w:rPr>
              <w:alias w:val="币种：存款业务情况"/>
              <w:tag w:val="_GBC_28238db17bf94957b134a53203001b6c"/>
              <w:id w:val="-661154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
            <w:gridCol w:w="829"/>
            <w:gridCol w:w="1278"/>
            <w:gridCol w:w="1558"/>
            <w:gridCol w:w="1276"/>
            <w:gridCol w:w="1417"/>
            <w:gridCol w:w="1276"/>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ffba45c0a60d4a5eaefab3b7e513ac6f"/>
                <w:id w:val="-1224371881"/>
                <w:lock w:val="sdtLocked"/>
              </w:sdtPr>
              <w:sdtEndPr>
                <w:rPr>
                  <w:rFonts w:hint="eastAsia"/>
                </w:rPr>
              </w:sdtEndPr>
              <w:sdtContent>
                <w:tc>
                  <w:tcPr>
                    <w:tcW w:w="228" w:type="pct"/>
                    <w:vMerge w:val="restart"/>
                    <w:shd w:val="clear" w:color="auto" w:fill="auto"/>
                    <w:vAlign w:val="center"/>
                  </w:tcPr>
                  <w:p>
                    <w:pPr>
                      <w:autoSpaceDE w:val="0"/>
                      <w:autoSpaceDN w:val="0"/>
                      <w:adjustRightInd w:val="0"/>
                      <w:jc w:val="center"/>
                    </w:pPr>
                    <w:r>
                      <w:rPr>
                        <w:rFonts w:hint="eastAsia"/>
                      </w:rPr>
                      <w:t>关联方</w:t>
                    </w:r>
                  </w:p>
                </w:tc>
              </w:sdtContent>
            </w:sdt>
            <w:sdt>
              <w:sdtPr>
                <w:rPr>
                  <w:rFonts w:hint="eastAsia"/>
                </w:rPr>
                <w:tag w:val="_PLD_e0c38f9a2c974c4fbf8f3797e658b580"/>
                <w:id w:val="151879341"/>
                <w:lock w:val="sdtLocked"/>
              </w:sdtPr>
              <w:sdtEndPr>
                <w:rPr>
                  <w:rFonts w:hint="eastAsia"/>
                </w:rPr>
              </w:sdtEndPr>
              <w:sdtContent>
                <w:tc>
                  <w:tcPr>
                    <w:tcW w:w="458" w:type="pct"/>
                    <w:vMerge w:val="restart"/>
                    <w:shd w:val="clear" w:color="auto" w:fill="auto"/>
                    <w:vAlign w:val="center"/>
                  </w:tcPr>
                  <w:p>
                    <w:pPr>
                      <w:autoSpaceDE w:val="0"/>
                      <w:autoSpaceDN w:val="0"/>
                      <w:adjustRightInd w:val="0"/>
                      <w:jc w:val="center"/>
                    </w:pPr>
                    <w:r>
                      <w:rPr>
                        <w:rFonts w:hint="eastAsia"/>
                      </w:rPr>
                      <w:t>关联关系</w:t>
                    </w:r>
                  </w:p>
                </w:tc>
              </w:sdtContent>
            </w:sdt>
            <w:sdt>
              <w:sdtPr>
                <w:tag w:val="_PLD_98e3b28dc1a04a5988e28b76ce9f4d2f"/>
                <w:id w:val="350463753"/>
                <w:lock w:val="sdtLocked"/>
              </w:sdtPr>
              <w:sdtContent>
                <w:tc>
                  <w:tcPr>
                    <w:tcW w:w="706" w:type="pct"/>
                    <w:vMerge w:val="restart"/>
                    <w:shd w:val="clear" w:color="auto" w:fill="auto"/>
                    <w:vAlign w:val="center"/>
                  </w:tcPr>
                  <w:p>
                    <w:pPr>
                      <w:autoSpaceDE w:val="0"/>
                      <w:autoSpaceDN w:val="0"/>
                      <w:adjustRightInd w:val="0"/>
                      <w:jc w:val="center"/>
                    </w:pPr>
                    <w:r>
                      <w:t>每日最高存款限额</w:t>
                    </w:r>
                  </w:p>
                </w:tc>
              </w:sdtContent>
            </w:sdt>
            <w:sdt>
              <w:sdtPr>
                <w:tag w:val="_PLD_53344796359b4d568d3a4496aae806b2"/>
                <w:id w:val="1886515510"/>
                <w:lock w:val="sdtLocked"/>
              </w:sdtPr>
              <w:sdtContent>
                <w:tc>
                  <w:tcPr>
                    <w:tcW w:w="861" w:type="pct"/>
                    <w:vMerge w:val="restart"/>
                    <w:shd w:val="clear" w:color="auto" w:fill="auto"/>
                    <w:vAlign w:val="center"/>
                  </w:tcPr>
                  <w:p>
                    <w:pPr>
                      <w:autoSpaceDE w:val="0"/>
                      <w:autoSpaceDN w:val="0"/>
                      <w:adjustRightInd w:val="0"/>
                      <w:jc w:val="center"/>
                    </w:pPr>
                    <w:r>
                      <w:t>存款利率范围</w:t>
                    </w:r>
                  </w:p>
                </w:tc>
              </w:sdtContent>
            </w:sdt>
            <w:sdt>
              <w:sdtPr>
                <w:tag w:val="_PLD_6cab16c6c91b47ceb56c93e75218443e"/>
                <w:id w:val="170006402"/>
                <w:lock w:val="sdtLocked"/>
              </w:sdtPr>
              <w:sdtContent>
                <w:tc>
                  <w:tcPr>
                    <w:tcW w:w="705" w:type="pct"/>
                    <w:vMerge w:val="restart"/>
                    <w:shd w:val="clear" w:color="auto" w:fill="auto"/>
                    <w:vAlign w:val="center"/>
                  </w:tcPr>
                  <w:p>
                    <w:pPr>
                      <w:autoSpaceDE w:val="0"/>
                      <w:autoSpaceDN w:val="0"/>
                      <w:adjustRightInd w:val="0"/>
                      <w:jc w:val="center"/>
                    </w:pPr>
                    <w:r>
                      <w:t>期初余额</w:t>
                    </w:r>
                  </w:p>
                </w:tc>
              </w:sdtContent>
            </w:sdt>
            <w:sdt>
              <w:sdtPr>
                <w:tag w:val="_PLD_81041006ec3648d191df952d3dd35ca2"/>
                <w:id w:val="424457247"/>
                <w:lock w:val="sdtLocked"/>
              </w:sdtPr>
              <w:sdtContent>
                <w:tc>
                  <w:tcPr>
                    <w:tcW w:w="1488" w:type="pct"/>
                    <w:gridSpan w:val="2"/>
                    <w:shd w:val="clear" w:color="auto" w:fill="auto"/>
                    <w:vAlign w:val="center"/>
                  </w:tcPr>
                  <w:p>
                    <w:pPr>
                      <w:autoSpaceDE w:val="0"/>
                      <w:autoSpaceDN w:val="0"/>
                      <w:adjustRightInd w:val="0"/>
                      <w:jc w:val="center"/>
                    </w:pPr>
                    <w:r>
                      <w:t>本期发生额</w:t>
                    </w:r>
                  </w:p>
                </w:tc>
              </w:sdtContent>
            </w:sdt>
            <w:sdt>
              <w:sdtPr>
                <w:tag w:val="_PLD_aa27139c32114925a8a34de1276d74de"/>
                <w:id w:val="1660188815"/>
                <w:lock w:val="sdtLocked"/>
              </w:sdtPr>
              <w:sdtContent>
                <w:tc>
                  <w:tcPr>
                    <w:tcW w:w="554" w:type="pct"/>
                    <w:vMerge w:val="restart"/>
                    <w:shd w:val="clear" w:color="auto" w:fill="auto"/>
                    <w:vAlign w:val="center"/>
                  </w:tcPr>
                  <w:p>
                    <w:pPr>
                      <w:autoSpaceDE w:val="0"/>
                      <w:autoSpaceDN w:val="0"/>
                      <w:adjustRightInd w:val="0"/>
                      <w:jc w:val="center"/>
                    </w:pPr>
                    <w: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 w:type="pct"/>
                <w:vMerge w:val="continue"/>
                <w:shd w:val="clear" w:color="auto" w:fill="auto"/>
                <w:vAlign w:val="center"/>
              </w:tcPr>
              <w:p>
                <w:pPr>
                  <w:autoSpaceDE w:val="0"/>
                  <w:autoSpaceDN w:val="0"/>
                  <w:adjustRightInd w:val="0"/>
                  <w:jc w:val="center"/>
                </w:pPr>
              </w:p>
            </w:tc>
            <w:tc>
              <w:tcPr>
                <w:tcW w:w="458" w:type="pct"/>
                <w:vMerge w:val="continue"/>
                <w:shd w:val="clear" w:color="auto" w:fill="auto"/>
                <w:vAlign w:val="center"/>
              </w:tcPr>
              <w:p>
                <w:pPr>
                  <w:autoSpaceDE w:val="0"/>
                  <w:autoSpaceDN w:val="0"/>
                  <w:adjustRightInd w:val="0"/>
                  <w:jc w:val="center"/>
                </w:pPr>
              </w:p>
            </w:tc>
            <w:tc>
              <w:tcPr>
                <w:tcW w:w="706" w:type="pct"/>
                <w:vMerge w:val="continue"/>
                <w:shd w:val="clear" w:color="auto" w:fill="auto"/>
                <w:vAlign w:val="center"/>
              </w:tcPr>
              <w:p>
                <w:pPr>
                  <w:autoSpaceDE w:val="0"/>
                  <w:autoSpaceDN w:val="0"/>
                  <w:adjustRightInd w:val="0"/>
                  <w:jc w:val="center"/>
                </w:pPr>
              </w:p>
            </w:tc>
            <w:tc>
              <w:tcPr>
                <w:tcW w:w="861" w:type="pct"/>
                <w:vMerge w:val="continue"/>
                <w:shd w:val="clear" w:color="auto" w:fill="auto"/>
                <w:vAlign w:val="center"/>
              </w:tcPr>
              <w:p>
                <w:pPr>
                  <w:autoSpaceDE w:val="0"/>
                  <w:autoSpaceDN w:val="0"/>
                  <w:adjustRightInd w:val="0"/>
                  <w:jc w:val="center"/>
                </w:pPr>
              </w:p>
            </w:tc>
            <w:tc>
              <w:tcPr>
                <w:tcW w:w="705" w:type="pct"/>
                <w:vMerge w:val="continue"/>
                <w:shd w:val="clear" w:color="auto" w:fill="auto"/>
                <w:vAlign w:val="center"/>
              </w:tcPr>
              <w:p>
                <w:pPr>
                  <w:autoSpaceDE w:val="0"/>
                  <w:autoSpaceDN w:val="0"/>
                  <w:adjustRightInd w:val="0"/>
                  <w:jc w:val="center"/>
                </w:pPr>
              </w:p>
            </w:tc>
            <w:sdt>
              <w:sdtPr>
                <w:rPr>
                  <w:rFonts w:hint="eastAsia"/>
                </w:rPr>
                <w:tag w:val="_PLD_a2f6b5773eb24bb8a29fbf18bb7113a5"/>
                <w:id w:val="1883279336"/>
                <w:lock w:val="sdtLocked"/>
              </w:sdtPr>
              <w:sdtEndPr>
                <w:rPr>
                  <w:rFonts w:hint="eastAsia"/>
                </w:rPr>
              </w:sdtEndPr>
              <w:sdtContent>
                <w:tc>
                  <w:tcPr>
                    <w:tcW w:w="783" w:type="pct"/>
                    <w:shd w:val="clear" w:color="auto" w:fill="auto"/>
                    <w:vAlign w:val="center"/>
                  </w:tcPr>
                  <w:p>
                    <w:pPr>
                      <w:autoSpaceDE w:val="0"/>
                      <w:autoSpaceDN w:val="0"/>
                      <w:adjustRightInd w:val="0"/>
                      <w:jc w:val="center"/>
                    </w:pPr>
                    <w:r>
                      <w:rPr>
                        <w:rFonts w:hint="eastAsia"/>
                      </w:rPr>
                      <w:t>本期合计存入金额</w:t>
                    </w:r>
                  </w:p>
                </w:tc>
              </w:sdtContent>
            </w:sdt>
            <w:sdt>
              <w:sdtPr>
                <w:rPr>
                  <w:rFonts w:hint="eastAsia"/>
                </w:rPr>
                <w:tag w:val="_PLD_20c568f382ae46968ad4e263923079b1"/>
                <w:id w:val="437724040"/>
                <w:lock w:val="sdtLocked"/>
              </w:sdtPr>
              <w:sdtEndPr>
                <w:rPr>
                  <w:rFonts w:hint="eastAsia"/>
                </w:rPr>
              </w:sdtEndPr>
              <w:sdtContent>
                <w:tc>
                  <w:tcPr>
                    <w:tcW w:w="705" w:type="pct"/>
                  </w:tcPr>
                  <w:p>
                    <w:pPr>
                      <w:autoSpaceDE w:val="0"/>
                      <w:autoSpaceDN w:val="0"/>
                      <w:adjustRightInd w:val="0"/>
                      <w:jc w:val="center"/>
                    </w:pPr>
                    <w:r>
                      <w:rPr>
                        <w:rFonts w:hint="eastAsia"/>
                      </w:rPr>
                      <w:t>本期合计取出金额</w:t>
                    </w:r>
                  </w:p>
                </w:tc>
              </w:sdtContent>
            </w:sdt>
            <w:tc>
              <w:tcPr>
                <w:tcW w:w="554" w:type="pct"/>
                <w:vMerge w:val="continue"/>
                <w:shd w:val="clear" w:color="auto" w:fill="auto"/>
                <w:vAlign w:val="center"/>
              </w:tcPr>
              <w:p>
                <w:pPr>
                  <w:autoSpaceDE w:val="0"/>
                  <w:autoSpaceDN w:val="0"/>
                  <w:adjustRightInd w:val="0"/>
                  <w:jc w:val="center"/>
                </w:pPr>
              </w:p>
            </w:tc>
          </w:tr>
          <w:sdt>
            <w:sdtPr>
              <w:alias w:val="存款业务情况"/>
              <w:tag w:val="_TUP_7893ada999f84d7184071ef0e6358dc2"/>
              <w:id w:val="1671759169"/>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 w:type="pct"/>
                    <w:shd w:val="clear" w:color="auto" w:fill="auto"/>
                    <w:vAlign w:val="center"/>
                  </w:tcPr>
                  <w:p>
                    <w:pPr>
                      <w:autoSpaceDE w:val="0"/>
                      <w:autoSpaceDN w:val="0"/>
                      <w:adjustRightInd w:val="0"/>
                      <w:jc w:val="center"/>
                    </w:pPr>
                    <w:r>
                      <w:t>财务公司</w:t>
                    </w:r>
                  </w:p>
                </w:tc>
                <w:tc>
                  <w:tcPr>
                    <w:tcW w:w="458" w:type="pct"/>
                    <w:shd w:val="clear" w:color="auto" w:fill="auto"/>
                    <w:vAlign w:val="center"/>
                  </w:tcPr>
                  <w:p>
                    <w:pPr>
                      <w:autoSpaceDE w:val="0"/>
                      <w:autoSpaceDN w:val="0"/>
                      <w:adjustRightInd w:val="0"/>
                      <w:jc w:val="center"/>
                    </w:pPr>
                    <w:r>
                      <w:rPr>
                        <w:rFonts w:hint="eastAsia"/>
                      </w:rPr>
                      <w:t>联营企业及同一最终控股股</w:t>
                    </w:r>
                  </w:p>
                </w:tc>
                <w:tc>
                  <w:tcPr>
                    <w:tcW w:w="706" w:type="pct"/>
                    <w:shd w:val="clear" w:color="auto" w:fill="auto"/>
                    <w:vAlign w:val="center"/>
                  </w:tcPr>
                  <w:p>
                    <w:pPr>
                      <w:autoSpaceDE w:val="0"/>
                      <w:autoSpaceDN w:val="0"/>
                      <w:adjustRightInd w:val="0"/>
                      <w:jc w:val="right"/>
                    </w:pPr>
                    <w:r>
                      <w:rPr>
                        <w:rFonts w:hint="eastAsia"/>
                      </w:rPr>
                      <w:t>每日最高存款余额（包括应计利息）不超过人民币</w:t>
                    </w:r>
                    <w:r>
                      <w:t>4亿元，且低于本公司经审计营业收入、总资产或市值的5%</w:t>
                    </w:r>
                    <w:r>
                      <w:rPr>
                        <w:rFonts w:hint="eastAsia"/>
                      </w:rPr>
                      <w:t>（原每日最高存款余额为人民币</w:t>
                    </w:r>
                    <w:r>
                      <w:t>6亿，已于2023年3月24日签订补充协议调整为人民币4亿元）</w:t>
                    </w:r>
                  </w:p>
                </w:tc>
                <w:tc>
                  <w:tcPr>
                    <w:tcW w:w="861" w:type="pct"/>
                    <w:shd w:val="clear" w:color="auto" w:fill="auto"/>
                    <w:vAlign w:val="center"/>
                  </w:tcPr>
                  <w:p>
                    <w:pPr>
                      <w:autoSpaceDE w:val="0"/>
                      <w:autoSpaceDN w:val="0"/>
                      <w:adjustRightInd w:val="0"/>
                      <w:jc w:val="right"/>
                    </w:pPr>
                    <w:r>
                      <w:rPr>
                        <w:rFonts w:hint="eastAsia"/>
                      </w:rPr>
                      <w:t>活期存款在人民币</w:t>
                    </w:r>
                    <w:r>
                      <w:t xml:space="preserve"> 10 </w:t>
                    </w:r>
                  </w:p>
                  <w:p>
                    <w:pPr>
                      <w:autoSpaceDE w:val="0"/>
                      <w:autoSpaceDN w:val="0"/>
                      <w:adjustRightInd w:val="0"/>
                      <w:jc w:val="right"/>
                    </w:pPr>
                    <w:r>
                      <w:rPr>
                        <w:rFonts w:hint="eastAsia"/>
                      </w:rPr>
                      <w:t>万元内部分，按</w:t>
                    </w:r>
                    <w:r>
                      <w:t>0.385%计算，超过人民币 10 万元部分按1.265%计息；保证金存款按照对应财务公司挂牌的整存整取存款利率计息。</w:t>
                    </w:r>
                  </w:p>
                </w:tc>
                <w:tc>
                  <w:tcPr>
                    <w:tcW w:w="705" w:type="pct"/>
                    <w:shd w:val="clear" w:color="auto" w:fill="auto"/>
                    <w:vAlign w:val="center"/>
                  </w:tcPr>
                  <w:p>
                    <w:pPr>
                      <w:autoSpaceDE w:val="0"/>
                      <w:autoSpaceDN w:val="0"/>
                      <w:adjustRightInd w:val="0"/>
                      <w:jc w:val="right"/>
                    </w:pPr>
                    <w:r>
                      <w:t>597,044,456.03</w:t>
                    </w:r>
                  </w:p>
                </w:tc>
                <w:tc>
                  <w:tcPr>
                    <w:tcW w:w="783" w:type="pct"/>
                    <w:shd w:val="clear" w:color="auto" w:fill="auto"/>
                    <w:vAlign w:val="center"/>
                  </w:tcPr>
                  <w:p>
                    <w:pPr>
                      <w:autoSpaceDE w:val="0"/>
                      <w:autoSpaceDN w:val="0"/>
                      <w:adjustRightInd w:val="0"/>
                      <w:jc w:val="right"/>
                    </w:pPr>
                    <w:r>
                      <w:t>4,525,458,162.82</w:t>
                    </w:r>
                  </w:p>
                </w:tc>
                <w:tc>
                  <w:tcPr>
                    <w:tcW w:w="705" w:type="pct"/>
                    <w:vAlign w:val="center"/>
                  </w:tcPr>
                  <w:p>
                    <w:pPr>
                      <w:autoSpaceDE w:val="0"/>
                      <w:autoSpaceDN w:val="0"/>
                      <w:adjustRightInd w:val="0"/>
                      <w:jc w:val="right"/>
                    </w:pPr>
                    <w:r>
                      <w:t>4,723,555,081.26</w:t>
                    </w:r>
                  </w:p>
                </w:tc>
                <w:tc>
                  <w:tcPr>
                    <w:tcW w:w="554" w:type="pct"/>
                    <w:shd w:val="clear" w:color="auto" w:fill="auto"/>
                    <w:vAlign w:val="center"/>
                  </w:tcPr>
                  <w:p>
                    <w:pPr>
                      <w:autoSpaceDE w:val="0"/>
                      <w:autoSpaceDN w:val="0"/>
                      <w:adjustRightInd w:val="0"/>
                      <w:jc w:val="right"/>
                    </w:pPr>
                    <w:r>
                      <w:t>398,947,537.59</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 w:type="pct"/>
                <w:shd w:val="clear" w:color="auto" w:fill="auto"/>
                <w:vAlign w:val="center"/>
              </w:tcPr>
              <w:sdt>
                <w:sdtPr>
                  <w:tag w:val="_PLD_6e6d0d47c2e24fd28770c6920b40073b"/>
                  <w:id w:val="-508286757"/>
                  <w:lock w:val="sdtLocked"/>
                </w:sdtPr>
                <w:sdtContent>
                  <w:p>
                    <w:pPr>
                      <w:autoSpaceDE w:val="0"/>
                      <w:autoSpaceDN w:val="0"/>
                      <w:adjustRightInd w:val="0"/>
                      <w:jc w:val="center"/>
                    </w:pPr>
                    <w:r>
                      <w:t>合计</w:t>
                    </w:r>
                  </w:p>
                </w:sdtContent>
              </w:sdt>
            </w:tc>
            <w:tc>
              <w:tcPr>
                <w:tcW w:w="458" w:type="pct"/>
                <w:shd w:val="clear" w:color="auto" w:fill="auto"/>
                <w:vAlign w:val="center"/>
              </w:tcPr>
              <w:p>
                <w:pPr>
                  <w:autoSpaceDE w:val="0"/>
                  <w:autoSpaceDN w:val="0"/>
                  <w:adjustRightInd w:val="0"/>
                  <w:jc w:val="center"/>
                </w:pPr>
                <w:r>
                  <w:rPr>
                    <w:rFonts w:hint="eastAsia"/>
                  </w:rPr>
                  <w:t>/</w:t>
                </w:r>
              </w:p>
            </w:tc>
            <w:tc>
              <w:tcPr>
                <w:tcW w:w="706" w:type="pct"/>
                <w:shd w:val="clear" w:color="auto" w:fill="auto"/>
                <w:vAlign w:val="center"/>
              </w:tcPr>
              <w:p>
                <w:pPr>
                  <w:autoSpaceDE w:val="0"/>
                  <w:autoSpaceDN w:val="0"/>
                  <w:adjustRightInd w:val="0"/>
                  <w:jc w:val="right"/>
                </w:pPr>
                <w:r>
                  <w:rPr>
                    <w:rFonts w:hint="eastAsia"/>
                  </w:rPr>
                  <w:t>/</w:t>
                </w:r>
              </w:p>
            </w:tc>
            <w:tc>
              <w:tcPr>
                <w:tcW w:w="861" w:type="pct"/>
                <w:shd w:val="clear" w:color="auto" w:fill="auto"/>
                <w:vAlign w:val="center"/>
              </w:tcPr>
              <w:p>
                <w:pPr>
                  <w:autoSpaceDE w:val="0"/>
                  <w:autoSpaceDN w:val="0"/>
                  <w:adjustRightInd w:val="0"/>
                  <w:jc w:val="right"/>
                </w:pPr>
                <w:r>
                  <w:rPr>
                    <w:rFonts w:hint="eastAsia"/>
                  </w:rPr>
                  <w:t>/</w:t>
                </w:r>
              </w:p>
            </w:tc>
            <w:tc>
              <w:tcPr>
                <w:tcW w:w="705" w:type="pct"/>
                <w:shd w:val="clear" w:color="auto" w:fill="auto"/>
                <w:vAlign w:val="center"/>
              </w:tcPr>
              <w:p>
                <w:pPr>
                  <w:rPr>
                    <w:sz w:val="24"/>
                    <w:szCs w:val="24"/>
                  </w:rPr>
                </w:pPr>
                <w:r>
                  <w:t>597,044,456.03</w:t>
                </w:r>
              </w:p>
            </w:tc>
            <w:tc>
              <w:tcPr>
                <w:tcW w:w="783" w:type="pct"/>
                <w:shd w:val="clear" w:color="auto" w:fill="auto"/>
                <w:vAlign w:val="center"/>
              </w:tcPr>
              <w:p>
                <w:pPr>
                  <w:rPr>
                    <w:sz w:val="24"/>
                    <w:szCs w:val="24"/>
                  </w:rPr>
                </w:pPr>
                <w:r>
                  <w:t>4,525,458,162.82</w:t>
                </w:r>
              </w:p>
            </w:tc>
            <w:tc>
              <w:tcPr>
                <w:tcW w:w="705" w:type="pct"/>
                <w:vAlign w:val="center"/>
              </w:tcPr>
              <w:p>
                <w:pPr>
                  <w:rPr>
                    <w:sz w:val="24"/>
                    <w:szCs w:val="24"/>
                  </w:rPr>
                </w:pPr>
                <w:r>
                  <w:t>4,723,555,081.26</w:t>
                </w:r>
              </w:p>
            </w:tc>
            <w:tc>
              <w:tcPr>
                <w:tcW w:w="554" w:type="pct"/>
                <w:shd w:val="clear" w:color="auto" w:fill="auto"/>
                <w:vAlign w:val="center"/>
              </w:tcPr>
              <w:p>
                <w:pPr>
                  <w:rPr>
                    <w:sz w:val="24"/>
                    <w:szCs w:val="24"/>
                  </w:rPr>
                </w:pPr>
                <w:r>
                  <w:t>398,947,537.59</w:t>
                </w:r>
              </w:p>
            </w:tc>
          </w:tr>
        </w:tbl>
        <w:p>
          <w:pPr>
            <w:pStyle w:val="114"/>
          </w:pPr>
        </w:p>
      </w:sdtContent>
    </w:sdt>
    <w:bookmarkEnd w:id="60"/>
    <w:sdt>
      <w:sdtPr>
        <w:rPr>
          <w:rFonts w:hint="eastAsia" w:ascii="宋体" w:hAnsi="宋体" w:cs="宋体"/>
          <w:b w:val="0"/>
          <w:bCs w:val="0"/>
          <w:kern w:val="0"/>
          <w:szCs w:val="24"/>
        </w:rPr>
        <w:alias w:val="模块:贷款业务"/>
        <w:tag w:val="_SEC_45b8c1047ae846eebaed610686a59163"/>
        <w:id w:val="2034770666"/>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25"/>
            </w:numPr>
            <w:rPr>
              <w:rFonts w:ascii="宋体" w:hAnsi="宋体"/>
            </w:rPr>
          </w:pPr>
          <w:bookmarkStart w:id="61" w:name="_Hlk106875255"/>
          <w:r>
            <w:rPr>
              <w:rFonts w:hint="eastAsia" w:ascii="宋体" w:hAnsi="宋体"/>
            </w:rPr>
            <w:t>贷款业务</w:t>
          </w:r>
        </w:p>
        <w:sdt>
          <w:sdtPr>
            <w:alias w:val="是否适用：贷款业务[双击切换]"/>
            <w:tag w:val="_GBC_15b9ec2cfd26471eb84f966164f4e1fa"/>
            <w:id w:val="-17273696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贷款业务情况"/>
              <w:tag w:val="_GBC_00ad76cd7031486d9c7b9a4a4ddf886c"/>
              <w:id w:val="72495955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元</w:t>
              </w:r>
            </w:sdtContent>
          </w:sdt>
          <w:r>
            <w:rPr>
              <w:rFonts w:hint="eastAsia"/>
            </w:rPr>
            <w:t xml:space="preserve">  币种：</w:t>
          </w:r>
          <w:sdt>
            <w:sdtPr>
              <w:rPr>
                <w:rFonts w:hint="eastAsia"/>
              </w:rPr>
              <w:alias w:val="币种：贷款业务情况"/>
              <w:tag w:val="_GBC_2346ac86af354eb19e43f4e9b28e4376"/>
              <w:id w:val="10550449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720"/>
            <w:gridCol w:w="1312"/>
            <w:gridCol w:w="1417"/>
            <w:gridCol w:w="1276"/>
            <w:gridCol w:w="1419"/>
            <w:gridCol w:w="1274"/>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7ccdec2bb6f94443b7713c1c56ae19fd"/>
                <w:id w:val="1983576920"/>
                <w:lock w:val="sdtLocked"/>
              </w:sdtPr>
              <w:sdtEndPr>
                <w:rPr>
                  <w:rFonts w:hint="eastAsia"/>
                </w:rPr>
              </w:sdtEndPr>
              <w:sdtContent>
                <w:tc>
                  <w:tcPr>
                    <w:tcW w:w="347" w:type="pct"/>
                    <w:vMerge w:val="restart"/>
                    <w:shd w:val="clear" w:color="auto" w:fill="auto"/>
                    <w:vAlign w:val="center"/>
                  </w:tcPr>
                  <w:p>
                    <w:pPr>
                      <w:autoSpaceDE w:val="0"/>
                      <w:autoSpaceDN w:val="0"/>
                      <w:adjustRightInd w:val="0"/>
                      <w:jc w:val="center"/>
                    </w:pPr>
                    <w:r>
                      <w:rPr>
                        <w:rFonts w:hint="eastAsia"/>
                      </w:rPr>
                      <w:t>关联方</w:t>
                    </w:r>
                  </w:p>
                </w:tc>
              </w:sdtContent>
            </w:sdt>
            <w:sdt>
              <w:sdtPr>
                <w:rPr>
                  <w:rFonts w:hint="eastAsia"/>
                </w:rPr>
                <w:tag w:val="_PLD_34800de0a23746a9808d2abc3c4b5f1c"/>
                <w:id w:val="-1055237441"/>
                <w:lock w:val="sdtLocked"/>
              </w:sdtPr>
              <w:sdtEndPr>
                <w:rPr>
                  <w:rFonts w:hint="eastAsia"/>
                </w:rPr>
              </w:sdtEndPr>
              <w:sdtContent>
                <w:tc>
                  <w:tcPr>
                    <w:tcW w:w="398" w:type="pct"/>
                    <w:vMerge w:val="restart"/>
                    <w:shd w:val="clear" w:color="auto" w:fill="auto"/>
                    <w:vAlign w:val="center"/>
                  </w:tcPr>
                  <w:p>
                    <w:pPr>
                      <w:autoSpaceDE w:val="0"/>
                      <w:autoSpaceDN w:val="0"/>
                      <w:adjustRightInd w:val="0"/>
                      <w:jc w:val="center"/>
                    </w:pPr>
                    <w:r>
                      <w:rPr>
                        <w:rFonts w:hint="eastAsia"/>
                      </w:rPr>
                      <w:t>关联关系</w:t>
                    </w:r>
                  </w:p>
                </w:tc>
              </w:sdtContent>
            </w:sdt>
            <w:sdt>
              <w:sdtPr>
                <w:tag w:val="_PLD_dfb92dc18b4943a2b8e0637ac8e976a9"/>
                <w:id w:val="-1205561464"/>
                <w:lock w:val="sdtLocked"/>
              </w:sdtPr>
              <w:sdtContent>
                <w:tc>
                  <w:tcPr>
                    <w:tcW w:w="725" w:type="pct"/>
                    <w:vMerge w:val="restart"/>
                    <w:shd w:val="clear" w:color="auto" w:fill="auto"/>
                    <w:vAlign w:val="center"/>
                  </w:tcPr>
                  <w:p>
                    <w:pPr>
                      <w:autoSpaceDE w:val="0"/>
                      <w:autoSpaceDN w:val="0"/>
                      <w:adjustRightInd w:val="0"/>
                      <w:jc w:val="center"/>
                    </w:pPr>
                    <w:r>
                      <w:t>贷款额度</w:t>
                    </w:r>
                  </w:p>
                </w:tc>
              </w:sdtContent>
            </w:sdt>
            <w:sdt>
              <w:sdtPr>
                <w:tag w:val="_PLD_37830bab3f184d6f885fa2d04676b78a"/>
                <w:id w:val="-1364437669"/>
                <w:lock w:val="sdtLocked"/>
              </w:sdtPr>
              <w:sdtContent>
                <w:tc>
                  <w:tcPr>
                    <w:tcW w:w="783" w:type="pct"/>
                    <w:vMerge w:val="restart"/>
                    <w:shd w:val="clear" w:color="auto" w:fill="auto"/>
                    <w:vAlign w:val="center"/>
                  </w:tcPr>
                  <w:p>
                    <w:pPr>
                      <w:autoSpaceDE w:val="0"/>
                      <w:autoSpaceDN w:val="0"/>
                      <w:adjustRightInd w:val="0"/>
                      <w:jc w:val="center"/>
                    </w:pPr>
                    <w:r>
                      <w:t>贷款利率范围</w:t>
                    </w:r>
                  </w:p>
                </w:tc>
              </w:sdtContent>
            </w:sdt>
            <w:sdt>
              <w:sdtPr>
                <w:tag w:val="_PLD_5cad7812dfed4700b1fd6b6b0d481d68"/>
                <w:id w:val="-765306870"/>
                <w:lock w:val="sdtLocked"/>
              </w:sdtPr>
              <w:sdtContent>
                <w:tc>
                  <w:tcPr>
                    <w:tcW w:w="705" w:type="pct"/>
                    <w:vMerge w:val="restart"/>
                    <w:shd w:val="clear" w:color="auto" w:fill="auto"/>
                    <w:vAlign w:val="center"/>
                  </w:tcPr>
                  <w:p>
                    <w:pPr>
                      <w:autoSpaceDE w:val="0"/>
                      <w:autoSpaceDN w:val="0"/>
                      <w:adjustRightInd w:val="0"/>
                      <w:jc w:val="center"/>
                    </w:pPr>
                    <w:r>
                      <w:t>期初余额</w:t>
                    </w:r>
                  </w:p>
                </w:tc>
              </w:sdtContent>
            </w:sdt>
            <w:sdt>
              <w:sdtPr>
                <w:tag w:val="_PLD_cd7f045054244bbf9758d1f15eae221c"/>
                <w:id w:val="-888565085"/>
                <w:lock w:val="sdtLocked"/>
              </w:sdtPr>
              <w:sdtContent>
                <w:tc>
                  <w:tcPr>
                    <w:tcW w:w="1488" w:type="pct"/>
                    <w:gridSpan w:val="2"/>
                    <w:shd w:val="clear" w:color="auto" w:fill="auto"/>
                    <w:vAlign w:val="center"/>
                  </w:tcPr>
                  <w:p>
                    <w:pPr>
                      <w:autoSpaceDE w:val="0"/>
                      <w:autoSpaceDN w:val="0"/>
                      <w:adjustRightInd w:val="0"/>
                      <w:jc w:val="center"/>
                    </w:pPr>
                    <w:r>
                      <w:t>本期发生额</w:t>
                    </w:r>
                  </w:p>
                </w:tc>
              </w:sdtContent>
            </w:sdt>
            <w:sdt>
              <w:sdtPr>
                <w:tag w:val="_PLD_5057306024d64be48c625625af4ed37b"/>
                <w:id w:val="-606274603"/>
                <w:lock w:val="sdtLocked"/>
              </w:sdtPr>
              <w:sdtContent>
                <w:tc>
                  <w:tcPr>
                    <w:tcW w:w="554" w:type="pct"/>
                    <w:vMerge w:val="restart"/>
                    <w:shd w:val="clear" w:color="auto" w:fill="auto"/>
                    <w:vAlign w:val="center"/>
                  </w:tcPr>
                  <w:p>
                    <w:pPr>
                      <w:autoSpaceDE w:val="0"/>
                      <w:autoSpaceDN w:val="0"/>
                      <w:adjustRightInd w:val="0"/>
                      <w:jc w:val="center"/>
                    </w:pPr>
                    <w: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 w:type="pct"/>
                <w:vMerge w:val="continue"/>
                <w:shd w:val="clear" w:color="auto" w:fill="auto"/>
                <w:vAlign w:val="center"/>
              </w:tcPr>
              <w:p>
                <w:pPr>
                  <w:autoSpaceDE w:val="0"/>
                  <w:autoSpaceDN w:val="0"/>
                  <w:adjustRightInd w:val="0"/>
                  <w:jc w:val="center"/>
                </w:pPr>
              </w:p>
            </w:tc>
            <w:tc>
              <w:tcPr>
                <w:tcW w:w="398" w:type="pct"/>
                <w:vMerge w:val="continue"/>
                <w:shd w:val="clear" w:color="auto" w:fill="auto"/>
                <w:vAlign w:val="center"/>
              </w:tcPr>
              <w:p>
                <w:pPr>
                  <w:autoSpaceDE w:val="0"/>
                  <w:autoSpaceDN w:val="0"/>
                  <w:adjustRightInd w:val="0"/>
                  <w:jc w:val="center"/>
                </w:pPr>
              </w:p>
            </w:tc>
            <w:tc>
              <w:tcPr>
                <w:tcW w:w="725" w:type="pct"/>
                <w:vMerge w:val="continue"/>
                <w:shd w:val="clear" w:color="auto" w:fill="auto"/>
                <w:vAlign w:val="center"/>
              </w:tcPr>
              <w:p>
                <w:pPr>
                  <w:autoSpaceDE w:val="0"/>
                  <w:autoSpaceDN w:val="0"/>
                  <w:adjustRightInd w:val="0"/>
                  <w:jc w:val="center"/>
                </w:pPr>
              </w:p>
            </w:tc>
            <w:tc>
              <w:tcPr>
                <w:tcW w:w="783" w:type="pct"/>
                <w:vMerge w:val="continue"/>
                <w:shd w:val="clear" w:color="auto" w:fill="auto"/>
                <w:vAlign w:val="center"/>
              </w:tcPr>
              <w:p>
                <w:pPr>
                  <w:autoSpaceDE w:val="0"/>
                  <w:autoSpaceDN w:val="0"/>
                  <w:adjustRightInd w:val="0"/>
                  <w:jc w:val="center"/>
                </w:pPr>
              </w:p>
            </w:tc>
            <w:tc>
              <w:tcPr>
                <w:tcW w:w="705" w:type="pct"/>
                <w:vMerge w:val="continue"/>
                <w:shd w:val="clear" w:color="auto" w:fill="auto"/>
                <w:vAlign w:val="center"/>
              </w:tcPr>
              <w:p>
                <w:pPr>
                  <w:autoSpaceDE w:val="0"/>
                  <w:autoSpaceDN w:val="0"/>
                  <w:adjustRightInd w:val="0"/>
                  <w:jc w:val="center"/>
                </w:pPr>
              </w:p>
            </w:tc>
            <w:sdt>
              <w:sdtPr>
                <w:rPr>
                  <w:rFonts w:hint="eastAsia"/>
                </w:rPr>
                <w:tag w:val="_PLD_5e696e51a65f4c20a7cd76e58adf2d7e"/>
                <w:id w:val="-2033712310"/>
                <w:lock w:val="sdtLocked"/>
              </w:sdtPr>
              <w:sdtEndPr>
                <w:rPr>
                  <w:rFonts w:hint="eastAsia"/>
                </w:rPr>
              </w:sdtEndPr>
              <w:sdtContent>
                <w:tc>
                  <w:tcPr>
                    <w:tcW w:w="784" w:type="pct"/>
                    <w:shd w:val="clear" w:color="auto" w:fill="auto"/>
                    <w:vAlign w:val="center"/>
                  </w:tcPr>
                  <w:p>
                    <w:pPr>
                      <w:autoSpaceDE w:val="0"/>
                      <w:autoSpaceDN w:val="0"/>
                      <w:adjustRightInd w:val="0"/>
                      <w:jc w:val="center"/>
                    </w:pPr>
                    <w:r>
                      <w:rPr>
                        <w:rFonts w:hint="eastAsia"/>
                      </w:rPr>
                      <w:t>本期合计贷款金额</w:t>
                    </w:r>
                  </w:p>
                </w:tc>
              </w:sdtContent>
            </w:sdt>
            <w:sdt>
              <w:sdtPr>
                <w:rPr>
                  <w:rFonts w:hint="eastAsia"/>
                </w:rPr>
                <w:tag w:val="_PLD_1e91155a2791417ba8957ae6050af745"/>
                <w:id w:val="-2017836240"/>
                <w:lock w:val="sdtLocked"/>
              </w:sdtPr>
              <w:sdtEndPr>
                <w:rPr>
                  <w:rFonts w:hint="eastAsia"/>
                </w:rPr>
              </w:sdtEndPr>
              <w:sdtContent>
                <w:tc>
                  <w:tcPr>
                    <w:tcW w:w="704" w:type="pct"/>
                  </w:tcPr>
                  <w:p>
                    <w:pPr>
                      <w:autoSpaceDE w:val="0"/>
                      <w:autoSpaceDN w:val="0"/>
                      <w:adjustRightInd w:val="0"/>
                      <w:jc w:val="center"/>
                    </w:pPr>
                    <w:r>
                      <w:rPr>
                        <w:rFonts w:hint="eastAsia"/>
                      </w:rPr>
                      <w:t>本期合计还款金额</w:t>
                    </w:r>
                  </w:p>
                </w:tc>
              </w:sdtContent>
            </w:sdt>
            <w:tc>
              <w:tcPr>
                <w:tcW w:w="554" w:type="pct"/>
                <w:vMerge w:val="continue"/>
                <w:shd w:val="clear" w:color="auto" w:fill="auto"/>
                <w:vAlign w:val="center"/>
              </w:tcPr>
              <w:p>
                <w:pPr>
                  <w:autoSpaceDE w:val="0"/>
                  <w:autoSpaceDN w:val="0"/>
                  <w:adjustRightInd w:val="0"/>
                  <w:jc w:val="center"/>
                </w:pPr>
              </w:p>
            </w:tc>
          </w:tr>
          <w:sdt>
            <w:sdtPr>
              <w:alias w:val="贷款业务情况"/>
              <w:tag w:val="_TUP_dfa61203a3f74c6a99d6455a5a9a9cd3"/>
              <w:id w:val="-734236849"/>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 w:type="pct"/>
                    <w:shd w:val="clear" w:color="auto" w:fill="auto"/>
                    <w:vAlign w:val="center"/>
                  </w:tcPr>
                  <w:p>
                    <w:pPr>
                      <w:autoSpaceDE w:val="0"/>
                      <w:autoSpaceDN w:val="0"/>
                      <w:adjustRightInd w:val="0"/>
                      <w:jc w:val="center"/>
                    </w:pPr>
                    <w:r>
                      <w:t>财务公司</w:t>
                    </w:r>
                  </w:p>
                </w:tc>
                <w:tc>
                  <w:tcPr>
                    <w:tcW w:w="398" w:type="pct"/>
                    <w:shd w:val="clear" w:color="auto" w:fill="auto"/>
                    <w:vAlign w:val="center"/>
                  </w:tcPr>
                  <w:p>
                    <w:pPr>
                      <w:autoSpaceDE w:val="0"/>
                      <w:autoSpaceDN w:val="0"/>
                      <w:adjustRightInd w:val="0"/>
                      <w:jc w:val="center"/>
                    </w:pPr>
                    <w:r>
                      <w:rPr>
                        <w:rFonts w:hint="eastAsia"/>
                      </w:rPr>
                      <w:t>联营企业及同一最终控股股东</w:t>
                    </w:r>
                  </w:p>
                </w:tc>
                <w:tc>
                  <w:tcPr>
                    <w:tcW w:w="725" w:type="pct"/>
                    <w:shd w:val="clear" w:color="auto" w:fill="auto"/>
                    <w:vAlign w:val="center"/>
                  </w:tcPr>
                  <w:p>
                    <w:pPr>
                      <w:autoSpaceDE w:val="0"/>
                      <w:autoSpaceDN w:val="0"/>
                      <w:adjustRightInd w:val="0"/>
                      <w:ind w:right="210"/>
                      <w:jc w:val="right"/>
                    </w:pPr>
                    <w:r>
                      <w:rPr>
                        <w:rFonts w:hint="eastAsia"/>
                      </w:rPr>
                      <w:t>本报告期</w:t>
                    </w:r>
                    <w:r>
                      <w:t xml:space="preserve"> 综合无抵 押授信额 度：不低于人民 币 50亿 元综合授信额度</w:t>
                    </w:r>
                  </w:p>
                </w:tc>
                <w:tc>
                  <w:tcPr>
                    <w:tcW w:w="783" w:type="pct"/>
                    <w:shd w:val="clear" w:color="auto" w:fill="auto"/>
                    <w:vAlign w:val="center"/>
                  </w:tcPr>
                  <w:p>
                    <w:pPr>
                      <w:autoSpaceDE w:val="0"/>
                      <w:autoSpaceDN w:val="0"/>
                      <w:adjustRightInd w:val="0"/>
                      <w:jc w:val="right"/>
                    </w:pPr>
                    <w:r>
                      <w:t>2.4%-3.5%</w:t>
                    </w:r>
                  </w:p>
                </w:tc>
                <w:tc>
                  <w:tcPr>
                    <w:tcW w:w="705" w:type="pct"/>
                    <w:shd w:val="clear" w:color="auto" w:fill="auto"/>
                    <w:vAlign w:val="center"/>
                  </w:tcPr>
                  <w:p>
                    <w:pPr>
                      <w:autoSpaceDE w:val="0"/>
                      <w:autoSpaceDN w:val="0"/>
                      <w:adjustRightInd w:val="0"/>
                      <w:jc w:val="right"/>
                    </w:pPr>
                    <w:r>
                      <w:t>1,427,000,000</w:t>
                    </w:r>
                  </w:p>
                </w:tc>
                <w:tc>
                  <w:tcPr>
                    <w:tcW w:w="784" w:type="pct"/>
                    <w:shd w:val="clear" w:color="auto" w:fill="auto"/>
                    <w:vAlign w:val="center"/>
                  </w:tcPr>
                  <w:p>
                    <w:pPr>
                      <w:autoSpaceDE w:val="0"/>
                      <w:autoSpaceDN w:val="0"/>
                      <w:adjustRightInd w:val="0"/>
                      <w:jc w:val="right"/>
                    </w:pPr>
                    <w:r>
                      <w:t>350,000,000.00</w:t>
                    </w:r>
                  </w:p>
                </w:tc>
                <w:tc>
                  <w:tcPr>
                    <w:tcW w:w="704" w:type="pct"/>
                    <w:vAlign w:val="center"/>
                  </w:tcPr>
                  <w:p>
                    <w:pPr>
                      <w:autoSpaceDE w:val="0"/>
                      <w:autoSpaceDN w:val="0"/>
                      <w:adjustRightInd w:val="0"/>
                      <w:jc w:val="right"/>
                    </w:pPr>
                    <w:r>
                      <w:t>901,500,000.00</w:t>
                    </w:r>
                  </w:p>
                </w:tc>
                <w:tc>
                  <w:tcPr>
                    <w:tcW w:w="554" w:type="pct"/>
                    <w:shd w:val="clear" w:color="auto" w:fill="auto"/>
                    <w:vAlign w:val="center"/>
                  </w:tcPr>
                  <w:p>
                    <w:pPr>
                      <w:autoSpaceDE w:val="0"/>
                      <w:autoSpaceDN w:val="0"/>
                      <w:adjustRightInd w:val="0"/>
                      <w:jc w:val="right"/>
                    </w:pPr>
                    <w:r>
                      <w:t>875,500,000.00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 w:type="pct"/>
                <w:shd w:val="clear" w:color="auto" w:fill="auto"/>
                <w:vAlign w:val="center"/>
              </w:tcPr>
              <w:sdt>
                <w:sdtPr>
                  <w:tag w:val="_PLD_277e5c09675847d3bdb07d13bcb5b413"/>
                  <w:id w:val="1964304196"/>
                  <w:lock w:val="sdtLocked"/>
                </w:sdtPr>
                <w:sdtContent>
                  <w:p>
                    <w:pPr>
                      <w:autoSpaceDE w:val="0"/>
                      <w:autoSpaceDN w:val="0"/>
                      <w:adjustRightInd w:val="0"/>
                      <w:jc w:val="center"/>
                    </w:pPr>
                    <w:r>
                      <w:t>合计</w:t>
                    </w:r>
                  </w:p>
                </w:sdtContent>
              </w:sdt>
            </w:tc>
            <w:tc>
              <w:tcPr>
                <w:tcW w:w="398" w:type="pct"/>
                <w:shd w:val="clear" w:color="auto" w:fill="auto"/>
                <w:vAlign w:val="center"/>
              </w:tcPr>
              <w:p>
                <w:pPr>
                  <w:autoSpaceDE w:val="0"/>
                  <w:autoSpaceDN w:val="0"/>
                  <w:adjustRightInd w:val="0"/>
                  <w:jc w:val="center"/>
                </w:pPr>
                <w:r>
                  <w:rPr>
                    <w:rFonts w:hint="eastAsia"/>
                  </w:rPr>
                  <w:t>/</w:t>
                </w:r>
              </w:p>
            </w:tc>
            <w:tc>
              <w:tcPr>
                <w:tcW w:w="725" w:type="pct"/>
                <w:shd w:val="clear" w:color="auto" w:fill="auto"/>
                <w:vAlign w:val="center"/>
              </w:tcPr>
              <w:p>
                <w:pPr>
                  <w:autoSpaceDE w:val="0"/>
                  <w:autoSpaceDN w:val="0"/>
                  <w:adjustRightInd w:val="0"/>
                  <w:jc w:val="right"/>
                </w:pPr>
                <w:r>
                  <w:rPr>
                    <w:rFonts w:hint="eastAsia"/>
                  </w:rPr>
                  <w:t>/</w:t>
                </w:r>
              </w:p>
            </w:tc>
            <w:tc>
              <w:tcPr>
                <w:tcW w:w="783" w:type="pct"/>
                <w:shd w:val="clear" w:color="auto" w:fill="auto"/>
                <w:vAlign w:val="center"/>
              </w:tcPr>
              <w:p>
                <w:pPr>
                  <w:autoSpaceDE w:val="0"/>
                  <w:autoSpaceDN w:val="0"/>
                  <w:adjustRightInd w:val="0"/>
                  <w:jc w:val="right"/>
                </w:pPr>
                <w:r>
                  <w:rPr>
                    <w:rFonts w:hint="eastAsia"/>
                  </w:rPr>
                  <w:t>/</w:t>
                </w:r>
              </w:p>
            </w:tc>
            <w:tc>
              <w:tcPr>
                <w:tcW w:w="705" w:type="pct"/>
                <w:shd w:val="clear" w:color="auto" w:fill="auto"/>
                <w:vAlign w:val="center"/>
              </w:tcPr>
              <w:p>
                <w:pPr>
                  <w:rPr>
                    <w:sz w:val="24"/>
                    <w:szCs w:val="24"/>
                  </w:rPr>
                </w:pPr>
                <w:r>
                  <w:t>1,427,000,000</w:t>
                </w:r>
              </w:p>
            </w:tc>
            <w:tc>
              <w:tcPr>
                <w:tcW w:w="784" w:type="pct"/>
                <w:shd w:val="clear" w:color="auto" w:fill="auto"/>
                <w:vAlign w:val="center"/>
              </w:tcPr>
              <w:p>
                <w:pPr>
                  <w:rPr>
                    <w:sz w:val="24"/>
                    <w:szCs w:val="24"/>
                  </w:rPr>
                </w:pPr>
                <w:r>
                  <w:t>350,000,000.00</w:t>
                </w:r>
              </w:p>
            </w:tc>
            <w:tc>
              <w:tcPr>
                <w:tcW w:w="704" w:type="pct"/>
                <w:vAlign w:val="center"/>
              </w:tcPr>
              <w:p>
                <w:pPr>
                  <w:rPr>
                    <w:sz w:val="24"/>
                    <w:szCs w:val="24"/>
                  </w:rPr>
                </w:pPr>
                <w:r>
                  <w:t>901,500,000.00</w:t>
                </w:r>
              </w:p>
            </w:tc>
            <w:tc>
              <w:tcPr>
                <w:tcW w:w="554" w:type="pct"/>
                <w:shd w:val="clear" w:color="auto" w:fill="auto"/>
                <w:vAlign w:val="center"/>
              </w:tcPr>
              <w:p>
                <w:pPr>
                  <w:rPr>
                    <w:sz w:val="24"/>
                    <w:szCs w:val="24"/>
                  </w:rPr>
                </w:pPr>
                <w:r>
                  <w:t>875,500,000.00</w:t>
                </w:r>
              </w:p>
            </w:tc>
          </w:tr>
        </w:tbl>
        <w:p>
          <w:pPr>
            <w:pStyle w:val="114"/>
          </w:pPr>
        </w:p>
      </w:sdtContent>
    </w:sdt>
    <w:bookmarkEnd w:id="61"/>
    <w:sdt>
      <w:sdtPr>
        <w:rPr>
          <w:rFonts w:hint="eastAsia" w:ascii="宋体" w:hAnsi="宋体" w:cs="宋体"/>
          <w:b w:val="0"/>
          <w:bCs w:val="0"/>
          <w:kern w:val="0"/>
          <w:szCs w:val="24"/>
        </w:rPr>
        <w:alias w:val="模块:授信业务或其他金融业务"/>
        <w:tag w:val="_SEC_12af8280dba7414eaa58fcdd5ef5ac8d"/>
        <w:id w:val="2040623489"/>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25"/>
            </w:numPr>
            <w:rPr>
              <w:rFonts w:ascii="宋体" w:hAnsi="宋体" w:cs="宋体"/>
              <w:kern w:val="0"/>
              <w:szCs w:val="24"/>
            </w:rPr>
          </w:pPr>
          <w:bookmarkStart w:id="62" w:name="_Hlk41316014"/>
          <w:r>
            <w:rPr>
              <w:rFonts w:ascii="宋体" w:hAnsi="宋体" w:cs="宋体"/>
              <w:kern w:val="0"/>
              <w:szCs w:val="24"/>
            </w:rPr>
            <w:t>授信业务或其他金融业务</w:t>
          </w:r>
        </w:p>
        <w:sdt>
          <w:sdtPr>
            <w:rPr>
              <w:rFonts w:hint="eastAsia"/>
            </w:rPr>
            <w:alias w:val="是否适用：授信业务或其他金融业务[双击切换]"/>
            <w:tag w:val="_GBC_ed4458effe044108a44d95a5ced67408"/>
            <w:id w:val="-142240809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授信业务或其他金融业务"/>
              <w:tag w:val="_GBC_3d95de16365941ad9622303ec2c7f3f6"/>
              <w:id w:val="18422840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元</w:t>
              </w:r>
            </w:sdtContent>
          </w:sdt>
          <w:r>
            <w:rPr>
              <w:rFonts w:hint="eastAsia"/>
            </w:rPr>
            <w:t xml:space="preserve">  币种：</w:t>
          </w:r>
          <w:sdt>
            <w:sdtPr>
              <w:rPr>
                <w:rFonts w:hint="eastAsia"/>
              </w:rPr>
              <w:alias w:val="币种：授信业务或其他金融业务"/>
              <w:tag w:val="_GBC_ef34172f59714fa1aefa7b929c79d8bb"/>
              <w:id w:val="-10077452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4"/>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4"/>
            <w:gridCol w:w="1921"/>
            <w:gridCol w:w="2230"/>
            <w:gridCol w:w="1686"/>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ascii="宋体" w:hAnsi="宋体"/>
                </w:rPr>
                <w:tag w:val="_PLD_a1b48b1b7e60432da307374faf9e8683"/>
                <w:id w:val="273687762"/>
                <w:lock w:val="sdtLocked"/>
              </w:sdtPr>
              <w:sdtEndPr>
                <w:rPr>
                  <w:rFonts w:hint="eastAsia" w:ascii="宋体" w:hAnsi="宋体"/>
                </w:rPr>
              </w:sdtEndPr>
              <w:sdtContent>
                <w:tc>
                  <w:tcPr>
                    <w:tcW w:w="923" w:type="pct"/>
                    <w:shd w:val="clear" w:color="auto" w:fill="auto"/>
                    <w:vAlign w:val="center"/>
                  </w:tcPr>
                  <w:p>
                    <w:pPr>
                      <w:pStyle w:val="68"/>
                      <w:jc w:val="center"/>
                      <w:rPr>
                        <w:rFonts w:ascii="宋体" w:hAnsi="宋体"/>
                      </w:rPr>
                    </w:pPr>
                    <w:r>
                      <w:rPr>
                        <w:rFonts w:hint="eastAsia" w:ascii="宋体" w:hAnsi="宋体"/>
                      </w:rPr>
                      <w:t>关联方</w:t>
                    </w:r>
                  </w:p>
                </w:tc>
              </w:sdtContent>
            </w:sdt>
            <w:sdt>
              <w:sdtPr>
                <w:rPr>
                  <w:rFonts w:hint="eastAsia" w:ascii="宋体" w:hAnsi="宋体"/>
                </w:rPr>
                <w:tag w:val="_PLD_b86a8753f83845749c8d70762f62d625"/>
                <w:id w:val="-920874101"/>
                <w:lock w:val="sdtLocked"/>
              </w:sdtPr>
              <w:sdtEndPr>
                <w:rPr>
                  <w:rFonts w:hint="eastAsia" w:ascii="宋体" w:hAnsi="宋体"/>
                </w:rPr>
              </w:sdtEndPr>
              <w:sdtContent>
                <w:tc>
                  <w:tcPr>
                    <w:tcW w:w="1098" w:type="pct"/>
                    <w:shd w:val="clear" w:color="auto" w:fill="auto"/>
                    <w:vAlign w:val="center"/>
                  </w:tcPr>
                  <w:p>
                    <w:pPr>
                      <w:pStyle w:val="68"/>
                      <w:jc w:val="center"/>
                      <w:rPr>
                        <w:rFonts w:ascii="宋体" w:hAnsi="宋体"/>
                      </w:rPr>
                    </w:pPr>
                    <w:r>
                      <w:rPr>
                        <w:rFonts w:hint="eastAsia" w:ascii="宋体" w:hAnsi="宋体"/>
                      </w:rPr>
                      <w:t>关联关系</w:t>
                    </w:r>
                  </w:p>
                </w:tc>
              </w:sdtContent>
            </w:sdt>
            <w:sdt>
              <w:sdtPr>
                <w:rPr>
                  <w:rFonts w:hint="eastAsia" w:ascii="宋体" w:hAnsi="宋体"/>
                </w:rPr>
                <w:tag w:val="_PLD_a803596e70994f4b8d0abc41b05df444"/>
                <w:id w:val="-1557695962"/>
                <w:lock w:val="sdtLocked"/>
              </w:sdtPr>
              <w:sdtEndPr>
                <w:rPr>
                  <w:rFonts w:hint="eastAsia" w:ascii="宋体" w:hAnsi="宋体"/>
                </w:rPr>
              </w:sdtEndPr>
              <w:sdtContent>
                <w:tc>
                  <w:tcPr>
                    <w:tcW w:w="1269" w:type="pct"/>
                    <w:shd w:val="clear" w:color="auto" w:fill="auto"/>
                    <w:vAlign w:val="center"/>
                  </w:tcPr>
                  <w:p>
                    <w:pPr>
                      <w:pStyle w:val="68"/>
                      <w:jc w:val="center"/>
                      <w:rPr>
                        <w:rFonts w:ascii="宋体" w:hAnsi="宋体"/>
                      </w:rPr>
                    </w:pPr>
                    <w:r>
                      <w:rPr>
                        <w:rFonts w:hint="eastAsia" w:ascii="宋体" w:hAnsi="宋体"/>
                      </w:rPr>
                      <w:t>业务类型</w:t>
                    </w:r>
                  </w:p>
                </w:tc>
              </w:sdtContent>
            </w:sdt>
            <w:sdt>
              <w:sdtPr>
                <w:rPr>
                  <w:rFonts w:hint="eastAsia" w:ascii="宋体" w:hAnsi="宋体"/>
                </w:rPr>
                <w:tag w:val="_PLD_8b121a0dc9a44d87928d154453b446f7"/>
                <w:id w:val="-2129301974"/>
                <w:lock w:val="sdtLocked"/>
              </w:sdtPr>
              <w:sdtEndPr>
                <w:rPr>
                  <w:rFonts w:hint="eastAsia" w:ascii="宋体" w:hAnsi="宋体"/>
                </w:rPr>
              </w:sdtEndPr>
              <w:sdtContent>
                <w:tc>
                  <w:tcPr>
                    <w:tcW w:w="791" w:type="pct"/>
                    <w:shd w:val="clear" w:color="auto" w:fill="auto"/>
                    <w:vAlign w:val="center"/>
                  </w:tcPr>
                  <w:p>
                    <w:pPr>
                      <w:pStyle w:val="68"/>
                      <w:jc w:val="center"/>
                      <w:rPr>
                        <w:rFonts w:ascii="宋体" w:hAnsi="宋体"/>
                      </w:rPr>
                    </w:pPr>
                    <w:r>
                      <w:rPr>
                        <w:rFonts w:hint="eastAsia" w:ascii="宋体" w:hAnsi="宋体"/>
                      </w:rPr>
                      <w:t>总额</w:t>
                    </w:r>
                  </w:p>
                </w:tc>
              </w:sdtContent>
            </w:sdt>
            <w:sdt>
              <w:sdtPr>
                <w:rPr>
                  <w:rFonts w:hint="eastAsia" w:ascii="宋体" w:hAnsi="宋体"/>
                </w:rPr>
                <w:tag w:val="_PLD_c5506f4356ee44cdb9eaf0a1bef214c1"/>
                <w:id w:val="-1985993290"/>
                <w:lock w:val="sdtLocked"/>
              </w:sdtPr>
              <w:sdtEndPr>
                <w:rPr>
                  <w:rFonts w:hint="eastAsia" w:ascii="宋体" w:hAnsi="宋体"/>
                </w:rPr>
              </w:sdtEndPr>
              <w:sdtContent>
                <w:tc>
                  <w:tcPr>
                    <w:tcW w:w="919" w:type="pct"/>
                    <w:shd w:val="clear" w:color="auto" w:fill="auto"/>
                    <w:vAlign w:val="center"/>
                  </w:tcPr>
                  <w:p>
                    <w:pPr>
                      <w:pStyle w:val="68"/>
                      <w:jc w:val="center"/>
                      <w:rPr>
                        <w:rFonts w:ascii="宋体" w:hAnsi="宋体"/>
                      </w:rPr>
                    </w:pPr>
                    <w:r>
                      <w:rPr>
                        <w:rFonts w:hint="eastAsia" w:ascii="宋体" w:hAnsi="宋体"/>
                      </w:rPr>
                      <w:t>实际发生额</w:t>
                    </w:r>
                  </w:p>
                </w:tc>
              </w:sdtContent>
            </w:sdt>
          </w:tr>
          <w:sdt>
            <w:sdtPr>
              <w:alias w:val="授信业务或其他金融业务"/>
              <w:tag w:val="_TUP_843e63ff98b54ff68363982f88107346"/>
              <w:id w:val="-12832406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 w:type="pct"/>
                    <w:shd w:val="clear" w:color="auto" w:fill="auto"/>
                    <w:vAlign w:val="center"/>
                  </w:tcPr>
                  <w:p>
                    <w:pPr>
                      <w:autoSpaceDE w:val="0"/>
                      <w:autoSpaceDN w:val="0"/>
                      <w:adjustRightInd w:val="0"/>
                    </w:pPr>
                    <w:r>
                      <w:t>财务公司</w:t>
                    </w:r>
                  </w:p>
                </w:tc>
                <w:tc>
                  <w:tcPr>
                    <w:tcW w:w="1098" w:type="pct"/>
                    <w:shd w:val="clear" w:color="auto" w:fill="auto"/>
                    <w:vAlign w:val="center"/>
                  </w:tcPr>
                  <w:p>
                    <w:pPr>
                      <w:autoSpaceDE w:val="0"/>
                      <w:autoSpaceDN w:val="0"/>
                      <w:adjustRightInd w:val="0"/>
                    </w:pPr>
                    <w:r>
                      <w:rPr>
                        <w:rFonts w:hint="eastAsia"/>
                      </w:rPr>
                      <w:t>联营企业及同一最终控股股东</w:t>
                    </w:r>
                  </w:p>
                </w:tc>
                <w:tc>
                  <w:tcPr>
                    <w:tcW w:w="1269" w:type="pct"/>
                    <w:shd w:val="clear" w:color="auto" w:fill="auto"/>
                    <w:vAlign w:val="center"/>
                  </w:tcPr>
                  <w:p>
                    <w:pPr>
                      <w:autoSpaceDE w:val="0"/>
                      <w:autoSpaceDN w:val="0"/>
                      <w:adjustRightInd w:val="0"/>
                    </w:pPr>
                    <w:r>
                      <w:rPr>
                        <w:rFonts w:hint="eastAsia"/>
                      </w:rPr>
                      <w:t>电子商业汇票承兑</w:t>
                    </w:r>
                  </w:p>
                </w:tc>
                <w:tc>
                  <w:tcPr>
                    <w:tcW w:w="791" w:type="pct"/>
                    <w:shd w:val="clear" w:color="auto" w:fill="auto"/>
                    <w:vAlign w:val="center"/>
                  </w:tcPr>
                  <w:p>
                    <w:pPr>
                      <w:autoSpaceDE w:val="0"/>
                      <w:autoSpaceDN w:val="0"/>
                      <w:adjustRightInd w:val="0"/>
                      <w:jc w:val="right"/>
                    </w:pPr>
                    <w:r>
                      <w:t>156,650,000.00</w:t>
                    </w:r>
                  </w:p>
                </w:tc>
                <w:tc>
                  <w:tcPr>
                    <w:tcW w:w="919" w:type="pct"/>
                    <w:shd w:val="clear" w:color="auto" w:fill="auto"/>
                    <w:vAlign w:val="center"/>
                  </w:tcPr>
                  <w:p>
                    <w:pPr>
                      <w:autoSpaceDE w:val="0"/>
                      <w:autoSpaceDN w:val="0"/>
                      <w:adjustRightInd w:val="0"/>
                      <w:jc w:val="right"/>
                    </w:pPr>
                    <w:r>
                      <w:t>10,650,000.00</w:t>
                    </w:r>
                  </w:p>
                </w:tc>
              </w:tr>
            </w:sdtContent>
          </w:sdt>
        </w:tbl>
        <w:p>
          <w:pPr>
            <w:pStyle w:val="114"/>
          </w:pPr>
        </w:p>
      </w:sdtContent>
    </w:sdt>
    <w:bookmarkEnd w:id="62"/>
    <w:sdt>
      <w:sdtPr>
        <w:rPr>
          <w:rFonts w:hint="eastAsia" w:ascii="宋体" w:hAnsi="宋体" w:cs="宋体"/>
          <w:b w:val="0"/>
          <w:bCs w:val="0"/>
          <w:kern w:val="0"/>
          <w:szCs w:val="24"/>
        </w:rPr>
        <w:alias w:val="模块:其他说明"/>
        <w:tag w:val="_SEC_ede026bdca864b809b90849751fe4fc0"/>
        <w:id w:val="122893718"/>
        <w:lock w:val="sdtLocked"/>
        <w:placeholder>
          <w:docPart w:val="GBC22222222222222222222222222222"/>
        </w:placeholder>
      </w:sdtPr>
      <w:sdtEndPr>
        <w:rPr>
          <w:rFonts w:hint="eastAsia" w:ascii="宋体" w:hAnsi="宋体" w:cs="宋体"/>
          <w:b w:val="0"/>
          <w:bCs w:val="0"/>
          <w:color w:val="000000" w:themeColor="text1"/>
          <w:kern w:val="0"/>
          <w:szCs w:val="21"/>
          <w14:textFill>
            <w14:solidFill>
              <w14:schemeClr w14:val="tx1"/>
            </w14:solidFill>
          </w14:textFill>
        </w:rPr>
      </w:sdtEndPr>
      <w:sdtContent>
        <w:p>
          <w:pPr>
            <w:pStyle w:val="5"/>
            <w:numPr>
              <w:ilvl w:val="0"/>
              <w:numId w:val="25"/>
            </w:numPr>
            <w:rPr>
              <w:rFonts w:ascii="宋体" w:hAnsi="宋体" w:cs="宋体"/>
              <w:kern w:val="0"/>
              <w:szCs w:val="24"/>
            </w:rPr>
          </w:pPr>
          <w:bookmarkStart w:id="63" w:name="_Hlk41316022"/>
          <w:r>
            <w:rPr>
              <w:rFonts w:ascii="宋体" w:hAnsi="宋体" w:cs="宋体"/>
              <w:kern w:val="0"/>
              <w:szCs w:val="24"/>
            </w:rPr>
            <w:t>其他说明</w:t>
          </w:r>
        </w:p>
        <w:sdt>
          <w:sdtPr>
            <w:rPr>
              <w:color w:val="000000" w:themeColor="text1"/>
              <w14:textFill>
                <w14:solidFill>
                  <w14:schemeClr w14:val="tx1"/>
                </w14:solidFill>
              </w14:textFill>
            </w:rPr>
            <w:alias w:val="是否适用：公司与存在关联关系的财务公司、公司控股财务公司与关联方之间的金融业务的其他说明[双击切换]"/>
            <w:tag w:val="_GBC_784bbb2dab8c4fa58a94c1deef51e2c9"/>
            <w:id w:val="-1127089005"/>
            <w:lock w:val="sdtLocked"/>
            <w:placeholder>
              <w:docPart w:val="GBC22222222222222222222222222222"/>
            </w:placeholder>
          </w:sdtPr>
          <w:sdtEndPr>
            <w:rPr>
              <w:color w:val="000000" w:themeColor="text1"/>
              <w14:textFill>
                <w14:solidFill>
                  <w14:schemeClr w14:val="tx1"/>
                </w14:solidFill>
              </w14:textFill>
            </w:rPr>
          </w:sdtEndPr>
          <w:sdtContent>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□适用 </w:instrTex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√不适用 </w:instrText>
              </w:r>
              <w:r>
                <w:rPr>
                  <w:color w:val="000000" w:themeColor="text1"/>
                  <w14:textFill>
                    <w14:solidFill>
                      <w14:schemeClr w14:val="tx1"/>
                    </w14:solidFill>
                  </w14:textFill>
                </w:rPr>
                <w:fldChar w:fldCharType="end"/>
              </w:r>
            </w:p>
          </w:sdtContent>
        </w:sdt>
        <w:p>
          <w:pPr>
            <w:rPr>
              <w:color w:val="000000" w:themeColor="text1"/>
              <w14:textFill>
                <w14:solidFill>
                  <w14:schemeClr w14:val="tx1"/>
                </w14:solidFill>
              </w14:textFill>
            </w:rPr>
          </w:pPr>
        </w:p>
      </w:sdtContent>
    </w:sdt>
    <w:bookmarkEnd w:id="63"/>
    <w:sdt>
      <w:sdtPr>
        <w:rPr>
          <w:rFonts w:hint="eastAsia" w:ascii="宋体" w:hAnsi="宋体" w:cs="宋体"/>
          <w:b w:val="0"/>
          <w:bCs w:val="0"/>
          <w:kern w:val="0"/>
          <w:szCs w:val="24"/>
        </w:rPr>
        <w:alias w:val="模块:(五) 其他重大关联交易"/>
        <w:tag w:val="_SEC_d0d528034450466db3d12315559a161a"/>
        <w:id w:val="49272016"/>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2"/>
              <w:numId w:val="4"/>
            </w:numPr>
            <w:rPr>
              <w:rFonts w:ascii="宋体" w:hAnsi="宋体"/>
            </w:rPr>
          </w:pPr>
          <w:r>
            <w:rPr>
              <w:rFonts w:hint="eastAsia" w:ascii="宋体" w:hAnsi="宋体"/>
            </w:rPr>
            <w:t>其他重大关联交易</w:t>
          </w:r>
        </w:p>
        <w:sdt>
          <w:sdtPr>
            <w:rPr>
              <w:rFonts w:hint="eastAsia"/>
            </w:rPr>
            <w:alias w:val="是否适用：重大关联交易其他说明[双击切换]"/>
            <w:tag w:val="_GBC_7dd39ac420a244dcb8ea88c29ac07190"/>
            <w:id w:val="51697674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其他"/>
        <w:tag w:val="_SEC_94b5dc0c50e04cae8442e9675bd15742"/>
        <w:id w:val="-98955276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2"/>
              <w:numId w:val="4"/>
            </w:numPr>
            <w:rPr>
              <w:rFonts w:ascii="宋体" w:hAnsi="宋体"/>
            </w:rPr>
          </w:pPr>
          <w:r>
            <w:rPr>
              <w:rFonts w:hint="eastAsia" w:ascii="宋体" w:hAnsi="宋体"/>
            </w:rPr>
            <w:t>其他</w:t>
          </w:r>
        </w:p>
        <w:sdt>
          <w:sdtPr>
            <w:rPr>
              <w:rFonts w:hint="eastAsia"/>
            </w:rPr>
            <w:alias w:val="是否适用：重大关联交易事项其他补充说明[双击切换]"/>
            <w:tag w:val="_GBC_272061194cde466a9c566f0881c76d0d"/>
            <w:id w:val="-178819038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p>
      <w:pPr>
        <w:pStyle w:val="3"/>
        <w:numPr>
          <w:ilvl w:val="0"/>
          <w:numId w:val="19"/>
        </w:numPr>
        <w:tabs>
          <w:tab w:val="left" w:pos="426"/>
        </w:tabs>
        <w:ind w:left="422" w:hanging="422"/>
        <w:jc w:val="left"/>
        <w:rPr>
          <w:rFonts w:ascii="宋体" w:hAnsi="宋体"/>
        </w:rPr>
      </w:pPr>
      <w:r>
        <w:rPr>
          <w:rFonts w:hint="eastAsia" w:ascii="宋体" w:hAnsi="宋体"/>
        </w:rPr>
        <w:t>重大合同及其履行情况</w:t>
      </w:r>
    </w:p>
    <w:p>
      <w:pPr>
        <w:pStyle w:val="4"/>
        <w:numPr>
          <w:ilvl w:val="0"/>
          <w:numId w:val="26"/>
        </w:numPr>
        <w:rPr>
          <w:rFonts w:ascii="宋体" w:hAnsi="宋体"/>
        </w:rPr>
      </w:pPr>
      <w:r>
        <w:rPr>
          <w:rFonts w:ascii="宋体" w:hAnsi="宋体"/>
        </w:rPr>
        <w:t>托管、承包、租赁事项</w:t>
      </w:r>
    </w:p>
    <w:p>
      <w:pPr>
        <w:pStyle w:val="114"/>
      </w:pPr>
      <w:sdt>
        <w:sdtPr>
          <w:alias w:val="是否适用：托管、承包、租赁事项[双击切换]"/>
          <w:tag w:val="_GBC_daed561e68674d828a348a97bffbc154"/>
          <w:id w:val="1404024021"/>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ascii="宋体" w:hAnsi="宋体" w:cs="宋体"/>
          <w:b w:val="0"/>
          <w:bCs w:val="0"/>
          <w:kern w:val="0"/>
          <w:szCs w:val="22"/>
        </w:rPr>
        <w:alias w:val="模块:托管情况"/>
        <w:tag w:val="_SEC_9c01e84b84e4472699e6ea8e413814d7"/>
        <w:id w:val="883751740"/>
        <w:lock w:val="sdtLocked"/>
        <w:placeholder>
          <w:docPart w:val="GBC22222222222222222222222222222"/>
        </w:placeholder>
      </w:sdtPr>
      <w:sdtEndPr>
        <w:rPr>
          <w:rFonts w:hint="eastAsia" w:ascii="宋体" w:hAnsi="宋体" w:cs="宋体"/>
          <w:b w:val="0"/>
          <w:bCs w:val="0"/>
          <w:kern w:val="0"/>
          <w:szCs w:val="21"/>
          <w:shd w:val="pct10" w:color="auto" w:fill="FFFFFF"/>
        </w:rPr>
      </w:sdtEndPr>
      <w:sdtContent>
        <w:p>
          <w:pPr>
            <w:pStyle w:val="5"/>
            <w:numPr>
              <w:ilvl w:val="0"/>
              <w:numId w:val="27"/>
            </w:numPr>
            <w:rPr>
              <w:rFonts w:ascii="宋体" w:hAnsi="宋体"/>
            </w:rPr>
          </w:pPr>
          <w:r>
            <w:rPr>
              <w:rFonts w:hint="eastAsia" w:ascii="宋体" w:hAnsi="宋体"/>
            </w:rPr>
            <w:t>托管情况</w:t>
          </w:r>
        </w:p>
        <w:sdt>
          <w:sdtPr>
            <w:alias w:val="是否适用：托管情况[双击切换]"/>
            <w:tag w:val="_GBC_5f311928e67641ecb22c63cf8ecda62c"/>
            <w:id w:val="-129436832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shd w:val="pct10" w:color="auto" w:fill="FFFFFF"/>
            </w:rPr>
          </w:pPr>
        </w:p>
      </w:sdtContent>
    </w:sdt>
    <w:sdt>
      <w:sdtPr>
        <w:rPr>
          <w:rFonts w:ascii="宋体" w:hAnsi="宋体" w:cs="宋体"/>
          <w:b w:val="0"/>
          <w:bCs w:val="0"/>
          <w:kern w:val="0"/>
          <w:szCs w:val="22"/>
        </w:rPr>
        <w:alias w:val="模块:承包情况                         ..."/>
        <w:tag w:val="_SEC_37ed7d66ad1d401d8403e9b54bcb42bc"/>
        <w:id w:val="1915359533"/>
        <w:lock w:val="sdtLocked"/>
        <w:placeholder>
          <w:docPart w:val="GBC22222222222222222222222222222"/>
        </w:placeholder>
      </w:sdtPr>
      <w:sdtEndPr>
        <w:rPr>
          <w:rFonts w:hint="eastAsia" w:ascii="宋体" w:hAnsi="宋体" w:cs="宋体"/>
          <w:b w:val="0"/>
          <w:bCs w:val="0"/>
          <w:kern w:val="0"/>
          <w:szCs w:val="21"/>
          <w:shd w:val="pct10" w:color="auto" w:fill="FFFFFF"/>
        </w:rPr>
      </w:sdtEndPr>
      <w:sdtContent>
        <w:p>
          <w:pPr>
            <w:pStyle w:val="5"/>
            <w:numPr>
              <w:ilvl w:val="0"/>
              <w:numId w:val="27"/>
            </w:numPr>
            <w:rPr>
              <w:rFonts w:ascii="宋体" w:hAnsi="宋体"/>
            </w:rPr>
          </w:pPr>
          <w:r>
            <w:rPr>
              <w:rFonts w:ascii="宋体" w:hAnsi="宋体"/>
            </w:rPr>
            <w:t>承包情况</w:t>
          </w:r>
        </w:p>
        <w:sdt>
          <w:sdtPr>
            <w:alias w:val="是否适用：承包情况[双击切换]"/>
            <w:tag w:val="_GBC_6780ba385e1b4167bc4be5b432f0a825"/>
            <w:id w:val="-159971043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shd w:val="pct10" w:color="auto" w:fill="FFFFFF"/>
            </w:rPr>
          </w:pPr>
        </w:p>
      </w:sdtContent>
    </w:sdt>
    <w:p>
      <w:pPr>
        <w:rPr>
          <w:shd w:val="pct10" w:color="auto" w:fill="FFFFFF"/>
        </w:rPr>
      </w:pPr>
    </w:p>
    <w:sdt>
      <w:sdtPr>
        <w:rPr>
          <w:rFonts w:ascii="宋体" w:hAnsi="宋体" w:cs="宋体"/>
          <w:b w:val="0"/>
          <w:bCs w:val="0"/>
          <w:kern w:val="0"/>
          <w:szCs w:val="22"/>
        </w:rPr>
        <w:alias w:val="模块:租赁情况                         ..."/>
        <w:tag w:val="_SEC_c517528524f046abb8a7c1e21d61ed7c"/>
        <w:id w:val="989127758"/>
        <w:lock w:val="sdtLocked"/>
        <w:placeholder>
          <w:docPart w:val="GBC22222222222222222222222222222"/>
        </w:placeholder>
      </w:sdtPr>
      <w:sdtEndPr>
        <w:rPr>
          <w:rFonts w:hint="eastAsia" w:ascii="宋体" w:hAnsi="宋体" w:cs="宋体"/>
          <w:b w:val="0"/>
          <w:bCs w:val="0"/>
          <w:kern w:val="0"/>
          <w:szCs w:val="21"/>
          <w:shd w:val="pct10" w:color="auto" w:fill="FFFFFF"/>
        </w:rPr>
      </w:sdtEndPr>
      <w:sdtContent>
        <w:p>
          <w:pPr>
            <w:pStyle w:val="5"/>
            <w:numPr>
              <w:ilvl w:val="0"/>
              <w:numId w:val="27"/>
            </w:numPr>
            <w:rPr>
              <w:rFonts w:ascii="宋体" w:hAnsi="宋体"/>
            </w:rPr>
          </w:pPr>
          <w:r>
            <w:rPr>
              <w:rFonts w:ascii="宋体" w:hAnsi="宋体"/>
            </w:rPr>
            <w:t>租赁情况</w:t>
          </w:r>
        </w:p>
        <w:sdt>
          <w:sdtPr>
            <w:alias w:val="是否适用：租赁情况[双击切换]"/>
            <w:tag w:val="_GBC_0f311154c0f24dc687b16bed59ae8dd2"/>
            <w:id w:val="12350532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租赁情况"/>
              <w:tag w:val="_GBC_63fc2dfa865d4d9abcc589b6ffc804c0"/>
              <w:id w:val="18790483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租赁情况"/>
              <w:tag w:val="_GBC_31f3470dd3bc4fb5b3acbfac814f56b5"/>
              <w:id w:val="-4984240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645"/>
            <w:gridCol w:w="646"/>
            <w:gridCol w:w="1026"/>
            <w:gridCol w:w="1037"/>
            <w:gridCol w:w="1037"/>
            <w:gridCol w:w="1161"/>
            <w:gridCol w:w="646"/>
            <w:gridCol w:w="733"/>
            <w:gridCol w:w="646"/>
            <w:gridCol w:w="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0c8bbdaddae456dbc6f9a3e5bac1db2"/>
                <w:id w:val="769047382"/>
                <w:lock w:val="sdtLocked"/>
              </w:sdtPr>
              <w:sdtContent>
                <w:tc>
                  <w:tcPr>
                    <w:tcW w:w="645" w:type="dxa"/>
                    <w:vAlign w:val="center"/>
                  </w:tcPr>
                  <w:p>
                    <w:pPr>
                      <w:widowControl w:val="0"/>
                      <w:jc w:val="center"/>
                      <w:rPr>
                        <w:rFonts w:ascii="Times New Roman" w:hAnsi="Times New Roman"/>
                        <w:shd w:val="pct10" w:color="auto" w:fill="FFFFFF"/>
                      </w:rPr>
                    </w:pPr>
                    <w:r>
                      <w:rPr>
                        <w:rFonts w:ascii="Times New Roman" w:hAnsi="Times New Roman"/>
                      </w:rPr>
                      <w:t>出租方名称</w:t>
                    </w:r>
                  </w:p>
                </w:tc>
              </w:sdtContent>
            </w:sdt>
            <w:sdt>
              <w:sdtPr>
                <w:tag w:val="_PLD_0c011e9d854249eab869b1b9d913f29d"/>
                <w:id w:val="1113481153"/>
                <w:lock w:val="sdtLocked"/>
              </w:sdtPr>
              <w:sdtContent>
                <w:tc>
                  <w:tcPr>
                    <w:tcW w:w="645" w:type="dxa"/>
                    <w:vAlign w:val="center"/>
                  </w:tcPr>
                  <w:p>
                    <w:pPr>
                      <w:widowControl w:val="0"/>
                      <w:jc w:val="center"/>
                      <w:rPr>
                        <w:rFonts w:ascii="Times New Roman" w:hAnsi="Times New Roman"/>
                        <w:shd w:val="pct10" w:color="auto" w:fill="FFFFFF"/>
                      </w:rPr>
                    </w:pPr>
                    <w:r>
                      <w:rPr>
                        <w:rFonts w:ascii="Times New Roman" w:hAnsi="Times New Roman"/>
                      </w:rPr>
                      <w:t>租赁方名称</w:t>
                    </w:r>
                  </w:p>
                </w:tc>
              </w:sdtContent>
            </w:sdt>
            <w:sdt>
              <w:sdtPr>
                <w:tag w:val="_PLD_281ffe553103424ea14fbe2c87302bde"/>
                <w:id w:val="-787044403"/>
                <w:lock w:val="sdtLocked"/>
              </w:sdtPr>
              <w:sdtContent>
                <w:tc>
                  <w:tcPr>
                    <w:tcW w:w="646" w:type="dxa"/>
                    <w:vAlign w:val="center"/>
                  </w:tcPr>
                  <w:p>
                    <w:pPr>
                      <w:widowControl w:val="0"/>
                      <w:jc w:val="center"/>
                      <w:rPr>
                        <w:rFonts w:ascii="Times New Roman" w:hAnsi="Times New Roman"/>
                        <w:shd w:val="pct10" w:color="auto" w:fill="FFFFFF"/>
                      </w:rPr>
                    </w:pPr>
                    <w:r>
                      <w:rPr>
                        <w:rFonts w:ascii="Times New Roman" w:hAnsi="Times New Roman"/>
                      </w:rPr>
                      <w:t>租赁资产情况</w:t>
                    </w:r>
                  </w:p>
                </w:tc>
              </w:sdtContent>
            </w:sdt>
            <w:sdt>
              <w:sdtPr>
                <w:tag w:val="_PLD_0b54c65efcde49618ce3fd665d25360b"/>
                <w:id w:val="-739633301"/>
                <w:lock w:val="sdtLocked"/>
              </w:sdtPr>
              <w:sdtContent>
                <w:tc>
                  <w:tcPr>
                    <w:tcW w:w="1026" w:type="dxa"/>
                    <w:vAlign w:val="center"/>
                  </w:tcPr>
                  <w:p>
                    <w:pPr>
                      <w:widowControl w:val="0"/>
                      <w:jc w:val="center"/>
                      <w:rPr>
                        <w:rFonts w:ascii="Times New Roman" w:hAnsi="Times New Roman"/>
                        <w:shd w:val="pct10" w:color="auto" w:fill="FFFFFF"/>
                      </w:rPr>
                    </w:pPr>
                    <w:r>
                      <w:rPr>
                        <w:rFonts w:ascii="Times New Roman" w:hAnsi="Times New Roman"/>
                      </w:rPr>
                      <w:t>租赁资产涉及金额</w:t>
                    </w:r>
                  </w:p>
                </w:tc>
              </w:sdtContent>
            </w:sdt>
            <w:sdt>
              <w:sdtPr>
                <w:tag w:val="_PLD_0f6ce51993ee4388ba1d45cca555803a"/>
                <w:id w:val="-1308159300"/>
                <w:lock w:val="sdtLocked"/>
              </w:sdtPr>
              <w:sdtContent>
                <w:tc>
                  <w:tcPr>
                    <w:tcW w:w="1037" w:type="dxa"/>
                    <w:vAlign w:val="center"/>
                  </w:tcPr>
                  <w:p>
                    <w:pPr>
                      <w:widowControl w:val="0"/>
                      <w:jc w:val="center"/>
                      <w:rPr>
                        <w:rFonts w:ascii="Times New Roman" w:hAnsi="Times New Roman"/>
                        <w:shd w:val="pct10" w:color="auto" w:fill="FFFFFF"/>
                      </w:rPr>
                    </w:pPr>
                    <w:r>
                      <w:rPr>
                        <w:rFonts w:ascii="Times New Roman" w:hAnsi="Times New Roman"/>
                      </w:rPr>
                      <w:t>租赁起始日</w:t>
                    </w:r>
                  </w:p>
                </w:tc>
              </w:sdtContent>
            </w:sdt>
            <w:sdt>
              <w:sdtPr>
                <w:tag w:val="_PLD_0f61648a121e4af78f37f9522cb3380a"/>
                <w:id w:val="-114678478"/>
                <w:lock w:val="sdtLocked"/>
              </w:sdtPr>
              <w:sdtContent>
                <w:tc>
                  <w:tcPr>
                    <w:tcW w:w="1037" w:type="dxa"/>
                    <w:vAlign w:val="center"/>
                  </w:tcPr>
                  <w:p>
                    <w:pPr>
                      <w:widowControl w:val="0"/>
                      <w:jc w:val="center"/>
                      <w:rPr>
                        <w:rFonts w:ascii="Times New Roman" w:hAnsi="Times New Roman"/>
                        <w:shd w:val="pct10" w:color="auto" w:fill="FFFFFF"/>
                      </w:rPr>
                    </w:pPr>
                    <w:r>
                      <w:rPr>
                        <w:rFonts w:ascii="Times New Roman" w:hAnsi="Times New Roman"/>
                      </w:rPr>
                      <w:t>租赁终止日</w:t>
                    </w:r>
                  </w:p>
                </w:tc>
              </w:sdtContent>
            </w:sdt>
            <w:sdt>
              <w:sdtPr>
                <w:tag w:val="_PLD_0c8c3c9a2e7a4b0fb7b50eb8a124b65d"/>
                <w:id w:val="989368708"/>
                <w:lock w:val="sdtLocked"/>
              </w:sdtPr>
              <w:sdtContent>
                <w:tc>
                  <w:tcPr>
                    <w:tcW w:w="1116" w:type="dxa"/>
                    <w:vAlign w:val="center"/>
                  </w:tcPr>
                  <w:p>
                    <w:pPr>
                      <w:widowControl w:val="0"/>
                      <w:jc w:val="center"/>
                      <w:rPr>
                        <w:rFonts w:ascii="Times New Roman" w:hAnsi="Times New Roman"/>
                        <w:shd w:val="pct10" w:color="auto" w:fill="FFFFFF"/>
                      </w:rPr>
                    </w:pPr>
                    <w:r>
                      <w:rPr>
                        <w:rFonts w:ascii="Times New Roman" w:hAnsi="Times New Roman"/>
                      </w:rPr>
                      <w:t>租赁收益</w:t>
                    </w:r>
                  </w:p>
                </w:tc>
              </w:sdtContent>
            </w:sdt>
            <w:sdt>
              <w:sdtPr>
                <w:tag w:val="_PLD_38f4620ed1294f27b9748bb6eb759b32"/>
                <w:id w:val="-661545373"/>
                <w:lock w:val="sdtLocked"/>
              </w:sdtPr>
              <w:sdtContent>
                <w:tc>
                  <w:tcPr>
                    <w:tcW w:w="646" w:type="dxa"/>
                    <w:vAlign w:val="center"/>
                  </w:tcPr>
                  <w:p>
                    <w:pPr>
                      <w:widowControl w:val="0"/>
                      <w:jc w:val="center"/>
                      <w:rPr>
                        <w:rFonts w:ascii="Times New Roman" w:hAnsi="Times New Roman"/>
                        <w:shd w:val="pct10" w:color="auto" w:fill="FFFFFF"/>
                      </w:rPr>
                    </w:pPr>
                    <w:r>
                      <w:rPr>
                        <w:rFonts w:ascii="Times New Roman" w:hAnsi="Times New Roman"/>
                      </w:rPr>
                      <w:t>租赁收益确定依据</w:t>
                    </w:r>
                  </w:p>
                </w:tc>
              </w:sdtContent>
            </w:sdt>
            <w:sdt>
              <w:sdtPr>
                <w:tag w:val="_PLD_7dc799ddc6d4450dac2ce9f00c43299a"/>
                <w:id w:val="-1903516220"/>
                <w:lock w:val="sdtLocked"/>
              </w:sdtPr>
              <w:sdtContent>
                <w:tc>
                  <w:tcPr>
                    <w:tcW w:w="733" w:type="dxa"/>
                    <w:vAlign w:val="center"/>
                  </w:tcPr>
                  <w:p>
                    <w:pPr>
                      <w:widowControl w:val="0"/>
                      <w:jc w:val="center"/>
                      <w:rPr>
                        <w:rFonts w:ascii="Times New Roman" w:hAnsi="Times New Roman"/>
                        <w:shd w:val="pct10" w:color="auto" w:fill="FFFFFF"/>
                      </w:rPr>
                    </w:pPr>
                    <w:r>
                      <w:rPr>
                        <w:rFonts w:ascii="Times New Roman" w:hAnsi="Times New Roman"/>
                      </w:rPr>
                      <w:t>租赁收益对公司影响</w:t>
                    </w:r>
                  </w:p>
                </w:tc>
              </w:sdtContent>
            </w:sdt>
            <w:sdt>
              <w:sdtPr>
                <w:tag w:val="_PLD_d56e14d9daef418abf4b6f4d1303506c"/>
                <w:id w:val="-1084601303"/>
                <w:lock w:val="sdtLocked"/>
              </w:sdtPr>
              <w:sdtContent>
                <w:tc>
                  <w:tcPr>
                    <w:tcW w:w="646" w:type="dxa"/>
                    <w:vAlign w:val="center"/>
                  </w:tcPr>
                  <w:p>
                    <w:pPr>
                      <w:widowControl w:val="0"/>
                      <w:jc w:val="center"/>
                      <w:rPr>
                        <w:rFonts w:ascii="Times New Roman" w:hAnsi="Times New Roman"/>
                        <w:shd w:val="pct10" w:color="auto" w:fill="FFFFFF"/>
                      </w:rPr>
                    </w:pPr>
                    <w:r>
                      <w:rPr>
                        <w:rFonts w:ascii="Times New Roman" w:hAnsi="Times New Roman"/>
                      </w:rPr>
                      <w:t>是否关联交易</w:t>
                    </w:r>
                  </w:p>
                </w:tc>
              </w:sdtContent>
            </w:sdt>
            <w:sdt>
              <w:sdtPr>
                <w:tag w:val="_PLD_b1091c16f1144b24a6a1c37d24533150"/>
                <w:id w:val="392247971"/>
                <w:lock w:val="sdtLocked"/>
              </w:sdtPr>
              <w:sdtContent>
                <w:tc>
                  <w:tcPr>
                    <w:tcW w:w="646" w:type="dxa"/>
                    <w:vAlign w:val="center"/>
                  </w:tcPr>
                  <w:p>
                    <w:pPr>
                      <w:widowControl w:val="0"/>
                      <w:jc w:val="center"/>
                      <w:rPr>
                        <w:rFonts w:ascii="Times New Roman" w:hAnsi="Times New Roman"/>
                        <w:shd w:val="pct10" w:color="auto" w:fill="FFFFFF"/>
                      </w:rPr>
                    </w:pPr>
                    <w:r>
                      <w:rPr>
                        <w:rFonts w:ascii="Times New Roman" w:hAnsi="Times New Roman"/>
                      </w:rPr>
                      <w:t>关联关系</w:t>
                    </w:r>
                  </w:p>
                </w:tc>
              </w:sdtContent>
            </w:sdt>
          </w:tr>
          <w:sdt>
            <w:sdtPr>
              <w:rPr>
                <w:rFonts w:hint="eastAsia" w:asciiTheme="minorHAnsi" w:hAnsiTheme="minorHAnsi" w:eastAsiaTheme="minorEastAsia" w:cstheme="minorBidi"/>
                <w:bCs/>
                <w:kern w:val="2"/>
                <w:sz w:val="18"/>
                <w:szCs w:val="18"/>
                <w14:ligatures w14:val="standardContextual"/>
              </w:rPr>
              <w:alias w:val="租赁情况"/>
              <w:tag w:val="_TUP_55486688f69543b68fa920b1a7c1af71"/>
              <w:id w:val="38710595"/>
              <w:lock w:val="sdtLocked"/>
            </w:sdtPr>
            <w:sdtEndPr>
              <w:rPr>
                <w:rFonts w:hint="eastAsia" w:ascii="Times New Roman" w:hAnsi="Times New Roman" w:eastAsia="宋体" w:cs="宋体"/>
                <w:bCs w:val="0"/>
                <w:kern w:val="0"/>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both"/>
                      <w:rPr>
                        <w:rFonts w:ascii="Times New Roman" w:hAnsi="Times New Roman" w:eastAsiaTheme="minorEastAsia" w:cstheme="minorBidi"/>
                        <w:bCs/>
                        <w:kern w:val="2"/>
                        <w:sz w:val="18"/>
                        <w:szCs w:val="18"/>
                      </w:rPr>
                    </w:pPr>
                    <w:r>
                      <w:rPr>
                        <w:rFonts w:ascii="Times New Roman" w:hAnsi="Times New Roman"/>
                        <w:sz w:val="18"/>
                        <w:szCs w:val="18"/>
                      </w:rPr>
                      <w:t>公司</w:t>
                    </w:r>
                  </w:p>
                </w:tc>
                <w:tc>
                  <w:tcPr>
                    <w:tcW w:w="645" w:type="dxa"/>
                    <w:vAlign w:val="center"/>
                  </w:tcPr>
                  <w:p>
                    <w:pPr>
                      <w:widowControl w:val="0"/>
                      <w:jc w:val="both"/>
                      <w:rPr>
                        <w:rFonts w:ascii="Times New Roman" w:hAnsi="Times New Roman"/>
                        <w:sz w:val="18"/>
                        <w:szCs w:val="18"/>
                      </w:rPr>
                    </w:pPr>
                    <w:r>
                      <w:rPr>
                        <w:rFonts w:ascii="Times New Roman" w:hAnsi="Times New Roman"/>
                        <w:sz w:val="18"/>
                        <w:szCs w:val="18"/>
                      </w:rPr>
                      <w:t>嘉兴市凯通投资有限公司</w:t>
                    </w:r>
                  </w:p>
                </w:tc>
                <w:tc>
                  <w:tcPr>
                    <w:tcW w:w="646" w:type="dxa"/>
                    <w:vAlign w:val="center"/>
                  </w:tcPr>
                  <w:p>
                    <w:pPr>
                      <w:widowControl w:val="0"/>
                      <w:jc w:val="both"/>
                      <w:rPr>
                        <w:rFonts w:ascii="Times New Roman" w:hAnsi="Times New Roman"/>
                        <w:sz w:val="18"/>
                        <w:szCs w:val="18"/>
                      </w:rPr>
                    </w:pPr>
                    <w:r>
                      <w:rPr>
                        <w:rFonts w:ascii="Times New Roman" w:hAnsi="Times New Roman"/>
                        <w:sz w:val="18"/>
                        <w:szCs w:val="18"/>
                      </w:rPr>
                      <w:t>梅村服务区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12,955,904</w:t>
                    </w:r>
                  </w:p>
                </w:tc>
                <w:tc>
                  <w:tcPr>
                    <w:tcW w:w="1037" w:type="dxa"/>
                    <w:vAlign w:val="center"/>
                  </w:tcPr>
                  <w:p>
                    <w:pPr>
                      <w:widowControl w:val="0"/>
                      <w:jc w:val="both"/>
                      <w:rPr>
                        <w:rFonts w:ascii="Times New Roman" w:hAnsi="Times New Roman"/>
                        <w:sz w:val="18"/>
                        <w:szCs w:val="18"/>
                      </w:rPr>
                    </w:pPr>
                    <w:r>
                      <w:rPr>
                        <w:rFonts w:ascii="Times New Roman" w:hAnsi="Times New Roman"/>
                        <w:sz w:val="18"/>
                        <w:szCs w:val="18"/>
                      </w:rPr>
                      <w:t>2017/1/10</w:t>
                    </w:r>
                  </w:p>
                </w:tc>
                <w:tc>
                  <w:tcPr>
                    <w:tcW w:w="1037" w:type="dxa"/>
                    <w:vAlign w:val="center"/>
                  </w:tcPr>
                  <w:p>
                    <w:pPr>
                      <w:widowControl w:val="0"/>
                      <w:jc w:val="both"/>
                      <w:rPr>
                        <w:rFonts w:ascii="Times New Roman" w:hAnsi="Times New Roman"/>
                        <w:sz w:val="18"/>
                        <w:szCs w:val="18"/>
                      </w:rPr>
                    </w:pPr>
                    <w:r>
                      <w:rPr>
                        <w:rFonts w:ascii="Times New Roman" w:hAnsi="Times New Roman"/>
                        <w:sz w:val="18"/>
                        <w:szCs w:val="18"/>
                      </w:rPr>
                      <w:t>2021/12/31</w:t>
                    </w:r>
                  </w:p>
                </w:tc>
                <w:tc>
                  <w:tcPr>
                    <w:tcW w:w="1116" w:type="dxa"/>
                    <w:vAlign w:val="center"/>
                  </w:tcPr>
                  <w:p>
                    <w:pPr>
                      <w:widowControl w:val="0"/>
                      <w:jc w:val="right"/>
                      <w:rPr>
                        <w:rFonts w:ascii="Times New Roman" w:hAnsi="Times New Roman"/>
                        <w:sz w:val="18"/>
                        <w:szCs w:val="18"/>
                      </w:rPr>
                    </w:pPr>
                    <w:r>
                      <w:rPr>
                        <w:rFonts w:ascii="Times New Roman" w:hAnsi="Times New Roman"/>
                        <w:sz w:val="18"/>
                        <w:szCs w:val="18"/>
                      </w:rPr>
                      <w:t>0</w:t>
                    </w:r>
                  </w:p>
                </w:tc>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根据</w:t>
                    </w:r>
                    <w:r>
                      <w:rPr>
                        <w:rFonts w:ascii="Times New Roman" w:hAnsi="Times New Roman"/>
                        <w:sz w:val="18"/>
                        <w:szCs w:val="18"/>
                      </w:rPr>
                      <w:t>合同约定及会计准则确定收益。</w:t>
                    </w:r>
                  </w:p>
                </w:tc>
                <w:tc>
                  <w:tcPr>
                    <w:tcW w:w="733" w:type="dxa"/>
                    <w:vAlign w:val="center"/>
                  </w:tcPr>
                  <w:p>
                    <w:pPr>
                      <w:widowControl w:val="0"/>
                      <w:jc w:val="both"/>
                      <w:rPr>
                        <w:rFonts w:ascii="Times New Roman" w:hAnsi="Times New Roman"/>
                        <w:sz w:val="18"/>
                        <w:szCs w:val="18"/>
                      </w:rPr>
                    </w:pPr>
                    <w:r>
                      <w:rPr>
                        <w:rFonts w:ascii="Times New Roman" w:hAnsi="Times New Roman"/>
                        <w:sz w:val="18"/>
                        <w:szCs w:val="18"/>
                      </w:rPr>
                      <w:t>该服务区报告期利润同比减少5</w:t>
                    </w:r>
                    <w:r>
                      <w:rPr>
                        <w:rFonts w:hint="eastAsia" w:ascii="Times New Roman" w:hAnsi="Times New Roman"/>
                        <w:sz w:val="18"/>
                        <w:szCs w:val="18"/>
                      </w:rPr>
                      <w:t>,</w:t>
                    </w:r>
                    <w:r>
                      <w:rPr>
                        <w:rFonts w:ascii="Times New Roman" w:hAnsi="Times New Roman"/>
                        <w:sz w:val="18"/>
                        <w:szCs w:val="18"/>
                      </w:rPr>
                      <w:t>605千元。</w:t>
                    </w:r>
                  </w:p>
                </w:tc>
                <w:sdt>
                  <w:sdtPr>
                    <w:rPr>
                      <w:rFonts w:hint="eastAsia" w:ascii="Times New Roman" w:hAnsi="Times New Roman"/>
                      <w:sz w:val="18"/>
                      <w:szCs w:val="18"/>
                    </w:rPr>
                    <w:alias w:val="租赁是否关联交易"/>
                    <w:tag w:val="_GBC_60d041c2218a435e9838147eb1555631"/>
                    <w:id w:val="-1078283939"/>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146811758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宋体" w:hAnsi="宋体" w:eastAsiaTheme="minorEastAsia" w:cstheme="minorBidi"/>
                <w:bCs/>
                <w:kern w:val="2"/>
                <w:sz w:val="18"/>
                <w:szCs w:val="18"/>
                <w14:ligatures w14:val="standardContextual"/>
              </w:rPr>
              <w:alias w:val="租赁情况"/>
              <w:tag w:val="_TUP_55486688f69543b68fa920b1a7c1af71"/>
              <w:id w:val="1049040821"/>
              <w:lock w:val="sdtLocked"/>
            </w:sdtPr>
            <w:sdtEndPr>
              <w:rPr>
                <w:rFonts w:hint="eastAsia" w:ascii="宋体" w:hAnsi="宋体" w:eastAsiaTheme="minorEastAsia" w:cstheme="minorBidi"/>
                <w:bCs/>
                <w:kern w:val="2"/>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公司</w:t>
                    </w:r>
                  </w:p>
                </w:tc>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嘉兴力天高速公路服务区经营管理有限公司</w:t>
                    </w:r>
                  </w:p>
                </w:tc>
                <w:tc>
                  <w:tcPr>
                    <w:tcW w:w="646" w:type="dxa"/>
                    <w:vAlign w:val="center"/>
                  </w:tcPr>
                  <w:p>
                    <w:pPr>
                      <w:widowControl w:val="0"/>
                      <w:jc w:val="left"/>
                      <w:rPr>
                        <w:rFonts w:ascii="Times New Roman" w:hAnsi="Times New Roman"/>
                        <w:sz w:val="18"/>
                        <w:szCs w:val="18"/>
                      </w:rPr>
                    </w:pPr>
                    <w:r>
                      <w:rPr>
                        <w:rFonts w:ascii="Times New Roman" w:hAnsi="Times New Roman"/>
                        <w:sz w:val="18"/>
                        <w:szCs w:val="18"/>
                      </w:rPr>
                      <w:t>仙人山服务区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17,805,392</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2022/11/15</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2025/11/14</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ascii="Times New Roman" w:hAnsi="Times New Roman"/>
                        <w:sz w:val="18"/>
                        <w:szCs w:val="18"/>
                      </w:rPr>
                      <w:t>3,387,464.04</w:t>
                    </w:r>
                  </w:p>
                </w:tc>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left"/>
                      <w:rPr>
                        <w:rFonts w:ascii="Times New Roman" w:hAnsi="Times New Roman"/>
                        <w:sz w:val="18"/>
                        <w:szCs w:val="18"/>
                      </w:rPr>
                    </w:pPr>
                    <w:r>
                      <w:rPr>
                        <w:rFonts w:ascii="Times New Roman" w:hAnsi="Times New Roman"/>
                        <w:sz w:val="18"/>
                        <w:szCs w:val="18"/>
                      </w:rPr>
                      <w:t>该服务区报告期利润同比增加3</w:t>
                    </w:r>
                    <w:r>
                      <w:rPr>
                        <w:rFonts w:hint="eastAsia" w:ascii="Times New Roman" w:hAnsi="Times New Roman"/>
                        <w:sz w:val="18"/>
                        <w:szCs w:val="18"/>
                      </w:rPr>
                      <w:t>,</w:t>
                    </w:r>
                    <w:r>
                      <w:rPr>
                        <w:rFonts w:ascii="Times New Roman" w:hAnsi="Times New Roman"/>
                        <w:sz w:val="18"/>
                        <w:szCs w:val="18"/>
                      </w:rPr>
                      <w:t>387千元。</w:t>
                    </w:r>
                  </w:p>
                </w:tc>
                <w:sdt>
                  <w:sdtPr>
                    <w:rPr>
                      <w:rFonts w:hint="eastAsia" w:ascii="Times New Roman" w:hAnsi="Times New Roman"/>
                      <w:sz w:val="18"/>
                      <w:szCs w:val="18"/>
                    </w:rPr>
                    <w:alias w:val="租赁是否关联交易"/>
                    <w:tag w:val="_GBC_60d041c2218a435e9838147eb1555631"/>
                    <w:id w:val="2014258126"/>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30848901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宋体" w:hAnsi="宋体" w:eastAsiaTheme="minorEastAsia" w:cstheme="minorBidi"/>
                <w:bCs/>
                <w:kern w:val="2"/>
                <w:sz w:val="18"/>
                <w:szCs w:val="18"/>
                <w14:ligatures w14:val="standardContextual"/>
              </w:rPr>
              <w:alias w:val="租赁情况"/>
              <w:tag w:val="_TUP_55486688f69543b68fa920b1a7c1af71"/>
              <w:id w:val="-47776079"/>
              <w:lock w:val="sdtLocked"/>
            </w:sdtPr>
            <w:sdtEndPr>
              <w:rPr>
                <w:rFonts w:hint="eastAsia" w:ascii="宋体" w:hAnsi="宋体" w:eastAsiaTheme="minorEastAsia" w:cstheme="minorBidi"/>
                <w:bCs/>
                <w:kern w:val="2"/>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公司</w:t>
                    </w:r>
                  </w:p>
                </w:tc>
                <w:tc>
                  <w:tcPr>
                    <w:tcW w:w="645" w:type="dxa"/>
                    <w:vAlign w:val="center"/>
                  </w:tcPr>
                  <w:p>
                    <w:pPr>
                      <w:widowControl w:val="0"/>
                      <w:jc w:val="left"/>
                      <w:rPr>
                        <w:rFonts w:ascii="Times New Roman" w:hAnsi="Times New Roman"/>
                        <w:sz w:val="18"/>
                        <w:szCs w:val="18"/>
                      </w:rPr>
                    </w:pPr>
                    <w:r>
                      <w:rPr>
                        <w:rFonts w:ascii="Times New Roman" w:hAnsi="Times New Roman"/>
                        <w:sz w:val="18"/>
                        <w:szCs w:val="18"/>
                      </w:rPr>
                      <w:t>江苏荷塘月色商贸有限公司</w:t>
                    </w:r>
                  </w:p>
                </w:tc>
                <w:tc>
                  <w:tcPr>
                    <w:tcW w:w="646" w:type="dxa"/>
                    <w:vAlign w:val="center"/>
                  </w:tcPr>
                  <w:p>
                    <w:pPr>
                      <w:widowControl w:val="0"/>
                      <w:jc w:val="left"/>
                      <w:rPr>
                        <w:rFonts w:ascii="Times New Roman" w:hAnsi="Times New Roman"/>
                        <w:sz w:val="18"/>
                        <w:szCs w:val="18"/>
                      </w:rPr>
                    </w:pPr>
                    <w:r>
                      <w:rPr>
                        <w:rFonts w:ascii="Times New Roman" w:hAnsi="Times New Roman"/>
                        <w:sz w:val="18"/>
                        <w:szCs w:val="18"/>
                      </w:rPr>
                      <w:t>仙人山服务区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17,805,392</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2023/3/23</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2026/3/22</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ascii="Times New Roman" w:hAnsi="Times New Roman"/>
                        <w:sz w:val="18"/>
                        <w:szCs w:val="18"/>
                      </w:rPr>
                      <w:t>16,416.34</w:t>
                    </w:r>
                  </w:p>
                </w:tc>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left"/>
                      <w:rPr>
                        <w:rFonts w:ascii="Times New Roman" w:hAnsi="Times New Roman"/>
                        <w:sz w:val="18"/>
                        <w:szCs w:val="18"/>
                      </w:rPr>
                    </w:pPr>
                    <w:r>
                      <w:rPr>
                        <w:rFonts w:ascii="Times New Roman" w:hAnsi="Times New Roman"/>
                        <w:sz w:val="18"/>
                        <w:szCs w:val="18"/>
                      </w:rPr>
                      <w:t>该服务区报告期利润同比增加16千元。</w:t>
                    </w:r>
                  </w:p>
                </w:tc>
                <w:sdt>
                  <w:sdtPr>
                    <w:rPr>
                      <w:rFonts w:hint="eastAsia" w:ascii="Times New Roman" w:hAnsi="Times New Roman"/>
                      <w:sz w:val="18"/>
                      <w:szCs w:val="18"/>
                    </w:rPr>
                    <w:alias w:val="租赁是否关联交易"/>
                    <w:tag w:val="_GBC_60d041c2218a435e9838147eb1555631"/>
                    <w:id w:val="-1001111059"/>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191396249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Theme="minorHAnsi" w:hAnsiTheme="minorHAnsi" w:eastAsiaTheme="minorEastAsia" w:cstheme="minorBidi"/>
                <w:bCs/>
                <w:kern w:val="2"/>
                <w:sz w:val="18"/>
                <w:szCs w:val="18"/>
                <w14:ligatures w14:val="standardContextual"/>
              </w:rPr>
              <w:alias w:val="租赁情况"/>
              <w:tag w:val="_TUP_55486688f69543b68fa920b1a7c1af71"/>
              <w:id w:val="573700412"/>
              <w:lock w:val="sdtLocked"/>
            </w:sdtPr>
            <w:sdtEndPr>
              <w:rPr>
                <w:rFonts w:hint="eastAsia" w:ascii="Times New Roman" w:hAnsi="Times New Roman" w:eastAsia="宋体" w:cs="宋体"/>
                <w:bCs w:val="0"/>
                <w:kern w:val="0"/>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both"/>
                      <w:rPr>
                        <w:rFonts w:ascii="Times New Roman" w:hAnsi="Times New Roman" w:eastAsiaTheme="minorEastAsia" w:cstheme="minorBidi"/>
                        <w:bCs/>
                        <w:kern w:val="2"/>
                        <w:sz w:val="18"/>
                        <w:szCs w:val="18"/>
                      </w:rPr>
                    </w:pPr>
                    <w:r>
                      <w:rPr>
                        <w:rFonts w:ascii="Times New Roman" w:hAnsi="Times New Roman"/>
                        <w:sz w:val="18"/>
                        <w:szCs w:val="18"/>
                      </w:rPr>
                      <w:t>公司</w:t>
                    </w:r>
                  </w:p>
                </w:tc>
                <w:tc>
                  <w:tcPr>
                    <w:tcW w:w="645" w:type="dxa"/>
                    <w:vAlign w:val="center"/>
                  </w:tcPr>
                  <w:p>
                    <w:pPr>
                      <w:widowControl w:val="0"/>
                      <w:jc w:val="both"/>
                      <w:rPr>
                        <w:rFonts w:ascii="Times New Roman" w:hAnsi="Times New Roman"/>
                        <w:sz w:val="18"/>
                        <w:szCs w:val="18"/>
                      </w:rPr>
                    </w:pPr>
                    <w:r>
                      <w:rPr>
                        <w:rFonts w:ascii="Times New Roman" w:hAnsi="Times New Roman"/>
                        <w:sz w:val="18"/>
                        <w:szCs w:val="18"/>
                      </w:rPr>
                      <w:t>桐乡市银通高速公路服务区经营管理有限公司</w:t>
                    </w:r>
                  </w:p>
                </w:tc>
                <w:tc>
                  <w:tcPr>
                    <w:tcW w:w="646" w:type="dxa"/>
                    <w:vAlign w:val="center"/>
                  </w:tcPr>
                  <w:p>
                    <w:pPr>
                      <w:widowControl w:val="0"/>
                      <w:jc w:val="both"/>
                      <w:rPr>
                        <w:rFonts w:ascii="Times New Roman" w:hAnsi="Times New Roman"/>
                        <w:sz w:val="18"/>
                        <w:szCs w:val="18"/>
                      </w:rPr>
                    </w:pPr>
                    <w:r>
                      <w:rPr>
                        <w:rFonts w:ascii="Times New Roman" w:hAnsi="Times New Roman"/>
                        <w:sz w:val="18"/>
                        <w:szCs w:val="18"/>
                      </w:rPr>
                      <w:t>黄栗墅服务区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47,256,513</w:t>
                    </w:r>
                  </w:p>
                </w:tc>
                <w:tc>
                  <w:tcPr>
                    <w:tcW w:w="1037" w:type="dxa"/>
                    <w:vAlign w:val="center"/>
                  </w:tcPr>
                  <w:p>
                    <w:pPr>
                      <w:widowControl w:val="0"/>
                      <w:jc w:val="both"/>
                      <w:rPr>
                        <w:rFonts w:ascii="Times New Roman" w:hAnsi="Times New Roman"/>
                        <w:sz w:val="18"/>
                        <w:szCs w:val="18"/>
                      </w:rPr>
                    </w:pPr>
                    <w:r>
                      <w:rPr>
                        <w:rFonts w:ascii="Times New Roman" w:hAnsi="Times New Roman"/>
                        <w:sz w:val="18"/>
                        <w:szCs w:val="18"/>
                      </w:rPr>
                      <w:t>2017/7/1</w:t>
                    </w:r>
                  </w:p>
                </w:tc>
                <w:tc>
                  <w:tcPr>
                    <w:tcW w:w="1037" w:type="dxa"/>
                    <w:vAlign w:val="center"/>
                  </w:tcPr>
                  <w:p>
                    <w:pPr>
                      <w:widowControl w:val="0"/>
                      <w:jc w:val="both"/>
                      <w:rPr>
                        <w:rFonts w:ascii="Times New Roman" w:hAnsi="Times New Roman"/>
                        <w:sz w:val="18"/>
                        <w:szCs w:val="18"/>
                      </w:rPr>
                    </w:pPr>
                    <w:r>
                      <w:rPr>
                        <w:rFonts w:ascii="Times New Roman" w:hAnsi="Times New Roman"/>
                        <w:sz w:val="18"/>
                        <w:szCs w:val="18"/>
                      </w:rPr>
                      <w:t>2021/12/31</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hint="eastAsia" w:ascii="Times New Roman" w:hAnsi="Times New Roman"/>
                        <w:sz w:val="18"/>
                        <w:szCs w:val="18"/>
                      </w:rPr>
                      <w:t>0</w:t>
                    </w:r>
                  </w:p>
                </w:tc>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both"/>
                      <w:rPr>
                        <w:rFonts w:ascii="Times New Roman" w:hAnsi="Times New Roman"/>
                        <w:sz w:val="18"/>
                        <w:szCs w:val="18"/>
                      </w:rPr>
                    </w:pPr>
                    <w:r>
                      <w:rPr>
                        <w:rFonts w:ascii="Times New Roman" w:hAnsi="Times New Roman"/>
                        <w:sz w:val="18"/>
                        <w:szCs w:val="18"/>
                      </w:rPr>
                      <w:t>该服务区报告期利润同比减少2</w:t>
                    </w:r>
                    <w:r>
                      <w:rPr>
                        <w:rFonts w:hint="eastAsia" w:ascii="Times New Roman" w:hAnsi="Times New Roman"/>
                        <w:sz w:val="18"/>
                        <w:szCs w:val="18"/>
                      </w:rPr>
                      <w:t>,</w:t>
                    </w:r>
                    <w:r>
                      <w:rPr>
                        <w:rFonts w:ascii="Times New Roman" w:hAnsi="Times New Roman"/>
                        <w:sz w:val="18"/>
                        <w:szCs w:val="18"/>
                      </w:rPr>
                      <w:t>607千元。</w:t>
                    </w:r>
                  </w:p>
                </w:tc>
                <w:sdt>
                  <w:sdtPr>
                    <w:rPr>
                      <w:rFonts w:hint="eastAsia" w:ascii="Times New Roman" w:hAnsi="Times New Roman"/>
                      <w:sz w:val="18"/>
                      <w:szCs w:val="18"/>
                    </w:rPr>
                    <w:alias w:val="租赁是否关联交易"/>
                    <w:tag w:val="_GBC_60d041c2218a435e9838147eb1555631"/>
                    <w:id w:val="1308208383"/>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30259200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both"/>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宋体" w:hAnsi="宋体" w:eastAsiaTheme="minorEastAsia" w:cstheme="minorBidi"/>
                <w:bCs/>
                <w:kern w:val="2"/>
                <w:sz w:val="18"/>
                <w:szCs w:val="18"/>
                <w14:ligatures w14:val="standardContextual"/>
              </w:rPr>
              <w:alias w:val="租赁情况"/>
              <w:tag w:val="_TUP_55486688f69543b68fa920b1a7c1af71"/>
              <w:id w:val="2096048392"/>
              <w:lock w:val="sdtLocked"/>
            </w:sdtPr>
            <w:sdtEndPr>
              <w:rPr>
                <w:rFonts w:hint="eastAsia" w:ascii="宋体" w:hAnsi="宋体" w:eastAsiaTheme="minorEastAsia" w:cstheme="minorBidi"/>
                <w:bCs/>
                <w:kern w:val="2"/>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公司</w:t>
                    </w:r>
                  </w:p>
                </w:tc>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嘉兴市凯通投资有限公司</w:t>
                    </w:r>
                  </w:p>
                </w:tc>
                <w:tc>
                  <w:tcPr>
                    <w:tcW w:w="646" w:type="dxa"/>
                    <w:vAlign w:val="center"/>
                  </w:tcPr>
                  <w:p>
                    <w:pPr>
                      <w:widowControl w:val="0"/>
                      <w:jc w:val="left"/>
                      <w:rPr>
                        <w:rFonts w:ascii="Times New Roman" w:hAnsi="Times New Roman"/>
                        <w:sz w:val="18"/>
                        <w:szCs w:val="18"/>
                      </w:rPr>
                    </w:pPr>
                    <w:r>
                      <w:rPr>
                        <w:rFonts w:ascii="Times New Roman" w:hAnsi="Times New Roman"/>
                        <w:sz w:val="18"/>
                        <w:szCs w:val="18"/>
                      </w:rPr>
                      <w:t>阳澄湖服务区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60,930,582</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2018/5/15</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2027/5/14</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ascii="Times New Roman" w:hAnsi="Times New Roman"/>
                        <w:sz w:val="18"/>
                        <w:szCs w:val="18"/>
                      </w:rPr>
                      <w:t>6,857,618.64</w:t>
                    </w:r>
                  </w:p>
                </w:tc>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left"/>
                      <w:rPr>
                        <w:rFonts w:ascii="Times New Roman" w:hAnsi="Times New Roman"/>
                        <w:sz w:val="18"/>
                        <w:szCs w:val="18"/>
                      </w:rPr>
                    </w:pPr>
                    <w:r>
                      <w:rPr>
                        <w:rFonts w:ascii="Times New Roman" w:hAnsi="Times New Roman"/>
                        <w:sz w:val="18"/>
                        <w:szCs w:val="18"/>
                      </w:rPr>
                      <w:t>该服务区报告期利润同比减少565千元。　</w:t>
                    </w:r>
                  </w:p>
                </w:tc>
                <w:sdt>
                  <w:sdtPr>
                    <w:rPr>
                      <w:rFonts w:hint="eastAsia" w:ascii="Times New Roman" w:hAnsi="Times New Roman"/>
                      <w:sz w:val="18"/>
                      <w:szCs w:val="18"/>
                    </w:rPr>
                    <w:alias w:val="租赁是否关联交易"/>
                    <w:tag w:val="_GBC_60d041c2218a435e9838147eb1555631"/>
                    <w:id w:val="-494334659"/>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97633982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宋体" w:hAnsi="宋体" w:eastAsiaTheme="minorEastAsia" w:cstheme="minorBidi"/>
                <w:bCs/>
                <w:kern w:val="2"/>
                <w:sz w:val="18"/>
                <w:szCs w:val="18"/>
                <w14:ligatures w14:val="standardContextual"/>
              </w:rPr>
              <w:alias w:val="租赁情况"/>
              <w:tag w:val="_TUP_55486688f69543b68fa920b1a7c1af71"/>
              <w:id w:val="1330098936"/>
              <w:lock w:val="sdtLocked"/>
            </w:sdtPr>
            <w:sdtEndPr>
              <w:rPr>
                <w:rFonts w:hint="eastAsia" w:ascii="宋体" w:hAnsi="宋体" w:eastAsiaTheme="minorEastAsia" w:cstheme="minorBidi"/>
                <w:bCs/>
                <w:kern w:val="2"/>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公司</w:t>
                    </w:r>
                  </w:p>
                </w:tc>
                <w:tc>
                  <w:tcPr>
                    <w:tcW w:w="645" w:type="dxa"/>
                    <w:vAlign w:val="center"/>
                  </w:tcPr>
                  <w:p>
                    <w:pPr>
                      <w:widowControl w:val="0"/>
                      <w:jc w:val="left"/>
                      <w:rPr>
                        <w:rFonts w:ascii="Times New Roman" w:hAnsi="Times New Roman"/>
                        <w:sz w:val="18"/>
                        <w:szCs w:val="18"/>
                      </w:rPr>
                    </w:pPr>
                    <w:r>
                      <w:rPr>
                        <w:rFonts w:ascii="Times New Roman" w:hAnsi="Times New Roman"/>
                        <w:sz w:val="18"/>
                        <w:szCs w:val="18"/>
                      </w:rPr>
                      <w:t>龙城旅游控股集团有限公司</w:t>
                    </w:r>
                  </w:p>
                </w:tc>
                <w:tc>
                  <w:tcPr>
                    <w:tcW w:w="646" w:type="dxa"/>
                    <w:vAlign w:val="center"/>
                  </w:tcPr>
                  <w:p>
                    <w:pPr>
                      <w:widowControl w:val="0"/>
                      <w:jc w:val="left"/>
                      <w:rPr>
                        <w:rFonts w:ascii="Times New Roman" w:hAnsi="Times New Roman"/>
                        <w:sz w:val="18"/>
                        <w:szCs w:val="18"/>
                      </w:rPr>
                    </w:pPr>
                    <w:r>
                      <w:rPr>
                        <w:rFonts w:ascii="Times New Roman" w:hAnsi="Times New Roman"/>
                        <w:sz w:val="18"/>
                        <w:szCs w:val="18"/>
                      </w:rPr>
                      <w:t>芳茂山服务区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20,919,070</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2018/5/11</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2026/5/10</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ascii="Times New Roman" w:hAnsi="Times New Roman"/>
                        <w:sz w:val="18"/>
                        <w:szCs w:val="18"/>
                      </w:rPr>
                      <w:t>8,029,148.7</w:t>
                    </w:r>
                  </w:p>
                </w:tc>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left"/>
                      <w:rPr>
                        <w:rFonts w:ascii="Times New Roman" w:hAnsi="Times New Roman"/>
                        <w:sz w:val="18"/>
                        <w:szCs w:val="18"/>
                      </w:rPr>
                    </w:pPr>
                    <w:r>
                      <w:rPr>
                        <w:rFonts w:ascii="Times New Roman" w:hAnsi="Times New Roman"/>
                        <w:sz w:val="18"/>
                        <w:szCs w:val="18"/>
                      </w:rPr>
                      <w:t>该服务区报告期利润同比减少670千元。</w:t>
                    </w:r>
                  </w:p>
                </w:tc>
                <w:sdt>
                  <w:sdtPr>
                    <w:rPr>
                      <w:rFonts w:hint="eastAsia" w:ascii="Times New Roman" w:hAnsi="Times New Roman"/>
                      <w:sz w:val="18"/>
                      <w:szCs w:val="18"/>
                    </w:rPr>
                    <w:alias w:val="租赁是否关联交易"/>
                    <w:tag w:val="_GBC_60d041c2218a435e9838147eb1555631"/>
                    <w:id w:val="2027976706"/>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112549954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其他</w:t>
                        </w:r>
                      </w:p>
                    </w:tc>
                  </w:sdtContent>
                </w:sdt>
              </w:tr>
            </w:sdtContent>
          </w:sdt>
          <w:sdt>
            <w:sdtPr>
              <w:rPr>
                <w:rFonts w:hint="eastAsia" w:ascii="宋体" w:hAnsi="宋体" w:eastAsiaTheme="minorEastAsia" w:cstheme="minorBidi"/>
                <w:bCs/>
                <w:kern w:val="2"/>
                <w:sz w:val="18"/>
                <w:szCs w:val="18"/>
                <w14:ligatures w14:val="standardContextual"/>
              </w:rPr>
              <w:alias w:val="租赁情况"/>
              <w:tag w:val="_TUP_55486688f69543b68fa920b1a7c1af71"/>
              <w:id w:val="1495538204"/>
              <w:lock w:val="sdtLocked"/>
            </w:sdtPr>
            <w:sdtEndPr>
              <w:rPr>
                <w:rFonts w:hint="eastAsia" w:ascii="宋体" w:hAnsi="宋体" w:eastAsiaTheme="minorEastAsia" w:cstheme="minorBidi"/>
                <w:bCs/>
                <w:kern w:val="2"/>
                <w:sz w:val="18"/>
                <w:szCs w:val="18"/>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公司</w:t>
                    </w:r>
                  </w:p>
                </w:tc>
                <w:tc>
                  <w:tcPr>
                    <w:tcW w:w="645" w:type="dxa"/>
                    <w:vAlign w:val="center"/>
                  </w:tcPr>
                  <w:p>
                    <w:pPr>
                      <w:widowControl w:val="0"/>
                      <w:jc w:val="left"/>
                      <w:rPr>
                        <w:rFonts w:ascii="Times New Roman" w:hAnsi="Times New Roman"/>
                        <w:sz w:val="18"/>
                        <w:szCs w:val="18"/>
                      </w:rPr>
                    </w:pPr>
                    <w:r>
                      <w:rPr>
                        <w:rFonts w:ascii="Times New Roman" w:hAnsi="Times New Roman"/>
                        <w:sz w:val="18"/>
                        <w:szCs w:val="18"/>
                      </w:rPr>
                      <w:t>南京百盛商业管理有限公司</w:t>
                    </w:r>
                  </w:p>
                </w:tc>
                <w:tc>
                  <w:tcPr>
                    <w:tcW w:w="646" w:type="dxa"/>
                    <w:vAlign w:val="center"/>
                  </w:tcPr>
                  <w:p>
                    <w:pPr>
                      <w:widowControl w:val="0"/>
                      <w:jc w:val="left"/>
                      <w:rPr>
                        <w:rFonts w:ascii="Times New Roman" w:hAnsi="Times New Roman"/>
                        <w:sz w:val="18"/>
                        <w:szCs w:val="18"/>
                      </w:rPr>
                    </w:pPr>
                    <w:r>
                      <w:rPr>
                        <w:rFonts w:ascii="Times New Roman" w:hAnsi="Times New Roman"/>
                        <w:sz w:val="18"/>
                        <w:szCs w:val="18"/>
                      </w:rPr>
                      <w:t>窦庄服务区</w:t>
                    </w:r>
                  </w:p>
                </w:tc>
                <w:tc>
                  <w:tcPr>
                    <w:tcW w:w="1026" w:type="dxa"/>
                    <w:vAlign w:val="center"/>
                  </w:tcPr>
                  <w:p>
                    <w:pPr>
                      <w:widowControl w:val="0"/>
                      <w:jc w:val="right"/>
                      <w:rPr>
                        <w:rFonts w:ascii="Times New Roman" w:hAnsi="Times New Roman"/>
                        <w:sz w:val="18"/>
                        <w:szCs w:val="18"/>
                      </w:rPr>
                    </w:pPr>
                    <w:r>
                      <w:rPr>
                        <w:rFonts w:ascii="Times New Roman" w:hAnsi="Times New Roman"/>
                        <w:sz w:val="18"/>
                        <w:szCs w:val="18"/>
                      </w:rPr>
                      <w:t>17,806,972</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2018/9/21</w:t>
                    </w:r>
                  </w:p>
                </w:tc>
                <w:tc>
                  <w:tcPr>
                    <w:tcW w:w="1037" w:type="dxa"/>
                    <w:vAlign w:val="center"/>
                  </w:tcPr>
                  <w:p>
                    <w:pPr>
                      <w:widowControl w:val="0"/>
                      <w:jc w:val="left"/>
                      <w:rPr>
                        <w:rFonts w:ascii="Times New Roman" w:hAnsi="Times New Roman"/>
                        <w:sz w:val="18"/>
                        <w:szCs w:val="18"/>
                      </w:rPr>
                    </w:pPr>
                    <w:r>
                      <w:rPr>
                        <w:rFonts w:ascii="Times New Roman" w:hAnsi="Times New Roman"/>
                        <w:sz w:val="18"/>
                        <w:szCs w:val="18"/>
                      </w:rPr>
                      <w:t>2026/9/20</w:t>
                    </w:r>
                  </w:p>
                </w:tc>
                <w:tc>
                  <w:tcPr>
                    <w:tcW w:w="11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jc w:val="right"/>
                      <w:rPr>
                        <w:rFonts w:ascii="Times New Roman" w:hAnsi="Times New Roman"/>
                        <w:sz w:val="18"/>
                        <w:szCs w:val="18"/>
                      </w:rPr>
                    </w:pPr>
                    <w:r>
                      <w:rPr>
                        <w:rFonts w:ascii="Times New Roman" w:hAnsi="Times New Roman"/>
                        <w:sz w:val="18"/>
                        <w:szCs w:val="18"/>
                      </w:rPr>
                      <w:t>7,405,721.28</w:t>
                    </w:r>
                  </w:p>
                </w:tc>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根据合同约定及会计准则确定收益。</w:t>
                    </w:r>
                  </w:p>
                </w:tc>
                <w:tc>
                  <w:tcPr>
                    <w:tcW w:w="733" w:type="dxa"/>
                    <w:vAlign w:val="center"/>
                  </w:tcPr>
                  <w:p>
                    <w:pPr>
                      <w:widowControl w:val="0"/>
                      <w:jc w:val="left"/>
                      <w:rPr>
                        <w:rFonts w:ascii="Times New Roman" w:hAnsi="Times New Roman"/>
                        <w:sz w:val="18"/>
                        <w:szCs w:val="18"/>
                      </w:rPr>
                    </w:pPr>
                    <w:r>
                      <w:rPr>
                        <w:rFonts w:ascii="Times New Roman" w:hAnsi="Times New Roman"/>
                        <w:sz w:val="18"/>
                        <w:szCs w:val="18"/>
                      </w:rPr>
                      <w:t>该服务区报告期利润同比减少898千元。</w:t>
                    </w:r>
                  </w:p>
                </w:tc>
                <w:sdt>
                  <w:sdtPr>
                    <w:rPr>
                      <w:rFonts w:hint="eastAsia" w:ascii="Times New Roman" w:hAnsi="Times New Roman"/>
                      <w:sz w:val="18"/>
                      <w:szCs w:val="18"/>
                    </w:rPr>
                    <w:alias w:val="租赁是否关联交易"/>
                    <w:tag w:val="_GBC_60d041c2218a435e9838147eb1555631"/>
                    <w:id w:val="725573968"/>
                    <w:lock w:val="sdtLocked"/>
                    <w:comboBox>
                      <w:listItem w:displayText="是" w:value="true"/>
                      <w:listItem w:displayText="否" w:value="false"/>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否</w:t>
                        </w:r>
                      </w:p>
                    </w:tc>
                  </w:sdtContent>
                </w:sdt>
                <w:sdt>
                  <w:sdtPr>
                    <w:rPr>
                      <w:rFonts w:hint="eastAsia" w:ascii="Times New Roman" w:hAnsi="Times New Roman"/>
                      <w:sz w:val="18"/>
                      <w:szCs w:val="18"/>
                    </w:rPr>
                    <w:alias w:val="租赁中关联方与本公司关系"/>
                    <w:tag w:val="_GBC_a392a448b118438b858e7600ecdb0e73"/>
                    <w:id w:val="-186619846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rPr>
                      <w:rFonts w:hint="eastAsia" w:ascii="Times New Roman" w:hAnsi="Times New Roman"/>
                      <w:sz w:val="18"/>
                      <w:szCs w:val="18"/>
                    </w:rPr>
                  </w:sdtEndPr>
                  <w:sdtContent>
                    <w:tc>
                      <w:tcPr>
                        <w:tcW w:w="646" w:type="dxa"/>
                        <w:vAlign w:val="center"/>
                      </w:tcPr>
                      <w:p>
                        <w:pPr>
                          <w:widowControl w:val="0"/>
                          <w:jc w:val="left"/>
                          <w:rPr>
                            <w:rFonts w:ascii="Times New Roman" w:hAnsi="Times New Roman"/>
                            <w:sz w:val="18"/>
                            <w:szCs w:val="18"/>
                          </w:rPr>
                        </w:pPr>
                        <w:r>
                          <w:rPr>
                            <w:rFonts w:hint="eastAsia" w:ascii="Times New Roman" w:hAnsi="Times New Roman"/>
                            <w:sz w:val="18"/>
                            <w:szCs w:val="18"/>
                          </w:rPr>
                          <w:t>其他</w:t>
                        </w:r>
                      </w:p>
                    </w:tc>
                  </w:sdtContent>
                </w:sdt>
              </w:tr>
            </w:sdtContent>
          </w:sdt>
        </w:tbl>
        <w:p>
          <w:pPr>
            <w:pStyle w:val="114"/>
          </w:pPr>
          <w:r>
            <w:t>租赁情况说明</w:t>
          </w:r>
        </w:p>
        <w:sdt>
          <w:sdtPr>
            <w:rPr>
              <w:rFonts w:hint="eastAsia"/>
            </w:rPr>
            <w:alias w:val="租赁情况说明"/>
            <w:tag w:val="_GBC_78ed8f0e87184a74aa66d7c9fa59152f"/>
            <w:id w:val="946281090"/>
            <w:lock w:val="sdtLocked"/>
            <w:placeholder>
              <w:docPart w:val="GBC22222222222222222222222222222"/>
            </w:placeholder>
          </w:sdtPr>
          <w:sdtEndPr>
            <w:rPr>
              <w:rFonts w:hint="eastAsia"/>
              <w:shd w:val="pct10" w:color="auto" w:fill="FFFFFF"/>
            </w:rPr>
          </w:sdtEndPr>
          <w:sdtContent>
            <w:p>
              <w:pPr>
                <w:ind w:firstLine="420" w:firstLineChars="200"/>
                <w:rPr>
                  <w:shd w:val="pct10" w:color="auto" w:fill="FFFFFF"/>
                </w:rPr>
              </w:pPr>
              <w:r>
                <w:rPr>
                  <w:rFonts w:hint="eastAsia"/>
                </w:rPr>
                <w:t>沪宁高速黄栗墅、仙人山、梅村服务区终止原租赁合同，双方签署终止协议，明确以上服务区租赁终止日期为</w:t>
              </w:r>
              <w:r>
                <w:t>2021年12月31日，从2022年1月1日至新承租单位进场日为过渡期，由原承租单位继续维持经营。</w:t>
              </w:r>
              <w:r>
                <w:rPr>
                  <w:rFonts w:hint="eastAsia"/>
                </w:rPr>
                <w:t>待</w:t>
              </w:r>
              <w:r>
                <w:t>上述服务区完成招商后，以新一轮中标“保底+提成”结果作为计算依据，向原承租单位收取过渡期租金。截至报告期末，黄栗墅、梅村服务区招商工作尚未完成，未收取过渡期租金。</w:t>
              </w:r>
            </w:p>
          </w:sdtContent>
        </w:sdt>
      </w:sdtContent>
    </w:sdt>
    <w:p>
      <w:pPr>
        <w:rPr>
          <w:shd w:val="pct10" w:color="auto" w:fill="FFFFFF"/>
        </w:rPr>
        <w:sectPr>
          <w:pgSz w:w="11906" w:h="16838"/>
          <w:pgMar w:top="1525" w:right="1276" w:bottom="1440" w:left="1797" w:header="851" w:footer="992" w:gutter="0"/>
          <w:cols w:space="425" w:num="1"/>
          <w:docGrid w:linePitch="312" w:charSpace="0"/>
        </w:sectPr>
      </w:pPr>
    </w:p>
    <w:p>
      <w:pPr>
        <w:pStyle w:val="4"/>
        <w:numPr>
          <w:ilvl w:val="0"/>
          <w:numId w:val="28"/>
        </w:numPr>
        <w:ind w:left="450" w:hanging="450"/>
        <w:rPr>
          <w:rFonts w:ascii="宋体" w:hAnsi="宋体"/>
          <w:szCs w:val="21"/>
        </w:rPr>
      </w:pPr>
      <w:r>
        <w:rPr>
          <w:rFonts w:hint="eastAsia" w:ascii="宋体" w:hAnsi="宋体"/>
          <w:szCs w:val="21"/>
        </w:rPr>
        <w:t>报告期内履行的及尚未履行完毕的重大担保情况</w:t>
      </w:r>
    </w:p>
    <w:sdt>
      <w:sdtPr>
        <w:alias w:val="是否适用：担保情况[双击切换]"/>
        <w:tag w:val="_GBC_aae98b3e30bd49e4b2e1d2643f200047"/>
        <w:id w:val="46573205"/>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担保情况"/>
        <w:tag w:val="_SEC_7252a26412904d92b0bddfc3266d9f75"/>
        <w:id w:val="-207338532"/>
        <w:lock w:val="sdtLocked"/>
        <w:placeholder>
          <w:docPart w:val="GBC22222222222222222222222222222"/>
        </w:placeholder>
      </w:sdtPr>
      <w:sdtEndPr>
        <w:rPr>
          <w:rFonts w:hint="eastAsia"/>
        </w:rPr>
      </w:sdtEndPr>
      <w:sdtContent>
        <w:p>
          <w:pPr>
            <w:ind w:right="-315" w:rightChars="-150"/>
            <w:jc w:val="right"/>
          </w:pPr>
          <w:bookmarkStart w:id="64" w:name="_Hlk42868045"/>
          <w:r>
            <w:rPr>
              <w:rFonts w:hint="eastAsia"/>
            </w:rPr>
            <w:t>单位</w:t>
          </w:r>
          <w:r>
            <w:t xml:space="preserve">： </w:t>
          </w:r>
          <w:sdt>
            <w:sdtPr>
              <w:alias w:val="单位：担保情况"/>
              <w:tag w:val="_GBC_27c8b92380c14fd7885db4b4050dbded"/>
              <w:id w:val="1503346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币种</w:t>
          </w:r>
          <w:r>
            <w:t xml:space="preserve">： </w:t>
          </w:r>
          <w:sdt>
            <w:sdtPr>
              <w:alias w:val="币种：担保情况"/>
              <w:tag w:val="_GBC_a5bed87537d146398206f22cc051cc03"/>
              <w:id w:val="10835759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30" w:type="dxa"/>
              <w:bottom w:w="0" w:type="dxa"/>
              <w:right w:w="30" w:type="dxa"/>
            </w:tblCellMar>
          </w:tblPr>
          <w:tblGrid>
            <w:gridCol w:w="5983"/>
            <w:gridCol w:w="79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293" w:hRule="atLeast"/>
            </w:trPr>
            <w:sdt>
              <w:sdtPr>
                <w:tag w:val="_PLD_e4c50adfca70424b94b9e8ceed3333ed"/>
                <w:id w:val="-354118505"/>
                <w:lock w:val="sdtLocked"/>
              </w:sdtPr>
              <w:sdtContent>
                <w:tc>
                  <w:tcPr>
                    <w:tcW w:w="5000" w:type="pct"/>
                    <w:gridSpan w:val="2"/>
                    <w:tcBorders>
                      <w:top w:val="single" w:color="auto" w:sz="4" w:space="0"/>
                      <w:bottom w:val="single" w:color="auto" w:sz="4" w:space="0"/>
                    </w:tcBorders>
                    <w:shd w:val="clear" w:color="auto" w:fill="auto"/>
                    <w:vAlign w:val="center"/>
                  </w:tcPr>
                  <w:p>
                    <w:pPr>
                      <w:autoSpaceDE w:val="0"/>
                      <w:autoSpaceDN w:val="0"/>
                      <w:adjustRightInd w:val="0"/>
                      <w:jc w:val="center"/>
                    </w:pPr>
                    <w:r>
                      <w:rPr>
                        <w:rFonts w:hint="eastAsia"/>
                      </w:rPr>
                      <w:t>公司对外担保情况（不包括对子公司的担保）</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d3f8496ab2aa4285bf776285bebe3438"/>
                <w:id w:val="-846561617"/>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报告期内担保发生额合计（不包括对子公司的担保）</w:t>
                    </w:r>
                  </w:p>
                </w:tc>
              </w:sdtContent>
            </w:sdt>
            <w:tc>
              <w:tcPr>
                <w:tcW w:w="2853" w:type="pct"/>
                <w:tcBorders>
                  <w:top w:val="single" w:color="auto" w:sz="4" w:space="0"/>
                  <w:left w:val="single" w:color="auto" w:sz="4" w:space="0"/>
                  <w:bottom w:val="single" w:color="auto" w:sz="4" w:space="0"/>
                </w:tcBorders>
                <w:shd w:val="clear" w:color="auto" w:fill="auto"/>
                <w:vAlign w:val="center"/>
              </w:tcPr>
              <w:p>
                <w:pPr>
                  <w:ind w:right="84" w:rightChars="40"/>
                  <w:jc w:val="right"/>
                </w:pPr>
                <w:r>
                  <w:rPr>
                    <w:rFonts w:hint="eastAsi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b55a1c0b2abc412094fcc159dfb3ecda"/>
                <w:id w:val="1741907696"/>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报告期末担保余额合计（</w:t>
                    </w:r>
                    <w:r>
                      <w:t>A</w:t>
                    </w:r>
                    <w:r>
                      <w:rPr>
                        <w:rFonts w:hint="eastAsia"/>
                      </w:rPr>
                      <w:t>）（不包括对子公司的担保）</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ind w:right="84" w:rightChars="40"/>
                  <w:jc w:val="right"/>
                </w:pPr>
                <w:r>
                  <w:rPr>
                    <w:rFonts w:hint="eastAsi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tc>
              <w:tcPr>
                <w:tcW w:w="5000" w:type="pct"/>
                <w:gridSpan w:val="2"/>
                <w:tcBorders>
                  <w:top w:val="single" w:color="auto" w:sz="4" w:space="0"/>
                  <w:bottom w:val="single" w:color="auto" w:sz="4" w:space="0"/>
                </w:tcBorders>
                <w:shd w:val="clear" w:color="auto" w:fill="auto"/>
                <w:vAlign w:val="center"/>
              </w:tcPr>
              <w:p>
                <w:pPr>
                  <w:autoSpaceDE w:val="0"/>
                  <w:autoSpaceDN w:val="0"/>
                  <w:adjustRightInd w:val="0"/>
                  <w:ind w:right="84" w:rightChars="40"/>
                  <w:jc w:val="center"/>
                </w:pPr>
                <w:sdt>
                  <w:sdtPr>
                    <w:rPr>
                      <w:rFonts w:hint="eastAsia"/>
                    </w:rPr>
                    <w:tag w:val="_PLD_05f81595191b432fba2f5467a459f70b"/>
                    <w:id w:val="1725097210"/>
                    <w:lock w:val="sdtLocked"/>
                  </w:sdtPr>
                  <w:sdtEndPr>
                    <w:rPr>
                      <w:rFonts w:hint="eastAsia"/>
                    </w:rPr>
                  </w:sdtEndPr>
                  <w:sdtContent>
                    <w:r>
                      <w:rPr>
                        <w:rFonts w:hint="eastAsia"/>
                      </w:rPr>
                      <w:t>公司对子公司的担保情况</w:t>
                    </w:r>
                  </w:sdtContent>
                </w:sdt>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bd646052ed464f3aaf4411adbc884bb9"/>
                <w:id w:val="-1225987677"/>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ind w:right="84" w:rightChars="40"/>
                      <w:rPr>
                        <w:color w:val="FF0000"/>
                      </w:rPr>
                    </w:pPr>
                    <w:r>
                      <w:rPr>
                        <w:rFonts w:hint="eastAsia"/>
                      </w:rPr>
                      <w:t>报告期内对子公司担保发生额合计</w:t>
                    </w:r>
                  </w:p>
                </w:tc>
              </w:sdtContent>
            </w:sdt>
            <w:tc>
              <w:tcPr>
                <w:tcW w:w="2853" w:type="pct"/>
                <w:tcBorders>
                  <w:top w:val="single" w:color="auto" w:sz="4" w:space="0"/>
                  <w:left w:val="single" w:color="auto" w:sz="4" w:space="0"/>
                  <w:bottom w:val="single" w:color="auto" w:sz="4" w:space="0"/>
                </w:tcBorders>
                <w:shd w:val="clear" w:color="auto" w:fill="auto"/>
                <w:vAlign w:val="center"/>
              </w:tcPr>
              <w:p>
                <w:pPr>
                  <w:ind w:right="84" w:rightChars="40"/>
                  <w:jc w:val="right"/>
                </w:pPr>
                <w:r>
                  <w:t>2,497,000,000.00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350c26e78409464a9a6fe0a9a4a2a65a"/>
                <w:id w:val="-2080045917"/>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ind w:right="84" w:rightChars="40"/>
                      <w:rPr>
                        <w:color w:val="FF0000"/>
                      </w:rPr>
                    </w:pPr>
                    <w:r>
                      <w:rPr>
                        <w:rFonts w:hint="eastAsia"/>
                      </w:rPr>
                      <w:t>报告期末对子公司担保余额合计（</w:t>
                    </w:r>
                    <w:r>
                      <w:t>B</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tabs>
                    <w:tab w:val="center" w:pos="2466"/>
                    <w:tab w:val="right" w:pos="4932"/>
                  </w:tabs>
                  <w:autoSpaceDE w:val="0"/>
                  <w:autoSpaceDN w:val="0"/>
                  <w:adjustRightInd w:val="0"/>
                  <w:ind w:right="84" w:rightChars="40"/>
                </w:pPr>
                <w:r>
                  <w:tab/>
                </w:r>
                <w:r>
                  <w:tab/>
                </w:r>
                <w:r>
                  <w:t>2,497,000,000.00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7934b7db222a4b859de67adddfbf4ea4"/>
                <w:id w:val="-900755375"/>
                <w:lock w:val="sdtLocked"/>
              </w:sdtPr>
              <w:sdtContent>
                <w:tc>
                  <w:tcPr>
                    <w:tcW w:w="5000" w:type="pct"/>
                    <w:gridSpan w:val="2"/>
                    <w:tcBorders>
                      <w:top w:val="single" w:color="auto" w:sz="4" w:space="0"/>
                      <w:bottom w:val="single" w:color="auto" w:sz="4" w:space="0"/>
                    </w:tcBorders>
                    <w:shd w:val="clear" w:color="auto" w:fill="auto"/>
                    <w:vAlign w:val="center"/>
                  </w:tcPr>
                  <w:p>
                    <w:pPr>
                      <w:autoSpaceDE w:val="0"/>
                      <w:autoSpaceDN w:val="0"/>
                      <w:adjustRightInd w:val="0"/>
                      <w:ind w:right="84" w:rightChars="40"/>
                      <w:jc w:val="center"/>
                    </w:pPr>
                    <w:r>
                      <w:rPr>
                        <w:rFonts w:hint="eastAsia"/>
                      </w:rPr>
                      <w:t>公司担保总额情况（包括对子公司的担保）</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470" w:hRule="atLeast"/>
            </w:trPr>
            <w:sdt>
              <w:sdtPr>
                <w:tag w:val="_PLD_6b0c4c002c694982b48e0ac72810185e"/>
                <w:id w:val="-1079283598"/>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ind w:right="84" w:rightChars="40"/>
                    </w:pPr>
                    <w:r>
                      <w:rPr>
                        <w:rFonts w:hint="eastAsia"/>
                      </w:rPr>
                      <w:t>担保总额（</w:t>
                    </w:r>
                    <w:r>
                      <w:t>A+B</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ind w:right="84" w:rightChars="40"/>
                  <w:jc w:val="right"/>
                </w:pPr>
                <w:r>
                  <w:t>2,497,000,000.00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2d0f72aea87f48239298404a726330f6"/>
                <w:id w:val="761256072"/>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ind w:right="84" w:rightChars="40"/>
                    </w:pPr>
                    <w:r>
                      <w:rPr>
                        <w:rFonts w:hint="eastAsia"/>
                      </w:rPr>
                      <w:t>担保总额占公司净资产的比例</w:t>
                    </w:r>
                    <w: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ind w:right="84" w:rightChars="40"/>
                  <w:jc w:val="right"/>
                </w:pPr>
                <w:r>
                  <w:rPr>
                    <w:rFonts w:hint="eastAsia"/>
                  </w:rPr>
                  <w:t>6.58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rPr>
                  <w:rFonts w:ascii="宋体" w:hAnsi="宋体"/>
                </w:rPr>
                <w:tag w:val="_PLD_a773089c19754364bad6c8803a7c8022"/>
                <w:id w:val="1396856473"/>
                <w:lock w:val="sdtLocked"/>
              </w:sdtPr>
              <w:sdtEndPr>
                <w:rPr>
                  <w:rFonts w:ascii="宋体" w:hAnsi="宋体"/>
                </w:rPr>
              </w:sdtEndPr>
              <w:sdtContent>
                <w:tc>
                  <w:tcPr>
                    <w:tcW w:w="5000" w:type="pct"/>
                    <w:gridSpan w:val="2"/>
                    <w:tcBorders>
                      <w:top w:val="single" w:color="auto" w:sz="4" w:space="0"/>
                      <w:bottom w:val="single" w:color="auto" w:sz="4" w:space="0"/>
                    </w:tcBorders>
                    <w:shd w:val="clear" w:color="auto" w:fill="auto"/>
                    <w:vAlign w:val="center"/>
                  </w:tcPr>
                  <w:p>
                    <w:pPr>
                      <w:pStyle w:val="15"/>
                      <w:autoSpaceDE w:val="0"/>
                      <w:autoSpaceDN w:val="0"/>
                      <w:adjustRightInd w:val="0"/>
                      <w:ind w:right="84" w:rightChars="40"/>
                      <w:rPr>
                        <w:rFonts w:ascii="宋体" w:hAnsi="宋体"/>
                      </w:rPr>
                    </w:pPr>
                    <w:r>
                      <w:rPr>
                        <w:rFonts w:hint="eastAsia" w:ascii="宋体" w:hAnsi="宋体"/>
                      </w:rPr>
                      <w:t>其中：</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2b478682f6824384b68d5b0029a80fac"/>
                <w:id w:val="-1951230802"/>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为股东、实际控制人及其关联方提供担保的金额（</w:t>
                    </w:r>
                    <w:r>
                      <w:t>C</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ind w:right="84" w:rightChars="40"/>
                  <w:jc w:val="right"/>
                </w:pPr>
                <w:r>
                  <w:t>2,497,000,000.00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bd548a5f7dc24a60aa38273913ff7b9c"/>
                <w:id w:val="613017413"/>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直接或间接为资产负债率超过</w:t>
                    </w:r>
                    <w:r>
                      <w:t>70</w:t>
                    </w:r>
                    <w:r>
                      <w:rPr>
                        <w:rFonts w:hint="eastAsia"/>
                      </w:rPr>
                      <w:t>%的被担保对象提供的债务担保金额（</w:t>
                    </w:r>
                    <w:r>
                      <w:t>D</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ind w:right="84" w:rightChars="40"/>
                  <w:jc w:val="right"/>
                </w:pPr>
                <w:r>
                  <w:rPr>
                    <w:rFonts w:hint="eastAsi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9d058e02099a4546a00404272905f4bd"/>
                <w:id w:val="-1332369487"/>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担保总额超过净资产</w:t>
                    </w:r>
                    <w:r>
                      <w:t>50</w:t>
                    </w:r>
                    <w:r>
                      <w:rPr>
                        <w:rFonts w:hint="eastAsia"/>
                      </w:rPr>
                      <w:t>%部分的金额（</w:t>
                    </w:r>
                    <w:r>
                      <w:t>E</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ind w:right="84" w:rightChars="40"/>
                  <w:jc w:val="right"/>
                </w:pPr>
                <w:r>
                  <w:rPr>
                    <w:rFonts w:hint="eastAsi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03da683ec4b5413c894077b5f513200f"/>
                <w:id w:val="-1848398041"/>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上述三项担保金额合计（</w:t>
                    </w:r>
                    <w:r>
                      <w:t>C+D+E</w:t>
                    </w:r>
                    <w:r>
                      <w:rPr>
                        <w:rFonts w:hint="eastAsia"/>
                      </w:rPr>
                      <w:t>）</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ind w:right="84" w:rightChars="40"/>
                  <w:jc w:val="right"/>
                </w:pPr>
                <w:r>
                  <w:t>2,497,000,000.00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rPr>
                  <w:rFonts w:ascii="宋体" w:hAnsi="宋体"/>
                </w:rPr>
                <w:tag w:val="_PLD_ae4f1a7cfa594de68497f7d16c7d80e5"/>
                <w:id w:val="-865979813"/>
                <w:lock w:val="sdtLocked"/>
              </w:sdtPr>
              <w:sdtEndPr>
                <w:rPr>
                  <w:rFonts w:ascii="宋体" w:hAnsi="宋体"/>
                </w:rPr>
              </w:sdtEndPr>
              <w:sdtContent>
                <w:tc>
                  <w:tcPr>
                    <w:tcW w:w="2147" w:type="pct"/>
                    <w:tcBorders>
                      <w:top w:val="single" w:color="auto" w:sz="4" w:space="0"/>
                      <w:bottom w:val="single" w:color="auto" w:sz="4" w:space="0"/>
                      <w:right w:val="single" w:color="auto" w:sz="4" w:space="0"/>
                    </w:tcBorders>
                    <w:shd w:val="clear" w:color="auto" w:fill="auto"/>
                    <w:vAlign w:val="center"/>
                  </w:tcPr>
                  <w:p>
                    <w:pPr>
                      <w:pStyle w:val="15"/>
                      <w:autoSpaceDE w:val="0"/>
                      <w:autoSpaceDN w:val="0"/>
                      <w:adjustRightInd w:val="0"/>
                      <w:rPr>
                        <w:rFonts w:ascii="宋体" w:hAnsi="宋体"/>
                      </w:rPr>
                    </w:pPr>
                    <w:r>
                      <w:rPr>
                        <w:rFonts w:hint="eastAsia" w:ascii="宋体" w:hAnsi="宋体"/>
                      </w:rPr>
                      <w:t>未到期担保可能承担连带清偿责任说明</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pPr>
                <w: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trHeight w:val="308" w:hRule="atLeast"/>
            </w:trPr>
            <w:sdt>
              <w:sdtPr>
                <w:tag w:val="_PLD_88f88dacaff54d419c61ced0566505e9"/>
                <w:id w:val="681473487"/>
                <w:lock w:val="sdtLocked"/>
              </w:sdtPr>
              <w:sdtContent>
                <w:tc>
                  <w:tcPr>
                    <w:tcW w:w="2147" w:type="pct"/>
                    <w:tcBorders>
                      <w:top w:val="single" w:color="auto" w:sz="4" w:space="0"/>
                      <w:bottom w:val="single" w:color="auto" w:sz="4" w:space="0"/>
                      <w:right w:val="single" w:color="auto" w:sz="4" w:space="0"/>
                    </w:tcBorders>
                    <w:shd w:val="clear" w:color="auto" w:fill="auto"/>
                    <w:vAlign w:val="center"/>
                  </w:tcPr>
                  <w:p>
                    <w:pPr>
                      <w:autoSpaceDE w:val="0"/>
                      <w:autoSpaceDN w:val="0"/>
                      <w:adjustRightInd w:val="0"/>
                    </w:pPr>
                    <w:r>
                      <w:rPr>
                        <w:rFonts w:hint="eastAsia"/>
                      </w:rPr>
                      <w:t>担保情况说明</w:t>
                    </w:r>
                  </w:p>
                </w:tc>
              </w:sdtContent>
            </w:sdt>
            <w:tc>
              <w:tcPr>
                <w:tcW w:w="2853" w:type="pct"/>
                <w:tcBorders>
                  <w:top w:val="single" w:color="auto" w:sz="4" w:space="0"/>
                  <w:left w:val="single" w:color="auto" w:sz="4" w:space="0"/>
                  <w:bottom w:val="single" w:color="auto" w:sz="4" w:space="0"/>
                </w:tcBorders>
                <w:shd w:val="clear" w:color="auto" w:fill="auto"/>
                <w:vAlign w:val="center"/>
              </w:tcPr>
              <w:p>
                <w:pPr>
                  <w:autoSpaceDE w:val="0"/>
                  <w:autoSpaceDN w:val="0"/>
                  <w:adjustRightInd w:val="0"/>
                </w:pPr>
                <w:r>
                  <w:rPr>
                    <w:rFonts w:hint="eastAsia"/>
                  </w:rPr>
                  <w:t>根据公司第十届董事会第九次会议决议公告，本公司自交割日起</w:t>
                </w:r>
                <w:r>
                  <w:t>1年内为全资子公司云杉清能公司的控股子公司如东公司的国家开发银行江苏省分行贷款提供贷款担保。</w:t>
                </w:r>
                <w:r>
                  <w:rPr>
                    <w:rFonts w:hint="eastAsia"/>
                  </w:rPr>
                  <w:t>贷款保证合同</w:t>
                </w:r>
                <w:r>
                  <w:t>已于2023年</w:t>
                </w:r>
                <w:r>
                  <w:rPr>
                    <w:rFonts w:hint="eastAsia"/>
                  </w:rPr>
                  <w:t>3</w:t>
                </w:r>
                <w:r>
                  <w:t>月</w:t>
                </w:r>
                <w:r>
                  <w:rPr>
                    <w:rFonts w:hint="eastAsia"/>
                  </w:rPr>
                  <w:t>16</w:t>
                </w:r>
                <w:r>
                  <w:t>日签署，担保最高余额为人民币2,663,000千元，担保方式为连带责任担保，担保期间为借款主合同项下债务履行期届满之日起6个月（主合同下贷款期限为2020年3月19日至2040年3月19日止）。</w:t>
                </w:r>
              </w:p>
            </w:tc>
          </w:tr>
        </w:tbl>
        <w:p>
          <w:pPr>
            <w:pStyle w:val="114"/>
          </w:pPr>
        </w:p>
      </w:sdtContent>
    </w:sdt>
    <w:bookmarkEnd w:id="64"/>
    <w:p>
      <w:pPr>
        <w:sectPr>
          <w:pgSz w:w="16838" w:h="11906" w:orient="landscape"/>
          <w:pgMar w:top="1797" w:right="1525" w:bottom="1276" w:left="1440" w:header="851" w:footer="992" w:gutter="0"/>
          <w:cols w:space="425" w:num="1"/>
          <w:docGrid w:linePitch="312" w:charSpace="0"/>
        </w:sectPr>
      </w:pPr>
    </w:p>
    <w:sdt>
      <w:sdtPr>
        <w:rPr>
          <w:rFonts w:ascii="宋体" w:hAnsi="宋体" w:cs="宋体"/>
          <w:b w:val="0"/>
          <w:bCs w:val="0"/>
          <w:kern w:val="0"/>
          <w:szCs w:val="21"/>
        </w:rPr>
        <w:alias w:val="模块:其他重大合同"/>
        <w:tag w:val="_SEC_e046194a1b604165ab4ac9dbd406e6b1"/>
        <w:id w:val="71647094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28"/>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17430916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
        <w:tag w:val="_SEC_82a7281a6dc544bea8ef97d430f7b6fc"/>
        <w:id w:val="-270794928"/>
        <w:lock w:val="sdtLocked"/>
        <w:placeholder>
          <w:docPart w:val="GBC22222222222222222222222222222"/>
        </w:placeholder>
      </w:sdtPr>
      <w:sdtEndPr>
        <w:rPr>
          <w:rFonts w:ascii="宋体" w:hAnsi="宋体" w:cs="宋体"/>
          <w:b w:val="0"/>
          <w:bCs w:val="0"/>
          <w:kern w:val="0"/>
          <w:szCs w:val="21"/>
        </w:rPr>
      </w:sdtEndPr>
      <w:sdtContent>
        <w:p>
          <w:pPr>
            <w:pStyle w:val="3"/>
            <w:numPr>
              <w:ilvl w:val="0"/>
              <w:numId w:val="19"/>
            </w:numPr>
            <w:tabs>
              <w:tab w:val="left" w:pos="426"/>
            </w:tabs>
            <w:jc w:val="left"/>
            <w:rPr>
              <w:rFonts w:ascii="宋体" w:hAnsi="宋体"/>
            </w:rPr>
          </w:pPr>
          <w:bookmarkStart w:id="65" w:name="_Hlk74904700"/>
          <w:bookmarkStart w:id="66" w:name="_Hlk74820557"/>
          <w:r>
            <w:rPr>
              <w:rFonts w:ascii="宋体" w:hAnsi="宋体"/>
            </w:rPr>
            <w:t>其他</w:t>
          </w:r>
          <w:r>
            <w:rPr>
              <w:rFonts w:hint="eastAsia" w:ascii="宋体" w:hAnsi="宋体"/>
            </w:rPr>
            <w:t>重大事项的说明</w:t>
          </w:r>
        </w:p>
        <w:sdt>
          <w:sdtPr>
            <w:alias w:val="是否适用：其他重大事项的说明[双击切换]"/>
            <w:tag w:val="_GBC_60472543195d45309db4d042b8e09883"/>
            <w:id w:val="4041888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它重大事项说明"/>
            <w:tag w:val="_GBC_2c1880a5abc34ba7be18fdf6374ac4c1"/>
            <w:id w:val="-718125153"/>
            <w:lock w:val="sdtLocked"/>
            <w:placeholder>
              <w:docPart w:val="GBC22222222222222222222222222222"/>
            </w:placeholder>
          </w:sdtPr>
          <w:sdtContent>
            <w:p>
              <w:pPr>
                <w:ind w:firstLine="420" w:firstLineChars="200"/>
                <w:jc w:val="both"/>
              </w:pPr>
              <w:r>
                <w:rPr>
                  <w:rFonts w:hint="eastAsia"/>
                </w:rPr>
                <w:t>1、会计政策变更</w:t>
              </w:r>
            </w:p>
            <w:p>
              <w:pPr>
                <w:ind w:firstLine="420" w:firstLineChars="200"/>
                <w:jc w:val="both"/>
              </w:pPr>
              <w:r>
                <w:rPr>
                  <w:rFonts w:hint="eastAsia"/>
                </w:rPr>
                <w:t>本集团于</w:t>
              </w:r>
              <w:r>
                <w:t>2023年度执行了财政部颁布的《企业会计准则解释第16号》(财会 [2022] 31号) (“解释第16号”) 中“关于单项交易产生的资产和负债相关的递延所得税不适用初始确认豁免的会计处理”。</w:t>
              </w:r>
            </w:p>
            <w:p>
              <w:pPr>
                <w:ind w:firstLine="420" w:firstLineChars="200"/>
                <w:jc w:val="both"/>
              </w:pPr>
              <w:r>
                <w:rPr>
                  <w:rFonts w:hint="eastAsia"/>
                </w:rPr>
                <w:t>根据该规定，本集团对于不是企业合并、交易发生时既不影响会计利润也不影响应纳税所得额</w:t>
              </w:r>
              <w:r>
                <w:t xml:space="preserve"> (或可抵扣亏损 )、且初始确认的资产和负债导致产生等额应纳税暂时性差异和可抵扣暂时性差异的单项交易中因资产和负债的初始确认所产生的应纳税暂时性差异和可抵扣暂时性差异，根据《企业会计准则第 18 号 所得税》等有关规定，在交易发生时分别确认相应的递延所得税负债和递延所得税资产，而不再按照产生的应纳税暂时性差异和可抵扣暂时性差异的净额确认递延所得税负债或者递延所得税资产。</w:t>
              </w:r>
            </w:p>
            <w:p>
              <w:pPr>
                <w:ind w:firstLine="420" w:firstLineChars="200"/>
                <w:jc w:val="both"/>
              </w:pPr>
              <w:r>
                <w:rPr>
                  <w:rFonts w:hint="eastAsia"/>
                </w:rPr>
                <w:t>上述规定自</w:t>
              </w:r>
              <w:r>
                <w:t>2023年1月1日起施行，采用该规定未对本集团的财务状况及经营成果产生重大影响。</w:t>
              </w:r>
            </w:p>
            <w:p>
              <w:pPr>
                <w:ind w:firstLine="420" w:firstLineChars="200"/>
                <w:jc w:val="both"/>
              </w:pPr>
              <w:r>
                <w:t>2、合并范围变更</w:t>
              </w:r>
            </w:p>
            <w:p>
              <w:pPr>
                <w:ind w:firstLine="420" w:firstLineChars="200"/>
                <w:jc w:val="both"/>
              </w:pPr>
              <w:r>
                <w:t>为促进清洁能源技术与交通领域的深度融合，经公司董事会批准，云杉清能公司与通湖物流园合资成立宿迁公司，注册资本人民币2000万元，云杉清能公司持股65%，通湖物流园持股35%，注册资金按实际投资项目进展分批到位，宿迁公司于2023年3月20日完成工商登记。本报告期，云杉清能公司已出资人民币10万元。</w:t>
              </w:r>
            </w:p>
          </w:sdtContent>
        </w:sdt>
        <w:p>
          <w:pPr>
            <w:pStyle w:val="114"/>
          </w:pPr>
        </w:p>
      </w:sdtContent>
    </w:sdt>
    <w:bookmarkEnd w:id="65"/>
    <w:bookmarkEnd w:id="66"/>
    <w:p>
      <w:r>
        <w:br w:type="page"/>
      </w:r>
    </w:p>
    <w:p>
      <w:pPr>
        <w:pStyle w:val="2"/>
        <w:numPr>
          <w:ilvl w:val="0"/>
          <w:numId w:val="2"/>
        </w:numPr>
        <w:rPr>
          <w:rFonts w:ascii="黑体" w:hAnsi="黑体"/>
        </w:rPr>
      </w:pPr>
      <w:bookmarkStart w:id="67" w:name="_Toc76114278"/>
      <w:bookmarkStart w:id="68" w:name="_Toc392233016"/>
      <w:r>
        <w:rPr>
          <w:rFonts w:hint="eastAsia" w:ascii="黑体" w:hAnsi="黑体"/>
        </w:rPr>
        <w:t>股份变动及股东情况</w:t>
      </w:r>
      <w:bookmarkEnd w:id="59"/>
      <w:bookmarkEnd w:id="67"/>
      <w:bookmarkEnd w:id="68"/>
    </w:p>
    <w:p>
      <w:pPr>
        <w:pStyle w:val="3"/>
        <w:numPr>
          <w:ilvl w:val="0"/>
          <w:numId w:val="29"/>
        </w:numPr>
        <w:spacing w:line="360" w:lineRule="auto"/>
        <w:ind w:left="422" w:hanging="422"/>
        <w:rPr>
          <w:rFonts w:ascii="宋体" w:hAnsi="宋体"/>
        </w:rPr>
      </w:pPr>
      <w:bookmarkStart w:id="69" w:name="_Toc342059476"/>
      <w:bookmarkStart w:id="70" w:name="_Toc342565989"/>
      <w:r>
        <w:rPr>
          <w:rFonts w:ascii="宋体" w:hAnsi="宋体"/>
        </w:rPr>
        <w:t>股</w:t>
      </w:r>
      <w:r>
        <w:rPr>
          <w:rFonts w:hint="eastAsia" w:ascii="宋体" w:hAnsi="宋体"/>
        </w:rPr>
        <w:t>本变动情况</w:t>
      </w:r>
      <w:bookmarkEnd w:id="69"/>
      <w:bookmarkEnd w:id="70"/>
    </w:p>
    <w:p>
      <w:pPr>
        <w:pStyle w:val="4"/>
        <w:numPr>
          <w:ilvl w:val="1"/>
          <w:numId w:val="30"/>
        </w:numPr>
        <w:rPr>
          <w:rFonts w:ascii="宋体" w:hAnsi="宋体"/>
        </w:rPr>
      </w:pPr>
      <w:bookmarkStart w:id="71" w:name="_Toc342059477"/>
      <w:bookmarkStart w:id="72" w:name="_Toc342565990"/>
      <w:r>
        <w:rPr>
          <w:rFonts w:hint="eastAsia" w:ascii="宋体" w:hAnsi="宋体"/>
        </w:rPr>
        <w:t>股份变动情况表</w:t>
      </w:r>
      <w:bookmarkEnd w:id="71"/>
      <w:bookmarkEnd w:id="72"/>
    </w:p>
    <w:p>
      <w:pPr>
        <w:pStyle w:val="5"/>
        <w:numPr>
          <w:ilvl w:val="2"/>
          <w:numId w:val="31"/>
        </w:numPr>
        <w:rPr>
          <w:rFonts w:ascii="宋体" w:hAnsi="宋体"/>
        </w:rPr>
      </w:pPr>
      <w:r>
        <w:rPr>
          <w:rFonts w:hint="eastAsia" w:ascii="宋体" w:hAnsi="宋体"/>
        </w:rPr>
        <w:t>股份变动情况表</w:t>
      </w:r>
    </w:p>
    <w:sdt>
      <w:sdtPr>
        <w:rPr>
          <w:rFonts w:hint="eastAsia"/>
        </w:rPr>
        <w:alias w:val="选项模块:报告期内，公司股份总数及股本结构未发生变化。"/>
        <w:tag w:val="_GBC_dd8bc2a0b3ed4147a1e657cdc8573344"/>
        <w:id w:val="552361473"/>
        <w:lock w:val="sdtLocked"/>
        <w:placeholder>
          <w:docPart w:val="GBC22222222222222222222222222222"/>
        </w:placeholder>
      </w:sdtPr>
      <w:sdtEndPr>
        <w:rPr>
          <w:rFonts w:hint="eastAsia"/>
        </w:rPr>
      </w:sdtEndPr>
      <w:sdtContent>
        <w:p>
          <w:pPr>
            <w:pStyle w:val="114"/>
          </w:pPr>
          <w:r>
            <w:rPr>
              <w:rFonts w:hint="eastAsia"/>
            </w:rPr>
            <w:t>报告期内，公司股份总数及股本结构未发生变化。</w:t>
          </w:r>
        </w:p>
      </w:sdtContent>
    </w:sdt>
    <w:p>
      <w:pPr>
        <w:pStyle w:val="114"/>
      </w:pPr>
    </w:p>
    <w:sdt>
      <w:sdtPr>
        <w:rPr>
          <w:rFonts w:ascii="宋体" w:hAnsi="宋体" w:cs="宋体"/>
          <w:b w:val="0"/>
          <w:bCs w:val="0"/>
          <w:kern w:val="0"/>
          <w:szCs w:val="22"/>
        </w:rPr>
        <w:alias w:val="模块:股份变动情况说明"/>
        <w:tag w:val="_GBC_11d26f58e47e4a1f997d73362074f464"/>
        <w:id w:val="-45240314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2"/>
              <w:numId w:val="31"/>
            </w:numPr>
            <w:rPr>
              <w:rFonts w:ascii="宋体" w:hAnsi="宋体"/>
            </w:rPr>
          </w:pPr>
          <w:bookmarkStart w:id="73" w:name="_Toc342059483"/>
          <w:bookmarkStart w:id="74" w:name="_Toc342565996"/>
          <w:r>
            <w:rPr>
              <w:rFonts w:ascii="宋体" w:hAnsi="宋体"/>
            </w:rPr>
            <w:t>股份变动情况说明</w:t>
          </w:r>
        </w:p>
        <w:sdt>
          <w:sdtPr>
            <w:alias w:val="是否适用：普通股股份变动情况说明[双击切换]"/>
            <w:tag w:val="_GBC_28994e6dc9c649e498c0ab9c340777bf"/>
            <w:id w:val="-131409938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2"/>
        </w:rPr>
        <w:alias w:val="模块:报告期后到半年报披露日期间发生股份变动对每股收益等指标影响"/>
        <w:tag w:val="_GBC_2c9eb79778814e39ab254196ba75dab3"/>
        <w:id w:val="133845795"/>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2"/>
              <w:numId w:val="31"/>
            </w:numPr>
            <w:rPr>
              <w:rFonts w:ascii="宋体" w:hAnsi="宋体" w:cs="宋体"/>
              <w:kern w:val="0"/>
              <w:szCs w:val="22"/>
            </w:rPr>
          </w:pPr>
          <w:r>
            <w:rPr>
              <w:rFonts w:hint="eastAsia" w:ascii="宋体" w:hAnsi="宋体" w:cs="宋体"/>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205421453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2"/>
        </w:rPr>
        <w:alias w:val="模块:公司认为必要或证券监管机构要求披露的其他内容"/>
        <w:tag w:val="_GBC_ea8cea8d08c04df4b51a4a58c86eadd2"/>
        <w:id w:val="-968054615"/>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2"/>
              <w:numId w:val="31"/>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27346659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4"/>
        </w:rPr>
        <w:alias w:val="模块:限售股份变动情况"/>
        <w:tag w:val="_SEC_71bda84d0fff4902850bfc37d3477fb7"/>
        <w:id w:val="1742445231"/>
        <w:lock w:val="sdtLocked"/>
        <w:placeholder>
          <w:docPart w:val="GBC22222222222222222222222222222"/>
        </w:placeholder>
      </w:sdtPr>
      <w:sdtEndPr>
        <w:rPr>
          <w:rFonts w:ascii="宋体" w:hAnsi="宋体" w:cs="宋体"/>
          <w:b w:val="0"/>
          <w:bCs w:val="0"/>
          <w:kern w:val="0"/>
          <w:szCs w:val="21"/>
        </w:rPr>
      </w:sdtEndPr>
      <w:sdtContent>
        <w:p>
          <w:pPr>
            <w:pStyle w:val="4"/>
            <w:numPr>
              <w:ilvl w:val="1"/>
              <w:numId w:val="30"/>
            </w:numPr>
            <w:rPr>
              <w:rFonts w:ascii="宋体" w:hAnsi="宋体"/>
            </w:rPr>
          </w:pPr>
          <w:r>
            <w:rPr>
              <w:rFonts w:ascii="宋体" w:hAnsi="宋体"/>
            </w:rPr>
            <w:t>限售股份变动情况</w:t>
          </w:r>
        </w:p>
        <w:sdt>
          <w:sdtPr>
            <w:alias w:val="是否适用：限售股份变动情况表[双击切换]"/>
            <w:tag w:val="_GBC_6f5978a50e224b6aa94189436cdee711"/>
            <w:id w:val="-95401866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3"/>
        <w:numPr>
          <w:ilvl w:val="0"/>
          <w:numId w:val="29"/>
        </w:numPr>
        <w:spacing w:line="360" w:lineRule="auto"/>
        <w:ind w:left="422" w:hanging="422"/>
        <w:rPr>
          <w:rFonts w:ascii="宋体" w:hAnsi="宋体"/>
        </w:rPr>
      </w:pPr>
      <w:r>
        <w:rPr>
          <w:rFonts w:ascii="宋体" w:hAnsi="宋体"/>
        </w:rPr>
        <w:t>股东情况</w:t>
      </w:r>
      <w:bookmarkEnd w:id="73"/>
      <w:bookmarkEnd w:id="74"/>
    </w:p>
    <w:sdt>
      <w:sdtPr>
        <w:rPr>
          <w:rFonts w:ascii="宋体" w:hAnsi="宋体" w:cs="宋体"/>
          <w:b w:val="0"/>
          <w:bCs w:val="0"/>
          <w:kern w:val="0"/>
          <w:szCs w:val="22"/>
        </w:rPr>
        <w:alias w:val="模块:股东总数"/>
        <w:tag w:val="_GBC_ba0ac3b5d31347c0a620e3662112fa62"/>
        <w:id w:val="840811700"/>
        <w:lock w:val="sdtLocked"/>
        <w:placeholder>
          <w:docPart w:val="GBC22222222222222222222222222222"/>
        </w:placeholder>
      </w:sdtPr>
      <w:sdtEndPr>
        <w:rPr>
          <w:rFonts w:ascii="宋体" w:hAnsi="宋体" w:cs="宋体"/>
          <w:b w:val="0"/>
          <w:bCs w:val="0"/>
          <w:kern w:val="0"/>
          <w:szCs w:val="21"/>
        </w:rPr>
      </w:sdtEndPr>
      <w:sdtContent>
        <w:p>
          <w:pPr>
            <w:pStyle w:val="4"/>
            <w:numPr>
              <w:ilvl w:val="1"/>
              <w:numId w:val="32"/>
            </w:numPr>
            <w:rPr>
              <w:rFonts w:ascii="宋体" w:hAnsi="宋体"/>
            </w:rPr>
          </w:pPr>
          <w:r>
            <w:rPr>
              <w:rFonts w:ascii="宋体" w:hAnsi="宋体"/>
            </w:rPr>
            <w:t>股东总数：</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0"/>
            <w:gridCol w:w="3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206d6884981495295105158630a6172"/>
                <w:id w:val="-1997324674"/>
                <w:lock w:val="sdtLocked"/>
              </w:sdtPr>
              <w:sdtContent>
                <w:tc>
                  <w:tcPr>
                    <w:tcW w:w="5070" w:type="dxa"/>
                  </w:tcPr>
                  <w:p>
                    <w:pPr>
                      <w:pStyle w:val="114"/>
                      <w:widowControl w:val="0"/>
                      <w:jc w:val="both"/>
                      <w:rPr>
                        <w:rFonts w:ascii="Times New Roman" w:hAnsi="Times New Roman"/>
                      </w:rPr>
                    </w:pPr>
                    <w:r>
                      <w:rPr>
                        <w:rFonts w:ascii="Times New Roman" w:hAnsi="Times New Roman"/>
                      </w:rPr>
                      <w:t>截至报告期末</w:t>
                    </w:r>
                    <w:r>
                      <w:rPr>
                        <w:rFonts w:hint="eastAsia" w:ascii="Times New Roman" w:hAnsi="Times New Roman"/>
                      </w:rPr>
                      <w:t>普通股</w:t>
                    </w:r>
                    <w:r>
                      <w:rPr>
                        <w:rFonts w:ascii="Times New Roman" w:hAnsi="Times New Roman"/>
                      </w:rPr>
                      <w:t>股东总数(户)</w:t>
                    </w:r>
                  </w:p>
                </w:tc>
              </w:sdtContent>
            </w:sdt>
            <w:sdt>
              <w:sdtPr>
                <w:alias w:val="报告期末股东总数"/>
                <w:tag w:val="_GBC_9fd402ec66014f4e9716c7fdb0286bd2"/>
                <w:id w:val="-1399044469"/>
                <w:lock w:val="sdtLocked"/>
              </w:sdtPr>
              <w:sdtContent>
                <w:tc>
                  <w:tcPr>
                    <w:tcW w:w="3978" w:type="dxa"/>
                  </w:tcPr>
                  <w:p>
                    <w:pPr>
                      <w:widowControl w:val="0"/>
                      <w:jc w:val="right"/>
                      <w:rPr>
                        <w:rFonts w:ascii="Times New Roman" w:hAnsi="Times New Roman"/>
                      </w:rPr>
                    </w:pPr>
                    <w:r>
                      <w:rPr>
                        <w:rFonts w:hint="eastAsia" w:ascii="Times New Roman" w:hAnsi="Times New Roman"/>
                      </w:rPr>
                      <w:t>26,114</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0c51c13ddad420ab635010b5df15a40"/>
                <w:id w:val="-1826196989"/>
                <w:lock w:val="sdtLocked"/>
              </w:sdtPr>
              <w:sdtContent>
                <w:tc>
                  <w:tcPr>
                    <w:tcW w:w="5070" w:type="dxa"/>
                  </w:tcPr>
                  <w:p>
                    <w:pPr>
                      <w:pStyle w:val="114"/>
                      <w:widowControl w:val="0"/>
                      <w:jc w:val="both"/>
                      <w:rPr>
                        <w:rFonts w:ascii="Times New Roman" w:hAnsi="Times New Roman"/>
                      </w:rPr>
                    </w:pPr>
                    <w:r>
                      <w:rPr>
                        <w:rFonts w:hint="eastAsia" w:ascii="Times New Roman" w:hAnsi="Times New Roman"/>
                      </w:rPr>
                      <w:t>截至报告期末表决权恢复的优先股股东总数（户）</w:t>
                    </w:r>
                  </w:p>
                </w:tc>
              </w:sdtContent>
            </w:sdt>
            <w:tc>
              <w:tcPr>
                <w:tcW w:w="3978" w:type="dxa"/>
              </w:tcPr>
              <w:p>
                <w:pPr>
                  <w:widowControl w:val="0"/>
                  <w:jc w:val="right"/>
                  <w:rPr>
                    <w:rFonts w:ascii="Times New Roman" w:hAnsi="Times New Roman"/>
                  </w:rPr>
                </w:pPr>
                <w:r>
                  <w:rPr>
                    <w:rFonts w:ascii="Times New Roman" w:hAnsi="Times New Roman"/>
                  </w:rPr>
                  <w:t>不适用</w:t>
                </w:r>
              </w:p>
            </w:tc>
          </w:tr>
        </w:tbl>
        <w:p>
          <w:pPr>
            <w:pStyle w:val="114"/>
          </w:pPr>
          <w:r>
            <w:rPr>
              <w:rFonts w:hint="eastAsia"/>
            </w:rPr>
            <w:t>注：截止报告期末</w:t>
          </w:r>
          <w:r>
            <w:t xml:space="preserve"> A 股股东总数2</w:t>
          </w:r>
          <w:r>
            <w:rPr>
              <w:rFonts w:hint="eastAsia"/>
            </w:rPr>
            <w:t>5</w:t>
          </w:r>
          <w:r>
            <w:t>,</w:t>
          </w:r>
          <w:r>
            <w:rPr>
              <w:rFonts w:hint="eastAsia"/>
            </w:rPr>
            <w:t>719</w:t>
          </w:r>
          <w:r>
            <w:t>户、H 股股东数</w:t>
          </w:r>
          <w:r>
            <w:rPr>
              <w:rFonts w:hint="eastAsia"/>
            </w:rPr>
            <w:t>395</w:t>
          </w:r>
          <w:r>
            <w:t>户，合计2</w:t>
          </w:r>
          <w:r>
            <w:rPr>
              <w:rFonts w:hint="eastAsia"/>
            </w:rPr>
            <w:t>6</w:t>
          </w:r>
          <w:r>
            <w:t>,</w:t>
          </w:r>
          <w:r>
            <w:rPr>
              <w:rFonts w:hint="eastAsia"/>
            </w:rPr>
            <w:t>114</w:t>
          </w:r>
          <w:r>
            <w:t>户。</w:t>
          </w:r>
        </w:p>
        <w:p>
          <w:pPr>
            <w:pStyle w:val="114"/>
          </w:pPr>
        </w:p>
      </w:sdtContent>
    </w:sdt>
    <w:sdt>
      <w:sdtPr>
        <w:rPr>
          <w:rFonts w:hint="eastAsia" w:ascii="宋体" w:hAnsi="宋体" w:cs="宋体"/>
          <w:b w:val="0"/>
          <w:bCs w:val="0"/>
          <w:kern w:val="0"/>
          <w:szCs w:val="22"/>
        </w:rPr>
        <w:alias w:val="选项模块:前十名股东持股情况(已完成或不涉及股改)"/>
        <w:tag w:val="_GBC_558dfa41ef4b4fa8adb57b3c9c0a2887"/>
        <w:id w:val="643862561"/>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1"/>
              <w:numId w:val="32"/>
            </w:numPr>
            <w:rPr>
              <w:rFonts w:ascii="宋体" w:hAnsi="宋体"/>
            </w:rPr>
          </w:pPr>
          <w:bookmarkStart w:id="75" w:name="_Toc342059485"/>
          <w:bookmarkStart w:id="76" w:name="_Toc342565998"/>
          <w:bookmarkEnd w:id="75"/>
          <w:bookmarkEnd w:id="76"/>
          <w:r>
            <w:rPr>
              <w:rFonts w:hint="eastAsia" w:ascii="宋体" w:hAnsi="宋体"/>
              <w:szCs w:val="21"/>
            </w:rPr>
            <w:t>截至报告期末前十名股东、前十名流通股东（或无限售条件股东）持股情况表</w:t>
          </w:r>
        </w:p>
        <w:p>
          <w:pPr>
            <w:jc w:val="right"/>
          </w:pPr>
          <w:r>
            <w:t>单位：</w:t>
          </w:r>
          <w:sdt>
            <w:sdtPr>
              <w:rPr>
                <w:bCs/>
              </w:rPr>
              <w:alias w:val="单位：前十名股东持股情况"/>
              <w:tag w:val="_GBC_9d020b31dcb449c980ed0856cf6dae82"/>
              <w:id w:val="-2011900381"/>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rPr>
                <w:bCs/>
              </w:rPr>
            </w:sdtEndPr>
            <w:sdtContent>
              <w:r>
                <w:rPr>
                  <w:rFonts w:hint="eastAsia"/>
                </w:rPr>
                <w:t>股</w:t>
              </w:r>
            </w:sdtContent>
          </w:sdt>
        </w:p>
        <w:tbl>
          <w:tblPr>
            <w:tblStyle w:val="4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1"/>
            <w:gridCol w:w="738"/>
            <w:gridCol w:w="763"/>
            <w:gridCol w:w="887"/>
            <w:gridCol w:w="791"/>
            <w:gridCol w:w="761"/>
            <w:gridCol w:w="625"/>
            <w:gridCol w:w="243"/>
            <w:gridCol w:w="306"/>
            <w:gridCol w:w="955"/>
            <w:gridCol w:w="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rPr>
                  <w:rFonts w:ascii="宋体" w:hAnsi="宋体"/>
                </w:rPr>
                <w:tag w:val="_PLD_3038da138bad4905b589aeba821a8575"/>
                <w:id w:val="1978343675"/>
                <w:lock w:val="sdtLocked"/>
              </w:sdtPr>
              <w:sdtEndPr>
                <w:rPr>
                  <w:rFonts w:ascii="宋体" w:hAnsi="宋体"/>
                </w:rPr>
              </w:sdtEndPr>
              <w:sdtContent>
                <w:tc>
                  <w:tcPr>
                    <w:tcW w:w="0" w:type="auto"/>
                    <w:gridSpan w:val="11"/>
                    <w:shd w:val="clear" w:color="auto" w:fill="auto"/>
                    <w:vAlign w:val="center"/>
                  </w:tcPr>
                  <w:p>
                    <w:pPr>
                      <w:pStyle w:val="15"/>
                      <w:jc w:val="center"/>
                      <w:rPr>
                        <w:rFonts w:ascii="宋体" w:hAnsi="宋体"/>
                      </w:rPr>
                    </w:pPr>
                    <w:r>
                      <w:rPr>
                        <w:rFonts w:ascii="宋体" w:hAnsi="宋体"/>
                      </w:rPr>
                      <w:t>前十名股东持股情况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80eda5ca76254dc1b950ed7de7dc5885"/>
                <w:id w:val="-1680648975"/>
                <w:lock w:val="sdtLocked"/>
              </w:sdtPr>
              <w:sdtContent>
                <w:tc>
                  <w:tcPr>
                    <w:tcW w:w="0" w:type="auto"/>
                    <w:vMerge w:val="restart"/>
                    <w:shd w:val="clear" w:color="auto" w:fill="auto"/>
                    <w:vAlign w:val="center"/>
                  </w:tcPr>
                  <w:p>
                    <w:pPr>
                      <w:jc w:val="center"/>
                    </w:pPr>
                    <w:r>
                      <w:t>股东名称</w:t>
                    </w:r>
                  </w:p>
                  <w:p>
                    <w:pPr>
                      <w:jc w:val="center"/>
                    </w:pPr>
                    <w:r>
                      <w:rPr>
                        <w:rFonts w:hint="eastAsia"/>
                      </w:rPr>
                      <w:t>（全称）</w:t>
                    </w:r>
                  </w:p>
                </w:tc>
              </w:sdtContent>
            </w:sdt>
            <w:sdt>
              <w:sdtPr>
                <w:tag w:val="_PLD_ca2ffd3fc186426e98aac562ecc1ba54"/>
                <w:id w:val="-108509995"/>
                <w:lock w:val="sdtLocked"/>
              </w:sdtPr>
              <w:sdtContent>
                <w:tc>
                  <w:tcPr>
                    <w:tcW w:w="0" w:type="auto"/>
                    <w:gridSpan w:val="2"/>
                    <w:vMerge w:val="restart"/>
                    <w:shd w:val="clear" w:color="auto" w:fill="auto"/>
                    <w:vAlign w:val="center"/>
                  </w:tcPr>
                  <w:p>
                    <w:pPr>
                      <w:jc w:val="center"/>
                    </w:pPr>
                    <w:r>
                      <w:t>报告期内增减</w:t>
                    </w:r>
                  </w:p>
                </w:tc>
              </w:sdtContent>
            </w:sdt>
            <w:sdt>
              <w:sdtPr>
                <w:tag w:val="_PLD_084006d53bec42bea9418fc4576a1210"/>
                <w:id w:val="-144355285"/>
                <w:lock w:val="sdtLocked"/>
              </w:sdtPr>
              <w:sdtContent>
                <w:tc>
                  <w:tcPr>
                    <w:tcW w:w="0" w:type="auto"/>
                    <w:gridSpan w:val="2"/>
                    <w:vMerge w:val="restart"/>
                    <w:shd w:val="clear" w:color="auto" w:fill="auto"/>
                    <w:vAlign w:val="center"/>
                  </w:tcPr>
                  <w:p>
                    <w:pPr>
                      <w:jc w:val="center"/>
                    </w:pPr>
                    <w:r>
                      <w:t>期末持股数量</w:t>
                    </w:r>
                  </w:p>
                </w:tc>
              </w:sdtContent>
            </w:sdt>
            <w:sdt>
              <w:sdtPr>
                <w:tag w:val="_PLD_f27008de77ee4b27b35e2ae22d35699c"/>
                <w:id w:val="-943607506"/>
                <w:lock w:val="sdtLocked"/>
              </w:sdtPr>
              <w:sdtContent>
                <w:tc>
                  <w:tcPr>
                    <w:tcW w:w="0" w:type="auto"/>
                    <w:vMerge w:val="restart"/>
                    <w:shd w:val="clear" w:color="auto" w:fill="auto"/>
                    <w:vAlign w:val="center"/>
                  </w:tcPr>
                  <w:p>
                    <w:pPr>
                      <w:jc w:val="center"/>
                    </w:pPr>
                    <w:r>
                      <w:t>比例(%)</w:t>
                    </w:r>
                  </w:p>
                </w:tc>
              </w:sdtContent>
            </w:sdt>
            <w:sdt>
              <w:sdtPr>
                <w:rPr>
                  <w:rFonts w:ascii="宋体" w:hAnsi="宋体"/>
                </w:rPr>
                <w:tag w:val="_PLD_34fcc5fa9a414555bef1b48aa74c8135"/>
                <w:id w:val="-1470128090"/>
                <w:lock w:val="sdtLocked"/>
              </w:sdtPr>
              <w:sdtEndPr>
                <w:rPr>
                  <w:rFonts w:ascii="宋体" w:hAnsi="宋体"/>
                </w:rPr>
              </w:sdtEndPr>
              <w:sdtContent>
                <w:tc>
                  <w:tcPr>
                    <w:tcW w:w="0" w:type="auto"/>
                    <w:vMerge w:val="restart"/>
                    <w:shd w:val="clear" w:color="auto" w:fill="auto"/>
                    <w:vAlign w:val="center"/>
                  </w:tcPr>
                  <w:p>
                    <w:pPr>
                      <w:pStyle w:val="10"/>
                      <w:rPr>
                        <w:rFonts w:ascii="宋体" w:hAnsi="宋体"/>
                        <w:bCs/>
                        <w:color w:val="00B050"/>
                      </w:rPr>
                    </w:pPr>
                    <w:r>
                      <w:rPr>
                        <w:rFonts w:ascii="宋体" w:hAnsi="宋体"/>
                      </w:rPr>
                      <w:t>持有有限售条件股份数量</w:t>
                    </w:r>
                  </w:p>
                </w:tc>
              </w:sdtContent>
            </w:sdt>
            <w:sdt>
              <w:sdtPr>
                <w:tag w:val="_PLD_94fbee67e09740e59eb90272af77b58a"/>
                <w:id w:val="1105925398"/>
                <w:lock w:val="sdtLocked"/>
              </w:sdtPr>
              <w:sdtContent>
                <w:tc>
                  <w:tcPr>
                    <w:tcW w:w="0" w:type="auto"/>
                    <w:gridSpan w:val="3"/>
                    <w:shd w:val="clear" w:color="auto" w:fill="auto"/>
                    <w:vAlign w:val="center"/>
                  </w:tcPr>
                  <w:p>
                    <w:pPr>
                      <w:jc w:val="center"/>
                    </w:pPr>
                    <w:r>
                      <w:t>质押</w:t>
                    </w:r>
                    <w:r>
                      <w:rPr>
                        <w:rFonts w:hint="eastAsia"/>
                      </w:rPr>
                      <w:t>、标记</w:t>
                    </w:r>
                    <w:r>
                      <w:t>或冻结情况</w:t>
                    </w:r>
                  </w:p>
                </w:tc>
              </w:sdtContent>
            </w:sdt>
            <w:sdt>
              <w:sdtPr>
                <w:tag w:val="_PLD_2228ecf4db6a4362bff11fe1e2d3c903"/>
                <w:id w:val="1226965715"/>
                <w:lock w:val="sdtLocked"/>
              </w:sdtPr>
              <w:sdtContent>
                <w:tc>
                  <w:tcPr>
                    <w:tcW w:w="0" w:type="auto"/>
                    <w:vMerge w:val="restart"/>
                    <w:shd w:val="clear" w:color="auto" w:fill="auto"/>
                    <w:vAlign w:val="center"/>
                  </w:tcPr>
                  <w:p>
                    <w:pPr>
                      <w:jc w:val="center"/>
                    </w:pPr>
                    <w:r>
                      <w:t>股东性质</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Borders>
                  <w:bottom w:val="single" w:color="auto" w:sz="4" w:space="0"/>
                </w:tcBorders>
                <w:shd w:val="clear" w:color="auto" w:fill="auto"/>
                <w:vAlign w:val="center"/>
              </w:tcPr>
              <w:p>
                <w:pPr>
                  <w:jc w:val="center"/>
                </w:pPr>
              </w:p>
            </w:tc>
            <w:tc>
              <w:tcPr>
                <w:tcW w:w="0" w:type="auto"/>
                <w:gridSpan w:val="2"/>
                <w:vMerge w:val="continue"/>
                <w:tcBorders>
                  <w:bottom w:val="single" w:color="auto" w:sz="4" w:space="0"/>
                </w:tcBorders>
                <w:shd w:val="clear" w:color="auto" w:fill="auto"/>
                <w:vAlign w:val="center"/>
              </w:tcPr>
              <w:p>
                <w:pPr>
                  <w:jc w:val="center"/>
                </w:pPr>
              </w:p>
            </w:tc>
            <w:tc>
              <w:tcPr>
                <w:tcW w:w="0" w:type="auto"/>
                <w:gridSpan w:val="2"/>
                <w:vMerge w:val="continue"/>
                <w:tcBorders>
                  <w:bottom w:val="single" w:color="auto" w:sz="4" w:space="0"/>
                </w:tcBorders>
                <w:shd w:val="clear" w:color="auto" w:fill="auto"/>
                <w:vAlign w:val="center"/>
              </w:tcPr>
              <w:p>
                <w:pPr>
                  <w:jc w:val="center"/>
                </w:pPr>
              </w:p>
            </w:tc>
            <w:tc>
              <w:tcPr>
                <w:tcW w:w="0" w:type="auto"/>
                <w:vMerge w:val="continue"/>
                <w:tcBorders>
                  <w:bottom w:val="single" w:color="auto" w:sz="4" w:space="0"/>
                </w:tcBorders>
                <w:shd w:val="clear" w:color="auto" w:fill="auto"/>
                <w:vAlign w:val="center"/>
              </w:tcPr>
              <w:p>
                <w:pPr>
                  <w:jc w:val="center"/>
                </w:pPr>
              </w:p>
            </w:tc>
            <w:tc>
              <w:tcPr>
                <w:tcW w:w="0" w:type="auto"/>
                <w:vMerge w:val="continue"/>
                <w:tcBorders>
                  <w:bottom w:val="single" w:color="auto" w:sz="4" w:space="0"/>
                </w:tcBorders>
                <w:shd w:val="clear" w:color="auto" w:fill="auto"/>
                <w:vAlign w:val="center"/>
              </w:tcPr>
              <w:p>
                <w:pPr>
                  <w:jc w:val="center"/>
                </w:pPr>
              </w:p>
            </w:tc>
            <w:sdt>
              <w:sdtPr>
                <w:tag w:val="_PLD_45bf36a531de47beb596ebacadac576a"/>
                <w:id w:val="-1351639143"/>
                <w:lock w:val="sdtLocked"/>
              </w:sdtPr>
              <w:sdtContent>
                <w:tc>
                  <w:tcPr>
                    <w:tcW w:w="0" w:type="auto"/>
                    <w:gridSpan w:val="2"/>
                    <w:tcBorders>
                      <w:bottom w:val="single" w:color="auto" w:sz="4" w:space="0"/>
                    </w:tcBorders>
                    <w:shd w:val="clear" w:color="auto" w:fill="auto"/>
                    <w:vAlign w:val="center"/>
                  </w:tcPr>
                  <w:p>
                    <w:pPr>
                      <w:jc w:val="center"/>
                    </w:pPr>
                    <w:r>
                      <w:t>股份状态</w:t>
                    </w:r>
                  </w:p>
                </w:tc>
              </w:sdtContent>
            </w:sdt>
            <w:sdt>
              <w:sdtPr>
                <w:tag w:val="_PLD_bea7397233604f859f8d14f2ae0a0417"/>
                <w:id w:val="348606504"/>
                <w:lock w:val="sdtLocked"/>
              </w:sdtPr>
              <w:sdtContent>
                <w:tc>
                  <w:tcPr>
                    <w:tcW w:w="0" w:type="auto"/>
                    <w:tcBorders>
                      <w:bottom w:val="single" w:color="auto" w:sz="4" w:space="0"/>
                    </w:tcBorders>
                    <w:shd w:val="clear" w:color="auto" w:fill="auto"/>
                    <w:vAlign w:val="center"/>
                  </w:tcPr>
                  <w:p>
                    <w:pPr>
                      <w:jc w:val="center"/>
                    </w:pPr>
                    <w:r>
                      <w:t>数量</w:t>
                    </w:r>
                  </w:p>
                </w:tc>
              </w:sdtContent>
            </w:sdt>
            <w:tc>
              <w:tcPr>
                <w:tcW w:w="0" w:type="auto"/>
                <w:vMerge w:val="continue"/>
                <w:shd w:val="clear" w:color="auto" w:fill="auto"/>
                <w:vAlign w:val="center"/>
              </w:tcPr>
              <w:p>
                <w:pPr>
                  <w:jc w:val="center"/>
                </w:pPr>
              </w:p>
            </w:tc>
          </w:tr>
          <w:sdt>
            <w:sdtPr>
              <w:alias w:val="前十名股东持股情况"/>
              <w:tag w:val="_GBC_5fc8eaeeffc7456eb1a09687db3d4206"/>
              <w:id w:val="1615411422"/>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江苏交通控股有限公司</w:t>
                    </w:r>
                  </w:p>
                </w:tc>
                <w:tc>
                  <w:tcPr>
                    <w:tcW w:w="0" w:type="auto"/>
                    <w:gridSpan w:val="2"/>
                    <w:shd w:val="clear" w:color="auto" w:fill="auto"/>
                    <w:vAlign w:val="center"/>
                  </w:tcPr>
                  <w:p>
                    <w:pPr>
                      <w:jc w:val="right"/>
                    </w:pPr>
                    <w:r>
                      <w:t>0</w:t>
                    </w:r>
                  </w:p>
                </w:tc>
                <w:tc>
                  <w:tcPr>
                    <w:tcW w:w="0" w:type="auto"/>
                    <w:gridSpan w:val="2"/>
                    <w:shd w:val="clear" w:color="auto" w:fill="auto"/>
                    <w:vAlign w:val="center"/>
                  </w:tcPr>
                  <w:p>
                    <w:pPr>
                      <w:jc w:val="right"/>
                    </w:pPr>
                    <w:r>
                      <w:t>2,742,578,825</w:t>
                    </w:r>
                  </w:p>
                </w:tc>
                <w:tc>
                  <w:tcPr>
                    <w:tcW w:w="0" w:type="auto"/>
                    <w:shd w:val="clear" w:color="auto" w:fill="auto"/>
                    <w:vAlign w:val="center"/>
                  </w:tcPr>
                  <w:p>
                    <w:pPr>
                      <w:jc w:val="right"/>
                    </w:pPr>
                    <w:r>
                      <w:t>54.44</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151302264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无</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25857037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国有法人</w:t>
                        </w:r>
                      </w:p>
                    </w:tc>
                  </w:sdtContent>
                </w:sdt>
              </w:tr>
            </w:sdtContent>
          </w:sdt>
          <w:sdt>
            <w:sdtPr>
              <w:alias w:val="前十名股东持股情况"/>
              <w:tag w:val="_GBC_5fc8eaeeffc7456eb1a09687db3d4206"/>
              <w:id w:val="-2052142826"/>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招商局公路网络科技控股股份有限公司</w:t>
                    </w:r>
                  </w:p>
                </w:tc>
                <w:tc>
                  <w:tcPr>
                    <w:tcW w:w="0" w:type="auto"/>
                    <w:gridSpan w:val="2"/>
                    <w:shd w:val="clear" w:color="auto" w:fill="auto"/>
                    <w:vAlign w:val="center"/>
                  </w:tcPr>
                  <w:p>
                    <w:pPr>
                      <w:jc w:val="right"/>
                    </w:pPr>
                    <w:r>
                      <w:t>0</w:t>
                    </w:r>
                  </w:p>
                </w:tc>
                <w:tc>
                  <w:tcPr>
                    <w:tcW w:w="0" w:type="auto"/>
                    <w:gridSpan w:val="2"/>
                    <w:shd w:val="clear" w:color="auto" w:fill="auto"/>
                    <w:vAlign w:val="center"/>
                  </w:tcPr>
                  <w:p>
                    <w:pPr>
                      <w:jc w:val="right"/>
                    </w:pPr>
                    <w:r>
                      <w:t>589,059,077</w:t>
                    </w:r>
                  </w:p>
                </w:tc>
                <w:tc>
                  <w:tcPr>
                    <w:tcW w:w="0" w:type="auto"/>
                    <w:shd w:val="clear" w:color="auto" w:fill="auto"/>
                    <w:vAlign w:val="center"/>
                  </w:tcPr>
                  <w:p>
                    <w:pPr>
                      <w:jc w:val="right"/>
                    </w:pPr>
                    <w:r>
                      <w:t>11.69</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41124439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无</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12422132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国有法人</w:t>
                        </w:r>
                      </w:p>
                    </w:tc>
                  </w:sdtContent>
                </w:sdt>
              </w:tr>
            </w:sdtContent>
          </w:sdt>
          <w:sdt>
            <w:sdtPr>
              <w:alias w:val="前十名股东持股情况"/>
              <w:tag w:val="_GBC_5fc8eaeeffc7456eb1a09687db3d4206"/>
              <w:id w:val="-707640580"/>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BlackRock,Inc.</w:t>
                    </w:r>
                  </w:p>
                </w:tc>
                <w:tc>
                  <w:tcPr>
                    <w:tcW w:w="0" w:type="auto"/>
                    <w:gridSpan w:val="2"/>
                    <w:shd w:val="clear" w:color="auto" w:fill="auto"/>
                    <w:vAlign w:val="center"/>
                  </w:tcPr>
                  <w:p>
                    <w:pPr>
                      <w:jc w:val="right"/>
                    </w:pPr>
                    <w:r>
                      <w:t>-28,751,312</w:t>
                    </w:r>
                  </w:p>
                </w:tc>
                <w:tc>
                  <w:tcPr>
                    <w:tcW w:w="0" w:type="auto"/>
                    <w:gridSpan w:val="2"/>
                    <w:shd w:val="clear" w:color="auto" w:fill="auto"/>
                    <w:vAlign w:val="center"/>
                  </w:tcPr>
                  <w:p>
                    <w:pPr>
                      <w:jc w:val="right"/>
                    </w:pPr>
                    <w:r>
                      <w:t>105,716,202</w:t>
                    </w:r>
                  </w:p>
                </w:tc>
                <w:tc>
                  <w:tcPr>
                    <w:tcW w:w="0" w:type="auto"/>
                    <w:shd w:val="clear" w:color="auto" w:fill="auto"/>
                    <w:vAlign w:val="center"/>
                  </w:tcPr>
                  <w:p>
                    <w:pPr>
                      <w:jc w:val="right"/>
                    </w:pPr>
                    <w:r>
                      <w:t>2.10</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142025204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160561555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境外法人</w:t>
                        </w:r>
                      </w:p>
                    </w:tc>
                  </w:sdtContent>
                </w:sdt>
              </w:tr>
            </w:sdtContent>
          </w:sdt>
          <w:sdt>
            <w:sdtPr>
              <w:alias w:val="前十名股东持股情况"/>
              <w:tag w:val="_GBC_5fc8eaeeffc7456eb1a09687db3d4206"/>
              <w:id w:val="1992979590"/>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Mitsubishi</w:t>
                    </w:r>
                    <w:r>
                      <w:rPr>
                        <w:rFonts w:hint="eastAsia"/>
                      </w:rPr>
                      <w:t xml:space="preserve"> </w:t>
                    </w:r>
                    <w:r>
                      <w:t>UFJ Financial Group, Inc.</w:t>
                    </w:r>
                  </w:p>
                </w:tc>
                <w:tc>
                  <w:tcPr>
                    <w:tcW w:w="0" w:type="auto"/>
                    <w:gridSpan w:val="2"/>
                    <w:shd w:val="clear" w:color="auto" w:fill="auto"/>
                    <w:vAlign w:val="center"/>
                  </w:tcPr>
                  <w:p>
                    <w:pPr>
                      <w:jc w:val="right"/>
                    </w:pPr>
                    <w:r>
                      <w:t>-43,937,752</w:t>
                    </w:r>
                  </w:p>
                </w:tc>
                <w:tc>
                  <w:tcPr>
                    <w:tcW w:w="0" w:type="auto"/>
                    <w:gridSpan w:val="2"/>
                    <w:shd w:val="clear" w:color="auto" w:fill="auto"/>
                    <w:vAlign w:val="center"/>
                  </w:tcPr>
                  <w:p>
                    <w:pPr>
                      <w:jc w:val="right"/>
                    </w:pPr>
                    <w:r>
                      <w:t>102,816,845</w:t>
                    </w:r>
                  </w:p>
                </w:tc>
                <w:tc>
                  <w:tcPr>
                    <w:tcW w:w="0" w:type="auto"/>
                    <w:shd w:val="clear" w:color="auto" w:fill="auto"/>
                    <w:vAlign w:val="center"/>
                  </w:tcPr>
                  <w:p>
                    <w:pPr>
                      <w:jc w:val="right"/>
                    </w:pPr>
                    <w:r>
                      <w:t>2.04</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26968202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7427097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境外法人</w:t>
                        </w:r>
                      </w:p>
                    </w:tc>
                  </w:sdtContent>
                </w:sdt>
              </w:tr>
            </w:sdtContent>
          </w:sdt>
          <w:sdt>
            <w:sdtPr>
              <w:alias w:val="前十名股东持股情况"/>
              <w:tag w:val="_GBC_5fc8eaeeffc7456eb1a09687db3d4206"/>
              <w:id w:val="-1071808670"/>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Citigroup</w:t>
                    </w:r>
                    <w:r>
                      <w:rPr>
                        <w:rFonts w:hint="eastAsia"/>
                      </w:rPr>
                      <w:t xml:space="preserve"> </w:t>
                    </w:r>
                    <w:r>
                      <w:t>Inc.</w:t>
                    </w:r>
                  </w:p>
                </w:tc>
                <w:tc>
                  <w:tcPr>
                    <w:tcW w:w="0" w:type="auto"/>
                    <w:gridSpan w:val="2"/>
                    <w:shd w:val="clear" w:color="auto" w:fill="auto"/>
                    <w:vAlign w:val="center"/>
                  </w:tcPr>
                  <w:p>
                    <w:pPr>
                      <w:jc w:val="right"/>
                    </w:pPr>
                    <w:r>
                      <w:t>397,474</w:t>
                    </w:r>
                  </w:p>
                </w:tc>
                <w:tc>
                  <w:tcPr>
                    <w:tcW w:w="0" w:type="auto"/>
                    <w:gridSpan w:val="2"/>
                    <w:shd w:val="clear" w:color="auto" w:fill="auto"/>
                    <w:vAlign w:val="center"/>
                  </w:tcPr>
                  <w:p>
                    <w:pPr>
                      <w:jc w:val="right"/>
                    </w:pPr>
                    <w:r>
                      <w:t>74,106,709</w:t>
                    </w:r>
                  </w:p>
                </w:tc>
                <w:tc>
                  <w:tcPr>
                    <w:tcW w:w="0" w:type="auto"/>
                    <w:shd w:val="clear" w:color="auto" w:fill="auto"/>
                    <w:vAlign w:val="center"/>
                  </w:tcPr>
                  <w:p>
                    <w:pPr>
                      <w:jc w:val="right"/>
                    </w:pPr>
                    <w:r>
                      <w:t>1.47</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208266952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212468760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境外法人</w:t>
                        </w:r>
                      </w:p>
                    </w:tc>
                  </w:sdtContent>
                </w:sdt>
              </w:tr>
            </w:sdtContent>
          </w:sdt>
          <w:sdt>
            <w:sdtPr>
              <w:alias w:val="前十名股东持股情况"/>
              <w:tag w:val="_GBC_5fc8eaeeffc7456eb1a09687db3d4206"/>
              <w:id w:val="-2117515822"/>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rPr>
                        <w:rFonts w:hint="eastAsia"/>
                      </w:rPr>
                      <w:t>J</w:t>
                    </w:r>
                    <w:r>
                      <w:t>PMorgan Chase &amp; Co.</w:t>
                    </w:r>
                  </w:p>
                </w:tc>
                <w:tc>
                  <w:tcPr>
                    <w:tcW w:w="0" w:type="auto"/>
                    <w:gridSpan w:val="2"/>
                    <w:shd w:val="clear" w:color="auto" w:fill="auto"/>
                    <w:vAlign w:val="center"/>
                  </w:tcPr>
                  <w:p>
                    <w:pPr>
                      <w:jc w:val="right"/>
                    </w:pPr>
                    <w:r>
                      <w:t>-10,203,600</w:t>
                    </w:r>
                  </w:p>
                </w:tc>
                <w:tc>
                  <w:tcPr>
                    <w:tcW w:w="0" w:type="auto"/>
                    <w:gridSpan w:val="2"/>
                    <w:shd w:val="clear" w:color="auto" w:fill="auto"/>
                    <w:vAlign w:val="center"/>
                  </w:tcPr>
                  <w:p>
                    <w:pPr>
                      <w:jc w:val="right"/>
                    </w:pPr>
                    <w:r>
                      <w:t>68,688,226</w:t>
                    </w:r>
                  </w:p>
                </w:tc>
                <w:tc>
                  <w:tcPr>
                    <w:tcW w:w="0" w:type="auto"/>
                    <w:shd w:val="clear" w:color="auto" w:fill="auto"/>
                    <w:vAlign w:val="center"/>
                  </w:tcPr>
                  <w:p>
                    <w:pPr>
                      <w:jc w:val="right"/>
                    </w:pPr>
                    <w:r>
                      <w:t>1.36</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104295283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2532817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境外法人</w:t>
                        </w:r>
                      </w:p>
                    </w:tc>
                  </w:sdtContent>
                </w:sdt>
              </w:tr>
            </w:sdtContent>
          </w:sdt>
          <w:sdt>
            <w:sdtPr>
              <w:alias w:val="前十名股东持股情况"/>
              <w:tag w:val="_GBC_5fc8eaeeffc7456eb1a09687db3d4206"/>
              <w:id w:val="1276749665"/>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招商银行股份有限公司－上证红利交易型开放式指数证券投资基金</w:t>
                    </w:r>
                  </w:p>
                </w:tc>
                <w:tc>
                  <w:tcPr>
                    <w:tcW w:w="0" w:type="auto"/>
                    <w:gridSpan w:val="2"/>
                    <w:shd w:val="clear" w:color="auto" w:fill="auto"/>
                    <w:vAlign w:val="center"/>
                  </w:tcPr>
                  <w:p>
                    <w:pPr>
                      <w:jc w:val="right"/>
                    </w:pPr>
                    <w:r>
                      <w:t>1,284,663</w:t>
                    </w:r>
                  </w:p>
                </w:tc>
                <w:tc>
                  <w:tcPr>
                    <w:tcW w:w="0" w:type="auto"/>
                    <w:gridSpan w:val="2"/>
                    <w:shd w:val="clear" w:color="auto" w:fill="auto"/>
                    <w:vAlign w:val="center"/>
                  </w:tcPr>
                  <w:p>
                    <w:pPr>
                      <w:jc w:val="right"/>
                    </w:pPr>
                    <w:r>
                      <w:t>33,198,019</w:t>
                    </w:r>
                  </w:p>
                </w:tc>
                <w:tc>
                  <w:tcPr>
                    <w:tcW w:w="0" w:type="auto"/>
                    <w:shd w:val="clear" w:color="auto" w:fill="auto"/>
                    <w:vAlign w:val="center"/>
                  </w:tcPr>
                  <w:p>
                    <w:pPr>
                      <w:jc w:val="right"/>
                    </w:pPr>
                    <w:r>
                      <w:t>0.66</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81279233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7219846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其他</w:t>
                        </w:r>
                      </w:p>
                    </w:tc>
                  </w:sdtContent>
                </w:sdt>
              </w:tr>
            </w:sdtContent>
          </w:sdt>
          <w:sdt>
            <w:sdtPr>
              <w:alias w:val="前十名股东持股情况"/>
              <w:tag w:val="_GBC_5fc8eaeeffc7456eb1a09687db3d4206"/>
              <w:id w:val="1420594569"/>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中国银河资产管理有限责任公司</w:t>
                    </w:r>
                  </w:p>
                </w:tc>
                <w:tc>
                  <w:tcPr>
                    <w:tcW w:w="0" w:type="auto"/>
                    <w:gridSpan w:val="2"/>
                    <w:shd w:val="clear" w:color="auto" w:fill="auto"/>
                    <w:vAlign w:val="center"/>
                  </w:tcPr>
                  <w:p>
                    <w:pPr>
                      <w:jc w:val="right"/>
                    </w:pPr>
                    <w:r>
                      <w:t>-2,820,000</w:t>
                    </w:r>
                  </w:p>
                </w:tc>
                <w:tc>
                  <w:tcPr>
                    <w:tcW w:w="0" w:type="auto"/>
                    <w:gridSpan w:val="2"/>
                    <w:shd w:val="clear" w:color="auto" w:fill="auto"/>
                    <w:vAlign w:val="center"/>
                  </w:tcPr>
                  <w:p>
                    <w:pPr>
                      <w:jc w:val="right"/>
                    </w:pPr>
                    <w:r>
                      <w:t>18,590,000</w:t>
                    </w:r>
                  </w:p>
                </w:tc>
                <w:tc>
                  <w:tcPr>
                    <w:tcW w:w="0" w:type="auto"/>
                    <w:shd w:val="clear" w:color="auto" w:fill="auto"/>
                    <w:vAlign w:val="center"/>
                  </w:tcPr>
                  <w:p>
                    <w:pPr>
                      <w:jc w:val="right"/>
                    </w:pPr>
                    <w:r>
                      <w:t>0.37</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180106539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14540622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国有法人</w:t>
                        </w:r>
                      </w:p>
                    </w:tc>
                  </w:sdtContent>
                </w:sdt>
              </w:tr>
            </w:sdtContent>
          </w:sdt>
          <w:sdt>
            <w:sdtPr>
              <w:alias w:val="前十名股东持股情况"/>
              <w:tag w:val="_GBC_5fc8eaeeffc7456eb1a09687db3d4206"/>
              <w:id w:val="-433895589"/>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中国太平洋人寿保险股份有限公司－中国太平洋人寿股票红利型产品（寿自营）委托投资（长江养老）</w:t>
                    </w:r>
                  </w:p>
                </w:tc>
                <w:tc>
                  <w:tcPr>
                    <w:tcW w:w="0" w:type="auto"/>
                    <w:gridSpan w:val="2"/>
                    <w:shd w:val="clear" w:color="auto" w:fill="auto"/>
                    <w:vAlign w:val="center"/>
                  </w:tcPr>
                  <w:p>
                    <w:pPr>
                      <w:jc w:val="right"/>
                    </w:pPr>
                    <w:r>
                      <w:t>1,096,709</w:t>
                    </w:r>
                  </w:p>
                </w:tc>
                <w:tc>
                  <w:tcPr>
                    <w:tcW w:w="0" w:type="auto"/>
                    <w:gridSpan w:val="2"/>
                    <w:shd w:val="clear" w:color="auto" w:fill="auto"/>
                    <w:vAlign w:val="center"/>
                  </w:tcPr>
                  <w:p>
                    <w:pPr>
                      <w:jc w:val="right"/>
                    </w:pPr>
                    <w:r>
                      <w:t>10,996,709</w:t>
                    </w:r>
                  </w:p>
                </w:tc>
                <w:tc>
                  <w:tcPr>
                    <w:tcW w:w="0" w:type="auto"/>
                    <w:shd w:val="clear" w:color="auto" w:fill="auto"/>
                    <w:vAlign w:val="center"/>
                  </w:tcPr>
                  <w:p>
                    <w:pPr>
                      <w:jc w:val="right"/>
                    </w:pPr>
                    <w:r>
                      <w:t>0.22</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53616432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64578231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其他</w:t>
                        </w:r>
                      </w:p>
                    </w:tc>
                  </w:sdtContent>
                </w:sdt>
              </w:tr>
            </w:sdtContent>
          </w:sdt>
          <w:sdt>
            <w:sdtPr>
              <w:alias w:val="前十名股东持股情况"/>
              <w:tag w:val="_GBC_5fc8eaeeffc7456eb1a09687db3d4206"/>
              <w:id w:val="1309127077"/>
              <w:lock w:val="sdtLocked"/>
            </w:sdtPr>
            <w:sdtEndPr>
              <w:rPr>
                <w:color w:val="FF99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shd w:val="clear" w:color="auto" w:fill="auto"/>
                    <w:vAlign w:val="center"/>
                  </w:tcPr>
                  <w:p>
                    <w:pPr>
                      <w:pStyle w:val="114"/>
                    </w:pPr>
                    <w:r>
                      <w:t>中国工商银行股份有限公司－富国中证红利指数增强型证券投资基金</w:t>
                    </w:r>
                  </w:p>
                </w:tc>
                <w:tc>
                  <w:tcPr>
                    <w:tcW w:w="0" w:type="auto"/>
                    <w:gridSpan w:val="2"/>
                    <w:shd w:val="clear" w:color="auto" w:fill="auto"/>
                    <w:vAlign w:val="center"/>
                  </w:tcPr>
                  <w:p>
                    <w:pPr>
                      <w:jc w:val="right"/>
                    </w:pPr>
                    <w:r>
                      <w:t>4,249,100</w:t>
                    </w:r>
                  </w:p>
                </w:tc>
                <w:tc>
                  <w:tcPr>
                    <w:tcW w:w="0" w:type="auto"/>
                    <w:gridSpan w:val="2"/>
                    <w:shd w:val="clear" w:color="auto" w:fill="auto"/>
                    <w:vAlign w:val="center"/>
                  </w:tcPr>
                  <w:p>
                    <w:pPr>
                      <w:jc w:val="right"/>
                    </w:pPr>
                    <w:r>
                      <w:t>9,180,787</w:t>
                    </w:r>
                  </w:p>
                </w:tc>
                <w:tc>
                  <w:tcPr>
                    <w:tcW w:w="0" w:type="auto"/>
                    <w:shd w:val="clear" w:color="auto" w:fill="auto"/>
                    <w:vAlign w:val="center"/>
                  </w:tcPr>
                  <w:p>
                    <w:pPr>
                      <w:jc w:val="right"/>
                    </w:pPr>
                    <w:r>
                      <w:t>0.18</w:t>
                    </w:r>
                  </w:p>
                </w:tc>
                <w:tc>
                  <w:tcPr>
                    <w:tcW w:w="0" w:type="auto"/>
                    <w:shd w:val="clear" w:color="auto" w:fill="auto"/>
                    <w:vAlign w:val="center"/>
                  </w:tcPr>
                  <w:p>
                    <w:pPr>
                      <w:jc w:val="right"/>
                    </w:pPr>
                    <w:r>
                      <w:rPr>
                        <w:rFonts w:hint="eastAsia"/>
                      </w:rPr>
                      <w:t>-</w:t>
                    </w:r>
                  </w:p>
                </w:tc>
                <w:sdt>
                  <w:sdtPr>
                    <w:alias w:val="前十名股东持有股份状态"/>
                    <w:tag w:val="_GBC_d5194108b2a8481e94140819dbdc5afe"/>
                    <w:id w:val="-131787700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gridSpan w:val="2"/>
                        <w:shd w:val="clear" w:color="auto" w:fill="auto"/>
                        <w:vAlign w:val="center"/>
                      </w:tcPr>
                      <w:p>
                        <w:pPr>
                          <w:jc w:val="center"/>
                          <w:rPr>
                            <w:color w:val="FF9900"/>
                          </w:rPr>
                        </w:pPr>
                        <w:r>
                          <w:t>未知</w:t>
                        </w:r>
                      </w:p>
                    </w:tc>
                  </w:sdtContent>
                </w:sdt>
                <w:tc>
                  <w:tcPr>
                    <w:tcW w:w="0" w:type="auto"/>
                    <w:shd w:val="clear" w:color="auto" w:fill="auto"/>
                    <w:vAlign w:val="center"/>
                  </w:tcPr>
                  <w:p>
                    <w:pPr>
                      <w:jc w:val="right"/>
                    </w:pPr>
                    <w:r>
                      <w:rPr>
                        <w:rFonts w:hint="eastAsia"/>
                      </w:rPr>
                      <w:t>-</w:t>
                    </w:r>
                  </w:p>
                </w:tc>
                <w:sdt>
                  <w:sdtPr>
                    <w:alias w:val="前十名股东的股东性质"/>
                    <w:tag w:val="_GBC_71380bc899eb4b9781e95e37e7a1e221"/>
                    <w:id w:val="-5879548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pPr>
                          <w:rPr>
                            <w:color w:val="FF9900"/>
                          </w:rPr>
                        </w:pPr>
                        <w:r>
                          <w:t>其他</w:t>
                        </w:r>
                      </w:p>
                    </w:tc>
                  </w:sdtContent>
                </w:sdt>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6f36efd0621247ffb7b2462dd9753e27"/>
                <w:id w:val="1761639623"/>
                <w:lock w:val="sdtLocked"/>
              </w:sdtPr>
              <w:sdtContent>
                <w:tc>
                  <w:tcPr>
                    <w:tcW w:w="0" w:type="auto"/>
                    <w:gridSpan w:val="11"/>
                    <w:shd w:val="clear" w:color="auto" w:fill="auto"/>
                    <w:vAlign w:val="center"/>
                  </w:tcPr>
                  <w:p>
                    <w:pPr>
                      <w:jc w:val="center"/>
                      <w:rPr>
                        <w:color w:val="FF9900"/>
                      </w:rPr>
                    </w:pPr>
                    <w:r>
                      <w:t>前十名无限售条件股东持股情况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6c8c7d50ba2b44858757eeaaa20b5499"/>
                <w:id w:val="1201512385"/>
                <w:lock w:val="sdtLocked"/>
              </w:sdtPr>
              <w:sdtContent>
                <w:tc>
                  <w:tcPr>
                    <w:tcW w:w="3188" w:type="dxa"/>
                    <w:gridSpan w:val="2"/>
                    <w:vMerge w:val="restart"/>
                    <w:shd w:val="clear" w:color="auto" w:fill="auto"/>
                    <w:vAlign w:val="center"/>
                  </w:tcPr>
                  <w:p>
                    <w:pPr>
                      <w:jc w:val="center"/>
                      <w:rPr>
                        <w:color w:val="FF9900"/>
                      </w:rPr>
                    </w:pPr>
                    <w:r>
                      <w:t>股东名称</w:t>
                    </w:r>
                  </w:p>
                </w:tc>
              </w:sdtContent>
            </w:sdt>
            <w:sdt>
              <w:sdtPr>
                <w:tag w:val="_PLD_e4987b1a07a6489c82ab5ef0aa3370ea"/>
                <w:id w:val="-23021568"/>
                <w:lock w:val="sdtLocked"/>
              </w:sdtPr>
              <w:sdtContent>
                <w:tc>
                  <w:tcPr>
                    <w:tcW w:w="2307" w:type="dxa"/>
                    <w:gridSpan w:val="2"/>
                    <w:vMerge w:val="restart"/>
                    <w:shd w:val="clear" w:color="auto" w:fill="auto"/>
                    <w:vAlign w:val="center"/>
                  </w:tcPr>
                  <w:p>
                    <w:pPr>
                      <w:jc w:val="center"/>
                      <w:rPr>
                        <w:color w:val="FF9900"/>
                      </w:rPr>
                    </w:pPr>
                    <w:r>
                      <w:t>持有无限售条件流通股的数量</w:t>
                    </w:r>
                  </w:p>
                </w:tc>
              </w:sdtContent>
            </w:sdt>
            <w:sdt>
              <w:sdtPr>
                <w:tag w:val="_PLD_26ce78cac14a427ca05aa80b21b65936"/>
                <w:id w:val="826712204"/>
                <w:lock w:val="sdtLocked"/>
              </w:sdtPr>
              <w:sdtContent>
                <w:tc>
                  <w:tcPr>
                    <w:tcW w:w="3554" w:type="dxa"/>
                    <w:gridSpan w:val="7"/>
                    <w:tcBorders>
                      <w:bottom w:val="single" w:color="auto" w:sz="4" w:space="0"/>
                    </w:tcBorders>
                    <w:shd w:val="clear" w:color="auto" w:fill="auto"/>
                    <w:vAlign w:val="center"/>
                  </w:tcPr>
                  <w:p>
                    <w:pPr>
                      <w:jc w:val="center"/>
                      <w:rPr>
                        <w:color w:val="FF9900"/>
                      </w:rPr>
                    </w:pPr>
                    <w:r>
                      <w:t>股份种类</w:t>
                    </w:r>
                    <w:r>
                      <w:rPr>
                        <w:rFonts w:hint="eastAsia"/>
                      </w:rPr>
                      <w:t>及数量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vMerge w:val="continue"/>
                <w:shd w:val="clear" w:color="auto" w:fill="auto"/>
                <w:vAlign w:val="center"/>
              </w:tcPr>
              <w:p>
                <w:pPr>
                  <w:jc w:val="center"/>
                  <w:rPr>
                    <w:color w:val="FF9900"/>
                  </w:rPr>
                </w:pPr>
              </w:p>
            </w:tc>
            <w:tc>
              <w:tcPr>
                <w:tcW w:w="2307" w:type="dxa"/>
                <w:gridSpan w:val="2"/>
                <w:vMerge w:val="continue"/>
                <w:shd w:val="clear" w:color="auto" w:fill="auto"/>
                <w:vAlign w:val="center"/>
              </w:tcPr>
              <w:p>
                <w:pPr>
                  <w:jc w:val="center"/>
                  <w:rPr>
                    <w:color w:val="FF9900"/>
                  </w:rPr>
                </w:pPr>
              </w:p>
            </w:tc>
            <w:sdt>
              <w:sdtPr>
                <w:tag w:val="_PLD_05580a00e3f942c0b2da618818a84669"/>
                <w:id w:val="-2020614287"/>
                <w:lock w:val="sdtLocked"/>
              </w:sdtPr>
              <w:sdtContent>
                <w:tc>
                  <w:tcPr>
                    <w:tcW w:w="1751" w:type="dxa"/>
                    <w:gridSpan w:val="4"/>
                    <w:shd w:val="clear" w:color="auto" w:fill="auto"/>
                    <w:vAlign w:val="center"/>
                  </w:tcPr>
                  <w:p>
                    <w:pPr>
                      <w:jc w:val="center"/>
                      <w:rPr>
                        <w:color w:val="008000"/>
                      </w:rPr>
                    </w:pPr>
                    <w:r>
                      <w:rPr>
                        <w:rFonts w:hint="eastAsia"/>
                      </w:rPr>
                      <w:t>种类</w:t>
                    </w:r>
                  </w:p>
                </w:tc>
              </w:sdtContent>
            </w:sdt>
            <w:sdt>
              <w:sdtPr>
                <w:tag w:val="_PLD_7f8ec6251e234192b411b34b07ccd732"/>
                <w:id w:val="1839732659"/>
                <w:lock w:val="sdtLocked"/>
              </w:sdtPr>
              <w:sdtContent>
                <w:tc>
                  <w:tcPr>
                    <w:tcW w:w="1803" w:type="dxa"/>
                    <w:gridSpan w:val="3"/>
                    <w:shd w:val="clear" w:color="auto" w:fill="auto"/>
                    <w:vAlign w:val="center"/>
                  </w:tcPr>
                  <w:p>
                    <w:pPr>
                      <w:jc w:val="center"/>
                      <w:rPr>
                        <w:color w:val="008000"/>
                      </w:rPr>
                    </w:pPr>
                    <w:r>
                      <w:rPr>
                        <w:rFonts w:hint="eastAsia"/>
                      </w:rPr>
                      <w:t>数量</w:t>
                    </w:r>
                  </w:p>
                </w:tc>
              </w:sdtContent>
            </w:sdt>
          </w:tr>
          <w:sdt>
            <w:sdtPr>
              <w:alias w:val="前十名无限售条件股东持股情况"/>
              <w:tag w:val="_GBC_d4835fea183942b8823bf8913d1f2f26"/>
              <w:id w:val="-38040737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江苏交通控股有限公司</w:t>
                    </w:r>
                  </w:p>
                </w:tc>
                <w:tc>
                  <w:tcPr>
                    <w:tcW w:w="2307" w:type="dxa"/>
                    <w:gridSpan w:val="2"/>
                    <w:shd w:val="clear" w:color="auto" w:fill="auto"/>
                    <w:vAlign w:val="center"/>
                  </w:tcPr>
                  <w:p>
                    <w:pPr>
                      <w:rPr>
                        <w:sz w:val="24"/>
                        <w:szCs w:val="24"/>
                      </w:rPr>
                    </w:pPr>
                    <w:r>
                      <w:t>2,742,578,825</w:t>
                    </w:r>
                  </w:p>
                </w:tc>
                <w:sdt>
                  <w:sdtPr>
                    <w:rPr>
                      <w:bCs/>
                    </w:rPr>
                    <w:alias w:val="前十名无限售条件股东期末持有流通股的种类"/>
                    <w:tag w:val="_GBC_5d0d3dfc3b8545ce906ab8a21728fb94"/>
                    <w:id w:val="-206717441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2,742,578,825</w:t>
                    </w:r>
                  </w:p>
                </w:tc>
              </w:tr>
            </w:sdtContent>
          </w:sdt>
          <w:sdt>
            <w:sdtPr>
              <w:alias w:val="前十名无限售条件股东持股情况"/>
              <w:tag w:val="_GBC_d4835fea183942b8823bf8913d1f2f26"/>
              <w:id w:val="189739976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招商局公路网络科技控股股份有限公司</w:t>
                    </w:r>
                  </w:p>
                </w:tc>
                <w:tc>
                  <w:tcPr>
                    <w:tcW w:w="2307" w:type="dxa"/>
                    <w:gridSpan w:val="2"/>
                    <w:shd w:val="clear" w:color="auto" w:fill="auto"/>
                    <w:vAlign w:val="center"/>
                  </w:tcPr>
                  <w:p>
                    <w:pPr>
                      <w:rPr>
                        <w:sz w:val="24"/>
                        <w:szCs w:val="24"/>
                      </w:rPr>
                    </w:pPr>
                    <w:r>
                      <w:t>589,059,077</w:t>
                    </w:r>
                  </w:p>
                </w:tc>
                <w:sdt>
                  <w:sdtPr>
                    <w:rPr>
                      <w:bCs/>
                    </w:rPr>
                    <w:alias w:val="前十名无限售条件股东期末持有流通股的种类"/>
                    <w:tag w:val="_GBC_5d0d3dfc3b8545ce906ab8a21728fb94"/>
                    <w:id w:val="-190944693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589,059,077</w:t>
                    </w:r>
                  </w:p>
                </w:tc>
              </w:tr>
            </w:sdtContent>
          </w:sdt>
          <w:sdt>
            <w:sdtPr>
              <w:alias w:val="前十名无限售条件股东持股情况"/>
              <w:tag w:val="_GBC_d4835fea183942b8823bf8913d1f2f26"/>
              <w:id w:val="2111779958"/>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BlackRock,Inc.</w:t>
                    </w:r>
                  </w:p>
                </w:tc>
                <w:tc>
                  <w:tcPr>
                    <w:tcW w:w="2307" w:type="dxa"/>
                    <w:gridSpan w:val="2"/>
                    <w:shd w:val="clear" w:color="auto" w:fill="auto"/>
                    <w:vAlign w:val="center"/>
                  </w:tcPr>
                  <w:p>
                    <w:pPr>
                      <w:rPr>
                        <w:sz w:val="24"/>
                        <w:szCs w:val="24"/>
                      </w:rPr>
                    </w:pPr>
                    <w:r>
                      <w:t>105,716,202</w:t>
                    </w:r>
                  </w:p>
                </w:tc>
                <w:sdt>
                  <w:sdtPr>
                    <w:rPr>
                      <w:bCs/>
                    </w:rPr>
                    <w:alias w:val="前十名无限售条件股东期末持有流通股的种类"/>
                    <w:tag w:val="_GBC_5d0d3dfc3b8545ce906ab8a21728fb94"/>
                    <w:id w:val="187881811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境外上市外资股</w:t>
                        </w:r>
                      </w:p>
                    </w:tc>
                  </w:sdtContent>
                </w:sdt>
                <w:tc>
                  <w:tcPr>
                    <w:tcW w:w="1803" w:type="dxa"/>
                    <w:gridSpan w:val="3"/>
                    <w:shd w:val="clear" w:color="auto" w:fill="auto"/>
                    <w:vAlign w:val="center"/>
                  </w:tcPr>
                  <w:p>
                    <w:pPr>
                      <w:jc w:val="right"/>
                    </w:pPr>
                    <w:r>
                      <w:t>105,716,202</w:t>
                    </w:r>
                  </w:p>
                </w:tc>
              </w:tr>
            </w:sdtContent>
          </w:sdt>
          <w:sdt>
            <w:sdtPr>
              <w:alias w:val="前十名无限售条件股东持股情况"/>
              <w:tag w:val="_GBC_d4835fea183942b8823bf8913d1f2f26"/>
              <w:id w:val="143486232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Mitsubishi</w:t>
                    </w:r>
                    <w:r>
                      <w:rPr>
                        <w:rFonts w:hint="eastAsia"/>
                      </w:rPr>
                      <w:t xml:space="preserve"> </w:t>
                    </w:r>
                    <w:r>
                      <w:t>UFJ Financial Group, Inc.</w:t>
                    </w:r>
                  </w:p>
                </w:tc>
                <w:tc>
                  <w:tcPr>
                    <w:tcW w:w="2307" w:type="dxa"/>
                    <w:gridSpan w:val="2"/>
                    <w:shd w:val="clear" w:color="auto" w:fill="auto"/>
                    <w:vAlign w:val="center"/>
                  </w:tcPr>
                  <w:p>
                    <w:pPr>
                      <w:rPr>
                        <w:sz w:val="24"/>
                        <w:szCs w:val="24"/>
                      </w:rPr>
                    </w:pPr>
                    <w:r>
                      <w:t>102,816,845</w:t>
                    </w:r>
                  </w:p>
                </w:tc>
                <w:sdt>
                  <w:sdtPr>
                    <w:rPr>
                      <w:bCs/>
                    </w:rPr>
                    <w:alias w:val="前十名无限售条件股东期末持有流通股的种类"/>
                    <w:tag w:val="_GBC_5d0d3dfc3b8545ce906ab8a21728fb94"/>
                    <w:id w:val="-71596269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境外上市外资股</w:t>
                        </w:r>
                      </w:p>
                    </w:tc>
                  </w:sdtContent>
                </w:sdt>
                <w:tc>
                  <w:tcPr>
                    <w:tcW w:w="1803" w:type="dxa"/>
                    <w:gridSpan w:val="3"/>
                    <w:shd w:val="clear" w:color="auto" w:fill="auto"/>
                    <w:vAlign w:val="center"/>
                  </w:tcPr>
                  <w:p>
                    <w:pPr>
                      <w:jc w:val="right"/>
                    </w:pPr>
                    <w:r>
                      <w:t>102,816,845</w:t>
                    </w:r>
                  </w:p>
                </w:tc>
              </w:tr>
            </w:sdtContent>
          </w:sdt>
          <w:sdt>
            <w:sdtPr>
              <w:alias w:val="前十名无限售条件股东持股情况"/>
              <w:tag w:val="_GBC_d4835fea183942b8823bf8913d1f2f26"/>
              <w:id w:val="116913668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Citigroup</w:t>
                    </w:r>
                    <w:r>
                      <w:rPr>
                        <w:rFonts w:hint="eastAsia"/>
                      </w:rPr>
                      <w:t xml:space="preserve"> </w:t>
                    </w:r>
                    <w:r>
                      <w:t>Inc.</w:t>
                    </w:r>
                  </w:p>
                </w:tc>
                <w:tc>
                  <w:tcPr>
                    <w:tcW w:w="2307" w:type="dxa"/>
                    <w:gridSpan w:val="2"/>
                    <w:shd w:val="clear" w:color="auto" w:fill="auto"/>
                    <w:vAlign w:val="center"/>
                  </w:tcPr>
                  <w:p>
                    <w:pPr>
                      <w:rPr>
                        <w:sz w:val="24"/>
                        <w:szCs w:val="24"/>
                      </w:rPr>
                    </w:pPr>
                    <w:r>
                      <w:t>74,106,709</w:t>
                    </w:r>
                  </w:p>
                </w:tc>
                <w:sdt>
                  <w:sdtPr>
                    <w:rPr>
                      <w:bCs/>
                    </w:rPr>
                    <w:alias w:val="前十名无限售条件股东期末持有流通股的种类"/>
                    <w:tag w:val="_GBC_5d0d3dfc3b8545ce906ab8a21728fb94"/>
                    <w:id w:val="-84131301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境外上市外资股</w:t>
                        </w:r>
                      </w:p>
                    </w:tc>
                  </w:sdtContent>
                </w:sdt>
                <w:tc>
                  <w:tcPr>
                    <w:tcW w:w="1803" w:type="dxa"/>
                    <w:gridSpan w:val="3"/>
                    <w:shd w:val="clear" w:color="auto" w:fill="auto"/>
                    <w:vAlign w:val="center"/>
                  </w:tcPr>
                  <w:p>
                    <w:pPr>
                      <w:jc w:val="right"/>
                    </w:pPr>
                    <w:r>
                      <w:t>74,106,709</w:t>
                    </w:r>
                  </w:p>
                </w:tc>
              </w:tr>
            </w:sdtContent>
          </w:sdt>
          <w:sdt>
            <w:sdtPr>
              <w:alias w:val="前十名无限售条件股东持股情况"/>
              <w:tag w:val="_GBC_d4835fea183942b8823bf8913d1f2f26"/>
              <w:id w:val="92808001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JPMorgan</w:t>
                    </w:r>
                    <w:r>
                      <w:rPr>
                        <w:rFonts w:hint="eastAsia"/>
                      </w:rPr>
                      <w:t xml:space="preserve"> </w:t>
                    </w:r>
                    <w:r>
                      <w:t>Chase &amp; Co.</w:t>
                    </w:r>
                  </w:p>
                </w:tc>
                <w:tc>
                  <w:tcPr>
                    <w:tcW w:w="2307" w:type="dxa"/>
                    <w:gridSpan w:val="2"/>
                    <w:shd w:val="clear" w:color="auto" w:fill="auto"/>
                    <w:vAlign w:val="center"/>
                  </w:tcPr>
                  <w:p>
                    <w:pPr>
                      <w:rPr>
                        <w:sz w:val="24"/>
                        <w:szCs w:val="24"/>
                      </w:rPr>
                    </w:pPr>
                    <w:r>
                      <w:t>68,688,226</w:t>
                    </w:r>
                  </w:p>
                </w:tc>
                <w:sdt>
                  <w:sdtPr>
                    <w:rPr>
                      <w:bCs/>
                    </w:rPr>
                    <w:alias w:val="前十名无限售条件股东期末持有流通股的种类"/>
                    <w:tag w:val="_GBC_5d0d3dfc3b8545ce906ab8a21728fb94"/>
                    <w:id w:val="-1508043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境外上市外资股</w:t>
                        </w:r>
                      </w:p>
                    </w:tc>
                  </w:sdtContent>
                </w:sdt>
                <w:tc>
                  <w:tcPr>
                    <w:tcW w:w="1803" w:type="dxa"/>
                    <w:gridSpan w:val="3"/>
                    <w:shd w:val="clear" w:color="auto" w:fill="auto"/>
                    <w:vAlign w:val="center"/>
                  </w:tcPr>
                  <w:p>
                    <w:pPr>
                      <w:jc w:val="right"/>
                    </w:pPr>
                    <w:r>
                      <w:t>68,688,226</w:t>
                    </w:r>
                  </w:p>
                </w:tc>
              </w:tr>
            </w:sdtContent>
          </w:sdt>
          <w:sdt>
            <w:sdtPr>
              <w:alias w:val="前十名无限售条件股东持股情况"/>
              <w:tag w:val="_GBC_d4835fea183942b8823bf8913d1f2f26"/>
              <w:id w:val="118000382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招商银行股份有限公司－上证红利交易型开放式指数证券投资基金</w:t>
                    </w:r>
                  </w:p>
                </w:tc>
                <w:tc>
                  <w:tcPr>
                    <w:tcW w:w="2307" w:type="dxa"/>
                    <w:gridSpan w:val="2"/>
                    <w:shd w:val="clear" w:color="auto" w:fill="auto"/>
                    <w:vAlign w:val="center"/>
                  </w:tcPr>
                  <w:p>
                    <w:pPr>
                      <w:rPr>
                        <w:sz w:val="24"/>
                        <w:szCs w:val="24"/>
                      </w:rPr>
                    </w:pPr>
                    <w:r>
                      <w:t>33,198,019</w:t>
                    </w:r>
                  </w:p>
                </w:tc>
                <w:sdt>
                  <w:sdtPr>
                    <w:rPr>
                      <w:bCs/>
                    </w:rPr>
                    <w:alias w:val="前十名无限售条件股东期末持有流通股的种类"/>
                    <w:tag w:val="_GBC_5d0d3dfc3b8545ce906ab8a21728fb94"/>
                    <w:id w:val="-167333500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33,198,019</w:t>
                    </w:r>
                  </w:p>
                </w:tc>
              </w:tr>
            </w:sdtContent>
          </w:sdt>
          <w:sdt>
            <w:sdtPr>
              <w:alias w:val="前十名无限售条件股东持股情况"/>
              <w:tag w:val="_GBC_d4835fea183942b8823bf8913d1f2f26"/>
              <w:id w:val="-81085690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中国银河资产管理有限责任公司</w:t>
                    </w:r>
                  </w:p>
                </w:tc>
                <w:tc>
                  <w:tcPr>
                    <w:tcW w:w="2307" w:type="dxa"/>
                    <w:gridSpan w:val="2"/>
                    <w:shd w:val="clear" w:color="auto" w:fill="auto"/>
                    <w:vAlign w:val="center"/>
                  </w:tcPr>
                  <w:p>
                    <w:pPr>
                      <w:rPr>
                        <w:sz w:val="24"/>
                        <w:szCs w:val="24"/>
                      </w:rPr>
                    </w:pPr>
                    <w:r>
                      <w:t>18,590,000</w:t>
                    </w:r>
                  </w:p>
                </w:tc>
                <w:sdt>
                  <w:sdtPr>
                    <w:rPr>
                      <w:bCs/>
                    </w:rPr>
                    <w:alias w:val="前十名无限售条件股东期末持有流通股的种类"/>
                    <w:tag w:val="_GBC_5d0d3dfc3b8545ce906ab8a21728fb94"/>
                    <w:id w:val="124669831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18,590,000</w:t>
                    </w:r>
                  </w:p>
                </w:tc>
              </w:tr>
            </w:sdtContent>
          </w:sdt>
          <w:sdt>
            <w:sdtPr>
              <w:alias w:val="前十名无限售条件股东持股情况"/>
              <w:tag w:val="_GBC_d4835fea183942b8823bf8913d1f2f26"/>
              <w:id w:val="193030886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中国太平洋人寿保险股份有限公司－中国太平洋人寿股票红利型产品（寿自营）委托投资（长江养老）</w:t>
                    </w:r>
                  </w:p>
                </w:tc>
                <w:tc>
                  <w:tcPr>
                    <w:tcW w:w="2307" w:type="dxa"/>
                    <w:gridSpan w:val="2"/>
                    <w:shd w:val="clear" w:color="auto" w:fill="auto"/>
                    <w:vAlign w:val="center"/>
                  </w:tcPr>
                  <w:p>
                    <w:pPr>
                      <w:rPr>
                        <w:sz w:val="24"/>
                        <w:szCs w:val="24"/>
                      </w:rPr>
                    </w:pPr>
                    <w:r>
                      <w:t>10,996,709</w:t>
                    </w:r>
                  </w:p>
                </w:tc>
                <w:sdt>
                  <w:sdtPr>
                    <w:rPr>
                      <w:bCs/>
                    </w:rPr>
                    <w:alias w:val="前十名无限售条件股东期末持有流通股的种类"/>
                    <w:tag w:val="_GBC_5d0d3dfc3b8545ce906ab8a21728fb94"/>
                    <w:id w:val="-113486449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10,996,709</w:t>
                    </w:r>
                  </w:p>
                </w:tc>
              </w:tr>
            </w:sdtContent>
          </w:sdt>
          <w:sdt>
            <w:sdtPr>
              <w:alias w:val="前十名无限售条件股东持股情况"/>
              <w:tag w:val="_GBC_d4835fea183942b8823bf8913d1f2f26"/>
              <w:id w:val="-197982930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p>
                    <w:pPr>
                      <w:pStyle w:val="114"/>
                    </w:pPr>
                    <w:r>
                      <w:t>中国工商银行股份有限公司－富国中证红利指数增强型证券投资基金</w:t>
                    </w:r>
                  </w:p>
                </w:tc>
                <w:tc>
                  <w:tcPr>
                    <w:tcW w:w="2307" w:type="dxa"/>
                    <w:gridSpan w:val="2"/>
                    <w:shd w:val="clear" w:color="auto" w:fill="auto"/>
                    <w:vAlign w:val="center"/>
                  </w:tcPr>
                  <w:p>
                    <w:pPr>
                      <w:rPr>
                        <w:sz w:val="24"/>
                        <w:szCs w:val="24"/>
                      </w:rPr>
                    </w:pPr>
                    <w:r>
                      <w:t>9,180,787</w:t>
                    </w:r>
                  </w:p>
                </w:tc>
                <w:sdt>
                  <w:sdtPr>
                    <w:rPr>
                      <w:bCs/>
                    </w:rPr>
                    <w:alias w:val="前十名无限售条件股东期末持有流通股的种类"/>
                    <w:tag w:val="_GBC_5d0d3dfc3b8545ce906ab8a21728fb94"/>
                    <w:id w:val="96824396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rPr>
                      <w:bCs/>
                    </w:rPr>
                  </w:sdtEndPr>
                  <w:sdtContent>
                    <w:tc>
                      <w:tcPr>
                        <w:tcW w:w="1751" w:type="dxa"/>
                        <w:gridSpan w:val="4"/>
                        <w:shd w:val="clear" w:color="auto" w:fill="auto"/>
                        <w:vAlign w:val="center"/>
                      </w:tcPr>
                      <w:p>
                        <w:pPr>
                          <w:jc w:val="center"/>
                          <w:rPr>
                            <w:bCs/>
                          </w:rPr>
                        </w:pPr>
                        <w:r>
                          <w:t>人民币普通股</w:t>
                        </w:r>
                      </w:p>
                    </w:tc>
                  </w:sdtContent>
                </w:sdt>
                <w:tc>
                  <w:tcPr>
                    <w:tcW w:w="1803" w:type="dxa"/>
                    <w:gridSpan w:val="3"/>
                    <w:shd w:val="clear" w:color="auto" w:fill="auto"/>
                    <w:vAlign w:val="center"/>
                  </w:tcPr>
                  <w:p>
                    <w:pPr>
                      <w:jc w:val="right"/>
                    </w:pPr>
                    <w:r>
                      <w:t>9,180,787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sdt>
                <w:sdtPr>
                  <w:rPr>
                    <w:rFonts w:hint="eastAsia"/>
                  </w:rPr>
                  <w:tag w:val="_PLD_4b46a710569e470996b1037551fc02bf"/>
                  <w:id w:val="1482655406"/>
                  <w:lock w:val="sdtLocked"/>
                </w:sdtPr>
                <w:sdtEndPr>
                  <w:rPr>
                    <w:rFonts w:hint="eastAsia"/>
                  </w:rPr>
                </w:sdtEndPr>
                <w:sdtContent>
                  <w:p>
                    <w:pPr>
                      <w:pStyle w:val="114"/>
                    </w:pPr>
                    <w:r>
                      <w:rPr>
                        <w:rFonts w:hint="eastAsia"/>
                      </w:rPr>
                      <w:t>前十名股东中回购专户情况说明</w:t>
                    </w:r>
                  </w:p>
                </w:sdtContent>
              </w:sdt>
            </w:tc>
            <w:tc>
              <w:tcPr>
                <w:tcW w:w="5861" w:type="dxa"/>
                <w:gridSpan w:val="9"/>
                <w:shd w:val="clear" w:color="auto" w:fill="auto"/>
                <w:vAlign w:val="center"/>
              </w:tcPr>
              <w:p>
                <w:pPr>
                  <w:pStyle w:val="114"/>
                </w:pPr>
                <w: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188" w:type="dxa"/>
                <w:gridSpan w:val="2"/>
                <w:shd w:val="clear" w:color="auto" w:fill="auto"/>
                <w:vAlign w:val="center"/>
              </w:tcPr>
              <w:sdt>
                <w:sdtPr>
                  <w:tag w:val="_PLD_bc2af940e93042a39994415f0e50380a"/>
                  <w:id w:val="229502194"/>
                  <w:lock w:val="sdtLocked"/>
                </w:sdtPr>
                <w:sdtContent>
                  <w:p>
                    <w:pPr>
                      <w:pStyle w:val="114"/>
                    </w:pPr>
                    <w:r>
                      <w:t>上述股东</w:t>
                    </w:r>
                    <w:r>
                      <w:rPr>
                        <w:rFonts w:hint="eastAsia"/>
                      </w:rPr>
                      <w:t>委托表决权、受托表决权、放弃表决权</w:t>
                    </w:r>
                    <w:r>
                      <w:t>的说明</w:t>
                    </w:r>
                  </w:p>
                </w:sdtContent>
              </w:sdt>
            </w:tc>
            <w:tc>
              <w:tcPr>
                <w:tcW w:w="5861" w:type="dxa"/>
                <w:gridSpan w:val="9"/>
                <w:shd w:val="clear" w:color="auto" w:fill="auto"/>
                <w:vAlign w:val="center"/>
              </w:tcPr>
              <w:p>
                <w:pPr>
                  <w:pStyle w:val="114"/>
                </w:pPr>
                <w:r>
                  <w:rPr>
                    <w:rFonts w:hint="eastAsia"/>
                  </w:rPr>
                  <w:t>（</w:t>
                </w:r>
                <w:r>
                  <w:t>1）本公司未知上述股东之间存在关联关系或一致行动人关系；（2）报告期内，没有发生本公司关联方、战略投资者和一般法人因配售新股而成为本公司前十名股东的情况；及（3）H股股东的股份数目乃根据香港证券及期货条例而备存的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7013809d29cf4718a9bcc3305f3a2fcd"/>
                <w:id w:val="2121104968"/>
                <w:lock w:val="sdtLocked"/>
              </w:sdtPr>
              <w:sdtContent>
                <w:tc>
                  <w:tcPr>
                    <w:tcW w:w="3188" w:type="dxa"/>
                    <w:gridSpan w:val="2"/>
                    <w:shd w:val="clear" w:color="auto" w:fill="auto"/>
                    <w:vAlign w:val="center"/>
                  </w:tcPr>
                  <w:p>
                    <w:pPr>
                      <w:pStyle w:val="114"/>
                    </w:pPr>
                    <w:r>
                      <w:t>上述股东关联关系或一致行动的说明</w:t>
                    </w:r>
                  </w:p>
                </w:tc>
              </w:sdtContent>
            </w:sdt>
            <w:tc>
              <w:tcPr>
                <w:tcW w:w="5861" w:type="dxa"/>
                <w:gridSpan w:val="9"/>
                <w:shd w:val="clear" w:color="auto" w:fill="auto"/>
                <w:vAlign w:val="center"/>
              </w:tcPr>
              <w:p>
                <w:pPr>
                  <w:pStyle w:val="114"/>
                </w:pPr>
                <w: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03a6639ad7fb4ac1a2cd145fe333146e"/>
                <w:id w:val="-520933388"/>
                <w:lock w:val="sdtLocked"/>
              </w:sdtPr>
              <w:sdtContent>
                <w:tc>
                  <w:tcPr>
                    <w:tcW w:w="3188" w:type="dxa"/>
                    <w:gridSpan w:val="2"/>
                    <w:shd w:val="clear" w:color="auto" w:fill="auto"/>
                    <w:vAlign w:val="center"/>
                  </w:tcPr>
                  <w:p>
                    <w:pPr>
                      <w:pStyle w:val="114"/>
                    </w:pPr>
                    <w:r>
                      <w:rPr>
                        <w:rFonts w:hint="eastAsia"/>
                      </w:rPr>
                      <w:t>表决权恢复的优先股股东及持股数量的说明</w:t>
                    </w:r>
                  </w:p>
                </w:tc>
              </w:sdtContent>
            </w:sdt>
            <w:tc>
              <w:tcPr>
                <w:tcW w:w="5861" w:type="dxa"/>
                <w:gridSpan w:val="9"/>
                <w:shd w:val="clear" w:color="auto" w:fill="auto"/>
                <w:vAlign w:val="center"/>
              </w:tcPr>
              <w:p>
                <w:pPr>
                  <w:pStyle w:val="114"/>
                </w:pPr>
                <w:r>
                  <w:t>无</w:t>
                </w:r>
              </w:p>
            </w:tc>
          </w:tr>
        </w:tbl>
        <w:p>
          <w:pPr>
            <w:pStyle w:val="114"/>
          </w:pPr>
        </w:p>
        <w:p>
          <w:pPr>
            <w:pStyle w:val="114"/>
          </w:pPr>
          <w:r>
            <w:t>前十名有限售条件股东持股数量及限售条件</w:t>
          </w:r>
        </w:p>
        <w:sdt>
          <w:sdtPr>
            <w:rPr>
              <w:bCs/>
            </w:rPr>
            <w:alias w:val="是否适用：前十名有限售条件股东持股数量及限售条件[双击切换]"/>
            <w:tag w:val="_GBC_681c25d581914cb19d4b007c00511b6a"/>
            <w:id w:val="-1062707688"/>
            <w:lock w:val="sdtLocked"/>
            <w:placeholder>
              <w:docPart w:val="GBC22222222222222222222222222222"/>
            </w:placeholder>
          </w:sdtPr>
          <w:sdtEndPr>
            <w:rPr>
              <w:bCs/>
            </w:rPr>
          </w:sdtEndPr>
          <w:sdtContent>
            <w:p>
              <w:pPr>
                <w:pStyle w:val="114"/>
              </w:pPr>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sdt>
      <w:sdtPr>
        <w:rPr>
          <w:rFonts w:ascii="宋体" w:hAnsi="宋体" w:cs="宋体"/>
          <w:b w:val="0"/>
          <w:bCs w:val="0"/>
          <w:kern w:val="0"/>
          <w:szCs w:val="22"/>
        </w:rPr>
        <w:alias w:val="模块:战略投资者或一般法人因配售新股成为前10名股东"/>
        <w:tag w:val="_GBC_e978a717352b4bf6852a761b15c1e95b"/>
        <w:id w:val="26384603"/>
        <w:lock w:val="sdtLocked"/>
        <w:placeholder>
          <w:docPart w:val="GBC22222222222222222222222222222"/>
        </w:placeholder>
      </w:sdtPr>
      <w:sdtEndPr>
        <w:rPr>
          <w:rFonts w:ascii="宋体" w:hAnsi="宋体" w:cs="宋体"/>
          <w:b w:val="0"/>
          <w:bCs w:val="0"/>
          <w:kern w:val="0"/>
          <w:szCs w:val="21"/>
        </w:rPr>
      </w:sdtEndPr>
      <w:sdtContent>
        <w:p>
          <w:pPr>
            <w:pStyle w:val="4"/>
            <w:numPr>
              <w:ilvl w:val="1"/>
              <w:numId w:val="32"/>
            </w:numPr>
            <w:rPr>
              <w:rFonts w:ascii="宋体" w:hAnsi="宋体"/>
            </w:rPr>
          </w:pPr>
          <w:bookmarkStart w:id="77" w:name="_Toc342059487"/>
          <w:bookmarkStart w:id="78" w:name="_Toc342566000"/>
          <w:r>
            <w:rPr>
              <w:rFonts w:ascii="宋体" w:hAnsi="宋体"/>
            </w:rPr>
            <w:t>战略投资者或一般法人因配售新股成为前</w:t>
          </w:r>
          <w:r>
            <w:rPr>
              <w:rFonts w:hint="eastAsia" w:ascii="宋体" w:hAnsi="宋体"/>
            </w:rPr>
            <w:t>十</w:t>
          </w:r>
          <w:r>
            <w:rPr>
              <w:rFonts w:ascii="宋体" w:hAnsi="宋体"/>
            </w:rPr>
            <w:t>名股东</w:t>
          </w:r>
        </w:p>
        <w:sdt>
          <w:sdtPr>
            <w:alias w:val="是否适用：战略投资者或一般法人因配售新股成为前10名股东[双击切换]"/>
            <w:tag w:val="_GBC_fe7bdc72bd78490fb48d0f3eaca6248e"/>
            <w:id w:val="-170254353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3"/>
        <w:numPr>
          <w:ilvl w:val="0"/>
          <w:numId w:val="29"/>
        </w:numPr>
        <w:spacing w:line="360" w:lineRule="auto"/>
        <w:ind w:left="422" w:hanging="422"/>
        <w:rPr>
          <w:rFonts w:ascii="宋体" w:hAnsi="宋体"/>
        </w:rPr>
      </w:pPr>
      <w:bookmarkStart w:id="79" w:name="_Toc342057944"/>
      <w:bookmarkStart w:id="80" w:name="_Toc342566004"/>
      <w:r>
        <w:rPr>
          <w:rFonts w:ascii="宋体" w:hAnsi="宋体"/>
        </w:rPr>
        <w:t>董事、监事和高级管理人员情况</w:t>
      </w:r>
    </w:p>
    <w:sdt>
      <w:sdtPr>
        <w:rPr>
          <w:rFonts w:ascii="宋体" w:hAnsi="宋体" w:cs="宋体"/>
          <w:b w:val="0"/>
          <w:bCs w:val="0"/>
          <w:kern w:val="0"/>
          <w:szCs w:val="24"/>
        </w:rPr>
        <w:alias w:val="模块:现任及报告期内离任董事、监事和高级管理人员持股变动情况 "/>
        <w:tag w:val="_SEC_34f8808520ab47be851d00ee44fc510b"/>
        <w:id w:val="-2089768077"/>
        <w:lock w:val="sdtLocked"/>
        <w:placeholder>
          <w:docPart w:val="GBC22222222222222222222222222222"/>
        </w:placeholder>
      </w:sdtPr>
      <w:sdtEndPr>
        <w:rPr>
          <w:rFonts w:ascii="宋体" w:hAnsi="宋体" w:cs="宋体"/>
          <w:b w:val="0"/>
          <w:bCs w:val="0"/>
          <w:kern w:val="0"/>
          <w:szCs w:val="21"/>
        </w:rPr>
      </w:sdtEndPr>
      <w:sdtContent>
        <w:p>
          <w:pPr>
            <w:pStyle w:val="4"/>
            <w:numPr>
              <w:ilvl w:val="2"/>
              <w:numId w:val="33"/>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204701298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其它情况说明"/>
        <w:tag w:val="_SEC_ddbdd27d049d452a9d63bfa087a3f3c5"/>
        <w:id w:val="29613177"/>
        <w:lock w:val="sdtLocked"/>
        <w:placeholder>
          <w:docPart w:val="GBC22222222222222222222222222222"/>
        </w:placeholder>
      </w:sdtPr>
      <w:sdtEndPr>
        <w:rPr>
          <w:rFonts w:hint="eastAsia"/>
        </w:rPr>
      </w:sdtEndPr>
      <w:sdtContent>
        <w:p>
          <w:pPr>
            <w:pStyle w:val="114"/>
          </w:pPr>
          <w:r>
            <w:t>其它情况说明</w:t>
          </w:r>
        </w:p>
        <w:sdt>
          <w:sdtPr>
            <w:alias w:val="是否适用：董事、监事 和高级管理人员持股变动及报酬情况其他情况说明[双击切换]"/>
            <w:tag w:val="_GBC_6604d619d6f94a81b12f8155637bb211"/>
            <w:id w:val="-9924136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bookmarkEnd w:id="79"/>
    <w:bookmarkEnd w:id="80"/>
    <w:sdt>
      <w:sdtPr>
        <w:rPr>
          <w:rFonts w:hint="eastAsia" w:ascii="宋体" w:hAnsi="宋体" w:cs="宋体"/>
          <w:b w:val="0"/>
          <w:bCs w:val="0"/>
          <w:kern w:val="0"/>
          <w:szCs w:val="24"/>
        </w:rPr>
        <w:alias w:val="模块:董事、监事、高级管理人员报告期内被授予的股权激励情况"/>
        <w:tag w:val="_SEC_e31f847e559a4ff7aa07914d45526543"/>
        <w:id w:val="2012016008"/>
        <w:lock w:val="sdtLocked"/>
        <w:placeholder>
          <w:docPart w:val="GBC22222222222222222222222222222"/>
        </w:placeholder>
      </w:sdtPr>
      <w:sdtEndPr>
        <w:rPr>
          <w:rFonts w:hint="default" w:ascii="宋体" w:hAnsi="宋体" w:cs="宋体"/>
          <w:b w:val="0"/>
          <w:bCs w:val="0"/>
          <w:color w:val="0000FF"/>
          <w:kern w:val="0"/>
          <w:szCs w:val="21"/>
        </w:rPr>
      </w:sdtEndPr>
      <w:sdtContent>
        <w:p>
          <w:pPr>
            <w:pStyle w:val="4"/>
            <w:numPr>
              <w:ilvl w:val="2"/>
              <w:numId w:val="33"/>
            </w:numPr>
            <w:rPr>
              <w:rFonts w:ascii="宋体" w:hAnsi="宋体"/>
            </w:rPr>
          </w:pPr>
          <w:bookmarkStart w:id="81" w:name="_Toc342057945"/>
          <w:bookmarkStart w:id="82" w:name="_Toc342566005"/>
          <w:r>
            <w:rPr>
              <w:rFonts w:hint="eastAsia" w:ascii="宋体" w:hAnsi="宋体"/>
            </w:rPr>
            <w:t>董事、监事、高级管理人员报告期内被授予的股权激励情况</w:t>
          </w:r>
          <w:bookmarkEnd w:id="81"/>
          <w:bookmarkEnd w:id="82"/>
        </w:p>
        <w:p>
          <w:pPr>
            <w:kinsoku w:val="0"/>
            <w:overflowPunct w:val="0"/>
            <w:autoSpaceDE w:val="0"/>
            <w:autoSpaceDN w:val="0"/>
            <w:adjustRightInd w:val="0"/>
            <w:snapToGrid w:val="0"/>
            <w:rPr>
              <w:color w:val="0000FF"/>
            </w:rPr>
          </w:pPr>
          <w:sdt>
            <w:sdtPr>
              <w:rPr>
                <w:rFonts w:hint="eastAsia"/>
              </w:rPr>
              <w:alias w:val="是否适用：董事、监事、高级管理人员报告期内被授予的股权激励情况[双击切换]"/>
              <w:tag w:val="_GBC_3c204ebee7cf4fc2a7c4a3ad63ffe1c4"/>
              <w:id w:val="1939172131"/>
              <w:lock w:val="sd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p>
      <w:pPr>
        <w:pStyle w:val="114"/>
      </w:pPr>
    </w:p>
    <w:sdt>
      <w:sdtPr>
        <w:rPr>
          <w:rFonts w:hint="eastAsia" w:ascii="宋体" w:hAnsi="宋体" w:cs="宋体"/>
          <w:b w:val="0"/>
          <w:bCs w:val="0"/>
          <w:kern w:val="0"/>
          <w:szCs w:val="24"/>
        </w:rPr>
        <w:alias w:val="模块:其他董事、监事、高级管理人员和员工情况"/>
        <w:tag w:val="_SEC_a1a4d90699494886b231030a7c17645b"/>
        <w:id w:val="422929955"/>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2"/>
              <w:numId w:val="33"/>
            </w:numPr>
            <w:rPr>
              <w:rFonts w:ascii="宋体" w:hAnsi="宋体"/>
            </w:rPr>
          </w:pPr>
          <w:r>
            <w:rPr>
              <w:rFonts w:hint="eastAsia" w:ascii="宋体" w:hAnsi="宋体"/>
            </w:rPr>
            <w:t>其他说明</w:t>
          </w:r>
        </w:p>
        <w:sdt>
          <w:sdtPr>
            <w:alias w:val="是否适用：其他董事、监事、高级管理人员情况说明[双击切换]"/>
            <w:tag w:val="_GBC_8e7eb434c4c34c1b86cdb9f39b70c323"/>
            <w:id w:val="-2268403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董事、监事、高级管理人员和员工情况 "/>
            <w:tag w:val="_GBC_a5a4778a51ce40048f554d6cea81407d"/>
            <w:id w:val="1231196149"/>
            <w:lock w:val="sdtLocked"/>
          </w:sdtPr>
          <w:sdtContent>
            <w:p>
              <w:pPr>
                <w:ind w:firstLine="420" w:firstLineChars="200"/>
                <w:jc w:val="both"/>
              </w:pPr>
              <w:r>
                <w:rPr>
                  <w:rFonts w:hint="eastAsia"/>
                </w:rPr>
                <w:t>截至</w:t>
              </w:r>
              <w:r>
                <w:t xml:space="preserve"> 2023 年6月 30 日，本集团共有员工4805 名(含控股子公司)，其中管理技术人员801人，生产人员 4,004 人。本报告期内，员工酬金总额为人民币569</w:t>
              </w:r>
              <w:r>
                <w:rPr>
                  <w:rFonts w:hint="eastAsia"/>
                </w:rPr>
                <w:t>,</w:t>
              </w:r>
              <w:r>
                <w:t>730 千元。</w:t>
              </w:r>
            </w:p>
            <w:p>
              <w:pPr>
                <w:ind w:firstLine="420" w:firstLineChars="200"/>
                <w:jc w:val="both"/>
              </w:pPr>
              <w:r>
                <w:t>2023年上半年，我们公司持续优化薪酬结构，发挥薪酬的导向作用。我们按照以岗定薪、按绩取酬的原则，为职工提供合理的基本薪酬保障，并通过绩效薪酬激励其内驱力。同时，</w:t>
              </w:r>
              <w:r>
                <w:rPr>
                  <w:rFonts w:hint="eastAsia"/>
                </w:rPr>
                <w:t>我们不断改进考评机制，进一步将绩效考核、量效与薪酬关联紧密起来，合理发放薪酬。</w:t>
              </w:r>
            </w:p>
            <w:p>
              <w:pPr>
                <w:ind w:firstLine="420" w:firstLineChars="200"/>
                <w:jc w:val="both"/>
              </w:pPr>
              <w:r>
                <w:rPr>
                  <w:rFonts w:hint="eastAsia"/>
                </w:rPr>
                <w:t>为了保障职工权益，我们依法依规为职工缴纳“五险一金”，并提供补充医疗、企业年金等福利保障计划。进一步提高职工的福利待遇，增强其对公司的归属感和工作动力。</w:t>
              </w:r>
              <w:r>
                <w:t xml:space="preserve">             </w:t>
              </w:r>
            </w:p>
            <w:p>
              <w:pPr>
                <w:ind w:firstLine="420" w:firstLineChars="200"/>
                <w:jc w:val="both"/>
              </w:pPr>
              <w:r>
                <w:t>在培训方面，我们坚持系统思维和协同联动的原则，抓住正确方向，优化培训内容定位。我们深入推进培训手段、教学模式和方式方法的创新，以增强教育培训的适配性和时代性。我们加快构建现代化职工教育培训体系，培养更多高素</w:t>
              </w:r>
              <w:r>
                <w:rPr>
                  <w:rFonts w:hint="eastAsia"/>
                </w:rPr>
                <w:t>质的管理、技术和技能人才，以及能工巧匠。我们提供科学性、针对性的教育培训内容，确保培训的质量和效果。上半年组织四期一线班组长培训，共</w:t>
              </w:r>
              <w:r>
                <w:t>223人参训，师资由公司选拔的内训师组成，讲班组长身边的的事，讲班组长需要的案例，取得较好效果，是培训模式创新的尝试。</w:t>
              </w:r>
            </w:p>
          </w:sdtContent>
        </w:sdt>
      </w:sdtContent>
    </w:sdt>
    <w:p>
      <w:pPr>
        <w:pStyle w:val="114"/>
      </w:pPr>
    </w:p>
    <w:bookmarkEnd w:id="77"/>
    <w:bookmarkEnd w:id="78"/>
    <w:p>
      <w:pPr>
        <w:pStyle w:val="3"/>
        <w:numPr>
          <w:ilvl w:val="0"/>
          <w:numId w:val="29"/>
        </w:numPr>
        <w:spacing w:line="360" w:lineRule="auto"/>
        <w:ind w:left="422" w:hanging="422"/>
        <w:rPr>
          <w:rFonts w:ascii="宋体" w:hAnsi="宋体"/>
        </w:rPr>
      </w:pPr>
      <w:r>
        <w:rPr>
          <w:rFonts w:hint="eastAsia" w:ascii="宋体" w:hAnsi="宋体"/>
        </w:rPr>
        <w:t>控股股东或实际控制人变更情况</w:t>
      </w:r>
    </w:p>
    <w:sdt>
      <w:sdtPr>
        <w:alias w:val="模块:控股股东及实际控制人变更情况"/>
        <w:tag w:val="_GBC_2e7a202224f3494aa0093f3bd0f39d33"/>
        <w:id w:val="-6749273"/>
        <w:lock w:val="sdtLocked"/>
        <w:placeholder>
          <w:docPart w:val="GBC22222222222222222222222222222"/>
        </w:placeholder>
      </w:sdtPr>
      <w:sdtContent>
        <w:sdt>
          <w:sdtPr>
            <w:alias w:val="是否适用：控股股东及实际控制人变更情况[双击切换]"/>
            <w:tag w:val="_GBC_84ff369a3f714dbbbec5a13460906f4b"/>
            <w:id w:val="-129814107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
        <w:br w:type="page"/>
      </w:r>
    </w:p>
    <w:p>
      <w:pPr>
        <w:pStyle w:val="114"/>
      </w:pPr>
    </w:p>
    <w:p>
      <w:pPr>
        <w:pStyle w:val="2"/>
        <w:numPr>
          <w:ilvl w:val="0"/>
          <w:numId w:val="2"/>
        </w:numPr>
        <w:rPr>
          <w:rFonts w:ascii="黑体" w:hAnsi="黑体"/>
        </w:rPr>
      </w:pPr>
      <w:bookmarkStart w:id="83" w:name="_Toc392233017"/>
      <w:bookmarkStart w:id="84" w:name="_Toc76114279"/>
      <w:r>
        <w:rPr>
          <w:rFonts w:hint="eastAsia" w:ascii="黑体" w:hAnsi="黑体"/>
        </w:rPr>
        <w:t>优先股相关情况</w:t>
      </w:r>
      <w:bookmarkEnd w:id="83"/>
      <w:bookmarkEnd w:id="84"/>
    </w:p>
    <w:sdt>
      <w:sdtPr>
        <w:alias w:val="是否适用：优先股相关情况[双击切换]"/>
        <w:tag w:val="_GBC_2113adbee8464e1c828b3d6d35c60abf"/>
        <w:id w:val="187689352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r>
        <w:br w:type="page"/>
      </w:r>
    </w:p>
    <w:p>
      <w:pPr>
        <w:pStyle w:val="2"/>
        <w:numPr>
          <w:ilvl w:val="0"/>
          <w:numId w:val="2"/>
        </w:numPr>
        <w:rPr>
          <w:rFonts w:ascii="黑体" w:hAnsi="黑体"/>
          <w:bCs w:val="0"/>
          <w:szCs w:val="28"/>
        </w:rPr>
      </w:pPr>
      <w:bookmarkStart w:id="85" w:name="_Toc76114280"/>
      <w:bookmarkStart w:id="86" w:name="_Toc437440717"/>
      <w:bookmarkStart w:id="87" w:name="_Toc438111012"/>
      <w:r>
        <w:rPr>
          <w:rFonts w:hint="eastAsia" w:ascii="黑体" w:hAnsi="黑体"/>
          <w:szCs w:val="28"/>
        </w:rPr>
        <w:t>债券相关情况</w:t>
      </w:r>
      <w:bookmarkEnd w:id="85"/>
      <w:bookmarkEnd w:id="86"/>
      <w:bookmarkEnd w:id="87"/>
    </w:p>
    <w:p>
      <w:pPr>
        <w:pStyle w:val="3"/>
        <w:numPr>
          <w:ilvl w:val="0"/>
          <w:numId w:val="34"/>
        </w:numPr>
        <w:ind w:firstLineChars="0"/>
        <w:rPr>
          <w:rFonts w:ascii="宋体" w:hAnsi="宋体"/>
        </w:rPr>
      </w:pPr>
      <w:r>
        <w:rPr>
          <w:rFonts w:hint="eastAsia" w:ascii="宋体" w:hAnsi="宋体"/>
        </w:rPr>
        <w:t>企业债券、公司债券和非金融企业债务融资工具</w:t>
      </w:r>
    </w:p>
    <w:sdt>
      <w:sdtPr>
        <w:alias w:val="是否适用：债券相关情况[双击切换]"/>
        <w:tag w:val="_GBC_8e6b9cf2d8c24a6faf41199f98e408b3"/>
        <w:id w:val="-833918078"/>
        <w:lock w:val="sdtContentLocked"/>
        <w:placeholder>
          <w:docPart w:val="GBC22222222222222222222222222222"/>
        </w:placeholder>
      </w:sdtPr>
      <w:sdtContent>
        <w:p>
          <w:pPr>
            <w:pStyle w:val="114"/>
          </w:pPr>
          <w:bookmarkStart w:id="88" w:name="_Hlk7335215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88"/>
    <w:p>
      <w:pPr>
        <w:pStyle w:val="114"/>
      </w:pPr>
    </w:p>
    <w:p>
      <w:pPr>
        <w:pStyle w:val="4"/>
        <w:numPr>
          <w:ilvl w:val="0"/>
          <w:numId w:val="35"/>
        </w:numPr>
        <w:rPr>
          <w:rFonts w:ascii="宋体" w:hAnsi="宋体"/>
        </w:rPr>
      </w:pPr>
      <w:r>
        <w:rPr>
          <w:rFonts w:hint="eastAsia" w:ascii="宋体" w:hAnsi="宋体"/>
        </w:rPr>
        <w:t>企业债券</w:t>
      </w:r>
    </w:p>
    <w:sdt>
      <w:sdtPr>
        <w:rPr>
          <w:rFonts w:hint="eastAsia" w:cs="Times New Roman"/>
          <w:bCs/>
          <w:kern w:val="2"/>
        </w:rPr>
        <w:alias w:val="是否适用：企业债券相关情况[双击切换]"/>
        <w:tag w:val="_GBC_7c4c7c12d42c40e9887e57bdc1801da4"/>
        <w:id w:val="-1275402878"/>
        <w:lock w:val="sdtLocked"/>
        <w:placeholder>
          <w:docPart w:val="GBC22222222222222222222222222222"/>
        </w:placeholder>
      </w:sdtPr>
      <w:sdtEndPr>
        <w:rPr>
          <w:rFonts w:hint="eastAsia" w:cs="Times New Roman"/>
          <w:bCs/>
          <w:kern w:val="2"/>
        </w:rPr>
      </w:sdtEndPr>
      <w:sdtContent>
        <w:p>
          <w:pPr>
            <w:pStyle w:val="114"/>
          </w:pPr>
          <w:r>
            <w:rPr>
              <w:rFonts w:cs="Times New Roman"/>
              <w:bCs/>
              <w:kern w:val="2"/>
            </w:rPr>
            <w:fldChar w:fldCharType="begin"/>
          </w:r>
          <w:r>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Pr>
              <w:rFonts w:cs="Times New Roman"/>
              <w:kern w:val="2"/>
            </w:rPr>
            <w:instrText xml:space="preserve"> MACROBUTTON  SnrToggleCheckbox √不适用 </w:instrText>
          </w:r>
          <w:r>
            <w:rPr>
              <w:rFonts w:cs="Times New Roman"/>
              <w:bCs/>
              <w:kern w:val="2"/>
            </w:rPr>
            <w:fldChar w:fldCharType="end"/>
          </w:r>
        </w:p>
      </w:sdtContent>
    </w:sdt>
    <w:p>
      <w:pPr>
        <w:pStyle w:val="114"/>
      </w:pPr>
    </w:p>
    <w:p>
      <w:pPr>
        <w:pStyle w:val="4"/>
        <w:numPr>
          <w:ilvl w:val="0"/>
          <w:numId w:val="35"/>
        </w:numPr>
        <w:rPr>
          <w:rFonts w:ascii="宋体" w:hAnsi="宋体"/>
        </w:rPr>
      </w:pPr>
      <w:r>
        <w:rPr>
          <w:rFonts w:hint="eastAsia" w:ascii="宋体" w:hAnsi="宋体"/>
        </w:rPr>
        <w:t>公司债券</w:t>
      </w:r>
    </w:p>
    <w:sdt>
      <w:sdtPr>
        <w:alias w:val="是否适用：公司债券相关情况[双击切换]"/>
        <w:tag w:val="_GBC_0aefba4fc6d84d32a7c7d372906dfb2e"/>
        <w:id w:val="346287650"/>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
      <w:sdtPr>
        <w:rPr>
          <w:rFonts w:hint="eastAsia" w:ascii="宋体" w:hAnsi="宋体" w:cs="宋体"/>
          <w:b w:val="0"/>
          <w:bCs w:val="0"/>
          <w:kern w:val="0"/>
          <w:szCs w:val="24"/>
        </w:rPr>
        <w:alias w:val="模块:公司债券基本情况"/>
        <w:tag w:val="_SEC_ea7d4fd769564315a74d9d85b6aed2f9"/>
        <w:id w:val="-111566535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36"/>
            </w:numPr>
            <w:rPr>
              <w:rFonts w:ascii="宋体" w:hAnsi="宋体"/>
            </w:rPr>
          </w:pPr>
          <w:r>
            <w:rPr>
              <w:rFonts w:hint="eastAsia" w:ascii="宋体" w:hAnsi="宋体"/>
            </w:rPr>
            <w:t>公司债券基本情况</w:t>
          </w:r>
        </w:p>
        <w:p>
          <w:pPr>
            <w:jc w:val="right"/>
          </w:pPr>
          <w:r>
            <w:rPr>
              <w:rFonts w:hint="eastAsia"/>
            </w:rPr>
            <w:t>单位</w:t>
          </w:r>
          <w:r>
            <w:t>：</w:t>
          </w:r>
          <w:sdt>
            <w:sdtPr>
              <w:alias w:val="单位：财务附注：公司债券基本情况"/>
              <w:tag w:val="_GBC_bd658d77218145d782a67ef68bab687b"/>
              <w:id w:val="-3063147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亿元</w:t>
              </w:r>
            </w:sdtContent>
          </w:sdt>
          <w:r>
            <w:rPr>
              <w:rFonts w:hint="eastAsia"/>
            </w:rPr>
            <w:t xml:space="preserve">  币种</w:t>
          </w:r>
          <w:r>
            <w:t>：</w:t>
          </w:r>
          <w:sdt>
            <w:sdtPr>
              <w:alias w:val="币种：财务附注：公司债券基本情况"/>
              <w:tag w:val="_GBC_99178ae7acc84ea696b56df7822a8594"/>
              <w:id w:val="8912396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531"/>
            <w:gridCol w:w="891"/>
            <w:gridCol w:w="966"/>
            <w:gridCol w:w="966"/>
            <w:gridCol w:w="966"/>
            <w:gridCol w:w="592"/>
            <w:gridCol w:w="740"/>
            <w:gridCol w:w="442"/>
            <w:gridCol w:w="566"/>
            <w:gridCol w:w="568"/>
            <w:gridCol w:w="648"/>
            <w:gridCol w:w="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e9ae463d25e492ca21fbb706dc69510"/>
                <w:id w:val="-427657570"/>
                <w:lock w:val="sdtLocked"/>
              </w:sdtPr>
              <w:sdtContent>
                <w:tc>
                  <w:tcPr>
                    <w:tcW w:w="376" w:type="pct"/>
                    <w:vAlign w:val="center"/>
                  </w:tcPr>
                  <w:p>
                    <w:pPr>
                      <w:jc w:val="center"/>
                      <w:rPr>
                        <w:rFonts w:cs="Times New Roman"/>
                        <w:b/>
                        <w:bCs/>
                      </w:rPr>
                    </w:pPr>
                    <w:r>
                      <w:rPr>
                        <w:rFonts w:hint="eastAsia"/>
                      </w:rPr>
                      <w:t>债券名称</w:t>
                    </w:r>
                  </w:p>
                </w:tc>
              </w:sdtContent>
            </w:sdt>
            <w:sdt>
              <w:sdtPr>
                <w:tag w:val="_PLD_7cfab760046e4722b30a3d9d7139915a"/>
                <w:id w:val="-132943824"/>
                <w:lock w:val="sdtLocked"/>
              </w:sdtPr>
              <w:sdtContent>
                <w:tc>
                  <w:tcPr>
                    <w:tcW w:w="293" w:type="pct"/>
                    <w:vAlign w:val="center"/>
                  </w:tcPr>
                  <w:p>
                    <w:pPr>
                      <w:jc w:val="center"/>
                    </w:pPr>
                    <w:r>
                      <w:rPr>
                        <w:rFonts w:hint="eastAsia"/>
                      </w:rPr>
                      <w:t>简称</w:t>
                    </w:r>
                  </w:p>
                </w:tc>
              </w:sdtContent>
            </w:sdt>
            <w:sdt>
              <w:sdtPr>
                <w:tag w:val="_PLD_158dc23ab6eb449eb1af98db4f76a461"/>
                <w:id w:val="750547346"/>
                <w:lock w:val="sdtLocked"/>
              </w:sdtPr>
              <w:sdtContent>
                <w:tc>
                  <w:tcPr>
                    <w:tcW w:w="492" w:type="pct"/>
                    <w:vAlign w:val="center"/>
                  </w:tcPr>
                  <w:p>
                    <w:pPr>
                      <w:jc w:val="center"/>
                    </w:pPr>
                    <w:r>
                      <w:rPr>
                        <w:rFonts w:hint="eastAsia"/>
                      </w:rPr>
                      <w:t>代码</w:t>
                    </w:r>
                  </w:p>
                </w:tc>
              </w:sdtContent>
            </w:sdt>
            <w:sdt>
              <w:sdtPr>
                <w:tag w:val="_PLD_0786059317ff458e8abe297727e93701"/>
                <w:id w:val="1322380350"/>
                <w:lock w:val="sdtLocked"/>
              </w:sdtPr>
              <w:sdtContent>
                <w:tc>
                  <w:tcPr>
                    <w:tcW w:w="534" w:type="pct"/>
                    <w:vAlign w:val="center"/>
                  </w:tcPr>
                  <w:p>
                    <w:pPr>
                      <w:jc w:val="center"/>
                    </w:pPr>
                    <w:r>
                      <w:rPr>
                        <w:rFonts w:hint="eastAsia"/>
                      </w:rPr>
                      <w:t>发行日</w:t>
                    </w:r>
                  </w:p>
                </w:tc>
              </w:sdtContent>
            </w:sdt>
            <w:tc>
              <w:tcPr>
                <w:tcW w:w="534" w:type="pct"/>
                <w:vAlign w:val="center"/>
              </w:tcPr>
              <w:sdt>
                <w:sdtPr>
                  <w:rPr>
                    <w:rFonts w:hint="eastAsia"/>
                  </w:rPr>
                  <w:tag w:val="_PLD_4b6f0176cf0c49b1887cd73b4c82c54c"/>
                  <w:id w:val="2038618549"/>
                  <w:lock w:val="sdtLocked"/>
                </w:sdtPr>
                <w:sdtEndPr>
                  <w:rPr>
                    <w:rFonts w:hint="eastAsia"/>
                  </w:rPr>
                </w:sdtEndPr>
                <w:sdtContent>
                  <w:p>
                    <w:pPr>
                      <w:jc w:val="center"/>
                    </w:pPr>
                    <w:r>
                      <w:rPr>
                        <w:rFonts w:hint="eastAsia"/>
                      </w:rPr>
                      <w:t>起息日</w:t>
                    </w:r>
                  </w:p>
                </w:sdtContent>
              </w:sdt>
            </w:tc>
            <w:sdt>
              <w:sdtPr>
                <w:tag w:val="_PLD_73414814a5554ab9a3b2f77ed7981a78"/>
                <w:id w:val="1717615452"/>
                <w:lock w:val="sdtLocked"/>
              </w:sdtPr>
              <w:sdtContent>
                <w:tc>
                  <w:tcPr>
                    <w:tcW w:w="534" w:type="pct"/>
                    <w:vAlign w:val="center"/>
                  </w:tcPr>
                  <w:p>
                    <w:pPr>
                      <w:jc w:val="center"/>
                    </w:pPr>
                    <w:r>
                      <w:rPr>
                        <w:rFonts w:hint="eastAsia"/>
                      </w:rPr>
                      <w:t>到期日</w:t>
                    </w:r>
                  </w:p>
                </w:tc>
              </w:sdtContent>
            </w:sdt>
            <w:sdt>
              <w:sdtPr>
                <w:tag w:val="_PLD_5e1a5c514ba44564b503b46180ef32f6"/>
                <w:id w:val="716697368"/>
                <w:lock w:val="sdtLocked"/>
              </w:sdtPr>
              <w:sdtContent>
                <w:tc>
                  <w:tcPr>
                    <w:tcW w:w="327" w:type="pct"/>
                    <w:vAlign w:val="center"/>
                  </w:tcPr>
                  <w:p>
                    <w:pPr>
                      <w:jc w:val="center"/>
                    </w:pPr>
                    <w:r>
                      <w:rPr>
                        <w:rFonts w:hint="eastAsia"/>
                      </w:rPr>
                      <w:t>债券余额</w:t>
                    </w:r>
                  </w:p>
                </w:tc>
              </w:sdtContent>
            </w:sdt>
            <w:sdt>
              <w:sdtPr>
                <w:tag w:val="_PLD_dad6727aad3e47e9a90174643bbb9999"/>
                <w:id w:val="-845861490"/>
                <w:lock w:val="sdtLocked"/>
              </w:sdtPr>
              <w:sdtContent>
                <w:tc>
                  <w:tcPr>
                    <w:tcW w:w="409" w:type="pct"/>
                    <w:vAlign w:val="center"/>
                  </w:tcPr>
                  <w:p>
                    <w:pPr>
                      <w:jc w:val="center"/>
                    </w:pPr>
                    <w:r>
                      <w:rPr>
                        <w:rFonts w:hint="eastAsia"/>
                      </w:rPr>
                      <w:t>利率（%）</w:t>
                    </w:r>
                  </w:p>
                </w:tc>
              </w:sdtContent>
            </w:sdt>
            <w:sdt>
              <w:sdtPr>
                <w:tag w:val="_PLD_0dc08131a697459984a729607a3f1745"/>
                <w:id w:val="-213113610"/>
                <w:lock w:val="sdtLocked"/>
              </w:sdtPr>
              <w:sdtContent>
                <w:tc>
                  <w:tcPr>
                    <w:tcW w:w="244" w:type="pct"/>
                    <w:vAlign w:val="center"/>
                  </w:tcPr>
                  <w:p>
                    <w:pPr>
                      <w:jc w:val="center"/>
                    </w:pPr>
                    <w:r>
                      <w:rPr>
                        <w:rFonts w:hint="eastAsia"/>
                      </w:rPr>
                      <w:t>还本付息方式</w:t>
                    </w:r>
                  </w:p>
                </w:tc>
              </w:sdtContent>
            </w:sdt>
            <w:sdt>
              <w:sdtPr>
                <w:tag w:val="_PLD_a52870a0bed34b6f81618fdbf439c3e2"/>
                <w:id w:val="800812123"/>
                <w:lock w:val="sdtLocked"/>
              </w:sdtPr>
              <w:sdtContent>
                <w:tc>
                  <w:tcPr>
                    <w:tcW w:w="313" w:type="pct"/>
                    <w:vAlign w:val="center"/>
                  </w:tcPr>
                  <w:p>
                    <w:pPr>
                      <w:jc w:val="center"/>
                    </w:pPr>
                    <w:r>
                      <w:rPr>
                        <w:rFonts w:hint="eastAsia"/>
                      </w:rPr>
                      <w:t>交易场所</w:t>
                    </w:r>
                  </w:p>
                </w:tc>
              </w:sdtContent>
            </w:sdt>
            <w:sdt>
              <w:sdtPr>
                <w:rPr>
                  <w:rFonts w:hint="eastAsia"/>
                </w:rPr>
                <w:tag w:val="_PLD_2b5f840745ff4e6fade269d44347ba29"/>
                <w:id w:val="951214918"/>
                <w:lock w:val="sdtLocked"/>
              </w:sdtPr>
              <w:sdtEndPr>
                <w:rPr>
                  <w:rFonts w:hint="eastAsia"/>
                </w:rPr>
              </w:sdtEndPr>
              <w:sdtContent>
                <w:tc>
                  <w:tcPr>
                    <w:tcW w:w="314" w:type="pct"/>
                    <w:vAlign w:val="center"/>
                  </w:tcPr>
                  <w:p>
                    <w:pPr>
                      <w:jc w:val="center"/>
                    </w:pPr>
                    <w:r>
                      <w:rPr>
                        <w:rFonts w:hint="eastAsia"/>
                      </w:rPr>
                      <w:t>投资者适当性安排（如有）</w:t>
                    </w:r>
                  </w:p>
                </w:tc>
              </w:sdtContent>
            </w:sdt>
            <w:tc>
              <w:tcPr>
                <w:tcW w:w="358" w:type="pct"/>
                <w:vAlign w:val="center"/>
              </w:tcPr>
              <w:sdt>
                <w:sdtPr>
                  <w:rPr>
                    <w:rFonts w:hint="eastAsia"/>
                  </w:rPr>
                  <w:tag w:val="_PLD_02d29026295c4cbc93c2501c0d82e582"/>
                  <w:id w:val="-775092427"/>
                  <w:lock w:val="sdtLocked"/>
                </w:sdtPr>
                <w:sdtEndPr>
                  <w:rPr>
                    <w:rFonts w:hint="eastAsia"/>
                  </w:rPr>
                </w:sdtEndPr>
                <w:sdtContent>
                  <w:p>
                    <w:pPr>
                      <w:jc w:val="center"/>
                    </w:pPr>
                    <w:r>
                      <w:rPr>
                        <w:rFonts w:hint="eastAsia"/>
                      </w:rPr>
                      <w:t>交易机制</w:t>
                    </w:r>
                  </w:p>
                </w:sdtContent>
              </w:sdt>
            </w:tc>
            <w:sdt>
              <w:sdtPr>
                <w:rPr>
                  <w:rFonts w:hint="eastAsia"/>
                </w:rPr>
                <w:tag w:val="_PLD_537d595e1283406a968193650e8334f1"/>
                <w:id w:val="-1089159145"/>
                <w:lock w:val="sdtLocked"/>
              </w:sdtPr>
              <w:sdtEndPr>
                <w:rPr>
                  <w:rFonts w:hint="eastAsia"/>
                </w:rPr>
              </w:sdtEndPr>
              <w:sdtContent>
                <w:tc>
                  <w:tcPr>
                    <w:tcW w:w="273" w:type="pct"/>
                  </w:tcPr>
                  <w:p>
                    <w:pPr>
                      <w:jc w:val="center"/>
                    </w:pPr>
                    <w:r>
                      <w:rPr>
                        <w:rFonts w:hint="eastAsia"/>
                      </w:rPr>
                      <w:t>是否存在终止上市交易的风险</w:t>
                    </w:r>
                  </w:p>
                </w:tc>
              </w:sdtContent>
            </w:sdt>
          </w:tr>
          <w:sdt>
            <w:sdtPr>
              <w:rPr>
                <w:rFonts w:hint="eastAsia"/>
                <w:sz w:val="15"/>
                <w:szCs w:val="15"/>
              </w:rPr>
              <w:alias w:val="公司债券基本情况明细"/>
              <w:tag w:val="_TUP_f9a2be8b4d794140bf70d041ece6adeb"/>
              <w:id w:val="-723067058"/>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 2021 年面向 专业投资者 公开发行公 司债券(第一 期)</w:t>
                    </w:r>
                  </w:p>
                </w:tc>
                <w:tc>
                  <w:tcPr>
                    <w:tcW w:w="293" w:type="pct"/>
                    <w:vAlign w:val="center"/>
                  </w:tcPr>
                  <w:p>
                    <w:pPr>
                      <w:rPr>
                        <w:sz w:val="15"/>
                        <w:szCs w:val="15"/>
                      </w:rPr>
                    </w:pPr>
                    <w:r>
                      <w:rPr>
                        <w:sz w:val="15"/>
                        <w:szCs w:val="15"/>
                      </w:rPr>
                      <w:t>21宁沪G1</w:t>
                    </w:r>
                  </w:p>
                </w:tc>
                <w:tc>
                  <w:tcPr>
                    <w:tcW w:w="492" w:type="pct"/>
                    <w:vAlign w:val="center"/>
                  </w:tcPr>
                  <w:p>
                    <w:pPr>
                      <w:rPr>
                        <w:sz w:val="15"/>
                        <w:szCs w:val="15"/>
                      </w:rPr>
                    </w:pPr>
                    <w:r>
                      <w:rPr>
                        <w:sz w:val="15"/>
                        <w:szCs w:val="15"/>
                      </w:rPr>
                      <w:t>175706.SH</w:t>
                    </w:r>
                  </w:p>
                </w:tc>
                <w:tc>
                  <w:tcPr>
                    <w:tcW w:w="534" w:type="pct"/>
                    <w:vAlign w:val="center"/>
                  </w:tcPr>
                  <w:p>
                    <w:pPr>
                      <w:rPr>
                        <w:sz w:val="15"/>
                        <w:szCs w:val="15"/>
                      </w:rPr>
                    </w:pPr>
                    <w:r>
                      <w:rPr>
                        <w:sz w:val="15"/>
                        <w:szCs w:val="15"/>
                      </w:rPr>
                      <w:t>2021/2/1</w:t>
                    </w:r>
                  </w:p>
                </w:tc>
                <w:tc>
                  <w:tcPr>
                    <w:tcW w:w="534" w:type="pct"/>
                    <w:vAlign w:val="center"/>
                  </w:tcPr>
                  <w:p>
                    <w:pPr>
                      <w:rPr>
                        <w:sz w:val="15"/>
                        <w:szCs w:val="15"/>
                      </w:rPr>
                    </w:pPr>
                    <w:r>
                      <w:rPr>
                        <w:sz w:val="15"/>
                        <w:szCs w:val="15"/>
                      </w:rPr>
                      <w:t>2021/2/2</w:t>
                    </w:r>
                  </w:p>
                </w:tc>
                <w:tc>
                  <w:tcPr>
                    <w:tcW w:w="534" w:type="pct"/>
                    <w:vAlign w:val="center"/>
                  </w:tcPr>
                  <w:p>
                    <w:pPr>
                      <w:rPr>
                        <w:sz w:val="15"/>
                        <w:szCs w:val="15"/>
                      </w:rPr>
                    </w:pPr>
                    <w:r>
                      <w:rPr>
                        <w:sz w:val="15"/>
                        <w:szCs w:val="15"/>
                      </w:rPr>
                      <w:t>2026/2/2</w:t>
                    </w:r>
                  </w:p>
                </w:tc>
                <w:tc>
                  <w:tcPr>
                    <w:tcW w:w="327" w:type="pct"/>
                    <w:vAlign w:val="center"/>
                  </w:tcPr>
                  <w:p>
                    <w:pPr>
                      <w:rPr>
                        <w:sz w:val="15"/>
                        <w:szCs w:val="15"/>
                      </w:rPr>
                    </w:pPr>
                    <w:r>
                      <w:rPr>
                        <w:sz w:val="15"/>
                        <w:szCs w:val="15"/>
                      </w:rPr>
                      <w:t>10.00</w:t>
                    </w:r>
                  </w:p>
                </w:tc>
                <w:tc>
                  <w:tcPr>
                    <w:tcW w:w="409" w:type="pct"/>
                    <w:vAlign w:val="center"/>
                  </w:tcPr>
                  <w:p>
                    <w:pPr>
                      <w:rPr>
                        <w:sz w:val="15"/>
                        <w:szCs w:val="15"/>
                      </w:rPr>
                    </w:pPr>
                    <w:r>
                      <w:rPr>
                        <w:sz w:val="15"/>
                        <w:szCs w:val="15"/>
                      </w:rPr>
                      <w:t>3.70</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1981448419"/>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sdt>
            <w:sdtPr>
              <w:rPr>
                <w:rFonts w:hint="eastAsia"/>
                <w:sz w:val="15"/>
                <w:szCs w:val="15"/>
              </w:rPr>
              <w:alias w:val="公司债券基本情况明细"/>
              <w:tag w:val="_TUP_f9a2be8b4d794140bf70d041ece6adeb"/>
              <w:id w:val="507648324"/>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 2021 年面向 专业投资者 公开发行公 司债券(第二 期)</w:t>
                    </w:r>
                  </w:p>
                </w:tc>
                <w:tc>
                  <w:tcPr>
                    <w:tcW w:w="293" w:type="pct"/>
                    <w:vAlign w:val="center"/>
                  </w:tcPr>
                  <w:p>
                    <w:pPr>
                      <w:rPr>
                        <w:sz w:val="15"/>
                        <w:szCs w:val="15"/>
                      </w:rPr>
                    </w:pPr>
                    <w:r>
                      <w:rPr>
                        <w:sz w:val="15"/>
                        <w:szCs w:val="15"/>
                      </w:rPr>
                      <w:t>21宁 沪G2</w:t>
                    </w:r>
                  </w:p>
                </w:tc>
                <w:tc>
                  <w:tcPr>
                    <w:tcW w:w="492" w:type="pct"/>
                    <w:vAlign w:val="center"/>
                  </w:tcPr>
                  <w:p>
                    <w:pPr>
                      <w:rPr>
                        <w:sz w:val="15"/>
                        <w:szCs w:val="15"/>
                      </w:rPr>
                    </w:pPr>
                    <w:r>
                      <w:rPr>
                        <w:sz w:val="15"/>
                        <w:szCs w:val="15"/>
                      </w:rPr>
                      <w:t>185046.SH</w:t>
                    </w:r>
                  </w:p>
                </w:tc>
                <w:tc>
                  <w:tcPr>
                    <w:tcW w:w="534" w:type="pct"/>
                    <w:vAlign w:val="center"/>
                  </w:tcPr>
                  <w:p>
                    <w:pPr>
                      <w:rPr>
                        <w:sz w:val="15"/>
                        <w:szCs w:val="15"/>
                      </w:rPr>
                    </w:pPr>
                    <w:r>
                      <w:rPr>
                        <w:sz w:val="15"/>
                        <w:szCs w:val="15"/>
                      </w:rPr>
                      <w:t>2021/11/23</w:t>
                    </w:r>
                  </w:p>
                </w:tc>
                <w:tc>
                  <w:tcPr>
                    <w:tcW w:w="534" w:type="pct"/>
                    <w:vAlign w:val="center"/>
                  </w:tcPr>
                  <w:p>
                    <w:pPr>
                      <w:rPr>
                        <w:sz w:val="15"/>
                        <w:szCs w:val="15"/>
                      </w:rPr>
                    </w:pPr>
                    <w:r>
                      <w:rPr>
                        <w:sz w:val="15"/>
                        <w:szCs w:val="15"/>
                      </w:rPr>
                      <w:t>2021/11/24</w:t>
                    </w:r>
                  </w:p>
                </w:tc>
                <w:tc>
                  <w:tcPr>
                    <w:tcW w:w="534" w:type="pct"/>
                    <w:vAlign w:val="center"/>
                  </w:tcPr>
                  <w:p>
                    <w:pPr>
                      <w:rPr>
                        <w:sz w:val="15"/>
                        <w:szCs w:val="15"/>
                      </w:rPr>
                    </w:pPr>
                    <w:r>
                      <w:rPr>
                        <w:sz w:val="15"/>
                        <w:szCs w:val="15"/>
                      </w:rPr>
                      <w:t>2026/11/24</w:t>
                    </w:r>
                  </w:p>
                </w:tc>
                <w:tc>
                  <w:tcPr>
                    <w:tcW w:w="327" w:type="pct"/>
                    <w:vAlign w:val="center"/>
                  </w:tcPr>
                  <w:p>
                    <w:pPr>
                      <w:rPr>
                        <w:sz w:val="15"/>
                        <w:szCs w:val="15"/>
                      </w:rPr>
                    </w:pPr>
                    <w:r>
                      <w:rPr>
                        <w:sz w:val="15"/>
                        <w:szCs w:val="15"/>
                      </w:rPr>
                      <w:t>8.00</w:t>
                    </w:r>
                  </w:p>
                </w:tc>
                <w:tc>
                  <w:tcPr>
                    <w:tcW w:w="409" w:type="pct"/>
                    <w:vAlign w:val="center"/>
                  </w:tcPr>
                  <w:p>
                    <w:pPr>
                      <w:rPr>
                        <w:sz w:val="15"/>
                        <w:szCs w:val="15"/>
                      </w:rPr>
                    </w:pPr>
                    <w:r>
                      <w:rPr>
                        <w:sz w:val="15"/>
                        <w:szCs w:val="15"/>
                      </w:rPr>
                      <w:t>3.08</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658972727"/>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sdt>
            <w:sdtPr>
              <w:rPr>
                <w:rFonts w:hint="eastAsia"/>
                <w:sz w:val="15"/>
                <w:szCs w:val="15"/>
              </w:rPr>
              <w:alias w:val="公司债券基本情况明细"/>
              <w:tag w:val="_TUP_f9a2be8b4d794140bf70d041ece6adeb"/>
              <w:id w:val="-517158795"/>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江苏宁沪高速公路股份有限公司2022年面向专业投资者公开发行公司债券(第一期)</w:t>
                    </w:r>
                  </w:p>
                </w:tc>
                <w:tc>
                  <w:tcPr>
                    <w:tcW w:w="293" w:type="pct"/>
                    <w:vAlign w:val="center"/>
                  </w:tcPr>
                  <w:p>
                    <w:pPr>
                      <w:rPr>
                        <w:sz w:val="15"/>
                        <w:szCs w:val="15"/>
                      </w:rPr>
                    </w:pPr>
                    <w:r>
                      <w:rPr>
                        <w:sz w:val="15"/>
                        <w:szCs w:val="15"/>
                      </w:rPr>
                      <w:t>22宁沪G1</w:t>
                    </w:r>
                  </w:p>
                </w:tc>
                <w:tc>
                  <w:tcPr>
                    <w:tcW w:w="492" w:type="pct"/>
                    <w:vAlign w:val="center"/>
                  </w:tcPr>
                  <w:p>
                    <w:pPr>
                      <w:rPr>
                        <w:sz w:val="15"/>
                        <w:szCs w:val="15"/>
                      </w:rPr>
                    </w:pPr>
                    <w:r>
                      <w:rPr>
                        <w:sz w:val="15"/>
                        <w:szCs w:val="15"/>
                      </w:rPr>
                      <w:t>185680.SH</w:t>
                    </w:r>
                  </w:p>
                </w:tc>
                <w:tc>
                  <w:tcPr>
                    <w:tcW w:w="534" w:type="pct"/>
                    <w:vAlign w:val="center"/>
                  </w:tcPr>
                  <w:p>
                    <w:pPr>
                      <w:rPr>
                        <w:sz w:val="15"/>
                        <w:szCs w:val="15"/>
                      </w:rPr>
                    </w:pPr>
                    <w:r>
                      <w:rPr>
                        <w:sz w:val="15"/>
                        <w:szCs w:val="15"/>
                      </w:rPr>
                      <w:t>2022/4/19</w:t>
                    </w:r>
                  </w:p>
                </w:tc>
                <w:tc>
                  <w:tcPr>
                    <w:tcW w:w="534" w:type="pct"/>
                    <w:vAlign w:val="center"/>
                  </w:tcPr>
                  <w:p>
                    <w:pPr>
                      <w:rPr>
                        <w:sz w:val="15"/>
                        <w:szCs w:val="15"/>
                      </w:rPr>
                    </w:pPr>
                    <w:r>
                      <w:rPr>
                        <w:sz w:val="15"/>
                        <w:szCs w:val="15"/>
                      </w:rPr>
                      <w:t>2022/4/20</w:t>
                    </w:r>
                  </w:p>
                </w:tc>
                <w:tc>
                  <w:tcPr>
                    <w:tcW w:w="534" w:type="pct"/>
                    <w:vAlign w:val="center"/>
                  </w:tcPr>
                  <w:p>
                    <w:pPr>
                      <w:rPr>
                        <w:sz w:val="15"/>
                        <w:szCs w:val="15"/>
                      </w:rPr>
                    </w:pPr>
                    <w:r>
                      <w:rPr>
                        <w:sz w:val="15"/>
                        <w:szCs w:val="15"/>
                      </w:rPr>
                      <w:t>2025/4/20</w:t>
                    </w:r>
                  </w:p>
                </w:tc>
                <w:tc>
                  <w:tcPr>
                    <w:tcW w:w="327" w:type="pct"/>
                    <w:vAlign w:val="center"/>
                  </w:tcPr>
                  <w:p>
                    <w:pPr>
                      <w:rPr>
                        <w:sz w:val="15"/>
                        <w:szCs w:val="15"/>
                      </w:rPr>
                    </w:pPr>
                    <w:r>
                      <w:rPr>
                        <w:sz w:val="15"/>
                        <w:szCs w:val="15"/>
                      </w:rPr>
                      <w:t>10.00</w:t>
                    </w:r>
                  </w:p>
                </w:tc>
                <w:tc>
                  <w:tcPr>
                    <w:tcW w:w="409" w:type="pct"/>
                    <w:vAlign w:val="center"/>
                  </w:tcPr>
                  <w:p>
                    <w:pPr>
                      <w:rPr>
                        <w:sz w:val="15"/>
                        <w:szCs w:val="15"/>
                      </w:rPr>
                    </w:pPr>
                    <w:r>
                      <w:rPr>
                        <w:sz w:val="15"/>
                        <w:szCs w:val="15"/>
                      </w:rPr>
                      <w:t>2.90</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1815863303"/>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sdt>
            <w:sdtPr>
              <w:rPr>
                <w:rFonts w:hint="eastAsia"/>
                <w:sz w:val="15"/>
                <w:szCs w:val="15"/>
              </w:rPr>
              <w:alias w:val="公司债券基本情况明细"/>
              <w:tag w:val="_TUP_f9a2be8b4d794140bf70d041ece6adeb"/>
              <w:id w:val="-808776420"/>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江苏宁沪高速公路股份有限公司2022年面向专业投资者公开发行公司债券(第二期)</w:t>
                    </w:r>
                  </w:p>
                </w:tc>
                <w:tc>
                  <w:tcPr>
                    <w:tcW w:w="293" w:type="pct"/>
                    <w:vAlign w:val="center"/>
                  </w:tcPr>
                  <w:p>
                    <w:pPr>
                      <w:rPr>
                        <w:sz w:val="15"/>
                        <w:szCs w:val="15"/>
                      </w:rPr>
                    </w:pPr>
                    <w:r>
                      <w:rPr>
                        <w:sz w:val="15"/>
                        <w:szCs w:val="15"/>
                      </w:rPr>
                      <w:t>22宁沪G2</w:t>
                    </w:r>
                  </w:p>
                </w:tc>
                <w:tc>
                  <w:tcPr>
                    <w:tcW w:w="492" w:type="pct"/>
                    <w:vAlign w:val="center"/>
                  </w:tcPr>
                  <w:p>
                    <w:pPr>
                      <w:rPr>
                        <w:sz w:val="15"/>
                        <w:szCs w:val="15"/>
                      </w:rPr>
                    </w:pPr>
                    <w:r>
                      <w:rPr>
                        <w:sz w:val="15"/>
                        <w:szCs w:val="15"/>
                      </w:rPr>
                      <w:t>137686.SH</w:t>
                    </w:r>
                  </w:p>
                </w:tc>
                <w:tc>
                  <w:tcPr>
                    <w:tcW w:w="534" w:type="pct"/>
                    <w:vAlign w:val="center"/>
                  </w:tcPr>
                  <w:p>
                    <w:pPr>
                      <w:rPr>
                        <w:sz w:val="15"/>
                        <w:szCs w:val="15"/>
                      </w:rPr>
                    </w:pPr>
                    <w:r>
                      <w:rPr>
                        <w:sz w:val="15"/>
                        <w:szCs w:val="15"/>
                      </w:rPr>
                      <w:t>2022/8/22</w:t>
                    </w:r>
                  </w:p>
                </w:tc>
                <w:tc>
                  <w:tcPr>
                    <w:tcW w:w="534" w:type="pct"/>
                    <w:vAlign w:val="center"/>
                  </w:tcPr>
                  <w:p>
                    <w:pPr>
                      <w:rPr>
                        <w:sz w:val="15"/>
                        <w:szCs w:val="15"/>
                      </w:rPr>
                    </w:pPr>
                    <w:r>
                      <w:rPr>
                        <w:sz w:val="15"/>
                        <w:szCs w:val="15"/>
                      </w:rPr>
                      <w:t>2022/8/23</w:t>
                    </w:r>
                  </w:p>
                </w:tc>
                <w:tc>
                  <w:tcPr>
                    <w:tcW w:w="534" w:type="pct"/>
                    <w:vAlign w:val="center"/>
                  </w:tcPr>
                  <w:p>
                    <w:pPr>
                      <w:rPr>
                        <w:sz w:val="15"/>
                        <w:szCs w:val="15"/>
                      </w:rPr>
                    </w:pPr>
                    <w:r>
                      <w:rPr>
                        <w:sz w:val="15"/>
                        <w:szCs w:val="15"/>
                      </w:rPr>
                      <w:t>2025/8/23</w:t>
                    </w:r>
                  </w:p>
                </w:tc>
                <w:tc>
                  <w:tcPr>
                    <w:tcW w:w="327" w:type="pct"/>
                    <w:vAlign w:val="center"/>
                  </w:tcPr>
                  <w:p>
                    <w:pPr>
                      <w:rPr>
                        <w:sz w:val="15"/>
                        <w:szCs w:val="15"/>
                      </w:rPr>
                    </w:pPr>
                    <w:r>
                      <w:rPr>
                        <w:sz w:val="15"/>
                        <w:szCs w:val="15"/>
                      </w:rPr>
                      <w:t>5.00</w:t>
                    </w:r>
                  </w:p>
                </w:tc>
                <w:tc>
                  <w:tcPr>
                    <w:tcW w:w="409" w:type="pct"/>
                    <w:vAlign w:val="center"/>
                  </w:tcPr>
                  <w:p>
                    <w:pPr>
                      <w:rPr>
                        <w:sz w:val="15"/>
                        <w:szCs w:val="15"/>
                      </w:rPr>
                    </w:pPr>
                    <w:r>
                      <w:rPr>
                        <w:sz w:val="15"/>
                        <w:szCs w:val="15"/>
                      </w:rPr>
                      <w:t>2.55</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1561389411"/>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sdt>
            <w:sdtPr>
              <w:rPr>
                <w:rFonts w:hint="eastAsia"/>
                <w:sz w:val="15"/>
                <w:szCs w:val="15"/>
              </w:rPr>
              <w:alias w:val="公司债券基本情况明细"/>
              <w:tag w:val="_TUP_f9a2be8b4d794140bf70d041ece6adeb"/>
              <w:id w:val="1683242168"/>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江苏宁沪高速公路股份有限公司2022年面向专业投资者公开发行绿色公司债券(第一期)</w:t>
                    </w:r>
                  </w:p>
                </w:tc>
                <w:tc>
                  <w:tcPr>
                    <w:tcW w:w="293" w:type="pct"/>
                    <w:vAlign w:val="center"/>
                  </w:tcPr>
                  <w:p>
                    <w:pPr>
                      <w:rPr>
                        <w:sz w:val="15"/>
                        <w:szCs w:val="15"/>
                      </w:rPr>
                    </w:pPr>
                    <w:r>
                      <w:rPr>
                        <w:sz w:val="15"/>
                        <w:szCs w:val="15"/>
                      </w:rPr>
                      <w:t>G22宁沪1</w:t>
                    </w:r>
                  </w:p>
                </w:tc>
                <w:tc>
                  <w:tcPr>
                    <w:tcW w:w="492" w:type="pct"/>
                    <w:vAlign w:val="center"/>
                  </w:tcPr>
                  <w:p>
                    <w:pPr>
                      <w:rPr>
                        <w:sz w:val="15"/>
                        <w:szCs w:val="15"/>
                      </w:rPr>
                    </w:pPr>
                    <w:r>
                      <w:rPr>
                        <w:sz w:val="15"/>
                        <w:szCs w:val="15"/>
                      </w:rPr>
                      <w:t>137962.SH</w:t>
                    </w:r>
                  </w:p>
                </w:tc>
                <w:tc>
                  <w:tcPr>
                    <w:tcW w:w="534" w:type="pct"/>
                    <w:vAlign w:val="center"/>
                  </w:tcPr>
                  <w:p>
                    <w:pPr>
                      <w:rPr>
                        <w:sz w:val="15"/>
                        <w:szCs w:val="15"/>
                      </w:rPr>
                    </w:pPr>
                    <w:r>
                      <w:rPr>
                        <w:sz w:val="15"/>
                        <w:szCs w:val="15"/>
                      </w:rPr>
                      <w:t>2022/10/21</w:t>
                    </w:r>
                  </w:p>
                </w:tc>
                <w:tc>
                  <w:tcPr>
                    <w:tcW w:w="534" w:type="pct"/>
                    <w:vAlign w:val="center"/>
                  </w:tcPr>
                  <w:p>
                    <w:pPr>
                      <w:rPr>
                        <w:sz w:val="15"/>
                        <w:szCs w:val="15"/>
                      </w:rPr>
                    </w:pPr>
                    <w:r>
                      <w:rPr>
                        <w:sz w:val="15"/>
                        <w:szCs w:val="15"/>
                      </w:rPr>
                      <w:t>2022/10/24</w:t>
                    </w:r>
                  </w:p>
                </w:tc>
                <w:tc>
                  <w:tcPr>
                    <w:tcW w:w="534" w:type="pct"/>
                    <w:vAlign w:val="center"/>
                  </w:tcPr>
                  <w:p>
                    <w:pPr>
                      <w:rPr>
                        <w:sz w:val="15"/>
                        <w:szCs w:val="15"/>
                      </w:rPr>
                    </w:pPr>
                    <w:r>
                      <w:rPr>
                        <w:sz w:val="15"/>
                        <w:szCs w:val="15"/>
                      </w:rPr>
                      <w:t>2025/10/24</w:t>
                    </w:r>
                  </w:p>
                </w:tc>
                <w:tc>
                  <w:tcPr>
                    <w:tcW w:w="327" w:type="pct"/>
                    <w:vAlign w:val="center"/>
                  </w:tcPr>
                  <w:p>
                    <w:pPr>
                      <w:rPr>
                        <w:sz w:val="15"/>
                        <w:szCs w:val="15"/>
                      </w:rPr>
                    </w:pPr>
                    <w:r>
                      <w:rPr>
                        <w:sz w:val="15"/>
                        <w:szCs w:val="15"/>
                      </w:rPr>
                      <w:t>7.00</w:t>
                    </w:r>
                  </w:p>
                </w:tc>
                <w:tc>
                  <w:tcPr>
                    <w:tcW w:w="409" w:type="pct"/>
                    <w:vAlign w:val="center"/>
                  </w:tcPr>
                  <w:p>
                    <w:pPr>
                      <w:rPr>
                        <w:sz w:val="15"/>
                        <w:szCs w:val="15"/>
                      </w:rPr>
                    </w:pPr>
                    <w:r>
                      <w:rPr>
                        <w:sz w:val="15"/>
                        <w:szCs w:val="15"/>
                      </w:rPr>
                      <w:t>2.58</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642769908"/>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sdt>
            <w:sdtPr>
              <w:rPr>
                <w:rFonts w:hint="eastAsia"/>
                <w:sz w:val="15"/>
                <w:szCs w:val="15"/>
              </w:rPr>
              <w:alias w:val="公司债券基本情况明细"/>
              <w:tag w:val="_TUP_f9a2be8b4d794140bf70d041ece6adeb"/>
              <w:id w:val="-584606021"/>
              <w:lock w:val="sdtLocked"/>
            </w:sdtPr>
            <w:sdtEndPr>
              <w:rPr>
                <w:rFonts w:hint="eastAsia"/>
                <w:sz w:val="15"/>
                <w:szCs w:val="15"/>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Align w:val="center"/>
                  </w:tcPr>
                  <w:p>
                    <w:pPr>
                      <w:rPr>
                        <w:sz w:val="15"/>
                        <w:szCs w:val="15"/>
                      </w:rPr>
                    </w:pPr>
                    <w:r>
                      <w:rPr>
                        <w:sz w:val="15"/>
                        <w:szCs w:val="15"/>
                      </w:rPr>
                      <w:t>江苏宁沪高速公路股份有限公司2022年面向专业投资者公开发行公司债券(第三期)</w:t>
                    </w:r>
                  </w:p>
                </w:tc>
                <w:tc>
                  <w:tcPr>
                    <w:tcW w:w="293" w:type="pct"/>
                    <w:vAlign w:val="center"/>
                  </w:tcPr>
                  <w:p>
                    <w:pPr>
                      <w:rPr>
                        <w:sz w:val="15"/>
                        <w:szCs w:val="15"/>
                      </w:rPr>
                    </w:pPr>
                    <w:r>
                      <w:rPr>
                        <w:sz w:val="15"/>
                        <w:szCs w:val="15"/>
                      </w:rPr>
                      <w:t>22宁沪G3</w:t>
                    </w:r>
                  </w:p>
                </w:tc>
                <w:tc>
                  <w:tcPr>
                    <w:tcW w:w="492" w:type="pct"/>
                    <w:vAlign w:val="center"/>
                  </w:tcPr>
                  <w:p>
                    <w:pPr>
                      <w:rPr>
                        <w:sz w:val="15"/>
                        <w:szCs w:val="15"/>
                      </w:rPr>
                    </w:pPr>
                    <w:r>
                      <w:rPr>
                        <w:sz w:val="15"/>
                        <w:szCs w:val="15"/>
                      </w:rPr>
                      <w:t>138630.SH</w:t>
                    </w:r>
                  </w:p>
                </w:tc>
                <w:tc>
                  <w:tcPr>
                    <w:tcW w:w="534" w:type="pct"/>
                    <w:vAlign w:val="center"/>
                  </w:tcPr>
                  <w:p>
                    <w:pPr>
                      <w:rPr>
                        <w:sz w:val="15"/>
                        <w:szCs w:val="15"/>
                      </w:rPr>
                    </w:pPr>
                    <w:r>
                      <w:rPr>
                        <w:sz w:val="15"/>
                        <w:szCs w:val="15"/>
                      </w:rPr>
                      <w:t>2022/11/28</w:t>
                    </w:r>
                  </w:p>
                </w:tc>
                <w:tc>
                  <w:tcPr>
                    <w:tcW w:w="534" w:type="pct"/>
                    <w:vAlign w:val="center"/>
                  </w:tcPr>
                  <w:p>
                    <w:pPr>
                      <w:rPr>
                        <w:sz w:val="15"/>
                        <w:szCs w:val="15"/>
                      </w:rPr>
                    </w:pPr>
                    <w:r>
                      <w:rPr>
                        <w:sz w:val="15"/>
                        <w:szCs w:val="15"/>
                      </w:rPr>
                      <w:t>2022/11/29</w:t>
                    </w:r>
                  </w:p>
                </w:tc>
                <w:tc>
                  <w:tcPr>
                    <w:tcW w:w="534" w:type="pct"/>
                    <w:vAlign w:val="center"/>
                  </w:tcPr>
                  <w:p>
                    <w:pPr>
                      <w:rPr>
                        <w:sz w:val="15"/>
                        <w:szCs w:val="15"/>
                      </w:rPr>
                    </w:pPr>
                    <w:r>
                      <w:rPr>
                        <w:sz w:val="15"/>
                        <w:szCs w:val="15"/>
                      </w:rPr>
                      <w:t>2025/11/29</w:t>
                    </w:r>
                  </w:p>
                </w:tc>
                <w:tc>
                  <w:tcPr>
                    <w:tcW w:w="327" w:type="pct"/>
                    <w:vAlign w:val="center"/>
                  </w:tcPr>
                  <w:p>
                    <w:pPr>
                      <w:rPr>
                        <w:sz w:val="15"/>
                        <w:szCs w:val="15"/>
                      </w:rPr>
                    </w:pPr>
                    <w:r>
                      <w:rPr>
                        <w:sz w:val="15"/>
                        <w:szCs w:val="15"/>
                      </w:rPr>
                      <w:t>5.00</w:t>
                    </w:r>
                  </w:p>
                </w:tc>
                <w:tc>
                  <w:tcPr>
                    <w:tcW w:w="409" w:type="pct"/>
                    <w:vAlign w:val="center"/>
                  </w:tcPr>
                  <w:p>
                    <w:pPr>
                      <w:rPr>
                        <w:sz w:val="15"/>
                        <w:szCs w:val="15"/>
                      </w:rPr>
                    </w:pPr>
                    <w:r>
                      <w:rPr>
                        <w:sz w:val="15"/>
                        <w:szCs w:val="15"/>
                      </w:rPr>
                      <w:t>2.95</w:t>
                    </w:r>
                  </w:p>
                </w:tc>
                <w:tc>
                  <w:tcPr>
                    <w:tcW w:w="244" w:type="pct"/>
                    <w:vAlign w:val="center"/>
                  </w:tcPr>
                  <w:p>
                    <w:pPr>
                      <w:rPr>
                        <w:sz w:val="15"/>
                        <w:szCs w:val="15"/>
                      </w:rPr>
                    </w:pPr>
                    <w:r>
                      <w:rPr>
                        <w:sz w:val="15"/>
                        <w:szCs w:val="15"/>
                      </w:rPr>
                      <w:t>一次还本，按年付息</w:t>
                    </w:r>
                  </w:p>
                </w:tc>
                <w:tc>
                  <w:tcPr>
                    <w:tcW w:w="313" w:type="pct"/>
                    <w:vAlign w:val="center"/>
                  </w:tcPr>
                  <w:p>
                    <w:pPr>
                      <w:rPr>
                        <w:sz w:val="15"/>
                        <w:szCs w:val="15"/>
                      </w:rPr>
                    </w:pPr>
                    <w:r>
                      <w:rPr>
                        <w:sz w:val="15"/>
                        <w:szCs w:val="15"/>
                      </w:rPr>
                      <w:t>上海证券交易所</w:t>
                    </w:r>
                  </w:p>
                </w:tc>
                <w:tc>
                  <w:tcPr>
                    <w:tcW w:w="314" w:type="pct"/>
                    <w:vAlign w:val="center"/>
                  </w:tcPr>
                  <w:p>
                    <w:pPr>
                      <w:rPr>
                        <w:sz w:val="15"/>
                        <w:szCs w:val="15"/>
                      </w:rPr>
                    </w:pPr>
                    <w:r>
                      <w:rPr>
                        <w:sz w:val="15"/>
                        <w:szCs w:val="15"/>
                      </w:rPr>
                      <w:t>本期债券的发行对象为专业投资者</w:t>
                    </w:r>
                  </w:p>
                </w:tc>
                <w:tc>
                  <w:tcPr>
                    <w:tcW w:w="358" w:type="pct"/>
                    <w:vAlign w:val="center"/>
                  </w:tcPr>
                  <w:p>
                    <w:pPr>
                      <w:rPr>
                        <w:sz w:val="15"/>
                        <w:szCs w:val="15"/>
                      </w:rPr>
                    </w:pPr>
                    <w:r>
                      <w:rPr>
                        <w:sz w:val="15"/>
                        <w:szCs w:val="15"/>
                      </w:rPr>
                      <w:t>在竞价交易系统和固定收益证券综合电子平台挂牌上市</w:t>
                    </w:r>
                  </w:p>
                </w:tc>
                <w:sdt>
                  <w:sdtPr>
                    <w:rPr>
                      <w:sz w:val="15"/>
                      <w:szCs w:val="15"/>
                    </w:rPr>
                    <w:alias w:val="公司债券基本情况明细_是否存在终止上市交易的风险 "/>
                    <w:tag w:val="_GBC_02667000c78f476fba73f0964c9865b3"/>
                    <w:id w:val="-1100878423"/>
                    <w:lock w:val="sdtLocked"/>
                    <w:comboBox>
                      <w:listItem w:displayText="是" w:value="是"/>
                      <w:listItem w:displayText="否" w:value="否"/>
                    </w:comboBox>
                  </w:sdtPr>
                  <w:sdtEndPr>
                    <w:rPr>
                      <w:sz w:val="15"/>
                      <w:szCs w:val="15"/>
                    </w:rPr>
                  </w:sdtEndPr>
                  <w:sdtContent>
                    <w:tc>
                      <w:tcPr>
                        <w:tcW w:w="273" w:type="pct"/>
                        <w:vAlign w:val="center"/>
                      </w:tcPr>
                      <w:p>
                        <w:pPr>
                          <w:rPr>
                            <w:sz w:val="15"/>
                            <w:szCs w:val="15"/>
                          </w:rPr>
                        </w:pPr>
                        <w:r>
                          <w:rPr>
                            <w:sz w:val="15"/>
                            <w:szCs w:val="15"/>
                          </w:rPr>
                          <w:t>否</w:t>
                        </w:r>
                      </w:p>
                    </w:tc>
                  </w:sdtContent>
                </w:sdt>
              </w:tr>
            </w:sdtContent>
          </w:sdt>
        </w:tbl>
        <w:p>
          <w:pPr>
            <w:pStyle w:val="114"/>
          </w:pPr>
        </w:p>
        <w:p>
          <w:pPr>
            <w:pStyle w:val="114"/>
          </w:pPr>
        </w:p>
      </w:sdtContent>
    </w:sdt>
    <w:sdt>
      <w:sdtPr>
        <w:rPr>
          <w:rFonts w:hint="eastAsia"/>
        </w:rPr>
        <w:alias w:val="模块:公司对债券终止上市交易风险的应对措施  ____"/>
        <w:tag w:val="_SEC_a78818601652484a980eda0c78d6536d"/>
        <w:id w:val="-459033060"/>
        <w:lock w:val="sdtLocked"/>
        <w:placeholder>
          <w:docPart w:val="GBC22222222222222222222222222222"/>
        </w:placeholder>
      </w:sdtPr>
      <w:sdtEndPr>
        <w:rPr>
          <w:rFonts w:hint="eastAsia"/>
          <w:color w:val="000000" w:themeColor="text1"/>
          <w14:textFill>
            <w14:solidFill>
              <w14:schemeClr w14:val="tx1"/>
            </w14:solidFill>
          </w14:textFill>
        </w:rPr>
      </w:sdtEndPr>
      <w:sdtContent>
        <w:p>
          <w:pPr>
            <w:pStyle w:val="114"/>
          </w:pPr>
          <w:r>
            <w:rPr>
              <w:rFonts w:hint="eastAsia"/>
            </w:rPr>
            <w:t>公司对债券终止上市交易风险的应对措施</w:t>
          </w:r>
        </w:p>
        <w:sdt>
          <w:sdtPr>
            <w:rPr>
              <w:rFonts w:cs="Times New Roman"/>
              <w:bCs/>
              <w:color w:val="000000" w:themeColor="text1"/>
              <w:kern w:val="2"/>
              <w14:textFill>
                <w14:solidFill>
                  <w14:schemeClr w14:val="tx1"/>
                </w14:solidFill>
              </w14:textFill>
            </w:rPr>
            <w:alias w:val="是否适用：公司对债券终止上市交易风险的应对措施 [双击切换]"/>
            <w:tag w:val="_GBC_fa1265d9d8f2402a80462c3b9ee0681e"/>
            <w:id w:val="228429171"/>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p>
          <w:pPr>
            <w:rPr>
              <w:rFonts w:cs="Times New Roman"/>
              <w:bCs/>
              <w:color w:val="000000" w:themeColor="text1"/>
              <w:kern w:val="2"/>
              <w14:textFill>
                <w14:solidFill>
                  <w14:schemeClr w14:val="tx1"/>
                </w14:solidFill>
              </w14:textFill>
            </w:rPr>
          </w:pPr>
        </w:p>
      </w:sdtContent>
    </w:sdt>
    <w:sdt>
      <w:sdtPr>
        <w:alias w:val="模块:逾期未偿还债券"/>
        <w:tag w:val="_SEC_93ba28f6e182409d9aa6e3ecd1486efd"/>
        <w:id w:val="-213425595"/>
        <w:lock w:val="sdtLocked"/>
        <w:placeholder>
          <w:docPart w:val="GBC22222222222222222222222222222"/>
        </w:placeholder>
      </w:sdtPr>
      <w:sdtEndPr>
        <w:rPr>
          <w:rFonts w:cs="Times New Roman"/>
          <w:b/>
          <w:bCs/>
          <w:kern w:val="2"/>
        </w:rPr>
      </w:sdtEndPr>
      <w:sdtContent>
        <w:p>
          <w:pPr>
            <w:pStyle w:val="114"/>
          </w:pPr>
          <w:bookmarkStart w:id="89" w:name="_Hlk41317655"/>
          <w:r>
            <w:t>逾期未偿还债券</w:t>
          </w:r>
        </w:p>
        <w:sdt>
          <w:sdtPr>
            <w:rPr>
              <w:rFonts w:hint="eastAsia"/>
            </w:rPr>
            <w:alias w:val="是否适用：逾期未偿还债券[双击切换]"/>
            <w:tag w:val="_GBC_fb634e5ee243464e99bfca2d087924e6"/>
            <w:id w:val="-1505590908"/>
            <w:lock w:val="sdtLocked"/>
            <w:placeholder>
              <w:docPart w:val="GBC22222222222222222222222222222"/>
            </w:placeholder>
          </w:sdtPr>
          <w:sdtEndPr>
            <w:rPr>
              <w:rFonts w:hint="eastAsia"/>
            </w:rPr>
          </w:sdtEndPr>
          <w:sdtContent>
            <w:p>
              <w:pPr>
                <w:rPr>
                  <w:rFonts w:cs="Times New Roman"/>
                  <w:b/>
                  <w:bCs/>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89"/>
    <w:sdt>
      <w:sdtPr>
        <w:alias w:val="模块:关于逾期债项的说明"/>
        <w:tag w:val="_SEC_db8f5be58baf40d0bb47b6b45fabbfae"/>
        <w:id w:val="-1763293535"/>
        <w:lock w:val="sdtLocked"/>
        <w:placeholder>
          <w:docPart w:val="GBC22222222222222222222222222222"/>
        </w:placeholder>
      </w:sdtPr>
      <w:sdtEndPr>
        <w:rPr>
          <w:rFonts w:hint="eastAsia"/>
        </w:rPr>
      </w:sdtEndPr>
      <w:sdtContent>
        <w:p>
          <w:pPr>
            <w:pStyle w:val="114"/>
          </w:pPr>
          <w:r>
            <w:t>关于逾期债项的说明</w:t>
          </w:r>
        </w:p>
        <w:sdt>
          <w:sdtPr>
            <w:rPr>
              <w:rFonts w:hint="eastAsia"/>
            </w:rPr>
            <w:alias w:val="是否适用：关于逾期债项的说明 [双击切换]"/>
            <w:tag w:val="_GBC_e709a54869bd438eab4c79ff3c52d7d0"/>
            <w:id w:val="122826595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rFonts w:cs="Times New Roman"/>
          <w:bCs/>
          <w:kern w:val="2"/>
        </w:rPr>
      </w:pPr>
    </w:p>
    <w:sdt>
      <w:sdtPr>
        <w:rPr>
          <w:rFonts w:hint="eastAsia" w:ascii="宋体" w:hAnsi="宋体" w:cs="宋体"/>
          <w:b w:val="0"/>
          <w:bCs w:val="0"/>
          <w:kern w:val="0"/>
          <w:szCs w:val="24"/>
        </w:rPr>
        <w:alias w:val="模块:发行人或投资者选择权条款、投资者保护条款的触发和执行情况 ..."/>
        <w:tag w:val="_SEC_5399143278374bc6a0338b597e80e0a8"/>
        <w:id w:val="-2081280836"/>
        <w:lock w:val="sdtLocked"/>
        <w:placeholder>
          <w:docPart w:val="GBC22222222222222222222222222222"/>
        </w:placeholder>
      </w:sdtPr>
      <w:sdtEndPr>
        <w:rPr>
          <w:rFonts w:hint="default" w:ascii="宋体" w:hAnsi="宋体" w:cs="宋体"/>
          <w:b w:val="0"/>
          <w:bCs w:val="0"/>
          <w:color w:val="000000" w:themeColor="text1"/>
          <w:kern w:val="0"/>
          <w:szCs w:val="21"/>
          <w14:textFill>
            <w14:solidFill>
              <w14:schemeClr w14:val="tx1"/>
            </w14:solidFill>
          </w14:textFill>
        </w:rPr>
      </w:sdtEndPr>
      <w:sdtContent>
        <w:p>
          <w:pPr>
            <w:pStyle w:val="5"/>
            <w:numPr>
              <w:ilvl w:val="0"/>
              <w:numId w:val="36"/>
            </w:numPr>
            <w:rPr>
              <w:rFonts w:ascii="宋体" w:hAnsi="宋体"/>
            </w:rPr>
          </w:pPr>
          <w:bookmarkStart w:id="90" w:name="_Hlk41317963"/>
          <w:r>
            <w:rPr>
              <w:rFonts w:hint="eastAsia" w:ascii="宋体" w:hAnsi="宋体"/>
            </w:rPr>
            <w:t>发行人或投资者选择权条款、投资者保护条款的触发和执行情况</w:t>
          </w:r>
        </w:p>
        <w:sdt>
          <w:sdtPr>
            <w:rPr>
              <w:rFonts w:cs="Times New Roman"/>
              <w:bCs/>
              <w:color w:val="000000" w:themeColor="text1"/>
              <w:kern w:val="2"/>
              <w14:textFill>
                <w14:solidFill>
                  <w14:schemeClr w14:val="tx1"/>
                </w14:solidFill>
              </w14:textFill>
            </w:rPr>
            <w:alias w:val="是否适用：发行人或投资者选择权条款、投资者保护条款的触发和执行情况[双击切换]"/>
            <w:tag w:val="_GBC_185e6a8631e94bd5ac84f901f842a806"/>
            <w:id w:val="-202631129"/>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rPr>
                  <w:rFonts w:cs="Times New Roman"/>
                  <w:bCs/>
                  <w:color w:val="000000" w:themeColor="text1"/>
                  <w:kern w:val="2"/>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sdt>
          <w:sdtPr>
            <w:rPr>
              <w:rFonts w:cs="Times New Roman"/>
              <w:bCs/>
              <w:color w:val="000000" w:themeColor="text1"/>
              <w:kern w:val="2"/>
              <w14:textFill>
                <w14:solidFill>
                  <w14:schemeClr w14:val="tx1"/>
                </w14:solidFill>
              </w14:textFill>
            </w:rPr>
            <w:alias w:val="发行人或投资者选择权条款、投资者保护条款的触发和执行情况"/>
            <w:tag w:val="_GBC_c30a4bf64ab04e70aa1c9bd216eed3d6"/>
            <w:id w:val="-755052087"/>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ind w:firstLine="420" w:firstLineChars="200"/>
                <w:jc w:val="both"/>
                <w:rPr>
                  <w:rFonts w:cs="Times New Roman"/>
                  <w:bCs/>
                  <w:color w:val="000000" w:themeColor="text1"/>
                  <w:kern w:val="2"/>
                  <w14:textFill>
                    <w14:solidFill>
                      <w14:schemeClr w14:val="tx1"/>
                    </w14:solidFill>
                  </w14:textFill>
                </w:rPr>
              </w:pPr>
              <w:r>
                <w:rPr>
                  <w:rFonts w:hint="eastAsia" w:cs="Times New Roman"/>
                  <w:bCs/>
                  <w:color w:val="000000" w:themeColor="text1"/>
                  <w:kern w:val="2"/>
                  <w14:textFill>
                    <w14:solidFill>
                      <w14:schemeClr w14:val="tx1"/>
                    </w14:solidFill>
                  </w14:textFill>
                </w:rPr>
                <w:t>发行人调整票面利率选择权：发行人有权决定在本期债券存续期的第</w:t>
              </w:r>
              <w:r>
                <w:rPr>
                  <w:rFonts w:cs="Times New Roman"/>
                  <w:bCs/>
                  <w:color w:val="000000" w:themeColor="text1"/>
                  <w:kern w:val="2"/>
                  <w14:textFill>
                    <w14:solidFill>
                      <w14:schemeClr w14:val="tx1"/>
                    </w14:solidFill>
                  </w14:textFill>
                </w:rPr>
                <w:t>3年末决定调整本期债券后续计息期间的票面利率；发行人决定行使票面利率调整选择权的，自票面利率调整生效起，本期债券的票面利率按照以下方式确定：调整后的票面利率以发行人发布的票面利率调整实施公告为准，且票面利率的调整方向和幅度不限。发行人决定不行使票面利率调整选择权的，则本期债券的票面利率在发行人行使下次票面利率调整选择权前继续保持不变。</w:t>
              </w:r>
            </w:p>
            <w:p>
              <w:pPr>
                <w:ind w:firstLine="420" w:firstLineChars="200"/>
                <w:jc w:val="both"/>
                <w:rPr>
                  <w:rFonts w:cs="Times New Roman"/>
                  <w:bCs/>
                  <w:color w:val="000000" w:themeColor="text1"/>
                  <w:kern w:val="2"/>
                  <w14:textFill>
                    <w14:solidFill>
                      <w14:schemeClr w14:val="tx1"/>
                    </w14:solidFill>
                  </w14:textFill>
                </w:rPr>
              </w:pPr>
              <w:r>
                <w:rPr>
                  <w:rFonts w:hint="eastAsia" w:cs="Times New Roman"/>
                  <w:bCs/>
                  <w:color w:val="000000" w:themeColor="text1"/>
                  <w:kern w:val="2"/>
                  <w14:textFill>
                    <w14:solidFill>
                      <w14:schemeClr w14:val="tx1"/>
                    </w14:solidFill>
                  </w14:textFill>
                </w:rPr>
                <w:t>投资者回售选择权：投资者有权在本期债券存续期的第</w:t>
              </w:r>
              <w:r>
                <w:rPr>
                  <w:rFonts w:cs="Times New Roman"/>
                  <w:bCs/>
                  <w:color w:val="000000" w:themeColor="text1"/>
                  <w:kern w:val="2"/>
                  <w14:textFill>
                    <w14:solidFill>
                      <w14:schemeClr w14:val="tx1"/>
                    </w14:solidFill>
                  </w14:textFill>
                </w:rPr>
                <w:t>3年末将其持有的全部或部分本期债券回售给发行人。</w:t>
              </w:r>
            </w:p>
          </w:sdtContent>
        </w:sdt>
        <w:p>
          <w:pPr>
            <w:rPr>
              <w:color w:val="000000" w:themeColor="text1"/>
              <w14:textFill>
                <w14:solidFill>
                  <w14:schemeClr w14:val="tx1"/>
                </w14:solidFill>
              </w14:textFill>
            </w:rPr>
          </w:pPr>
        </w:p>
      </w:sdtContent>
    </w:sdt>
    <w:bookmarkEnd w:id="90"/>
    <w:sdt>
      <w:sdtPr>
        <w:rPr>
          <w:rFonts w:ascii="宋体" w:hAnsi="宋体" w:cs="宋体"/>
          <w:b w:val="0"/>
          <w:bCs w:val="0"/>
          <w:kern w:val="0"/>
          <w:szCs w:val="24"/>
        </w:rPr>
        <w:alias w:val="模块:信用评级结果调整情况"/>
        <w:tag w:val="_SEC_f79901d570c546118d8c8e652fd6699d"/>
        <w:id w:val="1117181057"/>
        <w:lock w:val="sdtLocked"/>
        <w:placeholder>
          <w:docPart w:val="GBC22222222222222222222222222222"/>
        </w:placeholder>
      </w:sdtPr>
      <w:sdtEndPr>
        <w:rPr>
          <w:rFonts w:ascii="宋体" w:hAnsi="宋体" w:cs="宋体"/>
          <w:b w:val="0"/>
          <w:bCs w:val="0"/>
          <w:color w:val="000000" w:themeColor="text1"/>
          <w:kern w:val="0"/>
          <w:szCs w:val="21"/>
          <w14:textFill>
            <w14:solidFill>
              <w14:schemeClr w14:val="tx1"/>
            </w14:solidFill>
          </w14:textFill>
        </w:rPr>
      </w:sdtEndPr>
      <w:sdtContent>
        <w:p>
          <w:pPr>
            <w:pStyle w:val="5"/>
            <w:numPr>
              <w:ilvl w:val="0"/>
              <w:numId w:val="36"/>
            </w:numPr>
            <w:tabs>
              <w:tab w:val="left" w:pos="360"/>
            </w:tabs>
            <w:ind w:left="425" w:hanging="425"/>
            <w:rPr>
              <w:rFonts w:ascii="宋体" w:hAnsi="宋体" w:cs="宋体"/>
              <w:kern w:val="0"/>
              <w:szCs w:val="24"/>
            </w:rPr>
          </w:pPr>
          <w:bookmarkStart w:id="91" w:name="_Hlk105685913"/>
          <w:bookmarkStart w:id="92" w:name="_Hlk105762728"/>
          <w:r>
            <w:rPr>
              <w:rFonts w:hint="eastAsia" w:ascii="宋体" w:hAnsi="宋体" w:cs="宋体"/>
              <w:kern w:val="0"/>
              <w:szCs w:val="24"/>
            </w:rPr>
            <w:t>信用评级结果调整情况</w:t>
          </w:r>
        </w:p>
        <w:sdt>
          <w:sdtPr>
            <w:rPr>
              <w:rFonts w:hint="eastAsia" w:cs="Times New Roman"/>
              <w:bCs/>
              <w:color w:val="000000" w:themeColor="text1"/>
              <w:kern w:val="2"/>
              <w14:textFill>
                <w14:solidFill>
                  <w14:schemeClr w14:val="tx1"/>
                </w14:solidFill>
              </w14:textFill>
            </w:rPr>
            <w:alias w:val="是否适用：公司债券评级情况[双击切换]"/>
            <w:tag w:val="_GBC_964e49aa0366415fa055308c9faddb13"/>
            <w:id w:val="2054502631"/>
            <w:lock w:val="sdtLocked"/>
            <w:placeholder>
              <w:docPart w:val="GBC22222222222222222222222222222"/>
            </w:placeholder>
          </w:sdtPr>
          <w:sdtEndPr>
            <w:rPr>
              <w:rFonts w:hint="eastAsia"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sdtContent>
    </w:sdt>
    <w:bookmarkEnd w:id="91"/>
    <w:sdt>
      <w:sdtPr>
        <w:rPr>
          <w:rFonts w:hint="eastAsia" w:cs="Times New Roman"/>
          <w:bCs/>
          <w:kern w:val="2"/>
        </w:rPr>
        <w:alias w:val="模块:其他说明  ____"/>
        <w:tag w:val="_SEC_f0fb497d2dc44da48452d2fd65e1db0f"/>
        <w:id w:val="823242188"/>
        <w:lock w:val="sdtLocked"/>
        <w:placeholder>
          <w:docPart w:val="GBC22222222222222222222222222222"/>
        </w:placeholder>
      </w:sdtPr>
      <w:sdtEndPr>
        <w:rPr>
          <w:rFonts w:hint="default" w:cs="Times New Roman"/>
          <w:b/>
          <w:bCs/>
          <w:kern w:val="2"/>
        </w:rPr>
      </w:sdtEndPr>
      <w:sdtContent>
        <w:p>
          <w:pPr>
            <w:adjustRightInd w:val="0"/>
            <w:snapToGrid w:val="0"/>
            <w:rPr>
              <w:rFonts w:hAnsi="Arial" w:cs="Times New Roman"/>
              <w:bCs/>
              <w:kern w:val="2"/>
            </w:rPr>
          </w:pPr>
          <w:bookmarkStart w:id="93" w:name="_Hlk105685972"/>
          <w:r>
            <w:rPr>
              <w:rFonts w:hint="eastAsia" w:ascii="Arial" w:hAnsi="Arial" w:cs="Times New Roman"/>
              <w:kern w:val="2"/>
            </w:rPr>
            <w:t>其他</w:t>
          </w:r>
          <w:r>
            <w:rPr>
              <w:rFonts w:hint="eastAsia" w:hAnsi="Arial" w:cs="Times New Roman"/>
              <w:kern w:val="2"/>
            </w:rPr>
            <w:t>说明</w:t>
          </w:r>
        </w:p>
        <w:sdt>
          <w:sdtPr>
            <w:rPr>
              <w:rFonts w:cs="Times New Roman"/>
              <w:bCs/>
              <w:kern w:val="2"/>
            </w:rPr>
            <w:alias w:val="信用评级结果调整情况其他说明"/>
            <w:tag w:val="_GBC_8374c35808984d628ccf92147840f4dc"/>
            <w:id w:val="-760520084"/>
            <w:lock w:val="sdtLocked"/>
            <w:placeholder>
              <w:docPart w:val="GBC22222222222222222222222222222"/>
            </w:placeholder>
          </w:sdtPr>
          <w:sdtEndPr>
            <w:rPr>
              <w:rFonts w:cs="Times New Roman"/>
              <w:bCs/>
              <w:kern w:val="2"/>
            </w:rPr>
          </w:sdtEndPr>
          <w:sdtContent>
            <w:p>
              <w:pPr>
                <w:rPr>
                  <w:rFonts w:cs="Times New Roman"/>
                  <w:bCs/>
                  <w:kern w:val="2"/>
                </w:rPr>
              </w:pPr>
              <w:r>
                <w:rPr>
                  <w:rFonts w:hint="eastAsia" w:cs="Times New Roman"/>
                  <w:bCs/>
                  <w:kern w:val="2"/>
                </w:rPr>
                <w:t>无</w:t>
              </w:r>
              <w:r>
                <w:rPr>
                  <w:rFonts w:cs="Times New Roman"/>
                  <w:bCs/>
                  <w:kern w:val="2"/>
                </w:rPr>
                <w:t>。</w:t>
              </w:r>
            </w:p>
          </w:sdtContent>
        </w:sdt>
        <w:p>
          <w:pPr>
            <w:rPr>
              <w:rFonts w:cs="Times New Roman"/>
              <w:b/>
              <w:bCs/>
              <w:kern w:val="2"/>
            </w:rPr>
          </w:pPr>
        </w:p>
      </w:sdtContent>
    </w:sdt>
    <w:bookmarkEnd w:id="93"/>
    <w:sdt>
      <w:sdtPr>
        <w:rPr>
          <w:rFonts w:ascii="宋体" w:hAnsi="宋体" w:cs="宋体"/>
          <w:b w:val="0"/>
          <w:bCs w:val="0"/>
          <w:kern w:val="0"/>
          <w:szCs w:val="24"/>
        </w:rPr>
        <w:alias w:val="模块:担保情况、偿债计划及其他偿债保障措施在报告期内的执行和变化情况及其影响"/>
        <w:tag w:val="_SEC_82f9c67b20cb45eda99d978cc09be2e9"/>
        <w:id w:val="-176508338"/>
        <w:lock w:val="sdtLocked"/>
        <w:placeholder>
          <w:docPart w:val="GBC22222222222222222222222222222"/>
        </w:placeholder>
      </w:sdtPr>
      <w:sdtEndPr>
        <w:rPr>
          <w:rFonts w:ascii="宋体" w:hAnsi="宋体" w:cs="宋体"/>
          <w:b w:val="0"/>
          <w:bCs w:val="0"/>
          <w:color w:val="000000" w:themeColor="text1"/>
          <w:kern w:val="0"/>
          <w:szCs w:val="21"/>
          <w14:textFill>
            <w14:solidFill>
              <w14:schemeClr w14:val="tx1"/>
            </w14:solidFill>
          </w14:textFill>
        </w:rPr>
      </w:sdtEndPr>
      <w:sdtContent>
        <w:p>
          <w:pPr>
            <w:pStyle w:val="5"/>
            <w:numPr>
              <w:ilvl w:val="0"/>
              <w:numId w:val="36"/>
            </w:numPr>
            <w:tabs>
              <w:tab w:val="left" w:pos="360"/>
            </w:tabs>
            <w:ind w:left="425" w:hanging="425"/>
            <w:rPr>
              <w:rFonts w:ascii="宋体" w:hAnsi="宋体" w:cs="宋体"/>
              <w:kern w:val="0"/>
              <w:szCs w:val="24"/>
            </w:rPr>
          </w:pPr>
          <w:bookmarkStart w:id="94" w:name="_Hlk105686033"/>
          <w:r>
            <w:rPr>
              <w:rFonts w:hint="eastAsia" w:ascii="宋体" w:hAnsi="宋体" w:cs="宋体"/>
              <w:kern w:val="0"/>
              <w:szCs w:val="24"/>
            </w:rPr>
            <w:t>担保情况、偿债计划及其他偿债保障措施在报告期内的执行和变化情况及其影响</w:t>
          </w:r>
        </w:p>
        <w:sdt>
          <w:sdtPr>
            <w:rPr>
              <w:rFonts w:cs="Times New Roman"/>
              <w:bCs/>
              <w:color w:val="000000" w:themeColor="text1"/>
              <w:kern w:val="2"/>
              <w14:textFill>
                <w14:solidFill>
                  <w14:schemeClr w14:val="tx1"/>
                </w14:solidFill>
              </w14:textFill>
            </w:rPr>
            <w:alias w:val="是否适用：担保情况、偿债计划及其他偿债保障措施在报告期内的执行情况和变化情况及对债券投资者权益的影响[双击切换]"/>
            <w:tag w:val="_GBC_ad1e9e8b0cdb4fc6835d46e0c897eb78"/>
            <w:id w:val="-1135861406"/>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sdtContent>
    </w:sdt>
    <w:bookmarkEnd w:id="94"/>
    <w:sdt>
      <w:sdtPr>
        <w:rPr>
          <w:b/>
          <w:bCs/>
        </w:rPr>
        <w:alias w:val="模块:担保情况、偿债计划及其他偿债保障措施在报告期内的执行情况和变..."/>
        <w:tag w:val="_SEC_b7d50a796590402696ce9352af7e9496"/>
        <w:id w:val="357398043"/>
        <w:lock w:val="sdtLocked"/>
        <w:placeholder>
          <w:docPart w:val="GBC22222222222222222222222222222"/>
        </w:placeholder>
      </w:sdtPr>
      <w:sdtEndPr>
        <w:rPr>
          <w:b w:val="0"/>
          <w:bCs w:val="0"/>
          <w:color w:val="000000" w:themeColor="text1"/>
          <w14:textFill>
            <w14:solidFill>
              <w14:schemeClr w14:val="tx1"/>
            </w14:solidFill>
          </w14:textFill>
        </w:rPr>
      </w:sdtEndPr>
      <w:sdtContent>
        <w:p>
          <w:pPr>
            <w:pStyle w:val="114"/>
          </w:pPr>
          <w:r>
            <w:rPr>
              <w:rFonts w:hint="eastAsia"/>
            </w:rPr>
            <w:t>其他说明</w:t>
          </w:r>
        </w:p>
        <w:sdt>
          <w:sdtPr>
            <w:rPr>
              <w:color w:val="000000" w:themeColor="text1"/>
              <w14:textFill>
                <w14:solidFill>
                  <w14:schemeClr w14:val="tx1"/>
                </w14:solidFill>
              </w14:textFill>
            </w:rPr>
            <w:alias w:val="担保情况、偿债计划及其他偿债保障措施在报告期内的执行情况和变化情况及对债券投资者权益的影响"/>
            <w:tag w:val="_GBC_e7d8ccefedc845ea9a1d4f6abbccb657"/>
            <w:id w:val="-1033194087"/>
            <w:lock w:val="sdtLocked"/>
            <w:placeholder>
              <w:docPart w:val="GBC22222222222222222222222222222"/>
            </w:placeholder>
          </w:sdtPr>
          <w:sdtEndPr>
            <w:rPr>
              <w:color w:val="000000" w:themeColor="text1"/>
              <w14:textFill>
                <w14:solidFill>
                  <w14:schemeClr w14:val="tx1"/>
                </w14:solidFill>
              </w14:textFill>
            </w:rPr>
          </w:sdtEndPr>
          <w:sdt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无</w:t>
              </w:r>
              <w:r>
                <w:rPr>
                  <w:color w:val="000000" w:themeColor="text1"/>
                  <w14:textFill>
                    <w14:solidFill>
                      <w14:schemeClr w14:val="tx1"/>
                    </w14:solidFill>
                  </w14:textFill>
                </w:rPr>
                <w:t>。</w:t>
              </w:r>
            </w:p>
          </w:sdtContent>
        </w:sdt>
        <w:p>
          <w:pPr>
            <w:rPr>
              <w:color w:val="000000" w:themeColor="text1"/>
              <w14:textFill>
                <w14:solidFill>
                  <w14:schemeClr w14:val="tx1"/>
                </w14:solidFill>
              </w14:textFill>
            </w:rPr>
          </w:pPr>
        </w:p>
      </w:sdtContent>
    </w:sdt>
    <w:bookmarkEnd w:id="92"/>
    <w:sdt>
      <w:sdtPr>
        <w:rPr>
          <w:rFonts w:hint="eastAsia" w:ascii="宋体" w:hAnsi="宋体" w:cs="宋体"/>
          <w:b w:val="0"/>
          <w:bCs w:val="0"/>
          <w:kern w:val="0"/>
          <w:szCs w:val="24"/>
        </w:rPr>
        <w:alias w:val="模块:公司债券其他情况的说明  "/>
        <w:tag w:val="_SEC_c37bdbc7a0544c2485b82ea29a71e678"/>
        <w:id w:val="-181432695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36"/>
            </w:numPr>
            <w:rPr>
              <w:rFonts w:ascii="宋体" w:hAnsi="宋体"/>
            </w:rPr>
          </w:pPr>
          <w:bookmarkStart w:id="95" w:name="_Hlk41317937"/>
          <w:r>
            <w:rPr>
              <w:rFonts w:hint="eastAsia" w:ascii="宋体" w:hAnsi="宋体"/>
            </w:rPr>
            <w:t>公司债券其他情况的说明</w:t>
          </w:r>
        </w:p>
        <w:sdt>
          <w:sdtPr>
            <w:rPr>
              <w:rFonts w:cs="Times New Roman"/>
              <w:bCs/>
              <w:kern w:val="2"/>
            </w:rPr>
            <w:alias w:val="是否适用：公司债券其他情况的说明[双击切换]"/>
            <w:tag w:val="_GBC_f43ee2ad9a1340e2803eef0b47f048f2"/>
            <w:id w:val="1205828656"/>
            <w:lock w:val="sdtLocked"/>
            <w:placeholder>
              <w:docPart w:val="GBC22222222222222222222222222222"/>
            </w:placeholder>
          </w:sdtPr>
          <w:sdtEndPr>
            <w:rPr>
              <w:rFonts w:cs="Times New Roman"/>
              <w:bCs/>
              <w:kern w:val="2"/>
            </w:rPr>
          </w:sdtEndPr>
          <w:sdtContent>
            <w:p>
              <w:pPr>
                <w:rPr>
                  <w:rFonts w:cs="Times New Roman"/>
                  <w:bCs/>
                  <w:kern w:val="2"/>
                </w:rPr>
              </w:pPr>
              <w:r>
                <w:rPr>
                  <w:rFonts w:cs="Times New Roman"/>
                  <w:bCs/>
                  <w:kern w:val="2"/>
                </w:rPr>
                <w:fldChar w:fldCharType="begin"/>
              </w:r>
              <w:r>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Pr>
                  <w:rFonts w:cs="Times New Roman"/>
                  <w:kern w:val="2"/>
                </w:rPr>
                <w:instrText xml:space="preserve"> MACROBUTTON  SnrToggleCheckbox □不适用 </w:instrText>
              </w:r>
              <w:r>
                <w:rPr>
                  <w:rFonts w:cs="Times New Roman"/>
                  <w:bCs/>
                  <w:kern w:val="2"/>
                </w:rPr>
                <w:fldChar w:fldCharType="end"/>
              </w:r>
            </w:p>
          </w:sdtContent>
        </w:sdt>
        <w:sdt>
          <w:sdtPr>
            <w:rPr>
              <w:rFonts w:hint="eastAsia"/>
            </w:rPr>
            <w:alias w:val="公司债券其他情况的说明"/>
            <w:tag w:val="_GBC_c1f74fa1f96f44f2a2386d1e86c2f2c4"/>
            <w:id w:val="-1989465313"/>
            <w:lock w:val="sdtLocked"/>
            <w:placeholder>
              <w:docPart w:val="GBC22222222222222222222222222222"/>
            </w:placeholder>
          </w:sdtPr>
          <w:sdtEndPr>
            <w:rPr>
              <w:rFonts w:hint="eastAsia"/>
            </w:rPr>
          </w:sdtEndPr>
          <w:sdtContent>
            <w:p>
              <w:pPr>
                <w:ind w:firstLine="420" w:firstLineChars="200"/>
                <w:jc w:val="both"/>
                <w:rPr>
                  <w:rFonts w:cs="Times New Roman"/>
                  <w:bCs/>
                  <w:kern w:val="2"/>
                </w:rPr>
              </w:pPr>
              <w:r>
                <w:rPr>
                  <w:rFonts w:hint="eastAsia"/>
                </w:rPr>
                <w:t>经中国证券监督管理委员会“证监许可</w:t>
              </w:r>
              <w:r>
                <w:t>[2022]2341号”文注册，本公司面向专业投资者公开发行面值总额不超过17亿元(含17亿元)的绿色公司债券。截至2023年6月末，本公司发行一期面向专业投资者7亿元绿色公司债券。该期公司债券募集资金用途全部用于收购云杉清能公司股权，募集资金已按约定用途使用完毕。被收购公司云杉清能公司属于绿色主体，主营业务范围为可再生能源发电领域。本期债券募集资金用途符合国家发展和改革委员会等七部委发布的《绿色产业指导目录（2019 年版）》、中国人民银行等三部委发布的《绿色债券支持项</w:t>
              </w:r>
              <w:r>
                <w:rPr>
                  <w:rFonts w:hint="eastAsia"/>
                </w:rPr>
                <w:t>目目录（</w:t>
              </w:r>
              <w:r>
                <w:t>2021 版）》。目前，云杉清能的可再生能源发电项目均已并网处于正常运营中，可有效帮助减少二氧化碳、二氧化硫、氮氧化物和烟尘排放，并替代化石能源消耗。</w:t>
              </w:r>
            </w:p>
          </w:sdtContent>
        </w:sdt>
        <w:p>
          <w:pPr>
            <w:pStyle w:val="114"/>
          </w:pPr>
        </w:p>
      </w:sdtContent>
    </w:sdt>
    <w:bookmarkEnd w:id="95"/>
    <w:p>
      <w:pPr>
        <w:pStyle w:val="4"/>
        <w:numPr>
          <w:ilvl w:val="0"/>
          <w:numId w:val="35"/>
        </w:numPr>
        <w:rPr>
          <w:rFonts w:ascii="宋体" w:hAnsi="宋体"/>
        </w:rPr>
      </w:pPr>
      <w:r>
        <w:rPr>
          <w:rFonts w:ascii="宋体" w:hAnsi="宋体"/>
        </w:rPr>
        <w:t>银行间债券市场非金融企业债务融资工具</w:t>
      </w:r>
    </w:p>
    <w:sdt>
      <w:sdtPr>
        <w:rPr>
          <w:rFonts w:hint="eastAsia"/>
        </w:rPr>
        <w:alias w:val="是否适用：银行间债券市场非金融企业债务融资工具相关情况[双击切换]"/>
        <w:tag w:val="_GBC_26e1b928d11c47bfad361d998e446706"/>
        <w:id w:val="1924981383"/>
        <w:lock w:val="sdtConten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val="0"/>
          <w:kern w:val="0"/>
          <w:szCs w:val="24"/>
        </w:rPr>
        <w:alias w:val="模块:非金融企业债务融资工具基本情况"/>
        <w:tag w:val="_SEC_3f8a3448cfdb4a6b9a931cd5e6b90c54"/>
        <w:id w:val="-2032482376"/>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37"/>
            </w:numPr>
            <w:rPr>
              <w:rFonts w:ascii="宋体" w:hAnsi="宋体" w:cs="宋体"/>
              <w:kern w:val="0"/>
              <w:szCs w:val="24"/>
            </w:rPr>
          </w:pPr>
          <w:bookmarkStart w:id="96" w:name="_Hlk74747055"/>
          <w:r>
            <w:rPr>
              <w:rFonts w:ascii="宋体" w:hAnsi="宋体" w:cs="宋体"/>
              <w:kern w:val="0"/>
              <w:szCs w:val="24"/>
            </w:rPr>
            <w:t>非金融企业债务融资工具</w:t>
          </w:r>
          <w:r>
            <w:rPr>
              <w:rFonts w:hint="eastAsia" w:ascii="宋体" w:hAnsi="宋体" w:cs="宋体"/>
              <w:kern w:val="0"/>
              <w:szCs w:val="24"/>
            </w:rPr>
            <w:t>基本情况</w:t>
          </w:r>
        </w:p>
        <w:p>
          <w:pPr>
            <w:jc w:val="right"/>
          </w:pPr>
          <w:r>
            <w:rPr>
              <w:rFonts w:hint="eastAsia"/>
            </w:rPr>
            <w:t>单位</w:t>
          </w:r>
          <w:r>
            <w:t>：</w:t>
          </w:r>
          <w:sdt>
            <w:sdtPr>
              <w:alias w:val="单位：财务附注：公司债券基本情况"/>
              <w:tag w:val="_GBC_7df1b0ddc1ae48d2a74c0fa42ce9eb2d"/>
              <w:id w:val="-13595753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亿元</w:t>
              </w:r>
            </w:sdtContent>
          </w:sdt>
          <w:r>
            <w:rPr>
              <w:rFonts w:hint="eastAsia"/>
            </w:rPr>
            <w:t xml:space="preserve">  币种</w:t>
          </w:r>
          <w:r>
            <w:t>：</w:t>
          </w:r>
          <w:sdt>
            <w:sdtPr>
              <w:alias w:val="币种：财务附注：公司债券基本情况"/>
              <w:tag w:val="_GBC_7135d7c4f3914194be67f9b07af24f15"/>
              <w:id w:val="1850294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925"/>
            <w:gridCol w:w="1067"/>
            <w:gridCol w:w="925"/>
            <w:gridCol w:w="925"/>
            <w:gridCol w:w="925"/>
            <w:gridCol w:w="571"/>
            <w:gridCol w:w="712"/>
            <w:gridCol w:w="500"/>
            <w:gridCol w:w="415"/>
            <w:gridCol w:w="613"/>
            <w:gridCol w:w="415"/>
            <w:gridCol w:w="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efc9fa0055f44cfbb3ae7a661706d4c"/>
                <w:id w:val="-387033137"/>
                <w:lock w:val="sdtLocked"/>
              </w:sdtPr>
              <w:sdtContent>
                <w:tc>
                  <w:tcPr>
                    <w:tcW w:w="354" w:type="pct"/>
                    <w:vAlign w:val="center"/>
                  </w:tcPr>
                  <w:p>
                    <w:pPr>
                      <w:jc w:val="center"/>
                      <w:rPr>
                        <w:rFonts w:cs="Times New Roman"/>
                        <w:b/>
                        <w:bCs/>
                      </w:rPr>
                    </w:pPr>
                    <w:r>
                      <w:rPr>
                        <w:rFonts w:hint="eastAsia"/>
                      </w:rPr>
                      <w:t>债券名称</w:t>
                    </w:r>
                  </w:p>
                </w:tc>
              </w:sdtContent>
            </w:sdt>
            <w:sdt>
              <w:sdtPr>
                <w:tag w:val="_PLD_14ccfc2bb9ad4cb8b4a686db812a0260"/>
                <w:id w:val="-356040762"/>
                <w:lock w:val="sdtLocked"/>
              </w:sdtPr>
              <w:sdtContent>
                <w:tc>
                  <w:tcPr>
                    <w:tcW w:w="511" w:type="pct"/>
                    <w:vAlign w:val="center"/>
                  </w:tcPr>
                  <w:p>
                    <w:pPr>
                      <w:jc w:val="center"/>
                    </w:pPr>
                    <w:r>
                      <w:rPr>
                        <w:rFonts w:hint="eastAsia"/>
                      </w:rPr>
                      <w:t>简称</w:t>
                    </w:r>
                  </w:p>
                </w:tc>
              </w:sdtContent>
            </w:sdt>
            <w:sdt>
              <w:sdtPr>
                <w:tag w:val="_PLD_91751b709ecb43eea4bbb230f28a4472"/>
                <w:id w:val="-245028581"/>
                <w:lock w:val="sdtLocked"/>
              </w:sdtPr>
              <w:sdtContent>
                <w:tc>
                  <w:tcPr>
                    <w:tcW w:w="590" w:type="pct"/>
                    <w:vAlign w:val="center"/>
                  </w:tcPr>
                  <w:p>
                    <w:pPr>
                      <w:jc w:val="center"/>
                    </w:pPr>
                    <w:r>
                      <w:rPr>
                        <w:rFonts w:hint="eastAsia"/>
                      </w:rPr>
                      <w:t>代码</w:t>
                    </w:r>
                  </w:p>
                </w:tc>
              </w:sdtContent>
            </w:sdt>
            <w:sdt>
              <w:sdtPr>
                <w:tag w:val="_PLD_5cd0c320e788477eb40e6b1e1a0b21d3"/>
                <w:id w:val="1340359961"/>
                <w:lock w:val="sdtLocked"/>
              </w:sdtPr>
              <w:sdtContent>
                <w:tc>
                  <w:tcPr>
                    <w:tcW w:w="511" w:type="pct"/>
                    <w:vAlign w:val="center"/>
                  </w:tcPr>
                  <w:p>
                    <w:pPr>
                      <w:jc w:val="center"/>
                    </w:pPr>
                    <w:r>
                      <w:rPr>
                        <w:rFonts w:hint="eastAsia"/>
                      </w:rPr>
                      <w:t>发行日</w:t>
                    </w:r>
                  </w:p>
                </w:tc>
              </w:sdtContent>
            </w:sdt>
            <w:tc>
              <w:tcPr>
                <w:tcW w:w="511" w:type="pct"/>
                <w:vAlign w:val="center"/>
              </w:tcPr>
              <w:sdt>
                <w:sdtPr>
                  <w:rPr>
                    <w:rFonts w:hint="eastAsia"/>
                  </w:rPr>
                  <w:tag w:val="_PLD_a179a38dcf5742f6924600a59e8c23df"/>
                  <w:id w:val="487826727"/>
                  <w:lock w:val="sdtLocked"/>
                </w:sdtPr>
                <w:sdtEndPr>
                  <w:rPr>
                    <w:rFonts w:hint="eastAsia"/>
                  </w:rPr>
                </w:sdtEndPr>
                <w:sdtContent>
                  <w:p>
                    <w:pPr>
                      <w:jc w:val="center"/>
                    </w:pPr>
                    <w:r>
                      <w:rPr>
                        <w:rFonts w:hint="eastAsia"/>
                      </w:rPr>
                      <w:t>起息日</w:t>
                    </w:r>
                  </w:p>
                </w:sdtContent>
              </w:sdt>
            </w:tc>
            <w:sdt>
              <w:sdtPr>
                <w:tag w:val="_PLD_57eb03616af54594b8b86984ce9ae577"/>
                <w:id w:val="503633862"/>
                <w:lock w:val="sdtLocked"/>
              </w:sdtPr>
              <w:sdtContent>
                <w:tc>
                  <w:tcPr>
                    <w:tcW w:w="511" w:type="pct"/>
                    <w:vAlign w:val="center"/>
                  </w:tcPr>
                  <w:p>
                    <w:pPr>
                      <w:jc w:val="center"/>
                    </w:pPr>
                    <w:r>
                      <w:rPr>
                        <w:rFonts w:hint="eastAsia"/>
                      </w:rPr>
                      <w:t>到期日</w:t>
                    </w:r>
                  </w:p>
                </w:tc>
              </w:sdtContent>
            </w:sdt>
            <w:sdt>
              <w:sdtPr>
                <w:tag w:val="_PLD_8519bda52cad4bbb90b70955340d3ce9"/>
                <w:id w:val="836418786"/>
                <w:lock w:val="sdtLocked"/>
              </w:sdtPr>
              <w:sdtContent>
                <w:tc>
                  <w:tcPr>
                    <w:tcW w:w="316" w:type="pct"/>
                    <w:vAlign w:val="center"/>
                  </w:tcPr>
                  <w:p>
                    <w:pPr>
                      <w:jc w:val="center"/>
                    </w:pPr>
                    <w:r>
                      <w:rPr>
                        <w:rFonts w:hint="eastAsia"/>
                      </w:rPr>
                      <w:t>债券余额</w:t>
                    </w:r>
                  </w:p>
                </w:tc>
              </w:sdtContent>
            </w:sdt>
            <w:sdt>
              <w:sdtPr>
                <w:tag w:val="_PLD_284486936ee94f7ba1480887494dcdf9"/>
                <w:id w:val="-1933510491"/>
                <w:lock w:val="sdtLocked"/>
              </w:sdtPr>
              <w:sdtContent>
                <w:tc>
                  <w:tcPr>
                    <w:tcW w:w="393" w:type="pct"/>
                    <w:vAlign w:val="center"/>
                  </w:tcPr>
                  <w:p>
                    <w:pPr>
                      <w:jc w:val="center"/>
                    </w:pPr>
                    <w:r>
                      <w:rPr>
                        <w:rFonts w:hint="eastAsia"/>
                      </w:rPr>
                      <w:t>利率（%）</w:t>
                    </w:r>
                  </w:p>
                </w:tc>
              </w:sdtContent>
            </w:sdt>
            <w:sdt>
              <w:sdtPr>
                <w:tag w:val="_PLD_9c5aaa44f2284f91ad1e98d6975891cb"/>
                <w:id w:val="939252546"/>
                <w:lock w:val="sdtLocked"/>
              </w:sdtPr>
              <w:sdtContent>
                <w:tc>
                  <w:tcPr>
                    <w:tcW w:w="276" w:type="pct"/>
                    <w:vAlign w:val="center"/>
                  </w:tcPr>
                  <w:p>
                    <w:pPr>
                      <w:jc w:val="center"/>
                    </w:pPr>
                    <w:r>
                      <w:rPr>
                        <w:rFonts w:hint="eastAsia"/>
                      </w:rPr>
                      <w:t>还本付息方式</w:t>
                    </w:r>
                  </w:p>
                </w:tc>
              </w:sdtContent>
            </w:sdt>
            <w:sdt>
              <w:sdtPr>
                <w:tag w:val="_PLD_6f95e644000d48a497b513d88ac448b2"/>
                <w:id w:val="-506749468"/>
                <w:lock w:val="sdtLocked"/>
              </w:sdtPr>
              <w:sdtContent>
                <w:tc>
                  <w:tcPr>
                    <w:tcW w:w="229" w:type="pct"/>
                    <w:vAlign w:val="center"/>
                  </w:tcPr>
                  <w:p>
                    <w:pPr>
                      <w:jc w:val="center"/>
                    </w:pPr>
                    <w:r>
                      <w:rPr>
                        <w:rFonts w:hint="eastAsia"/>
                      </w:rPr>
                      <w:t>交易场所</w:t>
                    </w:r>
                  </w:p>
                </w:tc>
              </w:sdtContent>
            </w:sdt>
            <w:sdt>
              <w:sdtPr>
                <w:rPr>
                  <w:rFonts w:hint="eastAsia"/>
                </w:rPr>
                <w:tag w:val="_PLD_4f8bb6ea216146418807f05b78ac10dc"/>
                <w:id w:val="-1929192734"/>
                <w:lock w:val="sdtLocked"/>
              </w:sdtPr>
              <w:sdtEndPr>
                <w:rPr>
                  <w:rFonts w:hint="eastAsia"/>
                </w:rPr>
              </w:sdtEndPr>
              <w:sdtContent>
                <w:tc>
                  <w:tcPr>
                    <w:tcW w:w="339" w:type="pct"/>
                    <w:vAlign w:val="center"/>
                  </w:tcPr>
                  <w:p>
                    <w:pPr>
                      <w:jc w:val="center"/>
                    </w:pPr>
                    <w:r>
                      <w:rPr>
                        <w:rFonts w:hint="eastAsia"/>
                      </w:rPr>
                      <w:t>投资者适当性安排（如有）</w:t>
                    </w:r>
                  </w:p>
                </w:tc>
              </w:sdtContent>
            </w:sdt>
            <w:tc>
              <w:tcPr>
                <w:tcW w:w="229" w:type="pct"/>
                <w:vAlign w:val="center"/>
              </w:tcPr>
              <w:sdt>
                <w:sdtPr>
                  <w:rPr>
                    <w:rFonts w:hint="eastAsia"/>
                  </w:rPr>
                  <w:tag w:val="_PLD_d192663cc211442b88877c029c729869"/>
                  <w:id w:val="2072693105"/>
                  <w:lock w:val="sdtLocked"/>
                </w:sdtPr>
                <w:sdtEndPr>
                  <w:rPr>
                    <w:rFonts w:hint="eastAsia"/>
                  </w:rPr>
                </w:sdtEndPr>
                <w:sdtContent>
                  <w:p>
                    <w:pPr>
                      <w:jc w:val="center"/>
                    </w:pPr>
                    <w:r>
                      <w:rPr>
                        <w:rFonts w:hint="eastAsia"/>
                      </w:rPr>
                      <w:t>交易机制</w:t>
                    </w:r>
                  </w:p>
                </w:sdtContent>
              </w:sdt>
            </w:tc>
            <w:sdt>
              <w:sdtPr>
                <w:rPr>
                  <w:rFonts w:hint="eastAsia"/>
                </w:rPr>
                <w:tag w:val="_PLD_0f76b4981a9049cbbe1a608fda9cd3b0"/>
                <w:id w:val="1703047775"/>
                <w:lock w:val="sdtLocked"/>
              </w:sdtPr>
              <w:sdtEndPr>
                <w:rPr>
                  <w:rFonts w:hint="eastAsia"/>
                </w:rPr>
              </w:sdtEndPr>
              <w:sdtContent>
                <w:tc>
                  <w:tcPr>
                    <w:tcW w:w="229" w:type="pct"/>
                  </w:tcPr>
                  <w:p>
                    <w:pPr>
                      <w:jc w:val="center"/>
                    </w:pPr>
                    <w:r>
                      <w:rPr>
                        <w:rFonts w:hint="eastAsia"/>
                      </w:rPr>
                      <w:t>是否存在终止上市交易的风险</w:t>
                    </w:r>
                  </w:p>
                </w:tc>
              </w:sdtContent>
            </w:sdt>
          </w:tr>
          <w:sdt>
            <w:sdtPr>
              <w:rPr>
                <w:rFonts w:hint="eastAsia"/>
                <w:sz w:val="15"/>
                <w:szCs w:val="15"/>
              </w:rPr>
              <w:alias w:val="公司债券基本情况明细"/>
              <w:tag w:val="_TUP_6c2c7e42d34f452cb78fc3b6634a6447"/>
              <w:id w:val="1494833344"/>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2020年度第一 期中期票据</w:t>
                    </w:r>
                  </w:p>
                </w:tc>
                <w:tc>
                  <w:tcPr>
                    <w:tcW w:w="511" w:type="pct"/>
                    <w:vAlign w:val="center"/>
                  </w:tcPr>
                  <w:p>
                    <w:pPr>
                      <w:rPr>
                        <w:sz w:val="15"/>
                        <w:szCs w:val="15"/>
                      </w:rPr>
                    </w:pPr>
                    <w:r>
                      <w:rPr>
                        <w:sz w:val="15"/>
                        <w:szCs w:val="15"/>
                      </w:rPr>
                      <w:t>20宁沪高MTN001</w:t>
                    </w:r>
                  </w:p>
                </w:tc>
                <w:tc>
                  <w:tcPr>
                    <w:tcW w:w="590" w:type="pct"/>
                    <w:vAlign w:val="center"/>
                  </w:tcPr>
                  <w:p>
                    <w:pPr>
                      <w:rPr>
                        <w:sz w:val="15"/>
                        <w:szCs w:val="15"/>
                      </w:rPr>
                    </w:pPr>
                    <w:r>
                      <w:rPr>
                        <w:sz w:val="15"/>
                        <w:szCs w:val="15"/>
                      </w:rPr>
                      <w:t>102001586.IB</w:t>
                    </w:r>
                  </w:p>
                </w:tc>
                <w:tc>
                  <w:tcPr>
                    <w:tcW w:w="511" w:type="pct"/>
                    <w:vAlign w:val="center"/>
                  </w:tcPr>
                  <w:p>
                    <w:pPr>
                      <w:rPr>
                        <w:sz w:val="15"/>
                        <w:szCs w:val="15"/>
                      </w:rPr>
                    </w:pPr>
                    <w:r>
                      <w:rPr>
                        <w:sz w:val="15"/>
                        <w:szCs w:val="15"/>
                      </w:rPr>
                      <w:t>2020/8/19</w:t>
                    </w:r>
                  </w:p>
                </w:tc>
                <w:tc>
                  <w:tcPr>
                    <w:tcW w:w="511" w:type="pct"/>
                    <w:vAlign w:val="center"/>
                  </w:tcPr>
                  <w:p>
                    <w:pPr>
                      <w:rPr>
                        <w:sz w:val="15"/>
                        <w:szCs w:val="15"/>
                      </w:rPr>
                    </w:pPr>
                    <w:r>
                      <w:rPr>
                        <w:sz w:val="15"/>
                        <w:szCs w:val="15"/>
                      </w:rPr>
                      <w:t>2020/8/21</w:t>
                    </w:r>
                  </w:p>
                </w:tc>
                <w:tc>
                  <w:tcPr>
                    <w:tcW w:w="511" w:type="pct"/>
                    <w:vAlign w:val="center"/>
                  </w:tcPr>
                  <w:p>
                    <w:pPr>
                      <w:rPr>
                        <w:sz w:val="15"/>
                        <w:szCs w:val="15"/>
                      </w:rPr>
                    </w:pPr>
                    <w:r>
                      <w:rPr>
                        <w:sz w:val="15"/>
                        <w:szCs w:val="15"/>
                      </w:rPr>
                      <w:t>2025/8/21</w:t>
                    </w:r>
                  </w:p>
                </w:tc>
                <w:tc>
                  <w:tcPr>
                    <w:tcW w:w="316" w:type="pct"/>
                    <w:vAlign w:val="center"/>
                  </w:tcPr>
                  <w:p>
                    <w:pPr>
                      <w:rPr>
                        <w:sz w:val="15"/>
                        <w:szCs w:val="15"/>
                      </w:rPr>
                    </w:pPr>
                    <w:r>
                      <w:rPr>
                        <w:sz w:val="15"/>
                        <w:szCs w:val="15"/>
                      </w:rPr>
                      <w:t>20.00</w:t>
                    </w:r>
                  </w:p>
                </w:tc>
                <w:tc>
                  <w:tcPr>
                    <w:tcW w:w="393" w:type="pct"/>
                    <w:vAlign w:val="center"/>
                  </w:tcPr>
                  <w:p>
                    <w:pPr>
                      <w:rPr>
                        <w:sz w:val="15"/>
                        <w:szCs w:val="15"/>
                      </w:rPr>
                    </w:pPr>
                    <w:r>
                      <w:rPr>
                        <w:sz w:val="15"/>
                        <w:szCs w:val="15"/>
                      </w:rPr>
                      <w:t>3.98</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07748652"/>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320338469"/>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2021年度第一 期中期票据</w:t>
                    </w:r>
                  </w:p>
                </w:tc>
                <w:tc>
                  <w:tcPr>
                    <w:tcW w:w="511" w:type="pct"/>
                    <w:vAlign w:val="center"/>
                  </w:tcPr>
                  <w:p>
                    <w:pPr>
                      <w:rPr>
                        <w:sz w:val="15"/>
                        <w:szCs w:val="15"/>
                      </w:rPr>
                    </w:pPr>
                    <w:r>
                      <w:rPr>
                        <w:sz w:val="15"/>
                        <w:szCs w:val="15"/>
                      </w:rPr>
                      <w:t>21宁沪高MTN001</w:t>
                    </w:r>
                  </w:p>
                </w:tc>
                <w:tc>
                  <w:tcPr>
                    <w:tcW w:w="590" w:type="pct"/>
                    <w:vAlign w:val="center"/>
                  </w:tcPr>
                  <w:p>
                    <w:pPr>
                      <w:rPr>
                        <w:sz w:val="15"/>
                        <w:szCs w:val="15"/>
                      </w:rPr>
                    </w:pPr>
                    <w:r>
                      <w:rPr>
                        <w:sz w:val="15"/>
                        <w:szCs w:val="15"/>
                      </w:rPr>
                      <w:t>102101110.IB</w:t>
                    </w:r>
                  </w:p>
                </w:tc>
                <w:tc>
                  <w:tcPr>
                    <w:tcW w:w="511" w:type="pct"/>
                    <w:vAlign w:val="center"/>
                  </w:tcPr>
                  <w:p>
                    <w:pPr>
                      <w:rPr>
                        <w:sz w:val="15"/>
                        <w:szCs w:val="15"/>
                      </w:rPr>
                    </w:pPr>
                    <w:r>
                      <w:rPr>
                        <w:sz w:val="15"/>
                        <w:szCs w:val="15"/>
                      </w:rPr>
                      <w:t>2021/6/15</w:t>
                    </w:r>
                  </w:p>
                </w:tc>
                <w:tc>
                  <w:tcPr>
                    <w:tcW w:w="511" w:type="pct"/>
                    <w:vAlign w:val="center"/>
                  </w:tcPr>
                  <w:p>
                    <w:pPr>
                      <w:rPr>
                        <w:sz w:val="15"/>
                        <w:szCs w:val="15"/>
                      </w:rPr>
                    </w:pPr>
                    <w:r>
                      <w:rPr>
                        <w:sz w:val="15"/>
                        <w:szCs w:val="15"/>
                      </w:rPr>
                      <w:t>2021/6/17</w:t>
                    </w:r>
                  </w:p>
                </w:tc>
                <w:tc>
                  <w:tcPr>
                    <w:tcW w:w="511" w:type="pct"/>
                    <w:vAlign w:val="center"/>
                  </w:tcPr>
                  <w:p>
                    <w:pPr>
                      <w:rPr>
                        <w:sz w:val="15"/>
                        <w:szCs w:val="15"/>
                      </w:rPr>
                    </w:pPr>
                    <w:r>
                      <w:rPr>
                        <w:sz w:val="15"/>
                        <w:szCs w:val="15"/>
                      </w:rPr>
                      <w:t>2024/6/17</w:t>
                    </w:r>
                  </w:p>
                </w:tc>
                <w:tc>
                  <w:tcPr>
                    <w:tcW w:w="316" w:type="pct"/>
                    <w:vAlign w:val="center"/>
                  </w:tcPr>
                  <w:p>
                    <w:pPr>
                      <w:rPr>
                        <w:sz w:val="15"/>
                        <w:szCs w:val="15"/>
                      </w:rPr>
                    </w:pPr>
                    <w:r>
                      <w:rPr>
                        <w:sz w:val="15"/>
                        <w:szCs w:val="15"/>
                      </w:rPr>
                      <w:t>10.00</w:t>
                    </w:r>
                  </w:p>
                </w:tc>
                <w:tc>
                  <w:tcPr>
                    <w:tcW w:w="393" w:type="pct"/>
                    <w:vAlign w:val="center"/>
                  </w:tcPr>
                  <w:p>
                    <w:pPr>
                      <w:rPr>
                        <w:sz w:val="15"/>
                        <w:szCs w:val="15"/>
                      </w:rPr>
                    </w:pPr>
                    <w:r>
                      <w:rPr>
                        <w:sz w:val="15"/>
                        <w:szCs w:val="15"/>
                      </w:rPr>
                      <w:t>3.45</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6590916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785329067"/>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2021年度第二 期中期票据</w:t>
                    </w:r>
                  </w:p>
                </w:tc>
                <w:tc>
                  <w:tcPr>
                    <w:tcW w:w="511" w:type="pct"/>
                    <w:vAlign w:val="center"/>
                  </w:tcPr>
                  <w:p>
                    <w:pPr>
                      <w:rPr>
                        <w:sz w:val="15"/>
                        <w:szCs w:val="15"/>
                      </w:rPr>
                    </w:pPr>
                    <w:r>
                      <w:rPr>
                        <w:sz w:val="15"/>
                        <w:szCs w:val="15"/>
                      </w:rPr>
                      <w:t>21宁沪高MTN002</w:t>
                    </w:r>
                  </w:p>
                </w:tc>
                <w:tc>
                  <w:tcPr>
                    <w:tcW w:w="590" w:type="pct"/>
                    <w:vAlign w:val="center"/>
                  </w:tcPr>
                  <w:p>
                    <w:pPr>
                      <w:rPr>
                        <w:sz w:val="15"/>
                        <w:szCs w:val="15"/>
                      </w:rPr>
                    </w:pPr>
                    <w:r>
                      <w:rPr>
                        <w:sz w:val="15"/>
                        <w:szCs w:val="15"/>
                      </w:rPr>
                      <w:t>102102145.IB</w:t>
                    </w:r>
                  </w:p>
                </w:tc>
                <w:tc>
                  <w:tcPr>
                    <w:tcW w:w="511" w:type="pct"/>
                    <w:vAlign w:val="center"/>
                  </w:tcPr>
                  <w:p>
                    <w:pPr>
                      <w:rPr>
                        <w:sz w:val="15"/>
                        <w:szCs w:val="15"/>
                      </w:rPr>
                    </w:pPr>
                    <w:r>
                      <w:rPr>
                        <w:sz w:val="15"/>
                        <w:szCs w:val="15"/>
                      </w:rPr>
                      <w:t>2021/1/25</w:t>
                    </w:r>
                  </w:p>
                </w:tc>
                <w:tc>
                  <w:tcPr>
                    <w:tcW w:w="511" w:type="pct"/>
                    <w:vAlign w:val="center"/>
                  </w:tcPr>
                  <w:p>
                    <w:pPr>
                      <w:rPr>
                        <w:sz w:val="15"/>
                        <w:szCs w:val="15"/>
                      </w:rPr>
                    </w:pPr>
                    <w:r>
                      <w:rPr>
                        <w:sz w:val="15"/>
                        <w:szCs w:val="15"/>
                      </w:rPr>
                      <w:t>2021/1/27</w:t>
                    </w:r>
                  </w:p>
                </w:tc>
                <w:tc>
                  <w:tcPr>
                    <w:tcW w:w="511" w:type="pct"/>
                    <w:vAlign w:val="center"/>
                  </w:tcPr>
                  <w:p>
                    <w:pPr>
                      <w:rPr>
                        <w:sz w:val="15"/>
                        <w:szCs w:val="15"/>
                      </w:rPr>
                    </w:pPr>
                    <w:r>
                      <w:rPr>
                        <w:sz w:val="15"/>
                        <w:szCs w:val="15"/>
                      </w:rPr>
                      <w:t>2024/1/27</w:t>
                    </w:r>
                  </w:p>
                </w:tc>
                <w:tc>
                  <w:tcPr>
                    <w:tcW w:w="316" w:type="pct"/>
                    <w:vAlign w:val="center"/>
                  </w:tcPr>
                  <w:p>
                    <w:pPr>
                      <w:rPr>
                        <w:sz w:val="15"/>
                        <w:szCs w:val="15"/>
                      </w:rPr>
                    </w:pPr>
                    <w:r>
                      <w:rPr>
                        <w:sz w:val="15"/>
                        <w:szCs w:val="15"/>
                      </w:rPr>
                      <w:t>5.00</w:t>
                    </w:r>
                  </w:p>
                </w:tc>
                <w:tc>
                  <w:tcPr>
                    <w:tcW w:w="393" w:type="pct"/>
                    <w:vAlign w:val="center"/>
                  </w:tcPr>
                  <w:p>
                    <w:pPr>
                      <w:rPr>
                        <w:sz w:val="15"/>
                        <w:szCs w:val="15"/>
                      </w:rPr>
                    </w:pPr>
                    <w:r>
                      <w:rPr>
                        <w:sz w:val="15"/>
                        <w:szCs w:val="15"/>
                      </w:rPr>
                      <w:t>3.30</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643490626"/>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225538346"/>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2021年度第三 期中期票据</w:t>
                    </w:r>
                  </w:p>
                </w:tc>
                <w:tc>
                  <w:tcPr>
                    <w:tcW w:w="511" w:type="pct"/>
                    <w:vAlign w:val="center"/>
                  </w:tcPr>
                  <w:p>
                    <w:pPr>
                      <w:rPr>
                        <w:sz w:val="15"/>
                        <w:szCs w:val="15"/>
                      </w:rPr>
                    </w:pPr>
                    <w:r>
                      <w:rPr>
                        <w:sz w:val="15"/>
                        <w:szCs w:val="15"/>
                      </w:rPr>
                      <w:t>21宁沪高MTN003</w:t>
                    </w:r>
                  </w:p>
                </w:tc>
                <w:tc>
                  <w:tcPr>
                    <w:tcW w:w="590" w:type="pct"/>
                    <w:vAlign w:val="center"/>
                  </w:tcPr>
                  <w:p>
                    <w:pPr>
                      <w:rPr>
                        <w:sz w:val="15"/>
                        <w:szCs w:val="15"/>
                      </w:rPr>
                    </w:pPr>
                    <w:r>
                      <w:rPr>
                        <w:sz w:val="15"/>
                        <w:szCs w:val="15"/>
                      </w:rPr>
                      <w:t>102103072.IB</w:t>
                    </w:r>
                  </w:p>
                </w:tc>
                <w:tc>
                  <w:tcPr>
                    <w:tcW w:w="511" w:type="pct"/>
                    <w:vAlign w:val="center"/>
                  </w:tcPr>
                  <w:p>
                    <w:pPr>
                      <w:rPr>
                        <w:sz w:val="15"/>
                        <w:szCs w:val="15"/>
                      </w:rPr>
                    </w:pPr>
                    <w:r>
                      <w:rPr>
                        <w:sz w:val="15"/>
                        <w:szCs w:val="15"/>
                      </w:rPr>
                      <w:t>2021/11/22</w:t>
                    </w:r>
                  </w:p>
                </w:tc>
                <w:tc>
                  <w:tcPr>
                    <w:tcW w:w="511" w:type="pct"/>
                    <w:vAlign w:val="center"/>
                  </w:tcPr>
                  <w:p>
                    <w:pPr>
                      <w:rPr>
                        <w:sz w:val="15"/>
                        <w:szCs w:val="15"/>
                      </w:rPr>
                    </w:pPr>
                    <w:r>
                      <w:rPr>
                        <w:sz w:val="15"/>
                        <w:szCs w:val="15"/>
                      </w:rPr>
                      <w:t>2021/11/24</w:t>
                    </w:r>
                  </w:p>
                </w:tc>
                <w:tc>
                  <w:tcPr>
                    <w:tcW w:w="511" w:type="pct"/>
                    <w:vAlign w:val="center"/>
                  </w:tcPr>
                  <w:p>
                    <w:pPr>
                      <w:rPr>
                        <w:sz w:val="15"/>
                        <w:szCs w:val="15"/>
                      </w:rPr>
                    </w:pPr>
                    <w:r>
                      <w:rPr>
                        <w:sz w:val="15"/>
                        <w:szCs w:val="15"/>
                      </w:rPr>
                      <w:t>2024/11/24</w:t>
                    </w:r>
                  </w:p>
                </w:tc>
                <w:tc>
                  <w:tcPr>
                    <w:tcW w:w="316" w:type="pct"/>
                    <w:vAlign w:val="center"/>
                  </w:tcPr>
                  <w:p>
                    <w:pPr>
                      <w:rPr>
                        <w:sz w:val="15"/>
                        <w:szCs w:val="15"/>
                      </w:rPr>
                    </w:pPr>
                    <w:r>
                      <w:rPr>
                        <w:sz w:val="15"/>
                        <w:szCs w:val="15"/>
                      </w:rPr>
                      <w:t>5.00</w:t>
                    </w:r>
                  </w:p>
                </w:tc>
                <w:tc>
                  <w:tcPr>
                    <w:tcW w:w="393" w:type="pct"/>
                    <w:vAlign w:val="center"/>
                  </w:tcPr>
                  <w:p>
                    <w:pPr>
                      <w:rPr>
                        <w:sz w:val="15"/>
                        <w:szCs w:val="15"/>
                      </w:rPr>
                    </w:pPr>
                    <w:r>
                      <w:rPr>
                        <w:sz w:val="15"/>
                        <w:szCs w:val="15"/>
                      </w:rPr>
                      <w:t>3.13</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58883827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280078785"/>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2022年度第一 期綠色中期票据( 科创票据)</w:t>
                    </w:r>
                  </w:p>
                </w:tc>
                <w:tc>
                  <w:tcPr>
                    <w:tcW w:w="511" w:type="pct"/>
                    <w:vAlign w:val="center"/>
                  </w:tcPr>
                  <w:p>
                    <w:pPr>
                      <w:rPr>
                        <w:sz w:val="15"/>
                        <w:szCs w:val="15"/>
                      </w:rPr>
                    </w:pPr>
                    <w:r>
                      <w:rPr>
                        <w:sz w:val="15"/>
                        <w:szCs w:val="15"/>
                      </w:rPr>
                      <w:t>22 宁沪 高MTN001( 科创票 据)</w:t>
                    </w:r>
                  </w:p>
                </w:tc>
                <w:tc>
                  <w:tcPr>
                    <w:tcW w:w="590" w:type="pct"/>
                    <w:vAlign w:val="center"/>
                  </w:tcPr>
                  <w:p>
                    <w:pPr>
                      <w:rPr>
                        <w:sz w:val="15"/>
                        <w:szCs w:val="15"/>
                      </w:rPr>
                    </w:pPr>
                    <w:r>
                      <w:rPr>
                        <w:sz w:val="15"/>
                        <w:szCs w:val="15"/>
                      </w:rPr>
                      <w:t>102281915.IB</w:t>
                    </w:r>
                  </w:p>
                </w:tc>
                <w:tc>
                  <w:tcPr>
                    <w:tcW w:w="511" w:type="pct"/>
                    <w:vAlign w:val="center"/>
                  </w:tcPr>
                  <w:p>
                    <w:pPr>
                      <w:rPr>
                        <w:sz w:val="15"/>
                        <w:szCs w:val="15"/>
                      </w:rPr>
                    </w:pPr>
                    <w:r>
                      <w:rPr>
                        <w:sz w:val="15"/>
                        <w:szCs w:val="15"/>
                      </w:rPr>
                      <w:t>2022/9/13</w:t>
                    </w:r>
                  </w:p>
                </w:tc>
                <w:tc>
                  <w:tcPr>
                    <w:tcW w:w="511" w:type="pct"/>
                    <w:vAlign w:val="center"/>
                  </w:tcPr>
                  <w:p>
                    <w:pPr>
                      <w:rPr>
                        <w:sz w:val="15"/>
                        <w:szCs w:val="15"/>
                      </w:rPr>
                    </w:pPr>
                    <w:r>
                      <w:rPr>
                        <w:sz w:val="15"/>
                        <w:szCs w:val="15"/>
                      </w:rPr>
                      <w:t>2022/9/15</w:t>
                    </w:r>
                  </w:p>
                </w:tc>
                <w:tc>
                  <w:tcPr>
                    <w:tcW w:w="511" w:type="pct"/>
                    <w:vAlign w:val="center"/>
                  </w:tcPr>
                  <w:p>
                    <w:pPr>
                      <w:rPr>
                        <w:sz w:val="15"/>
                        <w:szCs w:val="15"/>
                      </w:rPr>
                    </w:pPr>
                    <w:r>
                      <w:rPr>
                        <w:sz w:val="15"/>
                        <w:szCs w:val="15"/>
                      </w:rPr>
                      <w:t>2025/9/15</w:t>
                    </w:r>
                  </w:p>
                </w:tc>
                <w:tc>
                  <w:tcPr>
                    <w:tcW w:w="316" w:type="pct"/>
                    <w:vAlign w:val="center"/>
                  </w:tcPr>
                  <w:p>
                    <w:pPr>
                      <w:rPr>
                        <w:sz w:val="15"/>
                        <w:szCs w:val="15"/>
                      </w:rPr>
                    </w:pPr>
                    <w:r>
                      <w:rPr>
                        <w:sz w:val="15"/>
                        <w:szCs w:val="15"/>
                      </w:rPr>
                      <w:t>7.00</w:t>
                    </w:r>
                  </w:p>
                </w:tc>
                <w:tc>
                  <w:tcPr>
                    <w:tcW w:w="393" w:type="pct"/>
                    <w:vAlign w:val="center"/>
                  </w:tcPr>
                  <w:p>
                    <w:pPr>
                      <w:rPr>
                        <w:sz w:val="15"/>
                        <w:szCs w:val="15"/>
                      </w:rPr>
                    </w:pPr>
                    <w:r>
                      <w:rPr>
                        <w:sz w:val="15"/>
                        <w:szCs w:val="15"/>
                      </w:rPr>
                      <w:t>2.49</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89238273"/>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806660366"/>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2022年度第二 期中期票据</w:t>
                    </w:r>
                  </w:p>
                </w:tc>
                <w:tc>
                  <w:tcPr>
                    <w:tcW w:w="511" w:type="pct"/>
                    <w:vAlign w:val="center"/>
                  </w:tcPr>
                  <w:p>
                    <w:pPr>
                      <w:rPr>
                        <w:sz w:val="15"/>
                        <w:szCs w:val="15"/>
                      </w:rPr>
                    </w:pPr>
                    <w:r>
                      <w:rPr>
                        <w:sz w:val="15"/>
                        <w:szCs w:val="15"/>
                      </w:rPr>
                      <w:t>22 宁沪 高MTN002</w:t>
                    </w:r>
                  </w:p>
                </w:tc>
                <w:tc>
                  <w:tcPr>
                    <w:tcW w:w="590" w:type="pct"/>
                    <w:vAlign w:val="center"/>
                  </w:tcPr>
                  <w:p>
                    <w:pPr>
                      <w:rPr>
                        <w:sz w:val="15"/>
                        <w:szCs w:val="15"/>
                      </w:rPr>
                    </w:pPr>
                    <w:r>
                      <w:rPr>
                        <w:sz w:val="15"/>
                        <w:szCs w:val="15"/>
                      </w:rPr>
                      <w:t>102282216.IB</w:t>
                    </w:r>
                  </w:p>
                </w:tc>
                <w:tc>
                  <w:tcPr>
                    <w:tcW w:w="511" w:type="pct"/>
                    <w:vAlign w:val="center"/>
                  </w:tcPr>
                  <w:p>
                    <w:pPr>
                      <w:rPr>
                        <w:sz w:val="15"/>
                        <w:szCs w:val="15"/>
                      </w:rPr>
                    </w:pPr>
                    <w:r>
                      <w:rPr>
                        <w:sz w:val="15"/>
                        <w:szCs w:val="15"/>
                      </w:rPr>
                      <w:t>2022/10/10</w:t>
                    </w:r>
                  </w:p>
                </w:tc>
                <w:tc>
                  <w:tcPr>
                    <w:tcW w:w="511" w:type="pct"/>
                    <w:vAlign w:val="center"/>
                  </w:tcPr>
                  <w:p>
                    <w:pPr>
                      <w:rPr>
                        <w:sz w:val="15"/>
                        <w:szCs w:val="15"/>
                      </w:rPr>
                    </w:pPr>
                    <w:r>
                      <w:rPr>
                        <w:sz w:val="15"/>
                        <w:szCs w:val="15"/>
                      </w:rPr>
                      <w:t>2022/10/11</w:t>
                    </w:r>
                  </w:p>
                </w:tc>
                <w:tc>
                  <w:tcPr>
                    <w:tcW w:w="511" w:type="pct"/>
                    <w:vAlign w:val="center"/>
                  </w:tcPr>
                  <w:p>
                    <w:pPr>
                      <w:rPr>
                        <w:sz w:val="15"/>
                        <w:szCs w:val="15"/>
                      </w:rPr>
                    </w:pPr>
                    <w:r>
                      <w:rPr>
                        <w:sz w:val="15"/>
                        <w:szCs w:val="15"/>
                      </w:rPr>
                      <w:t>2025/10/11</w:t>
                    </w:r>
                  </w:p>
                </w:tc>
                <w:tc>
                  <w:tcPr>
                    <w:tcW w:w="316" w:type="pct"/>
                    <w:vAlign w:val="center"/>
                  </w:tcPr>
                  <w:p>
                    <w:pPr>
                      <w:rPr>
                        <w:sz w:val="15"/>
                        <w:szCs w:val="15"/>
                      </w:rPr>
                    </w:pPr>
                    <w:r>
                      <w:rPr>
                        <w:sz w:val="15"/>
                        <w:szCs w:val="15"/>
                      </w:rPr>
                      <w:t>3.00</w:t>
                    </w:r>
                  </w:p>
                </w:tc>
                <w:tc>
                  <w:tcPr>
                    <w:tcW w:w="393" w:type="pct"/>
                    <w:vAlign w:val="center"/>
                  </w:tcPr>
                  <w:p>
                    <w:pPr>
                      <w:rPr>
                        <w:sz w:val="15"/>
                        <w:szCs w:val="15"/>
                      </w:rPr>
                    </w:pPr>
                    <w:r>
                      <w:rPr>
                        <w:sz w:val="15"/>
                        <w:szCs w:val="15"/>
                      </w:rPr>
                      <w:t>2.49</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213347150"/>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354770316"/>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2022年度第三 期中期票据</w:t>
                    </w:r>
                  </w:p>
                </w:tc>
                <w:tc>
                  <w:tcPr>
                    <w:tcW w:w="511" w:type="pct"/>
                    <w:vAlign w:val="center"/>
                  </w:tcPr>
                  <w:p>
                    <w:pPr>
                      <w:rPr>
                        <w:sz w:val="15"/>
                        <w:szCs w:val="15"/>
                      </w:rPr>
                    </w:pPr>
                    <w:r>
                      <w:rPr>
                        <w:sz w:val="15"/>
                        <w:szCs w:val="15"/>
                      </w:rPr>
                      <w:t>22 宁沪 高MTN003</w:t>
                    </w:r>
                  </w:p>
                </w:tc>
                <w:tc>
                  <w:tcPr>
                    <w:tcW w:w="590" w:type="pct"/>
                    <w:vAlign w:val="center"/>
                  </w:tcPr>
                  <w:p>
                    <w:pPr>
                      <w:rPr>
                        <w:sz w:val="15"/>
                        <w:szCs w:val="15"/>
                      </w:rPr>
                    </w:pPr>
                    <w:r>
                      <w:rPr>
                        <w:sz w:val="15"/>
                        <w:szCs w:val="15"/>
                      </w:rPr>
                      <w:t>102282433.IB</w:t>
                    </w:r>
                  </w:p>
                </w:tc>
                <w:tc>
                  <w:tcPr>
                    <w:tcW w:w="511" w:type="pct"/>
                    <w:vAlign w:val="center"/>
                  </w:tcPr>
                  <w:p>
                    <w:pPr>
                      <w:rPr>
                        <w:sz w:val="15"/>
                        <w:szCs w:val="15"/>
                      </w:rPr>
                    </w:pPr>
                    <w:r>
                      <w:rPr>
                        <w:sz w:val="15"/>
                        <w:szCs w:val="15"/>
                      </w:rPr>
                      <w:t>2022/10/31</w:t>
                    </w:r>
                  </w:p>
                </w:tc>
                <w:tc>
                  <w:tcPr>
                    <w:tcW w:w="511" w:type="pct"/>
                    <w:vAlign w:val="center"/>
                  </w:tcPr>
                  <w:p>
                    <w:pPr>
                      <w:rPr>
                        <w:sz w:val="15"/>
                        <w:szCs w:val="15"/>
                      </w:rPr>
                    </w:pPr>
                    <w:r>
                      <w:rPr>
                        <w:sz w:val="15"/>
                        <w:szCs w:val="15"/>
                      </w:rPr>
                      <w:t>2022/11/2</w:t>
                    </w:r>
                  </w:p>
                </w:tc>
                <w:tc>
                  <w:tcPr>
                    <w:tcW w:w="511" w:type="pct"/>
                    <w:vAlign w:val="center"/>
                  </w:tcPr>
                  <w:p>
                    <w:pPr>
                      <w:rPr>
                        <w:sz w:val="15"/>
                        <w:szCs w:val="15"/>
                      </w:rPr>
                    </w:pPr>
                    <w:r>
                      <w:rPr>
                        <w:sz w:val="15"/>
                        <w:szCs w:val="15"/>
                      </w:rPr>
                      <w:t>2025/11/2</w:t>
                    </w:r>
                  </w:p>
                </w:tc>
                <w:tc>
                  <w:tcPr>
                    <w:tcW w:w="316" w:type="pct"/>
                    <w:vAlign w:val="center"/>
                  </w:tcPr>
                  <w:p>
                    <w:pPr>
                      <w:rPr>
                        <w:sz w:val="15"/>
                        <w:szCs w:val="15"/>
                      </w:rPr>
                    </w:pPr>
                    <w:r>
                      <w:rPr>
                        <w:sz w:val="15"/>
                        <w:szCs w:val="15"/>
                      </w:rPr>
                      <w:t>5.00</w:t>
                    </w:r>
                  </w:p>
                </w:tc>
                <w:tc>
                  <w:tcPr>
                    <w:tcW w:w="393" w:type="pct"/>
                    <w:vAlign w:val="center"/>
                  </w:tcPr>
                  <w:p>
                    <w:pPr>
                      <w:rPr>
                        <w:sz w:val="15"/>
                        <w:szCs w:val="15"/>
                      </w:rPr>
                    </w:pPr>
                    <w:r>
                      <w:rPr>
                        <w:sz w:val="15"/>
                        <w:szCs w:val="15"/>
                      </w:rPr>
                      <w:t>2.55</w:t>
                    </w:r>
                  </w:p>
                </w:tc>
                <w:tc>
                  <w:tcPr>
                    <w:tcW w:w="276" w:type="pct"/>
                    <w:vAlign w:val="center"/>
                  </w:tcPr>
                  <w:p>
                    <w:pPr>
                      <w:rPr>
                        <w:sz w:val="15"/>
                        <w:szCs w:val="15"/>
                      </w:rPr>
                    </w:pPr>
                    <w:r>
                      <w:rPr>
                        <w:sz w:val="15"/>
                        <w:szCs w:val="15"/>
                      </w:rPr>
                      <w:t>一次还本，按年付息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692571929"/>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591849995"/>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2023年度第一期超短期融资券</w:t>
                    </w:r>
                  </w:p>
                </w:tc>
                <w:tc>
                  <w:tcPr>
                    <w:tcW w:w="511" w:type="pct"/>
                    <w:vAlign w:val="center"/>
                  </w:tcPr>
                  <w:p>
                    <w:pPr>
                      <w:rPr>
                        <w:sz w:val="15"/>
                        <w:szCs w:val="15"/>
                      </w:rPr>
                    </w:pPr>
                    <w:r>
                      <w:rPr>
                        <w:sz w:val="15"/>
                        <w:szCs w:val="15"/>
                      </w:rPr>
                      <w:t>23宁沪高SCP001</w:t>
                    </w:r>
                  </w:p>
                </w:tc>
                <w:tc>
                  <w:tcPr>
                    <w:tcW w:w="590" w:type="pct"/>
                    <w:vAlign w:val="center"/>
                  </w:tcPr>
                  <w:p>
                    <w:pPr>
                      <w:rPr>
                        <w:sz w:val="15"/>
                        <w:szCs w:val="15"/>
                      </w:rPr>
                    </w:pPr>
                    <w:r>
                      <w:rPr>
                        <w:sz w:val="15"/>
                        <w:szCs w:val="15"/>
                      </w:rPr>
                      <w:t>012380018.IB</w:t>
                    </w:r>
                  </w:p>
                </w:tc>
                <w:tc>
                  <w:tcPr>
                    <w:tcW w:w="511" w:type="pct"/>
                    <w:vAlign w:val="center"/>
                  </w:tcPr>
                  <w:p>
                    <w:pPr>
                      <w:rPr>
                        <w:sz w:val="15"/>
                        <w:szCs w:val="15"/>
                      </w:rPr>
                    </w:pPr>
                    <w:r>
                      <w:rPr>
                        <w:sz w:val="15"/>
                        <w:szCs w:val="15"/>
                      </w:rPr>
                      <w:t>2023/1/3</w:t>
                    </w:r>
                  </w:p>
                </w:tc>
                <w:tc>
                  <w:tcPr>
                    <w:tcW w:w="511" w:type="pct"/>
                    <w:vAlign w:val="center"/>
                  </w:tcPr>
                  <w:p>
                    <w:pPr>
                      <w:rPr>
                        <w:sz w:val="15"/>
                        <w:szCs w:val="15"/>
                      </w:rPr>
                    </w:pPr>
                    <w:r>
                      <w:rPr>
                        <w:sz w:val="15"/>
                        <w:szCs w:val="15"/>
                      </w:rPr>
                      <w:t>2023/1/4</w:t>
                    </w:r>
                  </w:p>
                </w:tc>
                <w:tc>
                  <w:tcPr>
                    <w:tcW w:w="511" w:type="pct"/>
                    <w:vAlign w:val="center"/>
                  </w:tcPr>
                  <w:p>
                    <w:pPr>
                      <w:rPr>
                        <w:sz w:val="15"/>
                        <w:szCs w:val="15"/>
                      </w:rPr>
                    </w:pPr>
                    <w:r>
                      <w:rPr>
                        <w:sz w:val="15"/>
                        <w:szCs w:val="15"/>
                      </w:rPr>
                      <w:t>2023/4/7</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2.30</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87642319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283931556"/>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2023年度第二期超短期融资券</w:t>
                    </w:r>
                  </w:p>
                </w:tc>
                <w:tc>
                  <w:tcPr>
                    <w:tcW w:w="511" w:type="pct"/>
                    <w:vAlign w:val="center"/>
                  </w:tcPr>
                  <w:p>
                    <w:pPr>
                      <w:rPr>
                        <w:sz w:val="15"/>
                        <w:szCs w:val="15"/>
                      </w:rPr>
                    </w:pPr>
                    <w:r>
                      <w:rPr>
                        <w:sz w:val="15"/>
                        <w:szCs w:val="15"/>
                      </w:rPr>
                      <w:t>23宁沪高SCP002</w:t>
                    </w:r>
                  </w:p>
                </w:tc>
                <w:tc>
                  <w:tcPr>
                    <w:tcW w:w="590" w:type="pct"/>
                    <w:vAlign w:val="center"/>
                  </w:tcPr>
                  <w:p>
                    <w:pPr>
                      <w:rPr>
                        <w:sz w:val="15"/>
                        <w:szCs w:val="15"/>
                      </w:rPr>
                    </w:pPr>
                    <w:r>
                      <w:rPr>
                        <w:sz w:val="15"/>
                        <w:szCs w:val="15"/>
                      </w:rPr>
                      <w:t>012380014.IB</w:t>
                    </w:r>
                  </w:p>
                </w:tc>
                <w:tc>
                  <w:tcPr>
                    <w:tcW w:w="511" w:type="pct"/>
                    <w:vAlign w:val="center"/>
                  </w:tcPr>
                  <w:p>
                    <w:pPr>
                      <w:rPr>
                        <w:sz w:val="15"/>
                        <w:szCs w:val="15"/>
                      </w:rPr>
                    </w:pPr>
                    <w:r>
                      <w:rPr>
                        <w:sz w:val="15"/>
                        <w:szCs w:val="15"/>
                      </w:rPr>
                      <w:t>2023/1/3</w:t>
                    </w:r>
                  </w:p>
                </w:tc>
                <w:tc>
                  <w:tcPr>
                    <w:tcW w:w="511" w:type="pct"/>
                    <w:vAlign w:val="center"/>
                  </w:tcPr>
                  <w:p>
                    <w:pPr>
                      <w:rPr>
                        <w:sz w:val="15"/>
                        <w:szCs w:val="15"/>
                      </w:rPr>
                    </w:pPr>
                    <w:r>
                      <w:rPr>
                        <w:sz w:val="15"/>
                        <w:szCs w:val="15"/>
                      </w:rPr>
                      <w:t>2023/1/4</w:t>
                    </w:r>
                  </w:p>
                </w:tc>
                <w:tc>
                  <w:tcPr>
                    <w:tcW w:w="511" w:type="pct"/>
                    <w:vAlign w:val="center"/>
                  </w:tcPr>
                  <w:p>
                    <w:pPr>
                      <w:rPr>
                        <w:sz w:val="15"/>
                        <w:szCs w:val="15"/>
                      </w:rPr>
                    </w:pPr>
                    <w:r>
                      <w:rPr>
                        <w:sz w:val="15"/>
                        <w:szCs w:val="15"/>
                      </w:rPr>
                      <w:t>2023/4/7</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2.30</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29004308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918434740"/>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2023年度第三期超短期融资券</w:t>
                    </w:r>
                  </w:p>
                </w:tc>
                <w:tc>
                  <w:tcPr>
                    <w:tcW w:w="511" w:type="pct"/>
                    <w:vAlign w:val="center"/>
                  </w:tcPr>
                  <w:p>
                    <w:pPr>
                      <w:rPr>
                        <w:sz w:val="15"/>
                        <w:szCs w:val="15"/>
                      </w:rPr>
                    </w:pPr>
                    <w:r>
                      <w:rPr>
                        <w:sz w:val="15"/>
                        <w:szCs w:val="15"/>
                      </w:rPr>
                      <w:t>23宁沪高SCP003</w:t>
                    </w:r>
                  </w:p>
                </w:tc>
                <w:tc>
                  <w:tcPr>
                    <w:tcW w:w="590" w:type="pct"/>
                    <w:vAlign w:val="center"/>
                  </w:tcPr>
                  <w:p>
                    <w:pPr>
                      <w:rPr>
                        <w:sz w:val="15"/>
                        <w:szCs w:val="15"/>
                      </w:rPr>
                    </w:pPr>
                    <w:r>
                      <w:rPr>
                        <w:sz w:val="15"/>
                        <w:szCs w:val="15"/>
                      </w:rPr>
                      <w:t>012380017.IB</w:t>
                    </w:r>
                  </w:p>
                </w:tc>
                <w:tc>
                  <w:tcPr>
                    <w:tcW w:w="511" w:type="pct"/>
                    <w:vAlign w:val="center"/>
                  </w:tcPr>
                  <w:p>
                    <w:pPr>
                      <w:rPr>
                        <w:sz w:val="15"/>
                        <w:szCs w:val="15"/>
                      </w:rPr>
                    </w:pPr>
                    <w:r>
                      <w:rPr>
                        <w:sz w:val="15"/>
                        <w:szCs w:val="15"/>
                      </w:rPr>
                      <w:t>2023/1/3</w:t>
                    </w:r>
                  </w:p>
                </w:tc>
                <w:tc>
                  <w:tcPr>
                    <w:tcW w:w="511" w:type="pct"/>
                    <w:vAlign w:val="center"/>
                  </w:tcPr>
                  <w:p>
                    <w:pPr>
                      <w:rPr>
                        <w:sz w:val="15"/>
                        <w:szCs w:val="15"/>
                      </w:rPr>
                    </w:pPr>
                    <w:r>
                      <w:rPr>
                        <w:sz w:val="15"/>
                        <w:szCs w:val="15"/>
                      </w:rPr>
                      <w:t>2023/1/4</w:t>
                    </w:r>
                  </w:p>
                </w:tc>
                <w:tc>
                  <w:tcPr>
                    <w:tcW w:w="511" w:type="pct"/>
                    <w:vAlign w:val="center"/>
                  </w:tcPr>
                  <w:p>
                    <w:pPr>
                      <w:rPr>
                        <w:sz w:val="15"/>
                        <w:szCs w:val="15"/>
                      </w:rPr>
                    </w:pPr>
                    <w:r>
                      <w:rPr>
                        <w:sz w:val="15"/>
                        <w:szCs w:val="15"/>
                      </w:rPr>
                      <w:t>2023/4/7</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2.30</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052372916"/>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419986721"/>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2023年度第四期超短期融资券</w:t>
                    </w:r>
                  </w:p>
                </w:tc>
                <w:tc>
                  <w:tcPr>
                    <w:tcW w:w="511" w:type="pct"/>
                    <w:vAlign w:val="center"/>
                  </w:tcPr>
                  <w:p>
                    <w:pPr>
                      <w:rPr>
                        <w:sz w:val="15"/>
                        <w:szCs w:val="15"/>
                      </w:rPr>
                    </w:pPr>
                    <w:r>
                      <w:rPr>
                        <w:sz w:val="15"/>
                        <w:szCs w:val="15"/>
                      </w:rPr>
                      <w:t>23宁沪高SCP004</w:t>
                    </w:r>
                  </w:p>
                </w:tc>
                <w:tc>
                  <w:tcPr>
                    <w:tcW w:w="590" w:type="pct"/>
                    <w:vAlign w:val="center"/>
                  </w:tcPr>
                  <w:p>
                    <w:pPr>
                      <w:rPr>
                        <w:sz w:val="15"/>
                        <w:szCs w:val="15"/>
                      </w:rPr>
                    </w:pPr>
                    <w:r>
                      <w:rPr>
                        <w:sz w:val="15"/>
                        <w:szCs w:val="15"/>
                      </w:rPr>
                      <w:t>012380020.IB</w:t>
                    </w:r>
                  </w:p>
                </w:tc>
                <w:tc>
                  <w:tcPr>
                    <w:tcW w:w="511" w:type="pct"/>
                    <w:vAlign w:val="center"/>
                  </w:tcPr>
                  <w:p>
                    <w:pPr>
                      <w:rPr>
                        <w:sz w:val="15"/>
                        <w:szCs w:val="15"/>
                      </w:rPr>
                    </w:pPr>
                    <w:r>
                      <w:rPr>
                        <w:sz w:val="15"/>
                        <w:szCs w:val="15"/>
                      </w:rPr>
                      <w:t>2023/1/3</w:t>
                    </w:r>
                  </w:p>
                </w:tc>
                <w:tc>
                  <w:tcPr>
                    <w:tcW w:w="511" w:type="pct"/>
                    <w:vAlign w:val="center"/>
                  </w:tcPr>
                  <w:p>
                    <w:pPr>
                      <w:rPr>
                        <w:sz w:val="15"/>
                        <w:szCs w:val="15"/>
                      </w:rPr>
                    </w:pPr>
                    <w:r>
                      <w:rPr>
                        <w:sz w:val="15"/>
                        <w:szCs w:val="15"/>
                      </w:rPr>
                      <w:t>2023/1/4</w:t>
                    </w:r>
                  </w:p>
                </w:tc>
                <w:tc>
                  <w:tcPr>
                    <w:tcW w:w="511" w:type="pct"/>
                    <w:vAlign w:val="center"/>
                  </w:tcPr>
                  <w:p>
                    <w:pPr>
                      <w:rPr>
                        <w:sz w:val="15"/>
                        <w:szCs w:val="15"/>
                      </w:rPr>
                    </w:pPr>
                    <w:r>
                      <w:rPr>
                        <w:sz w:val="15"/>
                        <w:szCs w:val="15"/>
                      </w:rPr>
                      <w:t>2023/4/7</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2.30</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35885149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448361323"/>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2023年度第五期超短期融资券</w:t>
                    </w:r>
                  </w:p>
                </w:tc>
                <w:tc>
                  <w:tcPr>
                    <w:tcW w:w="511" w:type="pct"/>
                    <w:vAlign w:val="center"/>
                  </w:tcPr>
                  <w:p>
                    <w:pPr>
                      <w:rPr>
                        <w:sz w:val="15"/>
                        <w:szCs w:val="15"/>
                      </w:rPr>
                    </w:pPr>
                    <w:r>
                      <w:rPr>
                        <w:sz w:val="15"/>
                        <w:szCs w:val="15"/>
                      </w:rPr>
                      <w:t>23宁沪高SCP005</w:t>
                    </w:r>
                  </w:p>
                </w:tc>
                <w:tc>
                  <w:tcPr>
                    <w:tcW w:w="590" w:type="pct"/>
                    <w:vAlign w:val="center"/>
                  </w:tcPr>
                  <w:p>
                    <w:pPr>
                      <w:rPr>
                        <w:sz w:val="15"/>
                        <w:szCs w:val="15"/>
                      </w:rPr>
                    </w:pPr>
                    <w:r>
                      <w:rPr>
                        <w:sz w:val="15"/>
                        <w:szCs w:val="15"/>
                      </w:rPr>
                      <w:t>012380395.IB</w:t>
                    </w:r>
                  </w:p>
                </w:tc>
                <w:tc>
                  <w:tcPr>
                    <w:tcW w:w="511" w:type="pct"/>
                    <w:vAlign w:val="center"/>
                  </w:tcPr>
                  <w:p>
                    <w:pPr>
                      <w:rPr>
                        <w:sz w:val="15"/>
                        <w:szCs w:val="15"/>
                      </w:rPr>
                    </w:pPr>
                    <w:r>
                      <w:rPr>
                        <w:sz w:val="15"/>
                        <w:szCs w:val="15"/>
                      </w:rPr>
                      <w:t>2023/2/6</w:t>
                    </w:r>
                  </w:p>
                </w:tc>
                <w:tc>
                  <w:tcPr>
                    <w:tcW w:w="511" w:type="pct"/>
                    <w:vAlign w:val="center"/>
                  </w:tcPr>
                  <w:p>
                    <w:pPr>
                      <w:rPr>
                        <w:sz w:val="15"/>
                        <w:szCs w:val="15"/>
                      </w:rPr>
                    </w:pPr>
                    <w:r>
                      <w:rPr>
                        <w:sz w:val="15"/>
                        <w:szCs w:val="15"/>
                      </w:rPr>
                      <w:t>2023/2/7</w:t>
                    </w:r>
                  </w:p>
                </w:tc>
                <w:tc>
                  <w:tcPr>
                    <w:tcW w:w="511" w:type="pct"/>
                    <w:vAlign w:val="center"/>
                  </w:tcPr>
                  <w:p>
                    <w:pPr>
                      <w:rPr>
                        <w:sz w:val="15"/>
                        <w:szCs w:val="15"/>
                      </w:rPr>
                    </w:pPr>
                    <w:r>
                      <w:rPr>
                        <w:sz w:val="15"/>
                        <w:szCs w:val="15"/>
                      </w:rPr>
                      <w:t>2023/5/12</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2.15</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425394502"/>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81113217"/>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2023年度第六期超短期融资券</w:t>
                    </w:r>
                  </w:p>
                </w:tc>
                <w:tc>
                  <w:tcPr>
                    <w:tcW w:w="511" w:type="pct"/>
                    <w:vAlign w:val="center"/>
                  </w:tcPr>
                  <w:p>
                    <w:pPr>
                      <w:rPr>
                        <w:sz w:val="15"/>
                        <w:szCs w:val="15"/>
                      </w:rPr>
                    </w:pPr>
                    <w:r>
                      <w:rPr>
                        <w:sz w:val="15"/>
                        <w:szCs w:val="15"/>
                      </w:rPr>
                      <w:t>23宁沪高SCP006</w:t>
                    </w:r>
                  </w:p>
                </w:tc>
                <w:tc>
                  <w:tcPr>
                    <w:tcW w:w="590" w:type="pct"/>
                    <w:vAlign w:val="center"/>
                  </w:tcPr>
                  <w:p>
                    <w:pPr>
                      <w:rPr>
                        <w:sz w:val="15"/>
                        <w:szCs w:val="15"/>
                      </w:rPr>
                    </w:pPr>
                    <w:r>
                      <w:rPr>
                        <w:sz w:val="15"/>
                        <w:szCs w:val="15"/>
                      </w:rPr>
                      <w:t>012380390.IB</w:t>
                    </w:r>
                  </w:p>
                </w:tc>
                <w:tc>
                  <w:tcPr>
                    <w:tcW w:w="511" w:type="pct"/>
                    <w:vAlign w:val="center"/>
                  </w:tcPr>
                  <w:p>
                    <w:pPr>
                      <w:rPr>
                        <w:sz w:val="15"/>
                        <w:szCs w:val="15"/>
                      </w:rPr>
                    </w:pPr>
                    <w:r>
                      <w:rPr>
                        <w:sz w:val="15"/>
                        <w:szCs w:val="15"/>
                      </w:rPr>
                      <w:t>2023/2/6</w:t>
                    </w:r>
                  </w:p>
                </w:tc>
                <w:tc>
                  <w:tcPr>
                    <w:tcW w:w="511" w:type="pct"/>
                    <w:vAlign w:val="center"/>
                  </w:tcPr>
                  <w:p>
                    <w:pPr>
                      <w:rPr>
                        <w:sz w:val="15"/>
                        <w:szCs w:val="15"/>
                      </w:rPr>
                    </w:pPr>
                    <w:r>
                      <w:rPr>
                        <w:sz w:val="15"/>
                        <w:szCs w:val="15"/>
                      </w:rPr>
                      <w:t>2023/2/7</w:t>
                    </w:r>
                  </w:p>
                </w:tc>
                <w:tc>
                  <w:tcPr>
                    <w:tcW w:w="511" w:type="pct"/>
                    <w:vAlign w:val="center"/>
                  </w:tcPr>
                  <w:p>
                    <w:pPr>
                      <w:rPr>
                        <w:sz w:val="15"/>
                        <w:szCs w:val="15"/>
                      </w:rPr>
                    </w:pPr>
                    <w:r>
                      <w:rPr>
                        <w:sz w:val="15"/>
                        <w:szCs w:val="15"/>
                      </w:rPr>
                      <w:t>2023/5/12</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2.15</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447273902"/>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190059499"/>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2023年度第七期超短期融资券</w:t>
                    </w:r>
                  </w:p>
                </w:tc>
                <w:tc>
                  <w:tcPr>
                    <w:tcW w:w="511" w:type="pct"/>
                    <w:vAlign w:val="center"/>
                  </w:tcPr>
                  <w:p>
                    <w:pPr>
                      <w:rPr>
                        <w:sz w:val="15"/>
                        <w:szCs w:val="15"/>
                      </w:rPr>
                    </w:pPr>
                    <w:r>
                      <w:rPr>
                        <w:sz w:val="15"/>
                        <w:szCs w:val="15"/>
                      </w:rPr>
                      <w:t>23宁沪高SCP007</w:t>
                    </w:r>
                  </w:p>
                </w:tc>
                <w:tc>
                  <w:tcPr>
                    <w:tcW w:w="590" w:type="pct"/>
                    <w:vAlign w:val="center"/>
                  </w:tcPr>
                  <w:p>
                    <w:pPr>
                      <w:rPr>
                        <w:sz w:val="15"/>
                        <w:szCs w:val="15"/>
                      </w:rPr>
                    </w:pPr>
                    <w:r>
                      <w:rPr>
                        <w:sz w:val="15"/>
                        <w:szCs w:val="15"/>
                      </w:rPr>
                      <w:t>012380752.IB</w:t>
                    </w:r>
                  </w:p>
                </w:tc>
                <w:tc>
                  <w:tcPr>
                    <w:tcW w:w="511" w:type="pct"/>
                    <w:vAlign w:val="center"/>
                  </w:tcPr>
                  <w:p>
                    <w:pPr>
                      <w:rPr>
                        <w:sz w:val="15"/>
                        <w:szCs w:val="15"/>
                      </w:rPr>
                    </w:pPr>
                    <w:r>
                      <w:rPr>
                        <w:sz w:val="15"/>
                        <w:szCs w:val="15"/>
                      </w:rPr>
                      <w:t>2023/2/28</w:t>
                    </w:r>
                  </w:p>
                </w:tc>
                <w:tc>
                  <w:tcPr>
                    <w:tcW w:w="511" w:type="pct"/>
                    <w:vAlign w:val="center"/>
                  </w:tcPr>
                  <w:p>
                    <w:pPr>
                      <w:rPr>
                        <w:sz w:val="15"/>
                        <w:szCs w:val="15"/>
                      </w:rPr>
                    </w:pPr>
                    <w:r>
                      <w:rPr>
                        <w:sz w:val="15"/>
                        <w:szCs w:val="15"/>
                      </w:rPr>
                      <w:t>2023/3/1</w:t>
                    </w:r>
                  </w:p>
                </w:tc>
                <w:tc>
                  <w:tcPr>
                    <w:tcW w:w="511" w:type="pct"/>
                    <w:vAlign w:val="center"/>
                  </w:tcPr>
                  <w:p>
                    <w:pPr>
                      <w:rPr>
                        <w:sz w:val="15"/>
                        <w:szCs w:val="15"/>
                      </w:rPr>
                    </w:pPr>
                    <w:r>
                      <w:rPr>
                        <w:sz w:val="15"/>
                        <w:szCs w:val="15"/>
                      </w:rPr>
                      <w:t>2023/5/26</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2.36</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368443954"/>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469668634"/>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2023年度第八期超短期融资券</w:t>
                    </w:r>
                  </w:p>
                </w:tc>
                <w:tc>
                  <w:tcPr>
                    <w:tcW w:w="511" w:type="pct"/>
                    <w:vAlign w:val="center"/>
                  </w:tcPr>
                  <w:p>
                    <w:pPr>
                      <w:rPr>
                        <w:sz w:val="15"/>
                        <w:szCs w:val="15"/>
                      </w:rPr>
                    </w:pPr>
                    <w:r>
                      <w:rPr>
                        <w:sz w:val="15"/>
                        <w:szCs w:val="15"/>
                      </w:rPr>
                      <w:t>23宁沪高SCP008</w:t>
                    </w:r>
                  </w:p>
                </w:tc>
                <w:tc>
                  <w:tcPr>
                    <w:tcW w:w="590" w:type="pct"/>
                    <w:vAlign w:val="center"/>
                  </w:tcPr>
                  <w:p>
                    <w:pPr>
                      <w:rPr>
                        <w:sz w:val="15"/>
                        <w:szCs w:val="15"/>
                      </w:rPr>
                    </w:pPr>
                    <w:r>
                      <w:rPr>
                        <w:sz w:val="15"/>
                        <w:szCs w:val="15"/>
                      </w:rPr>
                      <w:t>012380756.IB</w:t>
                    </w:r>
                  </w:p>
                </w:tc>
                <w:tc>
                  <w:tcPr>
                    <w:tcW w:w="511" w:type="pct"/>
                    <w:vAlign w:val="center"/>
                  </w:tcPr>
                  <w:p>
                    <w:pPr>
                      <w:rPr>
                        <w:sz w:val="15"/>
                        <w:szCs w:val="15"/>
                      </w:rPr>
                    </w:pPr>
                    <w:r>
                      <w:rPr>
                        <w:sz w:val="15"/>
                        <w:szCs w:val="15"/>
                      </w:rPr>
                      <w:t>2023/2/28</w:t>
                    </w:r>
                  </w:p>
                </w:tc>
                <w:tc>
                  <w:tcPr>
                    <w:tcW w:w="511" w:type="pct"/>
                    <w:vAlign w:val="center"/>
                  </w:tcPr>
                  <w:p>
                    <w:pPr>
                      <w:rPr>
                        <w:sz w:val="15"/>
                        <w:szCs w:val="15"/>
                      </w:rPr>
                    </w:pPr>
                    <w:r>
                      <w:rPr>
                        <w:sz w:val="15"/>
                        <w:szCs w:val="15"/>
                      </w:rPr>
                      <w:t>2023/3/1</w:t>
                    </w:r>
                  </w:p>
                </w:tc>
                <w:tc>
                  <w:tcPr>
                    <w:tcW w:w="511" w:type="pct"/>
                    <w:vAlign w:val="center"/>
                  </w:tcPr>
                  <w:p>
                    <w:pPr>
                      <w:rPr>
                        <w:sz w:val="15"/>
                        <w:szCs w:val="15"/>
                      </w:rPr>
                    </w:pPr>
                    <w:r>
                      <w:rPr>
                        <w:sz w:val="15"/>
                        <w:szCs w:val="15"/>
                      </w:rPr>
                      <w:t>2023/5/26</w:t>
                    </w:r>
                  </w:p>
                </w:tc>
                <w:tc>
                  <w:tcPr>
                    <w:tcW w:w="316" w:type="pct"/>
                    <w:vAlign w:val="center"/>
                  </w:tcPr>
                  <w:p>
                    <w:pPr>
                      <w:rPr>
                        <w:sz w:val="15"/>
                        <w:szCs w:val="15"/>
                      </w:rPr>
                    </w:pPr>
                    <w:r>
                      <w:rPr>
                        <w:sz w:val="15"/>
                        <w:szCs w:val="15"/>
                      </w:rPr>
                      <w:t>-</w:t>
                    </w:r>
                  </w:p>
                </w:tc>
                <w:tc>
                  <w:tcPr>
                    <w:tcW w:w="393" w:type="pct"/>
                    <w:vAlign w:val="center"/>
                  </w:tcPr>
                  <w:p>
                    <w:pPr>
                      <w:rPr>
                        <w:sz w:val="15"/>
                        <w:szCs w:val="15"/>
                      </w:rPr>
                    </w:pPr>
                    <w:r>
                      <w:rPr>
                        <w:sz w:val="15"/>
                        <w:szCs w:val="15"/>
                      </w:rPr>
                      <w:t>2.36</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568569966"/>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474521840"/>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2023年度第九期超短期融资券</w:t>
                    </w:r>
                  </w:p>
                </w:tc>
                <w:tc>
                  <w:tcPr>
                    <w:tcW w:w="511" w:type="pct"/>
                    <w:vAlign w:val="center"/>
                  </w:tcPr>
                  <w:p>
                    <w:pPr>
                      <w:rPr>
                        <w:sz w:val="15"/>
                        <w:szCs w:val="15"/>
                      </w:rPr>
                    </w:pPr>
                    <w:r>
                      <w:rPr>
                        <w:sz w:val="15"/>
                        <w:szCs w:val="15"/>
                      </w:rPr>
                      <w:t>23宁沪高SCP009</w:t>
                    </w:r>
                  </w:p>
                </w:tc>
                <w:tc>
                  <w:tcPr>
                    <w:tcW w:w="590" w:type="pct"/>
                    <w:vAlign w:val="center"/>
                  </w:tcPr>
                  <w:p>
                    <w:pPr>
                      <w:rPr>
                        <w:sz w:val="15"/>
                        <w:szCs w:val="15"/>
                      </w:rPr>
                    </w:pPr>
                    <w:r>
                      <w:rPr>
                        <w:sz w:val="15"/>
                        <w:szCs w:val="15"/>
                      </w:rPr>
                      <w:t>012381338.IB</w:t>
                    </w:r>
                  </w:p>
                </w:tc>
                <w:tc>
                  <w:tcPr>
                    <w:tcW w:w="511" w:type="pct"/>
                    <w:vAlign w:val="center"/>
                  </w:tcPr>
                  <w:p>
                    <w:pPr>
                      <w:rPr>
                        <w:sz w:val="15"/>
                        <w:szCs w:val="15"/>
                      </w:rPr>
                    </w:pPr>
                    <w:r>
                      <w:rPr>
                        <w:sz w:val="15"/>
                        <w:szCs w:val="15"/>
                      </w:rPr>
                      <w:t>2023/3/31</w:t>
                    </w:r>
                  </w:p>
                </w:tc>
                <w:tc>
                  <w:tcPr>
                    <w:tcW w:w="511" w:type="pct"/>
                    <w:vAlign w:val="center"/>
                  </w:tcPr>
                  <w:p>
                    <w:pPr>
                      <w:rPr>
                        <w:sz w:val="15"/>
                        <w:szCs w:val="15"/>
                      </w:rPr>
                    </w:pPr>
                    <w:r>
                      <w:rPr>
                        <w:sz w:val="15"/>
                        <w:szCs w:val="15"/>
                      </w:rPr>
                      <w:t>2023/4/3</w:t>
                    </w:r>
                  </w:p>
                </w:tc>
                <w:tc>
                  <w:tcPr>
                    <w:tcW w:w="511" w:type="pct"/>
                    <w:vAlign w:val="center"/>
                  </w:tcPr>
                  <w:p>
                    <w:pPr>
                      <w:rPr>
                        <w:sz w:val="15"/>
                        <w:szCs w:val="15"/>
                      </w:rPr>
                    </w:pPr>
                    <w:r>
                      <w:rPr>
                        <w:sz w:val="15"/>
                        <w:szCs w:val="15"/>
                      </w:rPr>
                      <w:t>2023/7/7</w:t>
                    </w:r>
                  </w:p>
                </w:tc>
                <w:tc>
                  <w:tcPr>
                    <w:tcW w:w="316" w:type="pct"/>
                    <w:vAlign w:val="center"/>
                  </w:tcPr>
                  <w:p>
                    <w:pPr>
                      <w:rPr>
                        <w:sz w:val="15"/>
                        <w:szCs w:val="15"/>
                      </w:rPr>
                    </w:pPr>
                    <w:r>
                      <w:rPr>
                        <w:sz w:val="15"/>
                        <w:szCs w:val="15"/>
                      </w:rPr>
                      <w:t>10.50</w:t>
                    </w:r>
                  </w:p>
                </w:tc>
                <w:tc>
                  <w:tcPr>
                    <w:tcW w:w="393" w:type="pct"/>
                    <w:vAlign w:val="center"/>
                  </w:tcPr>
                  <w:p>
                    <w:pPr>
                      <w:rPr>
                        <w:sz w:val="15"/>
                        <w:szCs w:val="15"/>
                      </w:rPr>
                    </w:pPr>
                    <w:r>
                      <w:rPr>
                        <w:sz w:val="15"/>
                        <w:szCs w:val="15"/>
                      </w:rPr>
                      <w:t>2.18</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70324636"/>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285925845"/>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2023年度第十期超短期融资券</w:t>
                    </w:r>
                  </w:p>
                </w:tc>
                <w:tc>
                  <w:tcPr>
                    <w:tcW w:w="511" w:type="pct"/>
                    <w:vAlign w:val="center"/>
                  </w:tcPr>
                  <w:p>
                    <w:pPr>
                      <w:rPr>
                        <w:sz w:val="15"/>
                        <w:szCs w:val="15"/>
                      </w:rPr>
                    </w:pPr>
                    <w:r>
                      <w:rPr>
                        <w:sz w:val="15"/>
                        <w:szCs w:val="15"/>
                      </w:rPr>
                      <w:t>23宁沪高SCP010</w:t>
                    </w:r>
                  </w:p>
                </w:tc>
                <w:tc>
                  <w:tcPr>
                    <w:tcW w:w="590" w:type="pct"/>
                    <w:vAlign w:val="center"/>
                  </w:tcPr>
                  <w:p>
                    <w:pPr>
                      <w:rPr>
                        <w:sz w:val="15"/>
                        <w:szCs w:val="15"/>
                      </w:rPr>
                    </w:pPr>
                    <w:r>
                      <w:rPr>
                        <w:sz w:val="15"/>
                        <w:szCs w:val="15"/>
                      </w:rPr>
                      <w:t>012381345.IB</w:t>
                    </w:r>
                  </w:p>
                </w:tc>
                <w:tc>
                  <w:tcPr>
                    <w:tcW w:w="511" w:type="pct"/>
                    <w:vAlign w:val="center"/>
                  </w:tcPr>
                  <w:p>
                    <w:pPr>
                      <w:rPr>
                        <w:sz w:val="15"/>
                        <w:szCs w:val="15"/>
                      </w:rPr>
                    </w:pPr>
                    <w:r>
                      <w:rPr>
                        <w:sz w:val="15"/>
                        <w:szCs w:val="15"/>
                      </w:rPr>
                      <w:t>2023/3/31</w:t>
                    </w:r>
                  </w:p>
                </w:tc>
                <w:tc>
                  <w:tcPr>
                    <w:tcW w:w="511" w:type="pct"/>
                    <w:vAlign w:val="center"/>
                  </w:tcPr>
                  <w:p>
                    <w:pPr>
                      <w:rPr>
                        <w:sz w:val="15"/>
                        <w:szCs w:val="15"/>
                      </w:rPr>
                    </w:pPr>
                    <w:r>
                      <w:rPr>
                        <w:sz w:val="15"/>
                        <w:szCs w:val="15"/>
                      </w:rPr>
                      <w:t>2023/4/4</w:t>
                    </w:r>
                  </w:p>
                </w:tc>
                <w:tc>
                  <w:tcPr>
                    <w:tcW w:w="511" w:type="pct"/>
                    <w:vAlign w:val="center"/>
                  </w:tcPr>
                  <w:p>
                    <w:pPr>
                      <w:rPr>
                        <w:sz w:val="15"/>
                        <w:szCs w:val="15"/>
                      </w:rPr>
                    </w:pPr>
                    <w:r>
                      <w:rPr>
                        <w:sz w:val="15"/>
                        <w:szCs w:val="15"/>
                      </w:rPr>
                      <w:t>2023/7/7</w:t>
                    </w:r>
                  </w:p>
                </w:tc>
                <w:tc>
                  <w:tcPr>
                    <w:tcW w:w="316" w:type="pct"/>
                    <w:vAlign w:val="center"/>
                  </w:tcPr>
                  <w:p>
                    <w:pPr>
                      <w:rPr>
                        <w:sz w:val="15"/>
                        <w:szCs w:val="15"/>
                      </w:rPr>
                    </w:pPr>
                    <w:r>
                      <w:rPr>
                        <w:sz w:val="15"/>
                        <w:szCs w:val="15"/>
                      </w:rPr>
                      <w:t>5.00</w:t>
                    </w:r>
                  </w:p>
                </w:tc>
                <w:tc>
                  <w:tcPr>
                    <w:tcW w:w="393" w:type="pct"/>
                    <w:vAlign w:val="center"/>
                  </w:tcPr>
                  <w:p>
                    <w:pPr>
                      <w:rPr>
                        <w:sz w:val="15"/>
                        <w:szCs w:val="15"/>
                      </w:rPr>
                    </w:pPr>
                    <w:r>
                      <w:rPr>
                        <w:sz w:val="15"/>
                        <w:szCs w:val="15"/>
                      </w:rPr>
                      <w:t>2.18</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365332248"/>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2038387084"/>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2023年度第十一期超短期融资券</w:t>
                    </w:r>
                  </w:p>
                </w:tc>
                <w:tc>
                  <w:tcPr>
                    <w:tcW w:w="511" w:type="pct"/>
                    <w:vAlign w:val="center"/>
                  </w:tcPr>
                  <w:p>
                    <w:pPr>
                      <w:rPr>
                        <w:sz w:val="15"/>
                        <w:szCs w:val="15"/>
                      </w:rPr>
                    </w:pPr>
                    <w:r>
                      <w:rPr>
                        <w:sz w:val="15"/>
                        <w:szCs w:val="15"/>
                      </w:rPr>
                      <w:t>23宁沪高SCP011</w:t>
                    </w:r>
                  </w:p>
                </w:tc>
                <w:tc>
                  <w:tcPr>
                    <w:tcW w:w="590" w:type="pct"/>
                    <w:vAlign w:val="center"/>
                  </w:tcPr>
                  <w:p>
                    <w:pPr>
                      <w:rPr>
                        <w:sz w:val="15"/>
                        <w:szCs w:val="15"/>
                      </w:rPr>
                    </w:pPr>
                    <w:r>
                      <w:rPr>
                        <w:sz w:val="15"/>
                        <w:szCs w:val="15"/>
                      </w:rPr>
                      <w:t>012381350.IB</w:t>
                    </w:r>
                  </w:p>
                </w:tc>
                <w:tc>
                  <w:tcPr>
                    <w:tcW w:w="511" w:type="pct"/>
                    <w:vAlign w:val="center"/>
                  </w:tcPr>
                  <w:p>
                    <w:pPr>
                      <w:rPr>
                        <w:sz w:val="15"/>
                        <w:szCs w:val="15"/>
                      </w:rPr>
                    </w:pPr>
                    <w:r>
                      <w:rPr>
                        <w:sz w:val="15"/>
                        <w:szCs w:val="15"/>
                      </w:rPr>
                      <w:t>2023/4/3</w:t>
                    </w:r>
                  </w:p>
                </w:tc>
                <w:tc>
                  <w:tcPr>
                    <w:tcW w:w="511" w:type="pct"/>
                    <w:vAlign w:val="center"/>
                  </w:tcPr>
                  <w:p>
                    <w:pPr>
                      <w:rPr>
                        <w:sz w:val="15"/>
                        <w:szCs w:val="15"/>
                      </w:rPr>
                    </w:pPr>
                    <w:r>
                      <w:rPr>
                        <w:sz w:val="15"/>
                        <w:szCs w:val="15"/>
                      </w:rPr>
                      <w:t>2023/4/4</w:t>
                    </w:r>
                  </w:p>
                </w:tc>
                <w:tc>
                  <w:tcPr>
                    <w:tcW w:w="511" w:type="pct"/>
                    <w:vAlign w:val="center"/>
                  </w:tcPr>
                  <w:p>
                    <w:pPr>
                      <w:rPr>
                        <w:sz w:val="15"/>
                        <w:szCs w:val="15"/>
                      </w:rPr>
                    </w:pPr>
                    <w:r>
                      <w:rPr>
                        <w:sz w:val="15"/>
                        <w:szCs w:val="15"/>
                      </w:rPr>
                      <w:t>2023/7/7</w:t>
                    </w:r>
                  </w:p>
                </w:tc>
                <w:tc>
                  <w:tcPr>
                    <w:tcW w:w="316" w:type="pct"/>
                    <w:vAlign w:val="center"/>
                  </w:tcPr>
                  <w:p>
                    <w:pPr>
                      <w:rPr>
                        <w:sz w:val="15"/>
                        <w:szCs w:val="15"/>
                      </w:rPr>
                    </w:pPr>
                    <w:r>
                      <w:rPr>
                        <w:sz w:val="15"/>
                        <w:szCs w:val="15"/>
                      </w:rPr>
                      <w:t>4.00</w:t>
                    </w:r>
                  </w:p>
                </w:tc>
                <w:tc>
                  <w:tcPr>
                    <w:tcW w:w="393" w:type="pct"/>
                    <w:vAlign w:val="center"/>
                  </w:tcPr>
                  <w:p>
                    <w:pPr>
                      <w:rPr>
                        <w:sz w:val="15"/>
                        <w:szCs w:val="15"/>
                      </w:rPr>
                    </w:pPr>
                    <w:r>
                      <w:rPr>
                        <w:sz w:val="15"/>
                        <w:szCs w:val="15"/>
                      </w:rPr>
                      <w:t>2.18</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2004394124"/>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918709539"/>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2023年度第十二期超短期融资券</w:t>
                    </w:r>
                  </w:p>
                </w:tc>
                <w:tc>
                  <w:tcPr>
                    <w:tcW w:w="511" w:type="pct"/>
                    <w:vAlign w:val="center"/>
                  </w:tcPr>
                  <w:p>
                    <w:pPr>
                      <w:rPr>
                        <w:sz w:val="15"/>
                        <w:szCs w:val="15"/>
                      </w:rPr>
                    </w:pPr>
                    <w:r>
                      <w:rPr>
                        <w:sz w:val="15"/>
                        <w:szCs w:val="15"/>
                      </w:rPr>
                      <w:t>23宁沪高SCP012</w:t>
                    </w:r>
                  </w:p>
                </w:tc>
                <w:tc>
                  <w:tcPr>
                    <w:tcW w:w="590" w:type="pct"/>
                    <w:vAlign w:val="center"/>
                  </w:tcPr>
                  <w:p>
                    <w:pPr>
                      <w:rPr>
                        <w:sz w:val="15"/>
                        <w:szCs w:val="15"/>
                      </w:rPr>
                    </w:pPr>
                    <w:r>
                      <w:rPr>
                        <w:sz w:val="15"/>
                        <w:szCs w:val="15"/>
                      </w:rPr>
                      <w:t>012381348.IB</w:t>
                    </w:r>
                  </w:p>
                </w:tc>
                <w:tc>
                  <w:tcPr>
                    <w:tcW w:w="511" w:type="pct"/>
                    <w:vAlign w:val="center"/>
                  </w:tcPr>
                  <w:p>
                    <w:pPr>
                      <w:rPr>
                        <w:sz w:val="15"/>
                        <w:szCs w:val="15"/>
                      </w:rPr>
                    </w:pPr>
                    <w:r>
                      <w:rPr>
                        <w:sz w:val="15"/>
                        <w:szCs w:val="15"/>
                      </w:rPr>
                      <w:t>2023/4/3</w:t>
                    </w:r>
                  </w:p>
                </w:tc>
                <w:tc>
                  <w:tcPr>
                    <w:tcW w:w="511" w:type="pct"/>
                    <w:vAlign w:val="center"/>
                  </w:tcPr>
                  <w:p>
                    <w:pPr>
                      <w:rPr>
                        <w:sz w:val="15"/>
                        <w:szCs w:val="15"/>
                      </w:rPr>
                    </w:pPr>
                    <w:r>
                      <w:rPr>
                        <w:sz w:val="15"/>
                        <w:szCs w:val="15"/>
                      </w:rPr>
                      <w:t>2023/4/4</w:t>
                    </w:r>
                  </w:p>
                </w:tc>
                <w:tc>
                  <w:tcPr>
                    <w:tcW w:w="511" w:type="pct"/>
                    <w:vAlign w:val="center"/>
                  </w:tcPr>
                  <w:p>
                    <w:pPr>
                      <w:rPr>
                        <w:sz w:val="15"/>
                        <w:szCs w:val="15"/>
                      </w:rPr>
                    </w:pPr>
                    <w:r>
                      <w:rPr>
                        <w:sz w:val="15"/>
                        <w:szCs w:val="15"/>
                      </w:rPr>
                      <w:t>2023/7/7</w:t>
                    </w:r>
                  </w:p>
                </w:tc>
                <w:tc>
                  <w:tcPr>
                    <w:tcW w:w="316" w:type="pct"/>
                    <w:vAlign w:val="center"/>
                  </w:tcPr>
                  <w:p>
                    <w:pPr>
                      <w:rPr>
                        <w:sz w:val="15"/>
                        <w:szCs w:val="15"/>
                      </w:rPr>
                    </w:pPr>
                    <w:r>
                      <w:rPr>
                        <w:sz w:val="15"/>
                        <w:szCs w:val="15"/>
                      </w:rPr>
                      <w:t>4.00</w:t>
                    </w:r>
                  </w:p>
                </w:tc>
                <w:tc>
                  <w:tcPr>
                    <w:tcW w:w="393" w:type="pct"/>
                    <w:vAlign w:val="center"/>
                  </w:tcPr>
                  <w:p>
                    <w:pPr>
                      <w:rPr>
                        <w:sz w:val="15"/>
                        <w:szCs w:val="15"/>
                      </w:rPr>
                    </w:pPr>
                    <w:r>
                      <w:rPr>
                        <w:sz w:val="15"/>
                        <w:szCs w:val="15"/>
                      </w:rPr>
                      <w:t>2.18</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188752511"/>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433709195"/>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2023年度第十三期超短期融资券</w:t>
                    </w:r>
                  </w:p>
                </w:tc>
                <w:tc>
                  <w:tcPr>
                    <w:tcW w:w="511" w:type="pct"/>
                    <w:vAlign w:val="center"/>
                  </w:tcPr>
                  <w:p>
                    <w:pPr>
                      <w:rPr>
                        <w:sz w:val="15"/>
                        <w:szCs w:val="15"/>
                      </w:rPr>
                    </w:pPr>
                    <w:r>
                      <w:rPr>
                        <w:sz w:val="15"/>
                        <w:szCs w:val="15"/>
                      </w:rPr>
                      <w:t>23宁沪高SCP013</w:t>
                    </w:r>
                  </w:p>
                </w:tc>
                <w:tc>
                  <w:tcPr>
                    <w:tcW w:w="590" w:type="pct"/>
                    <w:vAlign w:val="center"/>
                  </w:tcPr>
                  <w:p>
                    <w:pPr>
                      <w:rPr>
                        <w:sz w:val="15"/>
                        <w:szCs w:val="15"/>
                      </w:rPr>
                    </w:pPr>
                    <w:r>
                      <w:rPr>
                        <w:sz w:val="15"/>
                        <w:szCs w:val="15"/>
                      </w:rPr>
                      <w:t>012381460.IB</w:t>
                    </w:r>
                  </w:p>
                </w:tc>
                <w:tc>
                  <w:tcPr>
                    <w:tcW w:w="511" w:type="pct"/>
                    <w:vAlign w:val="center"/>
                  </w:tcPr>
                  <w:p>
                    <w:pPr>
                      <w:rPr>
                        <w:sz w:val="15"/>
                        <w:szCs w:val="15"/>
                      </w:rPr>
                    </w:pPr>
                    <w:r>
                      <w:rPr>
                        <w:sz w:val="15"/>
                        <w:szCs w:val="15"/>
                      </w:rPr>
                      <w:t>2023/4/11</w:t>
                    </w:r>
                  </w:p>
                </w:tc>
                <w:tc>
                  <w:tcPr>
                    <w:tcW w:w="511" w:type="pct"/>
                    <w:vAlign w:val="center"/>
                  </w:tcPr>
                  <w:p>
                    <w:pPr>
                      <w:rPr>
                        <w:sz w:val="15"/>
                        <w:szCs w:val="15"/>
                      </w:rPr>
                    </w:pPr>
                    <w:r>
                      <w:rPr>
                        <w:sz w:val="15"/>
                        <w:szCs w:val="15"/>
                      </w:rPr>
                      <w:t>2023/4/12</w:t>
                    </w:r>
                  </w:p>
                </w:tc>
                <w:tc>
                  <w:tcPr>
                    <w:tcW w:w="511" w:type="pct"/>
                    <w:vAlign w:val="center"/>
                  </w:tcPr>
                  <w:p>
                    <w:pPr>
                      <w:rPr>
                        <w:sz w:val="15"/>
                        <w:szCs w:val="15"/>
                      </w:rPr>
                    </w:pPr>
                    <w:r>
                      <w:rPr>
                        <w:sz w:val="15"/>
                        <w:szCs w:val="15"/>
                      </w:rPr>
                      <w:t>2023/7/14</w:t>
                    </w:r>
                  </w:p>
                </w:tc>
                <w:tc>
                  <w:tcPr>
                    <w:tcW w:w="316" w:type="pct"/>
                    <w:vAlign w:val="center"/>
                  </w:tcPr>
                  <w:p>
                    <w:pPr>
                      <w:rPr>
                        <w:sz w:val="15"/>
                        <w:szCs w:val="15"/>
                      </w:rPr>
                    </w:pPr>
                    <w:r>
                      <w:rPr>
                        <w:sz w:val="15"/>
                        <w:szCs w:val="15"/>
                      </w:rPr>
                      <w:t>10.00</w:t>
                    </w:r>
                  </w:p>
                </w:tc>
                <w:tc>
                  <w:tcPr>
                    <w:tcW w:w="393" w:type="pct"/>
                    <w:vAlign w:val="center"/>
                  </w:tcPr>
                  <w:p>
                    <w:pPr>
                      <w:rPr>
                        <w:sz w:val="15"/>
                        <w:szCs w:val="15"/>
                      </w:rPr>
                    </w:pPr>
                    <w:r>
                      <w:rPr>
                        <w:sz w:val="15"/>
                        <w:szCs w:val="15"/>
                      </w:rPr>
                      <w:t>2.23</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367031954"/>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65238744"/>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2023年度第十四期超短期融资券</w:t>
                    </w:r>
                  </w:p>
                </w:tc>
                <w:tc>
                  <w:tcPr>
                    <w:tcW w:w="511" w:type="pct"/>
                    <w:vAlign w:val="center"/>
                  </w:tcPr>
                  <w:p>
                    <w:pPr>
                      <w:rPr>
                        <w:sz w:val="15"/>
                        <w:szCs w:val="15"/>
                      </w:rPr>
                    </w:pPr>
                    <w:r>
                      <w:rPr>
                        <w:sz w:val="15"/>
                        <w:szCs w:val="15"/>
                      </w:rPr>
                      <w:t>23宁沪高SCP014</w:t>
                    </w:r>
                  </w:p>
                </w:tc>
                <w:tc>
                  <w:tcPr>
                    <w:tcW w:w="590" w:type="pct"/>
                    <w:vAlign w:val="center"/>
                  </w:tcPr>
                  <w:p>
                    <w:pPr>
                      <w:rPr>
                        <w:sz w:val="15"/>
                        <w:szCs w:val="15"/>
                      </w:rPr>
                    </w:pPr>
                    <w:r>
                      <w:rPr>
                        <w:sz w:val="15"/>
                        <w:szCs w:val="15"/>
                      </w:rPr>
                      <w:t>012381459.IB</w:t>
                    </w:r>
                  </w:p>
                </w:tc>
                <w:tc>
                  <w:tcPr>
                    <w:tcW w:w="511" w:type="pct"/>
                    <w:vAlign w:val="center"/>
                  </w:tcPr>
                  <w:p>
                    <w:pPr>
                      <w:rPr>
                        <w:sz w:val="15"/>
                        <w:szCs w:val="15"/>
                      </w:rPr>
                    </w:pPr>
                    <w:r>
                      <w:rPr>
                        <w:sz w:val="15"/>
                        <w:szCs w:val="15"/>
                      </w:rPr>
                      <w:t>2023/4/11</w:t>
                    </w:r>
                  </w:p>
                </w:tc>
                <w:tc>
                  <w:tcPr>
                    <w:tcW w:w="511" w:type="pct"/>
                    <w:vAlign w:val="center"/>
                  </w:tcPr>
                  <w:p>
                    <w:pPr>
                      <w:rPr>
                        <w:sz w:val="15"/>
                        <w:szCs w:val="15"/>
                      </w:rPr>
                    </w:pPr>
                    <w:r>
                      <w:rPr>
                        <w:sz w:val="15"/>
                        <w:szCs w:val="15"/>
                      </w:rPr>
                      <w:t>2023/4/12</w:t>
                    </w:r>
                  </w:p>
                </w:tc>
                <w:tc>
                  <w:tcPr>
                    <w:tcW w:w="511" w:type="pct"/>
                    <w:vAlign w:val="center"/>
                  </w:tcPr>
                  <w:p>
                    <w:pPr>
                      <w:rPr>
                        <w:sz w:val="15"/>
                        <w:szCs w:val="15"/>
                      </w:rPr>
                    </w:pPr>
                    <w:r>
                      <w:rPr>
                        <w:sz w:val="15"/>
                        <w:szCs w:val="15"/>
                      </w:rPr>
                      <w:t>2023/7/14</w:t>
                    </w:r>
                  </w:p>
                </w:tc>
                <w:tc>
                  <w:tcPr>
                    <w:tcW w:w="316" w:type="pct"/>
                    <w:vAlign w:val="center"/>
                  </w:tcPr>
                  <w:p>
                    <w:pPr>
                      <w:rPr>
                        <w:sz w:val="15"/>
                        <w:szCs w:val="15"/>
                      </w:rPr>
                    </w:pPr>
                    <w:r>
                      <w:rPr>
                        <w:sz w:val="15"/>
                        <w:szCs w:val="15"/>
                      </w:rPr>
                      <w:t>4.00</w:t>
                    </w:r>
                  </w:p>
                </w:tc>
                <w:tc>
                  <w:tcPr>
                    <w:tcW w:w="393" w:type="pct"/>
                    <w:vAlign w:val="center"/>
                  </w:tcPr>
                  <w:p>
                    <w:pPr>
                      <w:rPr>
                        <w:sz w:val="15"/>
                        <w:szCs w:val="15"/>
                      </w:rPr>
                    </w:pPr>
                    <w:r>
                      <w:rPr>
                        <w:sz w:val="15"/>
                        <w:szCs w:val="15"/>
                      </w:rPr>
                      <w:t>2.23</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347937777"/>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467237678"/>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2023年度第十五期超短期融资券</w:t>
                    </w:r>
                  </w:p>
                </w:tc>
                <w:tc>
                  <w:tcPr>
                    <w:tcW w:w="511" w:type="pct"/>
                    <w:vAlign w:val="center"/>
                  </w:tcPr>
                  <w:p>
                    <w:pPr>
                      <w:rPr>
                        <w:sz w:val="15"/>
                        <w:szCs w:val="15"/>
                      </w:rPr>
                    </w:pPr>
                    <w:r>
                      <w:rPr>
                        <w:sz w:val="15"/>
                        <w:szCs w:val="15"/>
                      </w:rPr>
                      <w:t>23宁沪高SCP015</w:t>
                    </w:r>
                  </w:p>
                </w:tc>
                <w:tc>
                  <w:tcPr>
                    <w:tcW w:w="590" w:type="pct"/>
                    <w:vAlign w:val="center"/>
                  </w:tcPr>
                  <w:p>
                    <w:pPr>
                      <w:rPr>
                        <w:sz w:val="15"/>
                        <w:szCs w:val="15"/>
                      </w:rPr>
                    </w:pPr>
                    <w:r>
                      <w:rPr>
                        <w:sz w:val="15"/>
                        <w:szCs w:val="15"/>
                      </w:rPr>
                      <w:t>012381848.IB</w:t>
                    </w:r>
                  </w:p>
                </w:tc>
                <w:tc>
                  <w:tcPr>
                    <w:tcW w:w="511" w:type="pct"/>
                    <w:vAlign w:val="center"/>
                  </w:tcPr>
                  <w:p>
                    <w:pPr>
                      <w:rPr>
                        <w:sz w:val="15"/>
                        <w:szCs w:val="15"/>
                      </w:rPr>
                    </w:pPr>
                    <w:r>
                      <w:rPr>
                        <w:sz w:val="15"/>
                        <w:szCs w:val="15"/>
                      </w:rPr>
                      <w:t>2023/5/9</w:t>
                    </w:r>
                  </w:p>
                </w:tc>
                <w:tc>
                  <w:tcPr>
                    <w:tcW w:w="511" w:type="pct"/>
                    <w:vAlign w:val="center"/>
                  </w:tcPr>
                  <w:p>
                    <w:pPr>
                      <w:rPr>
                        <w:sz w:val="15"/>
                        <w:szCs w:val="15"/>
                      </w:rPr>
                    </w:pPr>
                    <w:r>
                      <w:rPr>
                        <w:sz w:val="15"/>
                        <w:szCs w:val="15"/>
                      </w:rPr>
                      <w:t>2023/5/10</w:t>
                    </w:r>
                  </w:p>
                </w:tc>
                <w:tc>
                  <w:tcPr>
                    <w:tcW w:w="511" w:type="pct"/>
                    <w:vAlign w:val="center"/>
                  </w:tcPr>
                  <w:p>
                    <w:pPr>
                      <w:rPr>
                        <w:sz w:val="15"/>
                        <w:szCs w:val="15"/>
                      </w:rPr>
                    </w:pPr>
                    <w:r>
                      <w:rPr>
                        <w:sz w:val="15"/>
                        <w:szCs w:val="15"/>
                      </w:rPr>
                      <w:t>2023/8/11</w:t>
                    </w:r>
                  </w:p>
                </w:tc>
                <w:tc>
                  <w:tcPr>
                    <w:tcW w:w="316" w:type="pct"/>
                    <w:vAlign w:val="center"/>
                  </w:tcPr>
                  <w:p>
                    <w:pPr>
                      <w:rPr>
                        <w:sz w:val="15"/>
                        <w:szCs w:val="15"/>
                      </w:rPr>
                    </w:pPr>
                    <w:r>
                      <w:rPr>
                        <w:sz w:val="15"/>
                        <w:szCs w:val="15"/>
                      </w:rPr>
                      <w:t>3.50</w:t>
                    </w:r>
                  </w:p>
                </w:tc>
                <w:tc>
                  <w:tcPr>
                    <w:tcW w:w="393" w:type="pct"/>
                    <w:vAlign w:val="center"/>
                  </w:tcPr>
                  <w:p>
                    <w:pPr>
                      <w:rPr>
                        <w:sz w:val="15"/>
                        <w:szCs w:val="15"/>
                      </w:rPr>
                    </w:pPr>
                    <w:r>
                      <w:rPr>
                        <w:sz w:val="15"/>
                        <w:szCs w:val="15"/>
                      </w:rPr>
                      <w:t>2.22</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453476713"/>
                    <w:lock w:val="sdtLocked"/>
                    <w:comboBox>
                      <w:listItem w:displayText="是" w:value="是"/>
                      <w:listItem w:displayText="否" w:value="否"/>
                    </w:comboBox>
                  </w:sdtPr>
                  <w:sdtContent>
                    <w:tc>
                      <w:tcPr>
                        <w:tcW w:w="229" w:type="pct"/>
                        <w:vAlign w:val="center"/>
                      </w:tcPr>
                      <w:p>
                        <w:pPr>
                          <w:pStyle w:val="114"/>
                        </w:pPr>
                        <w:r>
                          <w:t>否</w:t>
                        </w:r>
                      </w:p>
                    </w:tc>
                  </w:sdtContent>
                </w:sdt>
              </w:tr>
            </w:sdtContent>
          </w:sdt>
          <w:sdt>
            <w:sdtPr>
              <w:rPr>
                <w:rFonts w:hint="eastAsia"/>
                <w:sz w:val="15"/>
                <w:szCs w:val="15"/>
              </w:rPr>
              <w:alias w:val="公司债券基本情况明细"/>
              <w:tag w:val="_TUP_6c2c7e42d34f452cb78fc3b6634a6447"/>
              <w:id w:val="-1796901928"/>
              <w:lock w:val="sdtLocked"/>
            </w:sdtPr>
            <w:sdtEndPr>
              <w:rPr>
                <w:rFonts w:hint="eastAsia"/>
                <w:sz w:val="21"/>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pPr>
                      <w:rPr>
                        <w:sz w:val="15"/>
                        <w:szCs w:val="15"/>
                      </w:rPr>
                    </w:pPr>
                    <w:r>
                      <w:rPr>
                        <w:sz w:val="15"/>
                        <w:szCs w:val="15"/>
                      </w:rPr>
                      <w:t>2023年度第十六期超短期融资券</w:t>
                    </w:r>
                  </w:p>
                </w:tc>
                <w:tc>
                  <w:tcPr>
                    <w:tcW w:w="511" w:type="pct"/>
                    <w:vAlign w:val="center"/>
                  </w:tcPr>
                  <w:p>
                    <w:pPr>
                      <w:rPr>
                        <w:sz w:val="15"/>
                        <w:szCs w:val="15"/>
                      </w:rPr>
                    </w:pPr>
                    <w:r>
                      <w:rPr>
                        <w:sz w:val="15"/>
                        <w:szCs w:val="15"/>
                      </w:rPr>
                      <w:t>23宁沪高SCP016</w:t>
                    </w:r>
                  </w:p>
                </w:tc>
                <w:tc>
                  <w:tcPr>
                    <w:tcW w:w="590" w:type="pct"/>
                    <w:vAlign w:val="center"/>
                  </w:tcPr>
                  <w:p>
                    <w:pPr>
                      <w:rPr>
                        <w:sz w:val="15"/>
                        <w:szCs w:val="15"/>
                      </w:rPr>
                    </w:pPr>
                    <w:r>
                      <w:rPr>
                        <w:sz w:val="15"/>
                        <w:szCs w:val="15"/>
                      </w:rPr>
                      <w:t>012381936.IB</w:t>
                    </w:r>
                  </w:p>
                </w:tc>
                <w:tc>
                  <w:tcPr>
                    <w:tcW w:w="511" w:type="pct"/>
                    <w:vAlign w:val="center"/>
                  </w:tcPr>
                  <w:p>
                    <w:pPr>
                      <w:rPr>
                        <w:sz w:val="15"/>
                        <w:szCs w:val="15"/>
                      </w:rPr>
                    </w:pPr>
                    <w:r>
                      <w:rPr>
                        <w:sz w:val="15"/>
                        <w:szCs w:val="15"/>
                      </w:rPr>
                      <w:t>2023/5/23</w:t>
                    </w:r>
                  </w:p>
                </w:tc>
                <w:tc>
                  <w:tcPr>
                    <w:tcW w:w="511" w:type="pct"/>
                    <w:vAlign w:val="center"/>
                  </w:tcPr>
                  <w:p>
                    <w:pPr>
                      <w:rPr>
                        <w:sz w:val="15"/>
                        <w:szCs w:val="15"/>
                      </w:rPr>
                    </w:pPr>
                    <w:r>
                      <w:rPr>
                        <w:sz w:val="15"/>
                        <w:szCs w:val="15"/>
                      </w:rPr>
                      <w:t>2023/5/24</w:t>
                    </w:r>
                  </w:p>
                </w:tc>
                <w:tc>
                  <w:tcPr>
                    <w:tcW w:w="511" w:type="pct"/>
                    <w:vAlign w:val="center"/>
                  </w:tcPr>
                  <w:p>
                    <w:pPr>
                      <w:rPr>
                        <w:sz w:val="15"/>
                        <w:szCs w:val="15"/>
                      </w:rPr>
                    </w:pPr>
                    <w:r>
                      <w:rPr>
                        <w:sz w:val="15"/>
                        <w:szCs w:val="15"/>
                      </w:rPr>
                      <w:t>2023/8/25</w:t>
                    </w:r>
                  </w:p>
                </w:tc>
                <w:tc>
                  <w:tcPr>
                    <w:tcW w:w="316" w:type="pct"/>
                    <w:vAlign w:val="center"/>
                  </w:tcPr>
                  <w:p>
                    <w:pPr>
                      <w:rPr>
                        <w:sz w:val="15"/>
                        <w:szCs w:val="15"/>
                      </w:rPr>
                    </w:pPr>
                    <w:r>
                      <w:rPr>
                        <w:sz w:val="15"/>
                        <w:szCs w:val="15"/>
                      </w:rPr>
                      <w:t>3.00</w:t>
                    </w:r>
                  </w:p>
                </w:tc>
                <w:tc>
                  <w:tcPr>
                    <w:tcW w:w="393" w:type="pct"/>
                    <w:vAlign w:val="center"/>
                  </w:tcPr>
                  <w:p>
                    <w:pPr>
                      <w:rPr>
                        <w:sz w:val="15"/>
                        <w:szCs w:val="15"/>
                      </w:rPr>
                    </w:pPr>
                    <w:r>
                      <w:rPr>
                        <w:sz w:val="15"/>
                        <w:szCs w:val="15"/>
                      </w:rPr>
                      <w:t>2.07</w:t>
                    </w:r>
                  </w:p>
                </w:tc>
                <w:tc>
                  <w:tcPr>
                    <w:tcW w:w="276" w:type="pct"/>
                    <w:vAlign w:val="center"/>
                  </w:tcPr>
                  <w:p>
                    <w:pPr>
                      <w:rPr>
                        <w:sz w:val="15"/>
                        <w:szCs w:val="15"/>
                      </w:rPr>
                    </w:pPr>
                    <w:r>
                      <w:rPr>
                        <w:sz w:val="15"/>
                        <w:szCs w:val="15"/>
                      </w:rPr>
                      <w:t>到期还本付息</w:t>
                    </w:r>
                  </w:p>
                </w:tc>
                <w:tc>
                  <w:tcPr>
                    <w:tcW w:w="229" w:type="pct"/>
                    <w:vAlign w:val="center"/>
                  </w:tcPr>
                  <w:p>
                    <w:pPr>
                      <w:rPr>
                        <w:sz w:val="15"/>
                        <w:szCs w:val="15"/>
                      </w:rPr>
                    </w:pPr>
                    <w:r>
                      <w:rPr>
                        <w:sz w:val="15"/>
                        <w:szCs w:val="15"/>
                      </w:rPr>
                      <w:t>银行间债券市场</w:t>
                    </w:r>
                  </w:p>
                </w:tc>
                <w:tc>
                  <w:tcPr>
                    <w:tcW w:w="339" w:type="pct"/>
                    <w:vAlign w:val="center"/>
                  </w:tcPr>
                  <w:p>
                    <w:pPr>
                      <w:rPr>
                        <w:sz w:val="15"/>
                        <w:szCs w:val="15"/>
                      </w:rPr>
                    </w:pPr>
                    <w:r>
                      <w:rPr>
                        <w:sz w:val="15"/>
                        <w:szCs w:val="15"/>
                      </w:rPr>
                      <w:t>境内合格机构投资者</w:t>
                    </w:r>
                  </w:p>
                </w:tc>
                <w:tc>
                  <w:tcPr>
                    <w:tcW w:w="229" w:type="pct"/>
                    <w:vAlign w:val="center"/>
                  </w:tcPr>
                  <w:p>
                    <w:pPr>
                      <w:rPr>
                        <w:sz w:val="15"/>
                        <w:szCs w:val="15"/>
                      </w:rPr>
                    </w:pPr>
                    <w:r>
                      <w:rPr>
                        <w:sz w:val="15"/>
                        <w:szCs w:val="15"/>
                      </w:rPr>
                      <w:t>登记日的次一工作日即可以流通转让</w:t>
                    </w:r>
                  </w:p>
                </w:tc>
                <w:sdt>
                  <w:sdtPr>
                    <w:alias w:val="公司债券基本情况明细_是否存在终止上市交易的风险 "/>
                    <w:tag w:val="_GBC_55933d0e33804432bc2d8ad90d191ec6"/>
                    <w:id w:val="1238832121"/>
                    <w:lock w:val="sdtLocked"/>
                    <w:comboBox>
                      <w:listItem w:displayText="是" w:value="是"/>
                      <w:listItem w:displayText="否" w:value="否"/>
                    </w:comboBox>
                  </w:sdtPr>
                  <w:sdtContent>
                    <w:tc>
                      <w:tcPr>
                        <w:tcW w:w="229" w:type="pct"/>
                        <w:vAlign w:val="center"/>
                      </w:tcPr>
                      <w:p>
                        <w:pPr>
                          <w:pStyle w:val="114"/>
                        </w:pPr>
                        <w:r>
                          <w:t>否</w:t>
                        </w:r>
                      </w:p>
                    </w:tc>
                  </w:sdtContent>
                </w:sdt>
              </w:tr>
            </w:sdtContent>
          </w:sdt>
        </w:tbl>
        <w:p>
          <w:pPr>
            <w:pStyle w:val="114"/>
          </w:pPr>
        </w:p>
      </w:sdtContent>
    </w:sdt>
    <w:bookmarkEnd w:id="96"/>
    <w:sdt>
      <w:sdtPr>
        <w:rPr>
          <w:rFonts w:cs="Times New Roman"/>
          <w:bCs/>
          <w:kern w:val="2"/>
        </w:rPr>
        <w:alias w:val="模块:(一) 非金融企业债务融资工具 公司对债券终止上市交易风险的应对措施"/>
        <w:tag w:val="_SEC_c960bfcad3944f559dd2eefcbad971ce"/>
        <w:id w:val="-833303654"/>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pStyle w:val="114"/>
          </w:pPr>
          <w:bookmarkStart w:id="97" w:name="_Hlk74747078"/>
          <w:r>
            <w:rPr>
              <w:rFonts w:hint="eastAsia"/>
            </w:rPr>
            <w:t>公司对债券终止上市交易风险的应对措施</w:t>
          </w:r>
        </w:p>
        <w:sdt>
          <w:sdtPr>
            <w:rPr>
              <w:rFonts w:cs="Times New Roman"/>
              <w:bCs/>
              <w:color w:val="000000" w:themeColor="text1"/>
              <w:kern w:val="2"/>
              <w14:textFill>
                <w14:solidFill>
                  <w14:schemeClr w14:val="tx1"/>
                </w14:solidFill>
              </w14:textFill>
            </w:rPr>
            <w:alias w:val="是否适用：公司对债券终止上市交易风险的应对措施 [双击切换]"/>
            <w:tag w:val="_GBC_0bf7144a544f49b783e7bb7f2a3c8140"/>
            <w:id w:val="1402397820"/>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p>
          <w:pPr>
            <w:rPr>
              <w:rFonts w:cs="Times New Roman"/>
              <w:bCs/>
              <w:color w:val="000000" w:themeColor="text1"/>
              <w:kern w:val="2"/>
              <w14:textFill>
                <w14:solidFill>
                  <w14:schemeClr w14:val="tx1"/>
                </w14:solidFill>
              </w14:textFill>
            </w:rPr>
          </w:pPr>
        </w:p>
      </w:sdtContent>
    </w:sdt>
    <w:bookmarkEnd w:id="97"/>
    <w:sdt>
      <w:sdtPr>
        <w:rPr>
          <w:rFonts w:cs="Times New Roman"/>
          <w:bCs/>
          <w:kern w:val="2"/>
        </w:rPr>
        <w:alias w:val="模块:非金融企业债务融资工具逾期未偿还债券"/>
        <w:tag w:val="_SEC_7345dace4a85448a8e1bbd6a35cf959d"/>
        <w:id w:val="-1029259334"/>
        <w:lock w:val="sdtLocked"/>
        <w:placeholder>
          <w:docPart w:val="GBC22222222222222222222222222222"/>
        </w:placeholder>
      </w:sdtPr>
      <w:sdtEndPr>
        <w:rPr>
          <w:rFonts w:cs="Times New Roman"/>
          <w:bCs/>
          <w:kern w:val="2"/>
        </w:rPr>
      </w:sdtEndPr>
      <w:sdtContent>
        <w:p>
          <w:pPr>
            <w:pStyle w:val="114"/>
          </w:pPr>
          <w:bookmarkStart w:id="98" w:name="_Hlk74747105"/>
          <w:r>
            <w:t>逾期未偿还债券</w:t>
          </w:r>
        </w:p>
        <w:sdt>
          <w:sdtPr>
            <w:rPr>
              <w:rFonts w:hint="eastAsia"/>
            </w:rPr>
            <w:alias w:val="是否适用：逾期未偿还债券[双击切换]"/>
            <w:tag w:val="_GBC_01199c5296ec4fb5a190bdc6acefc487"/>
            <w:id w:val="673689723"/>
            <w:lock w:val="sdtLocked"/>
            <w:placeholder>
              <w:docPart w:val="GBC22222222222222222222222222222"/>
            </w:placeholder>
          </w:sdtPr>
          <w:sdtEndPr>
            <w:rPr>
              <w:rFonts w:hint="eastAsia"/>
            </w:rPr>
          </w:sdtEndPr>
          <w:sdtContent>
            <w:p>
              <w:pPr>
                <w:rPr>
                  <w:rFonts w:cs="Times New Roman"/>
                  <w:bCs/>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98"/>
    <w:sdt>
      <w:sdtPr>
        <w:rPr>
          <w:rFonts w:cs="Times New Roman"/>
          <w:bCs/>
          <w:kern w:val="2"/>
        </w:rPr>
        <w:alias w:val="模块:非金融企业债务融资工具关于逾期债项的说明"/>
        <w:tag w:val="_SEC_93a4b57e6e6e46698f68241bcd35c49f"/>
        <w:id w:val="-596631130"/>
        <w:lock w:val="sdtLocked"/>
        <w:placeholder>
          <w:docPart w:val="GBC22222222222222222222222222222"/>
        </w:placeholder>
      </w:sdtPr>
      <w:sdtEndPr>
        <w:rPr>
          <w:rFonts w:cs="Times New Roman"/>
          <w:bCs/>
          <w:kern w:val="2"/>
        </w:rPr>
      </w:sdtEndPr>
      <w:sdtContent>
        <w:p>
          <w:pPr>
            <w:pStyle w:val="114"/>
          </w:pPr>
          <w:bookmarkStart w:id="99" w:name="_Hlk74747129"/>
          <w:r>
            <w:t>关于逾期债项的说明</w:t>
          </w:r>
        </w:p>
        <w:sdt>
          <w:sdtPr>
            <w:rPr>
              <w:rFonts w:hint="eastAsia"/>
            </w:rPr>
            <w:alias w:val="是否适用：关于逾期债项的说明 [双击切换]"/>
            <w:tag w:val="_GBC_66b418e5abd740418ffc74949497dc68"/>
            <w:id w:val="-166824522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bCs/>
              <w:kern w:val="2"/>
            </w:rPr>
          </w:pPr>
        </w:p>
      </w:sdtContent>
    </w:sdt>
    <w:bookmarkEnd w:id="99"/>
    <w:sdt>
      <w:sdtPr>
        <w:rPr>
          <w:rFonts w:ascii="宋体" w:hAnsi="宋体" w:cs="宋体"/>
          <w:b w:val="0"/>
          <w:bCs w:val="0"/>
          <w:kern w:val="0"/>
          <w:szCs w:val="24"/>
        </w:rPr>
        <w:alias w:val="模块:非金融企业债务融资工具发行人或投资者选择权条款、投资者保护条款的触发和执行情况"/>
        <w:tag w:val="_SEC_ee8ef2708a4c4a4bbfcdb7705ac59e4b"/>
        <w:id w:val="-2021004195"/>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37"/>
            </w:numPr>
            <w:rPr>
              <w:rFonts w:ascii="宋体" w:hAnsi="宋体" w:cs="宋体"/>
              <w:kern w:val="0"/>
              <w:szCs w:val="24"/>
            </w:rPr>
          </w:pPr>
          <w:bookmarkStart w:id="100" w:name="_Hlk74747153"/>
          <w:r>
            <w:rPr>
              <w:rFonts w:hint="eastAsia" w:ascii="宋体" w:hAnsi="宋体" w:cs="宋体"/>
              <w:kern w:val="0"/>
              <w:szCs w:val="24"/>
            </w:rPr>
            <w:t>发行人或投资者选择权条款、投资者保护条款的触发和执行情况</w:t>
          </w:r>
        </w:p>
        <w:sdt>
          <w:sdtPr>
            <w:rPr>
              <w:rFonts w:cs="Times New Roman"/>
              <w:bCs/>
              <w:kern w:val="2"/>
            </w:rPr>
            <w:alias w:val="是否适用：发行人或投资者选择权条款、投资者保护条款的触发和执行情况[双击切换]"/>
            <w:tag w:val="_GBC_272e98a7f8184f1abf1274b7fb444f09"/>
            <w:id w:val="1003395145"/>
            <w:lock w:val="sdtLocked"/>
            <w:placeholder>
              <w:docPart w:val="GBC22222222222222222222222222222"/>
            </w:placeholder>
          </w:sdtPr>
          <w:sdtEndPr>
            <w:rPr>
              <w:rFonts w:cs="Times New Roman"/>
              <w:bCs/>
              <w:kern w:val="2"/>
            </w:rPr>
          </w:sdtEndPr>
          <w:sdtContent>
            <w:p>
              <w:pPr>
                <w:rPr>
                  <w:rFonts w:cs="Times New Roman"/>
                  <w:bCs/>
                  <w:kern w:val="2"/>
                </w:rPr>
              </w:pPr>
              <w:r>
                <w:rPr>
                  <w:rFonts w:cs="Times New Roman"/>
                  <w:bCs/>
                  <w:kern w:val="2"/>
                </w:rPr>
                <w:fldChar w:fldCharType="begin"/>
              </w:r>
              <w:r>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Pr>
                  <w:rFonts w:cs="Times New Roman"/>
                  <w:kern w:val="2"/>
                </w:rPr>
                <w:instrText xml:space="preserve"> MACROBUTTON  SnrToggleCheckbox √不适用 </w:instrText>
              </w:r>
              <w:r>
                <w:rPr>
                  <w:rFonts w:cs="Times New Roman"/>
                  <w:bCs/>
                  <w:kern w:val="2"/>
                </w:rPr>
                <w:fldChar w:fldCharType="end"/>
              </w:r>
            </w:p>
          </w:sdtContent>
        </w:sdt>
        <w:p>
          <w:pPr>
            <w:rPr>
              <w:rFonts w:cs="Times New Roman"/>
              <w:bCs/>
              <w:kern w:val="2"/>
            </w:rPr>
          </w:pPr>
        </w:p>
      </w:sdtContent>
    </w:sdt>
    <w:bookmarkEnd w:id="100"/>
    <w:sdt>
      <w:sdtPr>
        <w:rPr>
          <w:rFonts w:ascii="宋体" w:hAnsi="宋体" w:cs="宋体"/>
          <w:b w:val="0"/>
          <w:bCs w:val="0"/>
          <w:kern w:val="0"/>
          <w:szCs w:val="24"/>
        </w:rPr>
        <w:alias w:val="模块:企业债券信用评级结果调整情况"/>
        <w:tag w:val="_SEC_21c70a9f67594b1f943dc6ddb6783183"/>
        <w:id w:val="1916749807"/>
        <w:lock w:val="sdtLocked"/>
        <w:placeholder>
          <w:docPart w:val="GBC22222222222222222222222222222"/>
        </w:placeholder>
      </w:sdtPr>
      <w:sdtEndPr>
        <w:rPr>
          <w:rFonts w:ascii="宋体" w:hAnsi="宋体" w:cs="宋体"/>
          <w:b w:val="0"/>
          <w:bCs w:val="0"/>
          <w:color w:val="000000" w:themeColor="text1"/>
          <w:kern w:val="0"/>
          <w:szCs w:val="21"/>
          <w14:textFill>
            <w14:solidFill>
              <w14:schemeClr w14:val="tx1"/>
            </w14:solidFill>
          </w14:textFill>
        </w:rPr>
      </w:sdtEndPr>
      <w:sdtContent>
        <w:p>
          <w:pPr>
            <w:pStyle w:val="5"/>
            <w:numPr>
              <w:ilvl w:val="0"/>
              <w:numId w:val="37"/>
            </w:numPr>
            <w:tabs>
              <w:tab w:val="left" w:pos="360"/>
            </w:tabs>
            <w:ind w:left="425" w:hanging="425"/>
            <w:rPr>
              <w:rFonts w:ascii="宋体" w:hAnsi="宋体" w:cs="宋体"/>
              <w:kern w:val="0"/>
              <w:szCs w:val="24"/>
            </w:rPr>
          </w:pPr>
          <w:bookmarkStart w:id="101" w:name="_Hlk105686306"/>
          <w:bookmarkStart w:id="102" w:name="_Hlk105762790"/>
          <w:r>
            <w:rPr>
              <w:rFonts w:hint="eastAsia" w:ascii="宋体" w:hAnsi="宋体" w:cs="宋体"/>
              <w:kern w:val="0"/>
              <w:szCs w:val="24"/>
            </w:rPr>
            <w:t>信用评级结果调整情况</w:t>
          </w:r>
        </w:p>
        <w:sdt>
          <w:sdtPr>
            <w:rPr>
              <w:rFonts w:hint="eastAsia" w:cs="Times New Roman"/>
              <w:bCs/>
              <w:color w:val="000000" w:themeColor="text1"/>
              <w:kern w:val="2"/>
              <w14:textFill>
                <w14:solidFill>
                  <w14:schemeClr w14:val="tx1"/>
                </w14:solidFill>
              </w14:textFill>
            </w:rPr>
            <w:alias w:val="是否适用：公司债券评级情况[双击切换]"/>
            <w:tag w:val="_GBC_bbc1fd646553402a82fb0612b4175686"/>
            <w:id w:val="173077106"/>
            <w:lock w:val="sdtLocked"/>
            <w:placeholder>
              <w:docPart w:val="GBC22222222222222222222222222222"/>
            </w:placeholder>
          </w:sdtPr>
          <w:sdtEndPr>
            <w:rPr>
              <w:rFonts w:hint="eastAsia"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sdtContent>
    </w:sdt>
    <w:bookmarkEnd w:id="101"/>
    <w:sdt>
      <w:sdtPr>
        <w:rPr>
          <w:rFonts w:hint="eastAsia" w:cs="Times New Roman"/>
          <w:bCs/>
          <w:kern w:val="2"/>
        </w:rPr>
        <w:alias w:val="模块:其他说明  ____"/>
        <w:tag w:val="_SEC_edcb7f3e4f694fc8b787ab7a6d69a671"/>
        <w:id w:val="1431315033"/>
        <w:lock w:val="sdtLocked"/>
        <w:placeholder>
          <w:docPart w:val="GBC22222222222222222222222222222"/>
        </w:placeholder>
      </w:sdtPr>
      <w:sdtEndPr>
        <w:rPr>
          <w:rFonts w:hint="default" w:cs="Times New Roman"/>
          <w:b/>
          <w:bCs/>
          <w:kern w:val="2"/>
        </w:rPr>
      </w:sdtEndPr>
      <w:sdtContent>
        <w:p>
          <w:pPr>
            <w:adjustRightInd w:val="0"/>
            <w:snapToGrid w:val="0"/>
            <w:rPr>
              <w:rFonts w:hAnsi="Arial" w:cs="Times New Roman"/>
              <w:bCs/>
              <w:kern w:val="2"/>
            </w:rPr>
          </w:pPr>
          <w:bookmarkStart w:id="103" w:name="_Hlk105686344"/>
          <w:r>
            <w:rPr>
              <w:rFonts w:hint="eastAsia" w:ascii="Arial" w:hAnsi="Arial" w:cs="Times New Roman"/>
              <w:kern w:val="2"/>
            </w:rPr>
            <w:t>其他</w:t>
          </w:r>
          <w:r>
            <w:rPr>
              <w:rFonts w:hint="eastAsia" w:hAnsi="Arial" w:cs="Times New Roman"/>
              <w:kern w:val="2"/>
            </w:rPr>
            <w:t>说明</w:t>
          </w:r>
        </w:p>
        <w:sdt>
          <w:sdtPr>
            <w:rPr>
              <w:rFonts w:cs="Times New Roman"/>
              <w:bCs/>
              <w:kern w:val="2"/>
            </w:rPr>
            <w:alias w:val="信用评级结果调整情况其他说明"/>
            <w:tag w:val="_GBC_0bcce15d59b44824ba86600a52ca6d59"/>
            <w:id w:val="-158071784"/>
            <w:lock w:val="sdtLocked"/>
            <w:placeholder>
              <w:docPart w:val="GBC22222222222222222222222222222"/>
            </w:placeholder>
          </w:sdtPr>
          <w:sdtEndPr>
            <w:rPr>
              <w:rFonts w:cs="Times New Roman"/>
              <w:bCs/>
              <w:kern w:val="2"/>
            </w:rPr>
          </w:sdtEndPr>
          <w:sdtContent>
            <w:p>
              <w:pPr>
                <w:rPr>
                  <w:rFonts w:cs="Times New Roman"/>
                  <w:bCs/>
                  <w:kern w:val="2"/>
                </w:rPr>
              </w:pPr>
              <w:r>
                <w:rPr>
                  <w:rFonts w:hint="eastAsia" w:cs="Times New Roman"/>
                  <w:bCs/>
                  <w:kern w:val="2"/>
                </w:rPr>
                <w:t>无</w:t>
              </w:r>
              <w:r>
                <w:rPr>
                  <w:rFonts w:cs="Times New Roman"/>
                  <w:bCs/>
                  <w:kern w:val="2"/>
                </w:rPr>
                <w:t>。</w:t>
              </w:r>
            </w:p>
          </w:sdtContent>
        </w:sdt>
        <w:p>
          <w:pPr>
            <w:rPr>
              <w:rFonts w:cs="Times New Roman"/>
              <w:b/>
              <w:bCs/>
              <w:kern w:val="2"/>
            </w:rPr>
          </w:pPr>
        </w:p>
      </w:sdtContent>
    </w:sdt>
    <w:bookmarkEnd w:id="103"/>
    <w:sdt>
      <w:sdtPr>
        <w:rPr>
          <w:rFonts w:ascii="宋体" w:hAnsi="宋体" w:cs="宋体"/>
          <w:b w:val="0"/>
          <w:bCs w:val="0"/>
          <w:kern w:val="0"/>
          <w:szCs w:val="24"/>
        </w:rPr>
        <w:alias w:val="模块:企业债券_担保情况、偿债计划及其他偿债保障措施在报告期内的执行和变化情况及其影响"/>
        <w:tag w:val="_SEC_1787be1f0f6f4989a888633e99a258d5"/>
        <w:id w:val="998764629"/>
        <w:lock w:val="sdtLocked"/>
        <w:placeholder>
          <w:docPart w:val="GBC22222222222222222222222222222"/>
        </w:placeholder>
      </w:sdtPr>
      <w:sdtEndPr>
        <w:rPr>
          <w:rFonts w:ascii="宋体" w:hAnsi="宋体" w:cs="宋体"/>
          <w:b w:val="0"/>
          <w:bCs w:val="0"/>
          <w:color w:val="000000" w:themeColor="text1"/>
          <w:kern w:val="0"/>
          <w:szCs w:val="21"/>
          <w14:textFill>
            <w14:solidFill>
              <w14:schemeClr w14:val="tx1"/>
            </w14:solidFill>
          </w14:textFill>
        </w:rPr>
      </w:sdtEndPr>
      <w:sdtContent>
        <w:p>
          <w:pPr>
            <w:pStyle w:val="5"/>
            <w:numPr>
              <w:ilvl w:val="0"/>
              <w:numId w:val="37"/>
            </w:numPr>
            <w:tabs>
              <w:tab w:val="left" w:pos="360"/>
            </w:tabs>
            <w:ind w:left="425" w:hanging="425"/>
            <w:rPr>
              <w:rFonts w:ascii="宋体" w:hAnsi="宋体" w:cs="宋体"/>
              <w:kern w:val="0"/>
              <w:szCs w:val="24"/>
            </w:rPr>
          </w:pPr>
          <w:bookmarkStart w:id="104" w:name="_Hlk105686452"/>
          <w:r>
            <w:rPr>
              <w:rFonts w:hint="eastAsia" w:ascii="宋体" w:hAnsi="宋体" w:cs="宋体"/>
              <w:kern w:val="0"/>
              <w:szCs w:val="24"/>
            </w:rPr>
            <w:t>担保情况、偿债计划及其他偿债保障措施在报告期内的执行和变化情况及其影响</w:t>
          </w:r>
        </w:p>
        <w:sdt>
          <w:sdtPr>
            <w:rPr>
              <w:rFonts w:cs="Times New Roman"/>
              <w:bCs/>
              <w:color w:val="000000" w:themeColor="text1"/>
              <w:kern w:val="2"/>
              <w14:textFill>
                <w14:solidFill>
                  <w14:schemeClr w14:val="tx1"/>
                </w14:solidFill>
              </w14:textFill>
            </w:rPr>
            <w:alias w:val="是否适用：担保情况、偿债计划及其他偿债保障措施在报告期内的执行情况和变化情况及对债券投资者权益的影响[双击切换]"/>
            <w:tag w:val="_GBC_0e3aec2f88da46aaa1096da2686ba9be"/>
            <w:id w:val="-283657272"/>
            <w:lock w:val="sdtLocked"/>
            <w:placeholder>
              <w:docPart w:val="GBC22222222222222222222222222222"/>
            </w:placeholder>
          </w:sdtPr>
          <w:sdtEndPr>
            <w:rPr>
              <w:rFonts w:cs="Times New Roman"/>
              <w:bCs/>
              <w:color w:val="000000" w:themeColor="text1"/>
              <w:kern w:val="2"/>
              <w14:textFill>
                <w14:solidFill>
                  <w14:schemeClr w14:val="tx1"/>
                </w14:solidFill>
              </w14:textFill>
            </w:rPr>
          </w:sdtEndPr>
          <w:sdtContent>
            <w:p>
              <w:pPr>
                <w:rPr>
                  <w:color w:val="000000" w:themeColor="text1"/>
                  <w14:textFill>
                    <w14:solidFill>
                      <w14:schemeClr w14:val="tx1"/>
                    </w14:solidFill>
                  </w14:textFill>
                </w:rPr>
              </w:pP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□适用 </w:instrText>
              </w:r>
              <w:r>
                <w:rPr>
                  <w:rFonts w:cs="Times New Roman"/>
                  <w:bCs/>
                  <w:color w:val="000000" w:themeColor="text1"/>
                  <w:kern w:val="2"/>
                  <w14:textFill>
                    <w14:solidFill>
                      <w14:schemeClr w14:val="tx1"/>
                    </w14:solidFill>
                  </w14:textFill>
                </w:rPr>
                <w:fldChar w:fldCharType="end"/>
              </w:r>
              <w:r>
                <w:rPr>
                  <w:rFonts w:cs="Times New Roman"/>
                  <w:bCs/>
                  <w:color w:val="000000" w:themeColor="text1"/>
                  <w:kern w:val="2"/>
                  <w14:textFill>
                    <w14:solidFill>
                      <w14:schemeClr w14:val="tx1"/>
                    </w14:solidFill>
                  </w14:textFill>
                </w:rPr>
                <w:fldChar w:fldCharType="begin"/>
              </w:r>
              <w:r>
                <w:rPr>
                  <w:rFonts w:cs="Times New Roman"/>
                  <w:color w:val="000000" w:themeColor="text1"/>
                  <w:kern w:val="2"/>
                  <w14:textFill>
                    <w14:solidFill>
                      <w14:schemeClr w14:val="tx1"/>
                    </w14:solidFill>
                  </w14:textFill>
                </w:rPr>
                <w:instrText xml:space="preserve"> MACROBUTTON  SnrToggleCheckbox √不适用 </w:instrText>
              </w:r>
              <w:r>
                <w:rPr>
                  <w:rFonts w:cs="Times New Roman"/>
                  <w:bCs/>
                  <w:color w:val="000000" w:themeColor="text1"/>
                  <w:kern w:val="2"/>
                  <w14:textFill>
                    <w14:solidFill>
                      <w14:schemeClr w14:val="tx1"/>
                    </w14:solidFill>
                  </w14:textFill>
                </w:rPr>
                <w:fldChar w:fldCharType="end"/>
              </w:r>
            </w:p>
          </w:sdtContent>
        </w:sdt>
      </w:sdtContent>
    </w:sdt>
    <w:bookmarkEnd w:id="104"/>
    <w:sdt>
      <w:sdtPr>
        <w:rPr>
          <w:b/>
          <w:bCs/>
        </w:rPr>
        <w:alias w:val="模块:非金融企业债务融资工具担保情况、偿债计划及其他偿债保障措施在报告期内的执行和变化情况及其影响"/>
        <w:tag w:val="_SEC_96d3c49bcdff4a708e6cc02215c1760c"/>
        <w:id w:val="-1207021712"/>
        <w:lock w:val="sdtLocked"/>
        <w:placeholder>
          <w:docPart w:val="GBC22222222222222222222222222222"/>
        </w:placeholder>
      </w:sdtPr>
      <w:sdtEndPr>
        <w:rPr>
          <w:b w:val="0"/>
          <w:bCs w:val="0"/>
          <w:color w:val="000000" w:themeColor="text1"/>
          <w14:textFill>
            <w14:solidFill>
              <w14:schemeClr w14:val="tx1"/>
            </w14:solidFill>
          </w14:textFill>
        </w:rPr>
      </w:sdtEndPr>
      <w:sdtContent>
        <w:p>
          <w:pPr>
            <w:pStyle w:val="114"/>
          </w:pPr>
          <w:bookmarkStart w:id="105" w:name="_Hlk74747197"/>
          <w:r>
            <w:rPr>
              <w:rFonts w:hint="eastAsia"/>
            </w:rPr>
            <w:t>其他说明</w:t>
          </w:r>
        </w:p>
        <w:sdt>
          <w:sdtPr>
            <w:rPr>
              <w:color w:val="000000" w:themeColor="text1"/>
              <w14:textFill>
                <w14:solidFill>
                  <w14:schemeClr w14:val="tx1"/>
                </w14:solidFill>
              </w14:textFill>
            </w:rPr>
            <w:alias w:val="担保情况、偿债计划及其他偿债保障措施在报告期内的执行情况和变化情况及对债券投资者权益的影响"/>
            <w:tag w:val="_GBC_a38608f5e4ed4154888c9017d276a5a8"/>
            <w:id w:val="1350835582"/>
            <w:lock w:val="sdtLocked"/>
            <w:placeholder>
              <w:docPart w:val="GBC22222222222222222222222222222"/>
            </w:placeholder>
          </w:sdtPr>
          <w:sdtEndPr>
            <w:rPr>
              <w:color w:val="000000" w:themeColor="text1"/>
              <w14:textFill>
                <w14:solidFill>
                  <w14:schemeClr w14:val="tx1"/>
                </w14:solidFill>
              </w14:textFill>
            </w:rPr>
          </w:sdtEndPr>
          <w:sdt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无</w:t>
              </w:r>
              <w:r>
                <w:rPr>
                  <w:color w:val="000000" w:themeColor="text1"/>
                  <w14:textFill>
                    <w14:solidFill>
                      <w14:schemeClr w14:val="tx1"/>
                    </w14:solidFill>
                  </w14:textFill>
                </w:rPr>
                <w:t>。</w:t>
              </w:r>
            </w:p>
          </w:sdtContent>
        </w:sdt>
        <w:p>
          <w:pPr>
            <w:rPr>
              <w:color w:val="000000" w:themeColor="text1"/>
              <w14:textFill>
                <w14:solidFill>
                  <w14:schemeClr w14:val="tx1"/>
                </w14:solidFill>
              </w14:textFill>
            </w:rPr>
          </w:pPr>
        </w:p>
      </w:sdtContent>
    </w:sdt>
    <w:bookmarkEnd w:id="102"/>
    <w:bookmarkEnd w:id="105"/>
    <w:sdt>
      <w:sdtPr>
        <w:rPr>
          <w:rFonts w:ascii="宋体" w:hAnsi="宋体" w:cs="宋体"/>
          <w:b w:val="0"/>
          <w:bCs w:val="0"/>
          <w:kern w:val="0"/>
          <w:szCs w:val="24"/>
        </w:rPr>
        <w:alias w:val="模块:非金融企业债务融资工具其他情况的说明"/>
        <w:tag w:val="_SEC_f9bf2c4fe6ff467498e3773fc0c13df6"/>
        <w:id w:val="388851375"/>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37"/>
            </w:numPr>
            <w:rPr>
              <w:rFonts w:ascii="宋体" w:hAnsi="宋体" w:cs="宋体"/>
              <w:kern w:val="0"/>
              <w:szCs w:val="24"/>
            </w:rPr>
          </w:pPr>
          <w:r>
            <w:rPr>
              <w:rFonts w:ascii="宋体" w:hAnsi="宋体" w:cs="宋体"/>
              <w:kern w:val="0"/>
              <w:szCs w:val="24"/>
            </w:rPr>
            <w:t>非金融企业债务融资工具</w:t>
          </w:r>
          <w:r>
            <w:rPr>
              <w:rFonts w:hint="eastAsia" w:ascii="宋体" w:hAnsi="宋体" w:cs="宋体"/>
              <w:kern w:val="0"/>
              <w:szCs w:val="24"/>
            </w:rPr>
            <w:t>其他情况的说明</w:t>
          </w:r>
        </w:p>
        <w:sdt>
          <w:sdtPr>
            <w:rPr>
              <w:rFonts w:cs="Times New Roman"/>
              <w:bCs/>
              <w:kern w:val="2"/>
            </w:rPr>
            <w:alias w:val="是否适用：非金融企业债务融资工具其他情况的说明[双击切换]"/>
            <w:tag w:val="_GBC_1545a32f6e064f4ba4a6f6496d1c3fdc"/>
            <w:id w:val="-920487279"/>
            <w:lock w:val="sdtLocked"/>
            <w:placeholder>
              <w:docPart w:val="GBC22222222222222222222222222222"/>
            </w:placeholder>
          </w:sdtPr>
          <w:sdtEndPr>
            <w:rPr>
              <w:rFonts w:cs="Times New Roman"/>
              <w:bCs/>
              <w:kern w:val="2"/>
            </w:rPr>
          </w:sdtEndPr>
          <w:sdtContent>
            <w:p>
              <w:pPr>
                <w:rPr>
                  <w:rFonts w:cs="Times New Roman"/>
                  <w:bCs/>
                  <w:kern w:val="2"/>
                </w:rPr>
              </w:pPr>
              <w:r>
                <w:rPr>
                  <w:rFonts w:cs="Times New Roman"/>
                  <w:bCs/>
                  <w:kern w:val="2"/>
                </w:rPr>
                <w:fldChar w:fldCharType="begin"/>
              </w:r>
              <w:r>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Pr>
                  <w:rFonts w:cs="Times New Roman"/>
                  <w:kern w:val="2"/>
                </w:rPr>
                <w:instrText xml:space="preserve"> MACROBUTTON  SnrToggleCheckbox □不适用 </w:instrText>
              </w:r>
              <w:r>
                <w:rPr>
                  <w:rFonts w:cs="Times New Roman"/>
                  <w:bCs/>
                  <w:kern w:val="2"/>
                </w:rPr>
                <w:fldChar w:fldCharType="end"/>
              </w:r>
            </w:p>
          </w:sdtContent>
        </w:sdt>
        <w:sdt>
          <w:sdtPr>
            <w:rPr>
              <w:rFonts w:cs="Times New Roman"/>
              <w:bCs/>
              <w:kern w:val="2"/>
            </w:rPr>
            <w:alias w:val="非金融企业债务融资工具其他情况的说明"/>
            <w:tag w:val="_GBC_3ba5a3a3e7c84019a2a61579d9bec61f"/>
            <w:id w:val="1550189904"/>
            <w:lock w:val="sdtLocked"/>
            <w:placeholder>
              <w:docPart w:val="GBC22222222222222222222222222222"/>
            </w:placeholder>
          </w:sdtPr>
          <w:sdtEndPr>
            <w:rPr>
              <w:rFonts w:cs="Times New Roman"/>
              <w:bCs/>
              <w:kern w:val="2"/>
            </w:rPr>
          </w:sdtEndPr>
          <w:sdtContent>
            <w:p>
              <w:pPr>
                <w:ind w:firstLine="420" w:firstLineChars="200"/>
                <w:jc w:val="both"/>
                <w:rPr>
                  <w:rFonts w:cs="Times New Roman"/>
                  <w:bCs/>
                  <w:kern w:val="2"/>
                </w:rPr>
              </w:pPr>
              <w:r>
                <w:rPr>
                  <w:rFonts w:cs="Times New Roman"/>
                  <w:bCs/>
                  <w:kern w:val="2"/>
                </w:rPr>
                <w:t>22宁沪高MTN001（科创票据）募集资金专项账户运作情况、募集资金使用情况和项目进展：</w:t>
              </w:r>
              <w:r>
                <w:rPr>
                  <w:rFonts w:hint="eastAsia" w:cs="Times New Roman"/>
                  <w:bCs/>
                  <w:kern w:val="2"/>
                </w:rPr>
                <w:t>本次中期票据募集资金已于</w:t>
              </w:r>
              <w:r>
                <w:rPr>
                  <w:rFonts w:cs="Times New Roman"/>
                  <w:bCs/>
                  <w:kern w:val="2"/>
                </w:rPr>
                <w:t>2022年9月15日全部划入指定的募集资金监管账户，截至本报告日，募集资金已全部使用完毕，用于置换发行人用于云杉清能公司100%股权转让的第一期转让款自有资金投入，与募集说明书中列示用途一致。本期债券募集资金投放涉及发行人收购云杉清能公司100%股权事项已完成，云杉清能公司已成为发行人的全资子公司。</w:t>
              </w:r>
            </w:p>
          </w:sdtContent>
        </w:sdt>
        <w:p>
          <w:pPr>
            <w:rPr>
              <w:rFonts w:cs="Times New Roman"/>
              <w:bCs/>
              <w:kern w:val="2"/>
            </w:rPr>
          </w:pPr>
        </w:p>
      </w:sdtContent>
    </w:sdt>
    <w:sdt>
      <w:sdtPr>
        <w:rPr>
          <w:rFonts w:ascii="宋体" w:hAnsi="宋体" w:cs="宋体"/>
          <w:b w:val="0"/>
          <w:bCs w:val="0"/>
          <w:kern w:val="0"/>
          <w:szCs w:val="24"/>
        </w:rPr>
        <w:alias w:val="模块:公司报告期内合并报表范围亏损超过上年末净资产10%亏损情..."/>
        <w:tag w:val="_SEC_53cb8a9927c84975874838d7d288b8eb"/>
        <w:id w:val="-1451079527"/>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35"/>
            </w:numPr>
            <w:rPr>
              <w:rFonts w:ascii="宋体" w:hAnsi="宋体"/>
            </w:rPr>
          </w:pPr>
          <w:r>
            <w:rPr>
              <w:rFonts w:ascii="宋体" w:hAnsi="宋体"/>
            </w:rPr>
            <w:t>公司报告期内合并报表范围亏损超过上年末净资产10%</w:t>
          </w:r>
        </w:p>
        <w:sdt>
          <w:sdtPr>
            <w:rPr>
              <w:rFonts w:cs="Times New Roman"/>
              <w:bCs/>
              <w:kern w:val="2"/>
            </w:rPr>
            <w:alias w:val="是否适用：公司报告期内合并报表范围亏损超过上年末净资产10% [双击切换]"/>
            <w:tag w:val="_GBC_ff0f2375ea374f0b8a9d7ba3ce91f6ae"/>
            <w:id w:val="-1857495234"/>
            <w:lock w:val="sdtLocked"/>
            <w:placeholder>
              <w:docPart w:val="GBC22222222222222222222222222222"/>
            </w:placeholder>
          </w:sdtPr>
          <w:sdtEndPr>
            <w:rPr>
              <w:rFonts w:cs="Times New Roman"/>
              <w:bCs/>
              <w:kern w:val="2"/>
            </w:rPr>
          </w:sdtEndPr>
          <w:sdtContent>
            <w:p>
              <w:pPr>
                <w:adjustRightInd w:val="0"/>
                <w:snapToGrid w:val="0"/>
                <w:rPr>
                  <w:rFonts w:cs="Times New Roman"/>
                  <w:bCs/>
                  <w:kern w:val="2"/>
                </w:rPr>
              </w:pPr>
              <w:r>
                <w:rPr>
                  <w:rFonts w:cs="Times New Roman"/>
                  <w:bCs/>
                  <w:kern w:val="2"/>
                </w:rPr>
                <w:fldChar w:fldCharType="begin"/>
              </w:r>
              <w:r>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Pr>
                  <w:rFonts w:cs="Times New Roman"/>
                  <w:kern w:val="2"/>
                </w:rPr>
                <w:instrText xml:space="preserve"> MACROBUTTON  SnrToggleCheckbox √不适用 </w:instrText>
              </w:r>
              <w:r>
                <w:rPr>
                  <w:rFonts w:cs="Times New Roman"/>
                  <w:bCs/>
                  <w:kern w:val="2"/>
                </w:rPr>
                <w:fldChar w:fldCharType="end"/>
              </w:r>
            </w:p>
          </w:sdtContent>
        </w:sdt>
      </w:sdtContent>
    </w:sdt>
    <w:sdt>
      <w:sdtPr>
        <w:rPr>
          <w:rFonts w:hint="eastAsia" w:ascii="宋体" w:hAnsi="宋体" w:cs="宋体"/>
          <w:b w:val="0"/>
          <w:bCs w:val="0"/>
          <w:kern w:val="0"/>
          <w:szCs w:val="24"/>
        </w:rPr>
        <w:alias w:val="模块:截至报告期末公司近2年的会计数据和财务指标"/>
        <w:tag w:val="_SEC_9f3013bc6d4940f49cf3cfe39dab5a57"/>
        <w:id w:val="-1159004447"/>
        <w:lock w:val="sdtLocked"/>
        <w:placeholder>
          <w:docPart w:val="GBC22222222222222222222222222222"/>
        </w:placeholder>
      </w:sdtPr>
      <w:sdtEndPr>
        <w:rPr>
          <w:rFonts w:hint="eastAsia" w:ascii="宋体" w:hAnsi="宋体" w:cs="宋体"/>
          <w:b w:val="0"/>
          <w:bCs w:val="0"/>
          <w:kern w:val="0"/>
          <w:sz w:val="18"/>
          <w:szCs w:val="18"/>
        </w:rPr>
      </w:sdtEndPr>
      <w:sdtContent>
        <w:p>
          <w:pPr>
            <w:pStyle w:val="4"/>
            <w:numPr>
              <w:ilvl w:val="0"/>
              <w:numId w:val="35"/>
            </w:numPr>
            <w:rPr>
              <w:rFonts w:ascii="宋体" w:hAnsi="宋体"/>
            </w:rPr>
          </w:pPr>
          <w:r>
            <w:rPr>
              <w:rFonts w:hint="eastAsia" w:ascii="宋体" w:hAnsi="宋体" w:cs="宋体"/>
              <w:kern w:val="0"/>
              <w:szCs w:val="24"/>
            </w:rPr>
            <w:t>主要</w:t>
          </w:r>
          <w:r>
            <w:rPr>
              <w:rFonts w:hint="eastAsia" w:ascii="宋体" w:hAnsi="宋体"/>
            </w:rPr>
            <w:t>会计数据和财务指标</w:t>
          </w:r>
          <w:r>
            <w:rPr>
              <w:rFonts w:ascii="宋体" w:hAnsi="宋体"/>
            </w:rPr>
            <w:t xml:space="preserve"> </w:t>
          </w:r>
        </w:p>
        <w:sdt>
          <w:sdtPr>
            <w:alias w:val="是否适用：截至报告期末和上年末（或本报告期和上年同期）下列会计数据和财务指标 [双击切换]"/>
            <w:tag w:val="_GBC_e1fb30558f9c454b8f3ba9e82315063f"/>
            <w:id w:val="15996771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r>
            <w:t>：</w:t>
          </w:r>
          <w:sdt>
            <w:sdtPr>
              <w:alias w:val="单位：财务附注：截至报告期末公司近2年的会计数据和财务指标"/>
              <w:tag w:val="_GBC_afc0f331fd4b47ce87ad91eec01d628d"/>
              <w:id w:val="-553935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元</w:t>
              </w:r>
            </w:sdtContent>
          </w:sdt>
          <w:r>
            <w:rPr>
              <w:rFonts w:hint="eastAsia"/>
            </w:rPr>
            <w:t xml:space="preserve">  币种</w:t>
          </w:r>
          <w:r>
            <w:t>：</w:t>
          </w:r>
          <w:sdt>
            <w:sdtPr>
              <w:alias w:val="币种：财务附注：截至报告期末公司近2年的会计数据和财务指标"/>
              <w:tag w:val="_GBC_17d60ed9196541edac6e74398e4722b2"/>
              <w:id w:val="-17746205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4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1964"/>
            <w:gridCol w:w="1960"/>
            <w:gridCol w:w="1672"/>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195a4fd0c8947ce9988f222f3a78dcb"/>
                <w:id w:val="910588432"/>
                <w:lock w:val="sdtLocked"/>
              </w:sdtPr>
              <w:sdtContent>
                <w:tc>
                  <w:tcPr>
                    <w:tcW w:w="1042" w:type="pct"/>
                    <w:vAlign w:val="center"/>
                  </w:tcPr>
                  <w:p>
                    <w:pPr>
                      <w:jc w:val="center"/>
                      <w:rPr>
                        <w:rFonts w:cs="Times New Roman"/>
                        <w:b/>
                        <w:bCs/>
                      </w:rPr>
                    </w:pPr>
                    <w:r>
                      <w:rPr>
                        <w:rFonts w:hint="eastAsia"/>
                      </w:rPr>
                      <w:t>主要指标</w:t>
                    </w:r>
                  </w:p>
                </w:tc>
              </w:sdtContent>
            </w:sdt>
            <w:sdt>
              <w:sdtPr>
                <w:tag w:val="_PLD_c7ed68982a194c52a3ba61882b189048"/>
                <w:id w:val="335965461"/>
                <w:lock w:val="sdtLocked"/>
              </w:sdtPr>
              <w:sdtContent>
                <w:tc>
                  <w:tcPr>
                    <w:tcW w:w="1085" w:type="pct"/>
                    <w:vAlign w:val="center"/>
                  </w:tcPr>
                  <w:p>
                    <w:pPr>
                      <w:jc w:val="center"/>
                    </w:pPr>
                    <w:r>
                      <w:rPr>
                        <w:rFonts w:hint="eastAsia"/>
                      </w:rPr>
                      <w:t>本报告期末</w:t>
                    </w:r>
                  </w:p>
                </w:tc>
              </w:sdtContent>
            </w:sdt>
            <w:sdt>
              <w:sdtPr>
                <w:tag w:val="_PLD_47ecd04c8b4547359265315ddd51a277"/>
                <w:id w:val="351160482"/>
                <w:lock w:val="sdtLocked"/>
              </w:sdtPr>
              <w:sdtContent>
                <w:tc>
                  <w:tcPr>
                    <w:tcW w:w="1083" w:type="pct"/>
                    <w:vAlign w:val="center"/>
                  </w:tcPr>
                  <w:p>
                    <w:pPr>
                      <w:jc w:val="center"/>
                    </w:pPr>
                    <w:r>
                      <w:rPr>
                        <w:rFonts w:hint="eastAsia"/>
                      </w:rPr>
                      <w:t>上年度末</w:t>
                    </w:r>
                  </w:p>
                </w:tc>
              </w:sdtContent>
            </w:sdt>
            <w:sdt>
              <w:sdtPr>
                <w:tag w:val="_PLD_d7987bdd020141d68b5e9af795a4bf39"/>
                <w:id w:val="-1061940865"/>
                <w:lock w:val="sdtLocked"/>
              </w:sdtPr>
              <w:sdtContent>
                <w:tc>
                  <w:tcPr>
                    <w:tcW w:w="924" w:type="pct"/>
                    <w:vAlign w:val="center"/>
                  </w:tcPr>
                  <w:p>
                    <w:pPr>
                      <w:jc w:val="center"/>
                    </w:pPr>
                    <w:r>
                      <w:rPr>
                        <w:rFonts w:hint="eastAsia"/>
                      </w:rPr>
                      <w:t>本报告期末比上年度末增减（%）</w:t>
                    </w:r>
                  </w:p>
                </w:tc>
              </w:sdtContent>
            </w:sdt>
            <w:sdt>
              <w:sdtPr>
                <w:tag w:val="_PLD_0a234168cf5443608cc3ae6d76104114"/>
                <w:id w:val="1944033767"/>
                <w:lock w:val="sdtLocked"/>
              </w:sdtPr>
              <w:sdtContent>
                <w:tc>
                  <w:tcPr>
                    <w:tcW w:w="866" w:type="pct"/>
                    <w:vAlign w:val="center"/>
                  </w:tcPr>
                  <w:p>
                    <w:pPr>
                      <w:jc w:val="center"/>
                    </w:pPr>
                    <w:r>
                      <w:rPr>
                        <w:rFonts w:hint="eastAsia"/>
                      </w:rPr>
                      <w:t>变动原因</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4177f3cf6f4849f8bb08b6d94373a325"/>
                <w:id w:val="-1866288751"/>
                <w:lock w:val="sdtLocked"/>
              </w:sdtPr>
              <w:sdtEndPr>
                <w:rPr>
                  <w:rFonts w:hint="eastAsia"/>
                </w:rPr>
              </w:sdtEndPr>
              <w:sdtContent>
                <w:tc>
                  <w:tcPr>
                    <w:tcW w:w="1042" w:type="pct"/>
                  </w:tcPr>
                  <w:p>
                    <w:pPr>
                      <w:pStyle w:val="114"/>
                    </w:pPr>
                    <w:r>
                      <w:rPr>
                        <w:rFonts w:hint="eastAsia"/>
                      </w:rPr>
                      <w:t>流动比率</w:t>
                    </w:r>
                  </w:p>
                </w:tc>
              </w:sdtContent>
            </w:sdt>
            <w:tc>
              <w:tcPr>
                <w:tcW w:w="1085" w:type="pct"/>
              </w:tcPr>
              <w:p>
                <w:pPr>
                  <w:jc w:val="center"/>
                </w:pPr>
                <w:r>
                  <w:rPr>
                    <w:rFonts w:hint="eastAsia"/>
                  </w:rPr>
                  <w:t>0.6861</w:t>
                </w:r>
              </w:p>
            </w:tc>
            <w:tc>
              <w:tcPr>
                <w:tcW w:w="1083" w:type="pct"/>
              </w:tcPr>
              <w:p>
                <w:pPr>
                  <w:jc w:val="center"/>
                  <w:rPr>
                    <w:sz w:val="24"/>
                    <w:szCs w:val="24"/>
                  </w:rPr>
                </w:pPr>
                <w:r>
                  <w:t>0.6879</w:t>
                </w:r>
              </w:p>
            </w:tc>
            <w:tc>
              <w:tcPr>
                <w:tcW w:w="924" w:type="pct"/>
              </w:tcPr>
              <w:p>
                <w:pPr>
                  <w:jc w:val="center"/>
                </w:pPr>
                <w:r>
                  <w:rPr>
                    <w:rFonts w:hint="eastAsia"/>
                  </w:rPr>
                  <w:t>-0.25</w:t>
                </w:r>
              </w:p>
            </w:tc>
            <w:tc>
              <w:tcPr>
                <w:tcW w:w="866" w:type="pct"/>
              </w:tcPr>
              <w:p>
                <w:pPr>
                  <w:jc w:val="both"/>
                  <w:rPr>
                    <w:sz w:val="15"/>
                    <w:szCs w:val="15"/>
                  </w:rPr>
                </w:pPr>
                <w:r>
                  <w:rPr>
                    <w:rFonts w:hint="eastAsia"/>
                    <w:sz w:val="15"/>
                    <w:szCs w:val="15"/>
                  </w:rPr>
                  <w:t>主要由于集团期末已宣告发放尚未支付的现金股利大幅增加，报告期流动负债增幅超过流动资产增幅，导致流动比率下降。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b787e366186540abb8f119f3907046d7"/>
                <w:id w:val="2034679759"/>
                <w:lock w:val="sdtLocked"/>
              </w:sdtPr>
              <w:sdtEndPr>
                <w:rPr>
                  <w:rFonts w:hint="eastAsia"/>
                </w:rPr>
              </w:sdtEndPr>
              <w:sdtContent>
                <w:tc>
                  <w:tcPr>
                    <w:tcW w:w="1042" w:type="pct"/>
                  </w:tcPr>
                  <w:p>
                    <w:pPr>
                      <w:pStyle w:val="114"/>
                    </w:pPr>
                    <w:r>
                      <w:rPr>
                        <w:rFonts w:hint="eastAsia"/>
                      </w:rPr>
                      <w:t>速动比率</w:t>
                    </w:r>
                  </w:p>
                </w:tc>
              </w:sdtContent>
            </w:sdt>
            <w:tc>
              <w:tcPr>
                <w:tcW w:w="1085" w:type="pct"/>
              </w:tcPr>
              <w:p>
                <w:pPr>
                  <w:jc w:val="center"/>
                </w:pPr>
                <w:r>
                  <w:rPr>
                    <w:rFonts w:hint="eastAsia"/>
                  </w:rPr>
                  <w:t>0.4497</w:t>
                </w:r>
              </w:p>
            </w:tc>
            <w:tc>
              <w:tcPr>
                <w:tcW w:w="1083" w:type="pct"/>
              </w:tcPr>
              <w:p>
                <w:pPr>
                  <w:jc w:val="center"/>
                  <w:rPr>
                    <w:sz w:val="24"/>
                    <w:szCs w:val="24"/>
                  </w:rPr>
                </w:pPr>
                <w:r>
                  <w:t>0.4103</w:t>
                </w:r>
              </w:p>
            </w:tc>
            <w:tc>
              <w:tcPr>
                <w:tcW w:w="924" w:type="pct"/>
              </w:tcPr>
              <w:p>
                <w:pPr>
                  <w:jc w:val="center"/>
                </w:pPr>
                <w:r>
                  <w:rPr>
                    <w:rFonts w:hint="eastAsia"/>
                  </w:rPr>
                  <w:t>9.60</w:t>
                </w:r>
              </w:p>
            </w:tc>
            <w:tc>
              <w:tcPr>
                <w:tcW w:w="866" w:type="pct"/>
              </w:tcPr>
              <w:p>
                <w:pPr>
                  <w:jc w:val="both"/>
                  <w:rPr>
                    <w:sz w:val="15"/>
                    <w:szCs w:val="15"/>
                  </w:rPr>
                </w:pPr>
                <w:r>
                  <w:rPr>
                    <w:rFonts w:hint="eastAsia"/>
                    <w:sz w:val="15"/>
                    <w:szCs w:val="15"/>
                  </w:rPr>
                  <w:t>主要由于集团期末存货及其他流动资产等占比较期初减少，导致速动比率较期初增长。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432ac5f4629b473a891520f926a7d73d"/>
                <w:id w:val="-967431043"/>
                <w:lock w:val="sdtLocked"/>
              </w:sdtPr>
              <w:sdtEndPr>
                <w:rPr>
                  <w:rFonts w:hint="eastAsia"/>
                </w:rPr>
              </w:sdtEndPr>
              <w:sdtContent>
                <w:tc>
                  <w:tcPr>
                    <w:tcW w:w="1042" w:type="pct"/>
                  </w:tcPr>
                  <w:p>
                    <w:pPr>
                      <w:pStyle w:val="114"/>
                    </w:pPr>
                    <w:r>
                      <w:rPr>
                        <w:rFonts w:hint="eastAsia"/>
                      </w:rPr>
                      <w:t>资产负债率（%）</w:t>
                    </w:r>
                  </w:p>
                </w:tc>
              </w:sdtContent>
            </w:sdt>
            <w:tc>
              <w:tcPr>
                <w:tcW w:w="1085" w:type="pct"/>
              </w:tcPr>
              <w:p>
                <w:pPr>
                  <w:jc w:val="center"/>
                </w:pPr>
                <w:r>
                  <w:rPr>
                    <w:rFonts w:hint="eastAsia"/>
                  </w:rPr>
                  <w:t>51.72</w:t>
                </w:r>
              </w:p>
            </w:tc>
            <w:tc>
              <w:tcPr>
                <w:tcW w:w="1083" w:type="pct"/>
              </w:tcPr>
              <w:p>
                <w:pPr>
                  <w:jc w:val="center"/>
                  <w:rPr>
                    <w:sz w:val="24"/>
                    <w:szCs w:val="24"/>
                  </w:rPr>
                </w:pPr>
                <w:r>
                  <w:t>51.63</w:t>
                </w:r>
              </w:p>
            </w:tc>
            <w:tc>
              <w:tcPr>
                <w:tcW w:w="924" w:type="pct"/>
              </w:tcPr>
              <w:p>
                <w:pPr>
                  <w:ind w:right="105"/>
                  <w:jc w:val="center"/>
                </w:pPr>
                <w:r>
                  <w:t>增加</w:t>
                </w:r>
                <w:r>
                  <w:rPr>
                    <w:rFonts w:hint="eastAsia"/>
                  </w:rPr>
                  <w:t>0.09个百分点</w:t>
                </w:r>
              </w:p>
            </w:tc>
            <w:tc>
              <w:tcPr>
                <w:tcW w:w="866" w:type="pct"/>
              </w:tcPr>
              <w:p>
                <w:pPr>
                  <w:jc w:val="both"/>
                  <w:rPr>
                    <w:sz w:val="15"/>
                    <w:szCs w:val="15"/>
                  </w:rPr>
                </w:pPr>
                <w:r>
                  <w:rPr>
                    <w:rFonts w:hint="eastAsia"/>
                    <w:sz w:val="15"/>
                    <w:szCs w:val="15"/>
                  </w:rPr>
                  <w:t>主要由于集团期末已宣告发放尚未支付的现金股利大幅增加，报告期负债增幅超过资产增幅，导致资产负债率较期初增长。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pct"/>
                <w:vAlign w:val="center"/>
              </w:tcPr>
              <w:p>
                <w:pPr>
                  <w:jc w:val="center"/>
                </w:pPr>
              </w:p>
            </w:tc>
            <w:sdt>
              <w:sdtPr>
                <w:tag w:val="_PLD_cd01cbf2064441c59f0d55273cf5edd8"/>
                <w:id w:val="223035824"/>
                <w:lock w:val="sdtLocked"/>
              </w:sdtPr>
              <w:sdtContent>
                <w:tc>
                  <w:tcPr>
                    <w:tcW w:w="1085" w:type="pct"/>
                    <w:vAlign w:val="center"/>
                  </w:tcPr>
                  <w:p>
                    <w:pPr>
                      <w:kinsoku w:val="0"/>
                      <w:overflowPunct w:val="0"/>
                      <w:autoSpaceDE w:val="0"/>
                      <w:autoSpaceDN w:val="0"/>
                      <w:adjustRightInd w:val="0"/>
                      <w:snapToGrid w:val="0"/>
                      <w:jc w:val="center"/>
                    </w:pPr>
                    <w:r>
                      <w:rPr>
                        <w:rFonts w:hint="eastAsia"/>
                      </w:rPr>
                      <w:t>本报告期</w:t>
                    </w:r>
                  </w:p>
                  <w:p>
                    <w:pPr>
                      <w:jc w:val="center"/>
                    </w:pPr>
                    <w:r>
                      <w:rPr>
                        <w:rFonts w:hint="eastAsia"/>
                      </w:rPr>
                      <w:t>（1-6月）</w:t>
                    </w:r>
                  </w:p>
                </w:tc>
              </w:sdtContent>
            </w:sdt>
            <w:sdt>
              <w:sdtPr>
                <w:tag w:val="_PLD_d9f41572fdf9470db9c0bdb0e5965c99"/>
                <w:id w:val="1543404679"/>
                <w:lock w:val="sdtLocked"/>
              </w:sdtPr>
              <w:sdtContent>
                <w:tc>
                  <w:tcPr>
                    <w:tcW w:w="1083" w:type="pct"/>
                    <w:vAlign w:val="center"/>
                  </w:tcPr>
                  <w:p>
                    <w:pPr>
                      <w:jc w:val="center"/>
                    </w:pPr>
                    <w:r>
                      <w:rPr>
                        <w:rFonts w:hint="eastAsia"/>
                      </w:rPr>
                      <w:t>上年同期</w:t>
                    </w:r>
                  </w:p>
                </w:tc>
              </w:sdtContent>
            </w:sdt>
            <w:sdt>
              <w:sdtPr>
                <w:tag w:val="_PLD_56d0ed11f2ac430eba65cfcf410fb79a"/>
                <w:id w:val="-1468658032"/>
                <w:lock w:val="sdtLocked"/>
              </w:sdtPr>
              <w:sdtContent>
                <w:tc>
                  <w:tcPr>
                    <w:tcW w:w="924" w:type="pct"/>
                    <w:vAlign w:val="center"/>
                  </w:tcPr>
                  <w:p>
                    <w:pPr>
                      <w:jc w:val="center"/>
                    </w:pPr>
                    <w:r>
                      <w:t>本报告期比上年同期增减(%)</w:t>
                    </w:r>
                  </w:p>
                </w:tc>
              </w:sdtContent>
            </w:sdt>
            <w:sdt>
              <w:sdtPr>
                <w:tag w:val="_PLD_55052107e6074393811b3d17d8f0571a"/>
                <w:id w:val="-110208880"/>
                <w:lock w:val="sdtLocked"/>
              </w:sdtPr>
              <w:sdtContent>
                <w:tc>
                  <w:tcPr>
                    <w:tcW w:w="866" w:type="pct"/>
                    <w:vAlign w:val="center"/>
                  </w:tcPr>
                  <w:p>
                    <w:pPr>
                      <w:jc w:val="center"/>
                    </w:pPr>
                    <w:r>
                      <w:rPr>
                        <w:rFonts w:hint="eastAsia"/>
                      </w:rPr>
                      <w:t>变动原因</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042" w:type="pct"/>
              </w:tcPr>
              <w:sdt>
                <w:sdtPr>
                  <w:tag w:val="_PLD_2f9bbaf519d7471f8b1718ca1201bfc5"/>
                  <w:id w:val="-566951018"/>
                  <w:lock w:val="sdtLocked"/>
                </w:sdtPr>
                <w:sdtContent>
                  <w:p>
                    <w:pPr>
                      <w:pStyle w:val="114"/>
                    </w:pPr>
                    <w:r>
                      <w:t>扣除非经常性损益后净利润</w:t>
                    </w:r>
                  </w:p>
                </w:sdtContent>
              </w:sdt>
            </w:tc>
            <w:tc>
              <w:tcPr>
                <w:tcW w:w="1085" w:type="pct"/>
              </w:tcPr>
              <w:p>
                <w:pPr>
                  <w:jc w:val="center"/>
                  <w:rPr>
                    <w:sz w:val="24"/>
                    <w:szCs w:val="24"/>
                  </w:rPr>
                </w:pPr>
                <w:r>
                  <w:t>2,348,162,479.70</w:t>
                </w:r>
              </w:p>
            </w:tc>
            <w:tc>
              <w:tcPr>
                <w:tcW w:w="1083" w:type="pct"/>
              </w:tcPr>
              <w:p>
                <w:pPr>
                  <w:jc w:val="center"/>
                  <w:rPr>
                    <w:sz w:val="24"/>
                    <w:szCs w:val="24"/>
                  </w:rPr>
                </w:pPr>
                <w:r>
                  <w:t>1,691,952,952.90</w:t>
                </w:r>
              </w:p>
            </w:tc>
            <w:tc>
              <w:tcPr>
                <w:tcW w:w="924" w:type="pct"/>
              </w:tcPr>
              <w:p>
                <w:pPr>
                  <w:jc w:val="center"/>
                  <w:rPr>
                    <w:sz w:val="24"/>
                    <w:szCs w:val="24"/>
                  </w:rPr>
                </w:pPr>
                <w:r>
                  <w:t>38.78</w:t>
                </w:r>
              </w:p>
            </w:tc>
            <w:tc>
              <w:tcPr>
                <w:tcW w:w="866" w:type="pct"/>
                <w:vAlign w:val="center"/>
              </w:tcPr>
              <w:p>
                <w:pPr>
                  <w:rPr>
                    <w:sz w:val="15"/>
                    <w:szCs w:val="15"/>
                  </w:rPr>
                </w:pPr>
                <w:r>
                  <w:rPr>
                    <w:sz w:val="15"/>
                    <w:szCs w:val="15"/>
                  </w:rPr>
                  <w:t>本报告期受益于路桥收费业务的恢复，集团利润总额同比大幅增长。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pct"/>
              </w:tcPr>
              <w:sdt>
                <w:sdtPr>
                  <w:tag w:val="_PLD_569b53edd23745689349d8e78614dfaa"/>
                  <w:id w:val="-734477933"/>
                  <w:lock w:val="sdtLocked"/>
                </w:sdtPr>
                <w:sdtContent>
                  <w:p>
                    <w:pPr>
                      <w:pStyle w:val="114"/>
                    </w:pPr>
                    <w:r>
                      <w:t>EBITDA全部债务比</w:t>
                    </w:r>
                  </w:p>
                </w:sdtContent>
              </w:sdt>
            </w:tc>
            <w:tc>
              <w:tcPr>
                <w:tcW w:w="1085" w:type="pct"/>
              </w:tcPr>
              <w:p>
                <w:pPr>
                  <w:jc w:val="center"/>
                  <w:rPr>
                    <w:sz w:val="24"/>
                    <w:szCs w:val="24"/>
                  </w:rPr>
                </w:pPr>
                <w:r>
                  <w:t>0.1201</w:t>
                </w:r>
              </w:p>
            </w:tc>
            <w:tc>
              <w:tcPr>
                <w:tcW w:w="1083" w:type="pct"/>
              </w:tcPr>
              <w:p>
                <w:pPr>
                  <w:jc w:val="center"/>
                  <w:rPr>
                    <w:sz w:val="24"/>
                    <w:szCs w:val="24"/>
                  </w:rPr>
                </w:pPr>
                <w:r>
                  <w:t>0.0986</w:t>
                </w:r>
              </w:p>
            </w:tc>
            <w:tc>
              <w:tcPr>
                <w:tcW w:w="924" w:type="pct"/>
              </w:tcPr>
              <w:p>
                <w:pPr>
                  <w:jc w:val="center"/>
                  <w:rPr>
                    <w:sz w:val="24"/>
                    <w:szCs w:val="24"/>
                  </w:rPr>
                </w:pPr>
                <w:r>
                  <w:t>21.84</w:t>
                </w:r>
              </w:p>
            </w:tc>
            <w:tc>
              <w:tcPr>
                <w:tcW w:w="866" w:type="pct"/>
                <w:vAlign w:val="center"/>
              </w:tcPr>
              <w:p>
                <w:pPr>
                  <w:rPr>
                    <w:sz w:val="15"/>
                    <w:szCs w:val="15"/>
                  </w:rPr>
                </w:pPr>
                <w:r>
                  <w:rPr>
                    <w:sz w:val="15"/>
                    <w:szCs w:val="15"/>
                  </w:rPr>
                  <w:t>本报告期受益于路桥收费业务的恢复，集团利润总额同比大幅增长。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042" w:type="pct"/>
              </w:tcPr>
              <w:sdt>
                <w:sdtPr>
                  <w:tag w:val="_PLD_895a8b19c0454c66b5dda4a41b56a53e"/>
                  <w:id w:val="-1986009046"/>
                  <w:lock w:val="sdtLocked"/>
                </w:sdtPr>
                <w:sdtContent>
                  <w:p>
                    <w:pPr>
                      <w:pStyle w:val="114"/>
                    </w:pPr>
                    <w:r>
                      <w:t>利息保障倍数</w:t>
                    </w:r>
                  </w:p>
                </w:sdtContent>
              </w:sdt>
            </w:tc>
            <w:tc>
              <w:tcPr>
                <w:tcW w:w="1085" w:type="pct"/>
              </w:tcPr>
              <w:p>
                <w:pPr>
                  <w:jc w:val="center"/>
                  <w:rPr>
                    <w:sz w:val="24"/>
                    <w:szCs w:val="24"/>
                  </w:rPr>
                </w:pPr>
                <w:r>
                  <w:t>6.5915</w:t>
                </w:r>
              </w:p>
            </w:tc>
            <w:tc>
              <w:tcPr>
                <w:tcW w:w="1083" w:type="pct"/>
              </w:tcPr>
              <w:p>
                <w:pPr>
                  <w:jc w:val="center"/>
                  <w:rPr>
                    <w:sz w:val="24"/>
                    <w:szCs w:val="24"/>
                  </w:rPr>
                </w:pPr>
                <w:r>
                  <w:t>5.0873</w:t>
                </w:r>
              </w:p>
            </w:tc>
            <w:tc>
              <w:tcPr>
                <w:tcW w:w="924" w:type="pct"/>
              </w:tcPr>
              <w:p>
                <w:pPr>
                  <w:jc w:val="center"/>
                  <w:rPr>
                    <w:sz w:val="24"/>
                    <w:szCs w:val="24"/>
                  </w:rPr>
                </w:pPr>
                <w:r>
                  <w:t>29.57</w:t>
                </w:r>
              </w:p>
            </w:tc>
            <w:tc>
              <w:tcPr>
                <w:tcW w:w="866" w:type="pct"/>
                <w:vAlign w:val="center"/>
              </w:tcPr>
              <w:p>
                <w:pPr>
                  <w:rPr>
                    <w:sz w:val="15"/>
                    <w:szCs w:val="15"/>
                  </w:rPr>
                </w:pPr>
                <w:r>
                  <w:rPr>
                    <w:sz w:val="15"/>
                    <w:szCs w:val="15"/>
                  </w:rPr>
                  <w:t>本报告期受益于路桥收费业务的恢复，集团利润总额同比大幅增长。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042" w:type="pct"/>
              </w:tcPr>
              <w:sdt>
                <w:sdtPr>
                  <w:tag w:val="_PLD_9e76937ddcca4df388abd237c4f6e534"/>
                  <w:id w:val="294343346"/>
                  <w:lock w:val="sdtLocked"/>
                </w:sdtPr>
                <w:sdtContent>
                  <w:p>
                    <w:pPr>
                      <w:pStyle w:val="114"/>
                    </w:pPr>
                    <w:r>
                      <w:t>现金利息保障倍数</w:t>
                    </w:r>
                  </w:p>
                </w:sdtContent>
              </w:sdt>
            </w:tc>
            <w:tc>
              <w:tcPr>
                <w:tcW w:w="1085" w:type="pct"/>
              </w:tcPr>
              <w:p>
                <w:pPr>
                  <w:jc w:val="center"/>
                  <w:rPr>
                    <w:sz w:val="24"/>
                    <w:szCs w:val="24"/>
                  </w:rPr>
                </w:pPr>
                <w:r>
                  <w:t>6.3949</w:t>
                </w:r>
              </w:p>
            </w:tc>
            <w:tc>
              <w:tcPr>
                <w:tcW w:w="1083" w:type="pct"/>
              </w:tcPr>
              <w:p>
                <w:pPr>
                  <w:jc w:val="center"/>
                  <w:rPr>
                    <w:sz w:val="24"/>
                    <w:szCs w:val="24"/>
                  </w:rPr>
                </w:pPr>
                <w:r>
                  <w:t>4.1962</w:t>
                </w:r>
              </w:p>
            </w:tc>
            <w:tc>
              <w:tcPr>
                <w:tcW w:w="924" w:type="pct"/>
              </w:tcPr>
              <w:p>
                <w:pPr>
                  <w:jc w:val="center"/>
                  <w:rPr>
                    <w:sz w:val="24"/>
                    <w:szCs w:val="24"/>
                  </w:rPr>
                </w:pPr>
                <w:r>
                  <w:t>52.40</w:t>
                </w:r>
              </w:p>
            </w:tc>
            <w:tc>
              <w:tcPr>
                <w:tcW w:w="866" w:type="pct"/>
                <w:vAlign w:val="center"/>
              </w:tcPr>
              <w:p>
                <w:pPr>
                  <w:rPr>
                    <w:sz w:val="15"/>
                    <w:szCs w:val="15"/>
                  </w:rPr>
                </w:pPr>
                <w:r>
                  <w:rPr>
                    <w:sz w:val="15"/>
                    <w:szCs w:val="15"/>
                  </w:rPr>
                  <w:t>本报告期受益于路桥收费业务的恢复，集团经营活动产生的净现金流同比大幅增长。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sdt>
              <w:sdtPr>
                <w:tag w:val="_PLD_bccf7ac01f4d434baa485db49ed2cd18"/>
                <w:id w:val="-1016543135"/>
                <w:lock w:val="sdtLocked"/>
              </w:sdtPr>
              <w:sdtContent>
                <w:tc>
                  <w:tcPr>
                    <w:tcW w:w="1042" w:type="pct"/>
                  </w:tcPr>
                  <w:p>
                    <w:pPr>
                      <w:pStyle w:val="114"/>
                    </w:pPr>
                    <w:r>
                      <w:t>EBITDA利息保障倍数</w:t>
                    </w:r>
                  </w:p>
                </w:tc>
              </w:sdtContent>
            </w:sdt>
            <w:tc>
              <w:tcPr>
                <w:tcW w:w="1085" w:type="pct"/>
              </w:tcPr>
              <w:p>
                <w:pPr>
                  <w:jc w:val="center"/>
                  <w:rPr>
                    <w:sz w:val="24"/>
                    <w:szCs w:val="24"/>
                  </w:rPr>
                </w:pPr>
                <w:r>
                  <w:t>8.7122</w:t>
                </w:r>
              </w:p>
            </w:tc>
            <w:tc>
              <w:tcPr>
                <w:tcW w:w="1083" w:type="pct"/>
              </w:tcPr>
              <w:p>
                <w:pPr>
                  <w:jc w:val="center"/>
                  <w:rPr>
                    <w:sz w:val="24"/>
                    <w:szCs w:val="24"/>
                  </w:rPr>
                </w:pPr>
                <w:r>
                  <w:t>6.8936</w:t>
                </w:r>
              </w:p>
            </w:tc>
            <w:tc>
              <w:tcPr>
                <w:tcW w:w="924" w:type="pct"/>
              </w:tcPr>
              <w:p>
                <w:pPr>
                  <w:jc w:val="center"/>
                  <w:rPr>
                    <w:sz w:val="24"/>
                    <w:szCs w:val="24"/>
                  </w:rPr>
                </w:pPr>
                <w:r>
                  <w:t>26.38</w:t>
                </w:r>
              </w:p>
            </w:tc>
            <w:tc>
              <w:tcPr>
                <w:tcW w:w="866" w:type="pct"/>
                <w:vAlign w:val="center"/>
              </w:tcPr>
              <w:p>
                <w:pPr>
                  <w:rPr>
                    <w:sz w:val="15"/>
                    <w:szCs w:val="15"/>
                  </w:rPr>
                </w:pPr>
                <w:r>
                  <w:rPr>
                    <w:sz w:val="15"/>
                    <w:szCs w:val="15"/>
                  </w:rPr>
                  <w:t>本报告期受益于路桥收费业务的恢复，集团利润总额同比大幅增长。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1161f8aa3fa4dd0a9227db7b69ebf12"/>
                <w:id w:val="-1969267178"/>
                <w:lock w:val="sdtLocked"/>
              </w:sdtPr>
              <w:sdtContent>
                <w:tc>
                  <w:tcPr>
                    <w:tcW w:w="1042" w:type="pct"/>
                  </w:tcPr>
                  <w:p>
                    <w:pPr>
                      <w:pStyle w:val="114"/>
                    </w:pPr>
                    <w:r>
                      <w:rPr>
                        <w:rFonts w:hint="eastAsia"/>
                      </w:rPr>
                      <w:t>贷款偿还率（%）</w:t>
                    </w:r>
                  </w:p>
                </w:tc>
              </w:sdtContent>
            </w:sdt>
            <w:tc>
              <w:tcPr>
                <w:tcW w:w="1085" w:type="pct"/>
                <w:vAlign w:val="center"/>
              </w:tcPr>
              <w:p>
                <w:pPr>
                  <w:jc w:val="center"/>
                  <w:rPr>
                    <w:sz w:val="24"/>
                    <w:szCs w:val="24"/>
                  </w:rPr>
                </w:pPr>
                <w:r>
                  <w:t>100.00</w:t>
                </w:r>
              </w:p>
            </w:tc>
            <w:tc>
              <w:tcPr>
                <w:tcW w:w="1083" w:type="pct"/>
                <w:vAlign w:val="center"/>
              </w:tcPr>
              <w:p>
                <w:pPr>
                  <w:jc w:val="center"/>
                  <w:rPr>
                    <w:sz w:val="24"/>
                    <w:szCs w:val="24"/>
                  </w:rPr>
                </w:pPr>
                <w:r>
                  <w:t>100.00</w:t>
                </w:r>
              </w:p>
            </w:tc>
            <w:tc>
              <w:tcPr>
                <w:tcW w:w="924" w:type="pct"/>
                <w:vAlign w:val="center"/>
              </w:tcPr>
              <w:p>
                <w:pPr>
                  <w:jc w:val="center"/>
                  <w:rPr>
                    <w:sz w:val="24"/>
                    <w:szCs w:val="24"/>
                  </w:rPr>
                </w:pPr>
                <w:r>
                  <w:t>-</w:t>
                </w:r>
              </w:p>
            </w:tc>
            <w:tc>
              <w:tcPr>
                <w:tcW w:w="866" w:type="pct"/>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78136c2ae4b45de8464e961cd743a59"/>
                <w:id w:val="-1136025478"/>
                <w:lock w:val="sdtLocked"/>
              </w:sdtPr>
              <w:sdtContent>
                <w:tc>
                  <w:tcPr>
                    <w:tcW w:w="1042" w:type="pct"/>
                  </w:tcPr>
                  <w:p>
                    <w:pPr>
                      <w:pStyle w:val="114"/>
                    </w:pPr>
                    <w:r>
                      <w:rPr>
                        <w:rFonts w:hint="eastAsia"/>
                      </w:rPr>
                      <w:t>利息偿付率（%）</w:t>
                    </w:r>
                  </w:p>
                </w:tc>
              </w:sdtContent>
            </w:sdt>
            <w:tc>
              <w:tcPr>
                <w:tcW w:w="1085" w:type="pct"/>
                <w:vAlign w:val="center"/>
              </w:tcPr>
              <w:p>
                <w:pPr>
                  <w:jc w:val="center"/>
                  <w:rPr>
                    <w:sz w:val="24"/>
                    <w:szCs w:val="24"/>
                  </w:rPr>
                </w:pPr>
                <w:r>
                  <w:t>100.00</w:t>
                </w:r>
              </w:p>
            </w:tc>
            <w:tc>
              <w:tcPr>
                <w:tcW w:w="1083" w:type="pct"/>
                <w:vAlign w:val="center"/>
              </w:tcPr>
              <w:p>
                <w:pPr>
                  <w:jc w:val="center"/>
                  <w:rPr>
                    <w:sz w:val="24"/>
                    <w:szCs w:val="24"/>
                  </w:rPr>
                </w:pPr>
                <w:r>
                  <w:t>100.00</w:t>
                </w:r>
              </w:p>
            </w:tc>
            <w:tc>
              <w:tcPr>
                <w:tcW w:w="924" w:type="pct"/>
                <w:vAlign w:val="center"/>
              </w:tcPr>
              <w:p>
                <w:pPr>
                  <w:jc w:val="center"/>
                  <w:rPr>
                    <w:sz w:val="24"/>
                    <w:szCs w:val="24"/>
                  </w:rPr>
                </w:pPr>
                <w:r>
                  <w:t>-</w:t>
                </w:r>
              </w:p>
            </w:tc>
            <w:tc>
              <w:tcPr>
                <w:tcW w:w="866" w:type="pct"/>
              </w:tcPr>
              <w:p>
                <w:pPr>
                  <w:jc w:val="right"/>
                </w:pPr>
              </w:p>
            </w:tc>
          </w:tr>
        </w:tbl>
        <w:p>
          <w:pPr>
            <w:rPr>
              <w:sz w:val="18"/>
              <w:szCs w:val="18"/>
            </w:rPr>
          </w:pPr>
          <w:r>
            <w:rPr>
              <w:rFonts w:hint="eastAsia"/>
              <w:sz w:val="18"/>
              <w:szCs w:val="18"/>
            </w:rPr>
            <w:t>注：上年度数据进行追溯调整，详见本报告“第二节 公司简介和主要财务指标–七、公司主要会计数据和财务指标”中的追溯调整或重述的原因说明</w:t>
          </w:r>
        </w:p>
      </w:sdtContent>
    </w:sdt>
    <w:p>
      <w:pPr>
        <w:pStyle w:val="114"/>
      </w:pPr>
    </w:p>
    <w:p>
      <w:pPr>
        <w:pStyle w:val="3"/>
        <w:numPr>
          <w:ilvl w:val="0"/>
          <w:numId w:val="34"/>
        </w:numPr>
        <w:ind w:firstLineChars="0"/>
        <w:rPr>
          <w:rFonts w:ascii="宋体" w:hAnsi="宋体"/>
        </w:rPr>
      </w:pPr>
      <w:r>
        <w:rPr>
          <w:rFonts w:hint="eastAsia" w:ascii="宋体" w:hAnsi="宋体"/>
        </w:rPr>
        <w:t>可转换公司债券情况</w:t>
      </w:r>
    </w:p>
    <w:sdt>
      <w:sdtPr>
        <w:alias w:val="是否适用：可转换公司债券情况[双击切换]"/>
        <w:tag w:val="_GBC_6a49e99841294af3b87ba6216b1997d9"/>
        <w:id w:val="207092004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p>
      <w:pPr>
        <w:sectPr>
          <w:pgSz w:w="11906" w:h="16838"/>
          <w:pgMar w:top="1525" w:right="1276" w:bottom="1440" w:left="1797" w:header="851" w:footer="992" w:gutter="0"/>
          <w:cols w:space="425" w:num="1"/>
          <w:docGrid w:linePitch="312" w:charSpace="0"/>
        </w:sectPr>
      </w:pPr>
    </w:p>
    <w:p>
      <w:pPr>
        <w:pStyle w:val="2"/>
        <w:numPr>
          <w:ilvl w:val="0"/>
          <w:numId w:val="2"/>
        </w:numPr>
        <w:rPr>
          <w:rFonts w:ascii="黑体" w:hAnsi="黑体"/>
          <w:bCs w:val="0"/>
          <w:szCs w:val="28"/>
        </w:rPr>
      </w:pPr>
      <w:bookmarkStart w:id="106" w:name="_Toc76114281"/>
      <w:r>
        <w:rPr>
          <w:rFonts w:ascii="黑体" w:hAnsi="黑体"/>
          <w:szCs w:val="28"/>
        </w:rPr>
        <w:t>财务报告</w:t>
      </w:r>
      <w:bookmarkEnd w:id="106"/>
    </w:p>
    <w:sdt>
      <w:sdtPr>
        <w:rPr>
          <w:rFonts w:hint="eastAsia" w:ascii="宋体" w:hAnsi="宋体" w:cs="宋体"/>
          <w:b w:val="0"/>
          <w:bCs w:val="0"/>
          <w:kern w:val="0"/>
          <w:szCs w:val="24"/>
        </w:rPr>
        <w:alias w:val="模块:审计报告"/>
        <w:tag w:val="_GBC_3c4b7d00409449a2b71d41277e7bd042"/>
        <w:id w:val="-1360201476"/>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38"/>
            </w:numPr>
            <w:ind w:left="420" w:hanging="420"/>
            <w:rPr>
              <w:rFonts w:ascii="宋体" w:hAnsi="宋体"/>
            </w:rPr>
          </w:pPr>
          <w:r>
            <w:rPr>
              <w:rFonts w:hint="eastAsia" w:ascii="宋体" w:hAnsi="宋体"/>
            </w:rPr>
            <w:t>审计报告</w:t>
          </w:r>
        </w:p>
        <w:sdt>
          <w:sdtPr>
            <w:alias w:val="是否适用：审计报告[双击切换]"/>
            <w:tag w:val="_GBC_33dac3baf6634fba91e3026ebaaad280"/>
            <w:id w:val="-24464511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38"/>
        </w:numPr>
        <w:ind w:left="422" w:hanging="422"/>
        <w:rPr>
          <w:rFonts w:ascii="宋体" w:hAnsi="宋体"/>
        </w:rPr>
      </w:pPr>
      <w:r>
        <w:rPr>
          <w:rFonts w:hint="eastAsia" w:ascii="宋体" w:hAnsi="宋体"/>
        </w:rPr>
        <w:t>财务报表</w:t>
      </w:r>
    </w:p>
    <w:sdt>
      <w:sdtPr>
        <w:rPr>
          <w:rFonts w:ascii="宋体" w:hAnsi="宋体" w:cs="宋体"/>
          <w:b w:val="0"/>
          <w:bCs w:val="0"/>
          <w:kern w:val="0"/>
          <w:szCs w:val="24"/>
        </w:rPr>
        <w:alias w:val="选项模块:需要编制合并报表"/>
        <w:tag w:val="_GBC_f3d43b26b5d34a4c88db3cb7d81650cc"/>
        <w:id w:val="-1578902887"/>
        <w:lock w:val="sdtLocked"/>
        <w:placeholder>
          <w:docPart w:val="GBC22222222222222222222222222222"/>
        </w:placeholder>
      </w:sdtPr>
      <w:sdtEndPr>
        <w:rPr>
          <w:rFonts w:ascii="宋体" w:hAnsi="宋体" w:cs="宋体"/>
          <w:b w:val="0"/>
          <w:bCs w:val="0"/>
          <w:kern w:val="0"/>
          <w:szCs w:val="21"/>
        </w:rPr>
      </w:sdtEndPr>
      <w:sdtContent>
        <w:sdt>
          <w:sdtPr>
            <w:rPr>
              <w:rFonts w:hint="eastAsia" w:ascii="宋体" w:hAnsi="宋体" w:cs="宋体"/>
              <w:b w:val="0"/>
              <w:bCs w:val="0"/>
              <w:kern w:val="0"/>
              <w:szCs w:val="24"/>
            </w:rPr>
            <w:tag w:val="_GBC_b84409e42f904bdab44813a972d54149"/>
            <w:id w:val="-38124489"/>
            <w:lock w:val="sdtLocked"/>
            <w:placeholder>
              <w:docPart w:val="GBC22222222222222222222222222222"/>
            </w:placeholder>
          </w:sdtPr>
          <w:sdtEndPr>
            <w:rPr>
              <w:rFonts w:hint="default" w:ascii="宋体" w:hAnsi="宋体" w:cs="宋体"/>
              <w:b w:val="0"/>
              <w:bCs w:val="0"/>
              <w:color w:val="008000"/>
              <w:kern w:val="0"/>
              <w:szCs w:val="21"/>
              <w:u w:val="single"/>
            </w:rPr>
          </w:sdtEndPr>
          <w:sdtContent>
            <w:p>
              <w:pPr>
                <w:pStyle w:val="117"/>
                <w:jc w:val="center"/>
                <w:rPr>
                  <w:rFonts w:ascii="宋体" w:hAnsi="宋体"/>
                </w:rPr>
              </w:pPr>
              <w:bookmarkStart w:id="107" w:name="_Hlk10208794"/>
              <w:r>
                <w:rPr>
                  <w:rFonts w:hint="eastAsia" w:ascii="宋体" w:hAnsi="宋体"/>
                </w:rPr>
                <w:t>合并资产负债表</w:t>
              </w:r>
            </w:p>
            <w:p>
              <w:pPr>
                <w:snapToGrid w:val="0"/>
                <w:spacing w:line="240" w:lineRule="atLeast"/>
                <w:jc w:val="center"/>
                <w:rPr>
                  <w:b/>
                </w:rPr>
              </w:pPr>
              <w:r>
                <w:t>2023年6月30日</w:t>
              </w:r>
            </w:p>
            <w:p>
              <w:pPr>
                <w:pStyle w:val="114"/>
              </w:pPr>
              <w:r>
                <w:t xml:space="preserve">编制单位： </w:t>
              </w:r>
              <w:sdt>
                <w:sdtPr>
                  <w:alias w:val="公司法定中文名称"/>
                  <w:tag w:val="_GBC_76dae7aa62d842859c05c05e750163c2"/>
                  <w:id w:val="1087501638"/>
                  <w:lock w:val="sdtLocked"/>
                  <w:placeholder>
                    <w:docPart w:val="GBC22222222222222222222222222222"/>
                  </w:placeholder>
                  <w:dataBinding w:prefixMappings="xmlns:clcid-cgi='clcid-cgi'" w:xpath="/*/clcid-cgi:GongSiFaDingZhongWenMingCheng[not(@periodRef)]" w:storeItemID="{89EBAB94-44A0-46A2-B712-30D997D04A6D}"/>
                  <w:text/>
                </w:sdtPr>
                <w:sdtContent>
                  <w:r>
                    <w:t>江苏宁沪高速公路股份有限公司</w:t>
                  </w:r>
                </w:sdtContent>
              </w:sdt>
            </w:p>
            <w:p>
              <w:pPr>
                <w:jc w:val="right"/>
              </w:pPr>
              <w:r>
                <w:t>单位：</w:t>
              </w:r>
              <w:sdt>
                <w:sdtPr>
                  <w:alias w:val="单位：合并资产负债表"/>
                  <w:tag w:val="_GBC_710dced47e5943589779e071c78c5512"/>
                  <w:id w:val="-270866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资产负债表"/>
                  <w:tag w:val="_GBC_7e2679155b104d33ba04158c7414bcff"/>
                  <w:id w:val="6948181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9"/>
                <w:tblW w:w="4994"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944"/>
                <w:gridCol w:w="1133"/>
                <w:gridCol w:w="2551"/>
                <w:gridCol w:w="24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d3f74748a444e6ea0d191e81e54edca"/>
                    <w:id w:val="-90606420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jc w:val="center"/>
                          <w:rPr>
                            <w:b/>
                          </w:rPr>
                        </w:pPr>
                        <w:r>
                          <w:rPr>
                            <w:b/>
                          </w:rPr>
                          <w:t>项目</w:t>
                        </w:r>
                      </w:p>
                    </w:tc>
                  </w:sdtContent>
                </w:sdt>
                <w:sdt>
                  <w:sdtPr>
                    <w:tag w:val="_PLD_da216b439a53487e85f12225916c5563"/>
                    <w:id w:val="815914888"/>
                    <w:lock w:val="sdtLocked"/>
                  </w:sdtPr>
                  <w:sdtContent>
                    <w:tc>
                      <w:tcPr>
                        <w:tcW w:w="627"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附注</w:t>
                        </w:r>
                      </w:p>
                    </w:tc>
                  </w:sdtContent>
                </w:sdt>
                <w:sdt>
                  <w:sdtPr>
                    <w:tag w:val="_PLD_21df1d74f3114abf83688ef31bc4d9a7"/>
                    <w:id w:val="-1072046688"/>
                    <w:lock w:val="sdtLocked"/>
                  </w:sdtPr>
                  <w:sdtContent>
                    <w:tc>
                      <w:tcPr>
                        <w:tcW w:w="1411"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2023年6月</w:t>
                        </w:r>
                        <w:r>
                          <w:rPr>
                            <w:b/>
                          </w:rPr>
                          <w:t>3</w:t>
                        </w:r>
                        <w:r>
                          <w:rPr>
                            <w:rFonts w:hint="eastAsia"/>
                            <w:b/>
                          </w:rPr>
                          <w:t>0日</w:t>
                        </w:r>
                      </w:p>
                    </w:tc>
                  </w:sdtContent>
                </w:sdt>
                <w:sdt>
                  <w:sdtPr>
                    <w:tag w:val="_PLD_d92c936206d34a64b4b2139999e7311b"/>
                    <w:id w:val="-1357341148"/>
                    <w:lock w:val="sdtLocked"/>
                  </w:sdtPr>
                  <w:sdtContent>
                    <w:tc>
                      <w:tcPr>
                        <w:tcW w:w="1333"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202</w:t>
                        </w:r>
                        <w:r>
                          <w:rPr>
                            <w:b/>
                          </w:rPr>
                          <w:t>2</w:t>
                        </w:r>
                        <w:r>
                          <w:rPr>
                            <w:rFonts w:hint="eastAsia"/>
                            <w:b/>
                          </w:rPr>
                          <w:t>年12月31日</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47a329e79ad491ca413bdaf35b1f19b"/>
                    <w:id w:val="848382002"/>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b/>
                            <w:color w:val="FF00FF"/>
                          </w:rPr>
                        </w:pPr>
                        <w:r>
                          <w:rPr>
                            <w:rFonts w:hint="eastAsia"/>
                            <w:b/>
                          </w:rPr>
                          <w:t>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6a7056a6e314e22ba0fd39d033ba0ea"/>
                    <w:id w:val="-16609856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货币资金</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七、1</w:t>
                    </w:r>
                  </w:p>
                </w:tc>
                <w:tc>
                  <w:tcPr>
                    <w:tcW w:w="1411" w:type="pct"/>
                    <w:tcBorders>
                      <w:top w:val="outset" w:color="auto" w:sz="6" w:space="0"/>
                      <w:left w:val="outset" w:color="auto" w:sz="6" w:space="0"/>
                      <w:bottom w:val="outset" w:color="auto" w:sz="6" w:space="0"/>
                      <w:right w:val="outset" w:color="auto" w:sz="6" w:space="0"/>
                    </w:tcBorders>
                  </w:tcPr>
                  <w:p>
                    <w:pPr>
                      <w:jc w:val="right"/>
                    </w:pPr>
                    <w:r>
                      <w:t>541,524,063.19</w:t>
                    </w:r>
                  </w:p>
                </w:tc>
                <w:tc>
                  <w:tcPr>
                    <w:tcW w:w="1333" w:type="pct"/>
                    <w:tcBorders>
                      <w:top w:val="outset" w:color="auto" w:sz="6" w:space="0"/>
                      <w:left w:val="outset" w:color="auto" w:sz="6" w:space="0"/>
                      <w:bottom w:val="outset" w:color="auto" w:sz="6" w:space="0"/>
                      <w:right w:val="outset" w:color="auto" w:sz="6" w:space="0"/>
                    </w:tcBorders>
                  </w:tcPr>
                  <w:p>
                    <w:pPr>
                      <w:jc w:val="right"/>
                    </w:pPr>
                    <w:r>
                      <w:t>932,931,344.38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06d63ef987134b32b553402ba76eef23"/>
                      <w:id w:val="392250320"/>
                      <w:lock w:val="sdtLocked"/>
                    </w:sdtPr>
                    <w:sdtEndPr>
                      <w:rPr>
                        <w:rFonts w:hint="eastAsia"/>
                      </w:rPr>
                    </w:sdtEndPr>
                    <w:sdtContent>
                      <w:p>
                        <w:pPr>
                          <w:ind w:firstLine="210" w:firstLineChars="100"/>
                        </w:pPr>
                        <w:r>
                          <w:rPr>
                            <w:rFonts w:hint="eastAsia"/>
                          </w:rPr>
                          <w:t>交易性金融资产</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七、2</w:t>
                    </w:r>
                  </w:p>
                </w:tc>
                <w:tc>
                  <w:tcPr>
                    <w:tcW w:w="1411" w:type="pct"/>
                    <w:tcBorders>
                      <w:top w:val="outset" w:color="auto" w:sz="6" w:space="0"/>
                      <w:left w:val="outset" w:color="auto" w:sz="6" w:space="0"/>
                      <w:bottom w:val="outset" w:color="auto" w:sz="6" w:space="0"/>
                      <w:right w:val="outset" w:color="auto" w:sz="6" w:space="0"/>
                    </w:tcBorders>
                  </w:tcPr>
                  <w:p>
                    <w:pPr>
                      <w:jc w:val="right"/>
                    </w:pPr>
                    <w:r>
                      <w:t>4,756,944,083.24</w:t>
                    </w:r>
                  </w:p>
                </w:tc>
                <w:tc>
                  <w:tcPr>
                    <w:tcW w:w="1333" w:type="pct"/>
                    <w:tcBorders>
                      <w:top w:val="outset" w:color="auto" w:sz="6" w:space="0"/>
                      <w:left w:val="outset" w:color="auto" w:sz="6" w:space="0"/>
                      <w:bottom w:val="outset" w:color="auto" w:sz="6" w:space="0"/>
                      <w:right w:val="outset" w:color="auto" w:sz="6" w:space="0"/>
                    </w:tcBorders>
                  </w:tcPr>
                  <w:p>
                    <w:pPr>
                      <w:jc w:val="right"/>
                    </w:pPr>
                    <w:r>
                      <w:t>3,474,620,148.26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4275fbbd6c24380aaa849df8e4a5394"/>
                    <w:id w:val="-47097856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应收票据</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p>
                </w:tc>
                <w:tc>
                  <w:tcPr>
                    <w:tcW w:w="1411" w:type="pct"/>
                    <w:tcBorders>
                      <w:top w:val="outset" w:color="auto" w:sz="6" w:space="0"/>
                      <w:left w:val="outset" w:color="auto" w:sz="6" w:space="0"/>
                      <w:bottom w:val="outset" w:color="auto" w:sz="6" w:space="0"/>
                      <w:right w:val="outset" w:color="auto" w:sz="6" w:space="0"/>
                    </w:tcBorders>
                  </w:tcPr>
                  <w:p>
                    <w:pPr>
                      <w:jc w:val="right"/>
                    </w:pPr>
                    <w:r>
                      <w:t>1,550,000.00</w:t>
                    </w:r>
                  </w:p>
                </w:tc>
                <w:tc>
                  <w:tcPr>
                    <w:tcW w:w="1333" w:type="pct"/>
                    <w:tcBorders>
                      <w:top w:val="outset" w:color="auto" w:sz="6" w:space="0"/>
                      <w:left w:val="outset" w:color="auto" w:sz="6" w:space="0"/>
                      <w:bottom w:val="outset" w:color="auto" w:sz="6" w:space="0"/>
                      <w:right w:val="outset" w:color="auto" w:sz="6" w:space="0"/>
                    </w:tcBorders>
                  </w:tcPr>
                  <w:p>
                    <w:pPr>
                      <w:jc w:val="right"/>
                    </w:pPr>
                    <w:r>
                      <w:t>950,000.00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16701d47616495dad873446e57f88f1"/>
                    <w:id w:val="-139836248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应收账款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p>
                </w:tc>
                <w:tc>
                  <w:tcPr>
                    <w:tcW w:w="1411" w:type="pct"/>
                    <w:tcBorders>
                      <w:top w:val="outset" w:color="auto" w:sz="6" w:space="0"/>
                      <w:left w:val="outset" w:color="auto" w:sz="6" w:space="0"/>
                      <w:bottom w:val="outset" w:color="auto" w:sz="6" w:space="0"/>
                      <w:right w:val="outset" w:color="auto" w:sz="6" w:space="0"/>
                    </w:tcBorders>
                  </w:tcPr>
                  <w:p>
                    <w:pPr>
                      <w:jc w:val="right"/>
                    </w:pPr>
                    <w:r>
                      <w:t>1,291,463,472.50</w:t>
                    </w:r>
                  </w:p>
                </w:tc>
                <w:tc>
                  <w:tcPr>
                    <w:tcW w:w="1333" w:type="pct"/>
                    <w:tcBorders>
                      <w:top w:val="outset" w:color="auto" w:sz="6" w:space="0"/>
                      <w:left w:val="outset" w:color="auto" w:sz="6" w:space="0"/>
                      <w:bottom w:val="outset" w:color="auto" w:sz="6" w:space="0"/>
                      <w:right w:val="outset" w:color="auto" w:sz="6" w:space="0"/>
                    </w:tcBorders>
                  </w:tcPr>
                  <w:p>
                    <w:pPr>
                      <w:jc w:val="right"/>
                    </w:pPr>
                    <w:r>
                      <w:t>1,127,669,970.08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ff32a719f7a407f8e2bd0fc67579696"/>
                    <w:id w:val="-70217181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预付款项</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七、7</w:t>
                    </w:r>
                  </w:p>
                </w:tc>
                <w:tc>
                  <w:tcPr>
                    <w:tcW w:w="1411" w:type="pct"/>
                    <w:tcBorders>
                      <w:top w:val="outset" w:color="auto" w:sz="6" w:space="0"/>
                      <w:left w:val="outset" w:color="auto" w:sz="6" w:space="0"/>
                      <w:bottom w:val="outset" w:color="auto" w:sz="6" w:space="0"/>
                      <w:right w:val="outset" w:color="auto" w:sz="6" w:space="0"/>
                    </w:tcBorders>
                  </w:tcPr>
                  <w:p>
                    <w:pPr>
                      <w:jc w:val="right"/>
                    </w:pPr>
                    <w:r>
                      <w:t>20,388,590.21</w:t>
                    </w:r>
                  </w:p>
                </w:tc>
                <w:tc>
                  <w:tcPr>
                    <w:tcW w:w="1333" w:type="pct"/>
                    <w:tcBorders>
                      <w:top w:val="outset" w:color="auto" w:sz="6" w:space="0"/>
                      <w:left w:val="outset" w:color="auto" w:sz="6" w:space="0"/>
                      <w:bottom w:val="outset" w:color="auto" w:sz="6" w:space="0"/>
                      <w:right w:val="outset" w:color="auto" w:sz="6" w:space="0"/>
                    </w:tcBorders>
                  </w:tcPr>
                  <w:p>
                    <w:pPr>
                      <w:jc w:val="right"/>
                    </w:pPr>
                    <w:r>
                      <w:t>7,737,346.20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4b6c1004ee94e9c86f6872629ce8ec5"/>
                    <w:id w:val="41499023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其他应收款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七、8</w:t>
                    </w:r>
                  </w:p>
                </w:tc>
                <w:tc>
                  <w:tcPr>
                    <w:tcW w:w="1411" w:type="pct"/>
                    <w:tcBorders>
                      <w:top w:val="outset" w:color="auto" w:sz="6" w:space="0"/>
                      <w:left w:val="outset" w:color="auto" w:sz="6" w:space="0"/>
                      <w:bottom w:val="outset" w:color="auto" w:sz="6" w:space="0"/>
                      <w:right w:val="outset" w:color="auto" w:sz="6" w:space="0"/>
                    </w:tcBorders>
                  </w:tcPr>
                  <w:p>
                    <w:pPr>
                      <w:jc w:val="right"/>
                    </w:pPr>
                    <w:r>
                      <w:t>90,045,437.12</w:t>
                    </w:r>
                  </w:p>
                </w:tc>
                <w:tc>
                  <w:tcPr>
                    <w:tcW w:w="1333" w:type="pct"/>
                    <w:tcBorders>
                      <w:top w:val="outset" w:color="auto" w:sz="6" w:space="0"/>
                      <w:left w:val="outset" w:color="auto" w:sz="6" w:space="0"/>
                      <w:bottom w:val="outset" w:color="auto" w:sz="6" w:space="0"/>
                      <w:right w:val="outset" w:color="auto" w:sz="6" w:space="0"/>
                    </w:tcBorders>
                  </w:tcPr>
                  <w:p>
                    <w:pPr>
                      <w:jc w:val="right"/>
                    </w:pPr>
                    <w:r>
                      <w:t>62,758,902.02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967af437eee4294b4f611b5abd91937"/>
                    <w:id w:val="-109386374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存货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七、9</w:t>
                    </w:r>
                  </w:p>
                </w:tc>
                <w:tc>
                  <w:tcPr>
                    <w:tcW w:w="1411" w:type="pct"/>
                    <w:tcBorders>
                      <w:top w:val="outset" w:color="auto" w:sz="6" w:space="0"/>
                      <w:left w:val="outset" w:color="auto" w:sz="6" w:space="0"/>
                      <w:bottom w:val="outset" w:color="auto" w:sz="6" w:space="0"/>
                      <w:right w:val="outset" w:color="auto" w:sz="6" w:space="0"/>
                    </w:tcBorders>
                  </w:tcPr>
                  <w:p>
                    <w:pPr>
                      <w:jc w:val="right"/>
                    </w:pPr>
                    <w:r>
                      <w:t>2,403,919,945.96</w:t>
                    </w:r>
                  </w:p>
                </w:tc>
                <w:tc>
                  <w:tcPr>
                    <w:tcW w:w="1333" w:type="pct"/>
                    <w:tcBorders>
                      <w:top w:val="outset" w:color="auto" w:sz="6" w:space="0"/>
                      <w:left w:val="outset" w:color="auto" w:sz="6" w:space="0"/>
                      <w:bottom w:val="outset" w:color="auto" w:sz="6" w:space="0"/>
                      <w:right w:val="outset" w:color="auto" w:sz="6" w:space="0"/>
                    </w:tcBorders>
                  </w:tcPr>
                  <w:p>
                    <w:pPr>
                      <w:jc w:val="right"/>
                    </w:pPr>
                    <w:r>
                      <w:t>2,585,018,115.85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一年内到期的非流动资产"/>
                    <w:tag w:val="_PLD_85034baf09ae473db2e4694be7430d29"/>
                    <w:id w:val="-169797425"/>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t>一年内到期的非流动资产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2</w:t>
                    </w:r>
                  </w:p>
                </w:tc>
                <w:tc>
                  <w:tcPr>
                    <w:tcW w:w="1411" w:type="pct"/>
                    <w:tcBorders>
                      <w:top w:val="outset" w:color="auto" w:sz="6" w:space="0"/>
                      <w:left w:val="outset" w:color="auto" w:sz="6" w:space="0"/>
                      <w:bottom w:val="outset" w:color="auto" w:sz="6" w:space="0"/>
                      <w:right w:val="outset" w:color="auto" w:sz="6" w:space="0"/>
                    </w:tcBorders>
                  </w:tcPr>
                  <w:p>
                    <w:pPr>
                      <w:jc w:val="right"/>
                    </w:pPr>
                    <w:r>
                      <w:t>62,000,000.00</w:t>
                    </w:r>
                  </w:p>
                </w:tc>
                <w:tc>
                  <w:tcPr>
                    <w:tcW w:w="1333" w:type="pct"/>
                    <w:tcBorders>
                      <w:top w:val="outset" w:color="auto" w:sz="6" w:space="0"/>
                      <w:left w:val="outset" w:color="auto" w:sz="6" w:space="0"/>
                      <w:bottom w:val="outset" w:color="auto" w:sz="6" w:space="0"/>
                      <w:right w:val="outset" w:color="auto" w:sz="6" w:space="0"/>
                    </w:tcBorders>
                  </w:tcPr>
                  <w:p>
                    <w:pPr>
                      <w:jc w:val="right"/>
                    </w:pPr>
                    <w:r>
                      <w:t>62,000,000.00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9111301b0474503970c30d14c6c16c1"/>
                    <w:id w:val="26073300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3</w:t>
                    </w:r>
                  </w:p>
                </w:tc>
                <w:tc>
                  <w:tcPr>
                    <w:tcW w:w="1411" w:type="pct"/>
                    <w:tcBorders>
                      <w:top w:val="outset" w:color="auto" w:sz="6" w:space="0"/>
                      <w:left w:val="outset" w:color="auto" w:sz="6" w:space="0"/>
                      <w:bottom w:val="outset" w:color="auto" w:sz="6" w:space="0"/>
                      <w:right w:val="outset" w:color="auto" w:sz="6" w:space="0"/>
                    </w:tcBorders>
                  </w:tcPr>
                  <w:p>
                    <w:pPr>
                      <w:jc w:val="right"/>
                    </w:pPr>
                    <w:r>
                      <w:t>1,027,372,772.22</w:t>
                    </w:r>
                  </w:p>
                </w:tc>
                <w:tc>
                  <w:tcPr>
                    <w:tcW w:w="1333" w:type="pct"/>
                    <w:tcBorders>
                      <w:top w:val="outset" w:color="auto" w:sz="6" w:space="0"/>
                      <w:left w:val="outset" w:color="auto" w:sz="6" w:space="0"/>
                      <w:bottom w:val="outset" w:color="auto" w:sz="6" w:space="0"/>
                      <w:right w:val="outset" w:color="auto" w:sz="6" w:space="0"/>
                    </w:tcBorders>
                  </w:tcPr>
                  <w:p>
                    <w:pPr>
                      <w:jc w:val="right"/>
                    </w:pPr>
                    <w:r>
                      <w:t>1,132,118,913.26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89c5fc1115a4751868d93f96af78d12"/>
                    <w:id w:val="-184053364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流动资产合计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tcPr>
                  <w:p>
                    <w:pPr>
                      <w:jc w:val="right"/>
                    </w:pPr>
                    <w:r>
                      <w:t>10,195,208,364.44</w:t>
                    </w:r>
                  </w:p>
                </w:tc>
                <w:tc>
                  <w:tcPr>
                    <w:tcW w:w="1333" w:type="pct"/>
                    <w:tcBorders>
                      <w:top w:val="outset" w:color="auto" w:sz="6" w:space="0"/>
                      <w:left w:val="outset" w:color="auto" w:sz="6" w:space="0"/>
                      <w:bottom w:val="outset" w:color="auto" w:sz="6" w:space="0"/>
                      <w:right w:val="outset" w:color="auto" w:sz="6" w:space="0"/>
                    </w:tcBorders>
                  </w:tcPr>
                  <w:p>
                    <w:pPr>
                      <w:jc w:val="right"/>
                    </w:pPr>
                    <w:r>
                      <w:t>9,385,804,740.05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6ac6acc14e74939b5cc43190a3afd2b"/>
                    <w:id w:val="-408921214"/>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非流动资产：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35e8def5b4b4c7abc05596f3566e5ca"/>
                    <w:id w:val="-22360323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长期应收款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6</w:t>
                    </w:r>
                  </w:p>
                </w:tc>
                <w:tc>
                  <w:tcPr>
                    <w:tcW w:w="1411" w:type="pct"/>
                    <w:tcBorders>
                      <w:top w:val="outset" w:color="auto" w:sz="6" w:space="0"/>
                      <w:left w:val="outset" w:color="auto" w:sz="6" w:space="0"/>
                      <w:bottom w:val="outset" w:color="auto" w:sz="6" w:space="0"/>
                      <w:right w:val="outset" w:color="auto" w:sz="6" w:space="0"/>
                    </w:tcBorders>
                  </w:tcPr>
                  <w:p>
                    <w:pPr>
                      <w:jc w:val="right"/>
                    </w:pPr>
                    <w:r>
                      <w:t>111,904,575.09</w:t>
                    </w:r>
                  </w:p>
                </w:tc>
                <w:tc>
                  <w:tcPr>
                    <w:tcW w:w="1333" w:type="pct"/>
                    <w:tcBorders>
                      <w:top w:val="outset" w:color="auto" w:sz="6" w:space="0"/>
                      <w:left w:val="outset" w:color="auto" w:sz="6" w:space="0"/>
                      <w:bottom w:val="outset" w:color="auto" w:sz="6" w:space="0"/>
                      <w:right w:val="outset" w:color="auto" w:sz="6" w:space="0"/>
                    </w:tcBorders>
                  </w:tcPr>
                  <w:p>
                    <w:pPr>
                      <w:jc w:val="right"/>
                    </w:pPr>
                    <w:r>
                      <w:t>111,904,575.09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03693997f484cfcaa912b0e71d5709d"/>
                    <w:id w:val="-159585338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长期股权投资</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7</w:t>
                    </w:r>
                  </w:p>
                </w:tc>
                <w:tc>
                  <w:tcPr>
                    <w:tcW w:w="1411" w:type="pct"/>
                    <w:tcBorders>
                      <w:top w:val="outset" w:color="auto" w:sz="6" w:space="0"/>
                      <w:left w:val="outset" w:color="auto" w:sz="6" w:space="0"/>
                      <w:bottom w:val="outset" w:color="auto" w:sz="6" w:space="0"/>
                      <w:right w:val="outset" w:color="auto" w:sz="6" w:space="0"/>
                    </w:tcBorders>
                  </w:tcPr>
                  <w:p>
                    <w:pPr>
                      <w:jc w:val="right"/>
                    </w:pPr>
                    <w:r>
                      <w:t>11,527,519,206.01</w:t>
                    </w:r>
                  </w:p>
                </w:tc>
                <w:tc>
                  <w:tcPr>
                    <w:tcW w:w="1333" w:type="pct"/>
                    <w:tcBorders>
                      <w:top w:val="outset" w:color="auto" w:sz="6" w:space="0"/>
                      <w:left w:val="outset" w:color="auto" w:sz="6" w:space="0"/>
                      <w:bottom w:val="outset" w:color="auto" w:sz="6" w:space="0"/>
                      <w:right w:val="outset" w:color="auto" w:sz="6" w:space="0"/>
                    </w:tcBorders>
                  </w:tcPr>
                  <w:p>
                    <w:pPr>
                      <w:jc w:val="right"/>
                    </w:pPr>
                    <w:r>
                      <w:t>11,089,989,971.83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3c57523e7f9d4490b8fc01da554e0edf"/>
                      <w:id w:val="-1692293293"/>
                      <w:lock w:val="sdtLocked"/>
                    </w:sdtPr>
                    <w:sdtEndPr>
                      <w:rPr>
                        <w:rFonts w:hint="eastAsia"/>
                      </w:rPr>
                    </w:sdtEndPr>
                    <w:sdtContent>
                      <w:p>
                        <w:pPr>
                          <w:ind w:firstLine="210" w:firstLineChars="100"/>
                        </w:pPr>
                        <w:r>
                          <w:rPr>
                            <w:rFonts w:hint="eastAsia"/>
                          </w:rPr>
                          <w:t>其他权益工具投资</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8</w:t>
                    </w:r>
                  </w:p>
                </w:tc>
                <w:tc>
                  <w:tcPr>
                    <w:tcW w:w="1411" w:type="pct"/>
                    <w:tcBorders>
                      <w:top w:val="outset" w:color="auto" w:sz="6" w:space="0"/>
                      <w:left w:val="outset" w:color="auto" w:sz="6" w:space="0"/>
                      <w:bottom w:val="outset" w:color="auto" w:sz="6" w:space="0"/>
                      <w:right w:val="outset" w:color="auto" w:sz="6" w:space="0"/>
                    </w:tcBorders>
                  </w:tcPr>
                  <w:p>
                    <w:pPr>
                      <w:jc w:val="right"/>
                    </w:pPr>
                    <w:r>
                      <w:t>7,107,088,380.00</w:t>
                    </w:r>
                  </w:p>
                </w:tc>
                <w:tc>
                  <w:tcPr>
                    <w:tcW w:w="1333" w:type="pct"/>
                    <w:tcBorders>
                      <w:top w:val="outset" w:color="auto" w:sz="6" w:space="0"/>
                      <w:left w:val="outset" w:color="auto" w:sz="6" w:space="0"/>
                      <w:bottom w:val="outset" w:color="auto" w:sz="6" w:space="0"/>
                      <w:right w:val="outset" w:color="auto" w:sz="6" w:space="0"/>
                    </w:tcBorders>
                  </w:tcPr>
                  <w:p>
                    <w:pPr>
                      <w:jc w:val="right"/>
                    </w:pPr>
                    <w:r>
                      <w:t>6,989,448,132.00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989d47082a034512856b0d9af89eed72"/>
                      <w:id w:val="-1974363415"/>
                      <w:lock w:val="sdtLocked"/>
                    </w:sdtPr>
                    <w:sdtEndPr>
                      <w:rPr>
                        <w:rFonts w:hint="eastAsia"/>
                      </w:rPr>
                    </w:sdtEndPr>
                    <w:sdtContent>
                      <w:p>
                        <w:pPr>
                          <w:ind w:firstLine="210" w:firstLineChars="100"/>
                        </w:pPr>
                        <w:r>
                          <w:rPr>
                            <w:rFonts w:hint="eastAsia"/>
                          </w:rPr>
                          <w:t>其他非流动金融资产</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七、1</w:t>
                    </w:r>
                    <w:r>
                      <w:t>9</w:t>
                    </w:r>
                  </w:p>
                </w:tc>
                <w:tc>
                  <w:tcPr>
                    <w:tcW w:w="1411" w:type="pct"/>
                    <w:tcBorders>
                      <w:top w:val="outset" w:color="auto" w:sz="6" w:space="0"/>
                      <w:left w:val="outset" w:color="auto" w:sz="6" w:space="0"/>
                      <w:bottom w:val="outset" w:color="auto" w:sz="6" w:space="0"/>
                      <w:right w:val="outset" w:color="auto" w:sz="6" w:space="0"/>
                    </w:tcBorders>
                  </w:tcPr>
                  <w:p>
                    <w:pPr>
                      <w:jc w:val="right"/>
                    </w:pPr>
                    <w:r>
                      <w:t>2,932,587,194.25</w:t>
                    </w:r>
                  </w:p>
                </w:tc>
                <w:tc>
                  <w:tcPr>
                    <w:tcW w:w="1333" w:type="pct"/>
                    <w:tcBorders>
                      <w:top w:val="outset" w:color="auto" w:sz="6" w:space="0"/>
                      <w:left w:val="outset" w:color="auto" w:sz="6" w:space="0"/>
                      <w:bottom w:val="outset" w:color="auto" w:sz="6" w:space="0"/>
                      <w:right w:val="outset" w:color="auto" w:sz="6" w:space="0"/>
                    </w:tcBorders>
                  </w:tcPr>
                  <w:p>
                    <w:pPr>
                      <w:jc w:val="right"/>
                    </w:pPr>
                    <w:r>
                      <w:t>2,877,355,787.11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684cd13f34942aabf4f5a55f1148c84"/>
                    <w:id w:val="1016427535"/>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投资性房地产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0</w:t>
                    </w:r>
                  </w:p>
                </w:tc>
                <w:tc>
                  <w:tcPr>
                    <w:tcW w:w="1411" w:type="pct"/>
                    <w:tcBorders>
                      <w:top w:val="outset" w:color="auto" w:sz="6" w:space="0"/>
                      <w:left w:val="outset" w:color="auto" w:sz="6" w:space="0"/>
                      <w:bottom w:val="outset" w:color="auto" w:sz="6" w:space="0"/>
                      <w:right w:val="outset" w:color="auto" w:sz="6" w:space="0"/>
                    </w:tcBorders>
                  </w:tcPr>
                  <w:p>
                    <w:pPr>
                      <w:jc w:val="right"/>
                    </w:pPr>
                    <w:r>
                      <w:t>295,474,190.41</w:t>
                    </w:r>
                  </w:p>
                </w:tc>
                <w:tc>
                  <w:tcPr>
                    <w:tcW w:w="1333" w:type="pct"/>
                    <w:tcBorders>
                      <w:top w:val="outset" w:color="auto" w:sz="6" w:space="0"/>
                      <w:left w:val="outset" w:color="auto" w:sz="6" w:space="0"/>
                      <w:bottom w:val="outset" w:color="auto" w:sz="6" w:space="0"/>
                      <w:right w:val="outset" w:color="auto" w:sz="6" w:space="0"/>
                    </w:tcBorders>
                  </w:tcPr>
                  <w:p>
                    <w:pPr>
                      <w:jc w:val="right"/>
                    </w:pPr>
                    <w:r>
                      <w:t>308,801,243.53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a85d42312a14428bf960d1d9ac28904"/>
                    <w:id w:val="-83060404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固定资产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1</w:t>
                    </w:r>
                  </w:p>
                </w:tc>
                <w:tc>
                  <w:tcPr>
                    <w:tcW w:w="1411" w:type="pct"/>
                    <w:tcBorders>
                      <w:top w:val="outset" w:color="auto" w:sz="6" w:space="0"/>
                      <w:left w:val="outset" w:color="auto" w:sz="6" w:space="0"/>
                      <w:bottom w:val="outset" w:color="auto" w:sz="6" w:space="0"/>
                      <w:right w:val="outset" w:color="auto" w:sz="6" w:space="0"/>
                    </w:tcBorders>
                  </w:tcPr>
                  <w:p>
                    <w:pPr>
                      <w:jc w:val="right"/>
                    </w:pPr>
                    <w:r>
                      <w:t>7,784,659,466.21</w:t>
                    </w:r>
                  </w:p>
                </w:tc>
                <w:tc>
                  <w:tcPr>
                    <w:tcW w:w="1333" w:type="pct"/>
                    <w:tcBorders>
                      <w:top w:val="outset" w:color="auto" w:sz="6" w:space="0"/>
                      <w:left w:val="outset" w:color="auto" w:sz="6" w:space="0"/>
                      <w:bottom w:val="outset" w:color="auto" w:sz="6" w:space="0"/>
                      <w:right w:val="outset" w:color="auto" w:sz="6" w:space="0"/>
                    </w:tcBorders>
                  </w:tcPr>
                  <w:p>
                    <w:pPr>
                      <w:jc w:val="right"/>
                    </w:pPr>
                    <w:r>
                      <w:t>8,045,978,815.98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572a20e6bfc4146a00336e842a92a6c"/>
                    <w:id w:val="71802399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在建工程</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2</w:t>
                    </w:r>
                  </w:p>
                </w:tc>
                <w:tc>
                  <w:tcPr>
                    <w:tcW w:w="1411" w:type="pct"/>
                    <w:tcBorders>
                      <w:top w:val="outset" w:color="auto" w:sz="6" w:space="0"/>
                      <w:left w:val="outset" w:color="auto" w:sz="6" w:space="0"/>
                      <w:bottom w:val="outset" w:color="auto" w:sz="6" w:space="0"/>
                      <w:right w:val="outset" w:color="auto" w:sz="6" w:space="0"/>
                    </w:tcBorders>
                  </w:tcPr>
                  <w:p>
                    <w:pPr>
                      <w:jc w:val="right"/>
                    </w:pPr>
                    <w:r>
                      <w:t>178,724,872.45</w:t>
                    </w:r>
                  </w:p>
                </w:tc>
                <w:tc>
                  <w:tcPr>
                    <w:tcW w:w="1333" w:type="pct"/>
                    <w:tcBorders>
                      <w:top w:val="outset" w:color="auto" w:sz="6" w:space="0"/>
                      <w:left w:val="outset" w:color="auto" w:sz="6" w:space="0"/>
                      <w:bottom w:val="outset" w:color="auto" w:sz="6" w:space="0"/>
                      <w:right w:val="outset" w:color="auto" w:sz="6" w:space="0"/>
                    </w:tcBorders>
                  </w:tcPr>
                  <w:p>
                    <w:pPr>
                      <w:jc w:val="right"/>
                    </w:pPr>
                    <w:r>
                      <w:t>188,697,382.38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eb039fa9358a43b398f3274466785fc8"/>
                      <w:id w:val="-97266613"/>
                      <w:lock w:val="sdtLocked"/>
                    </w:sdtPr>
                    <w:sdtEndPr>
                      <w:rPr>
                        <w:rFonts w:hint="eastAsia"/>
                      </w:rPr>
                    </w:sdtEndPr>
                    <w:sdtContent>
                      <w:p>
                        <w:pPr>
                          <w:ind w:firstLine="210" w:firstLineChars="100"/>
                        </w:pPr>
                        <w:r>
                          <w:rPr>
                            <w:rFonts w:hint="eastAsia"/>
                          </w:rPr>
                          <w:t>使用权资产</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5</w:t>
                    </w:r>
                  </w:p>
                </w:tc>
                <w:tc>
                  <w:tcPr>
                    <w:tcW w:w="1411" w:type="pct"/>
                    <w:tcBorders>
                      <w:top w:val="outset" w:color="auto" w:sz="6" w:space="0"/>
                      <w:left w:val="outset" w:color="auto" w:sz="6" w:space="0"/>
                      <w:bottom w:val="outset" w:color="auto" w:sz="6" w:space="0"/>
                      <w:right w:val="outset" w:color="auto" w:sz="6" w:space="0"/>
                    </w:tcBorders>
                  </w:tcPr>
                  <w:p>
                    <w:pPr>
                      <w:jc w:val="right"/>
                    </w:pPr>
                    <w:r>
                      <w:t>25,030,422.55</w:t>
                    </w:r>
                  </w:p>
                </w:tc>
                <w:tc>
                  <w:tcPr>
                    <w:tcW w:w="1333" w:type="pct"/>
                    <w:tcBorders>
                      <w:top w:val="outset" w:color="auto" w:sz="6" w:space="0"/>
                      <w:left w:val="outset" w:color="auto" w:sz="6" w:space="0"/>
                      <w:bottom w:val="outset" w:color="auto" w:sz="6" w:space="0"/>
                      <w:right w:val="outset" w:color="auto" w:sz="6" w:space="0"/>
                    </w:tcBorders>
                  </w:tcPr>
                  <w:p>
                    <w:pPr>
                      <w:jc w:val="right"/>
                    </w:pPr>
                    <w:r>
                      <w:t>29,471,084.75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9f0cc8ce8dc4387b1611032921da1ea"/>
                    <w:id w:val="-125257779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无形资产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6</w:t>
                    </w:r>
                  </w:p>
                </w:tc>
                <w:tc>
                  <w:tcPr>
                    <w:tcW w:w="1411" w:type="pct"/>
                    <w:tcBorders>
                      <w:top w:val="outset" w:color="auto" w:sz="6" w:space="0"/>
                      <w:left w:val="outset" w:color="auto" w:sz="6" w:space="0"/>
                      <w:bottom w:val="outset" w:color="auto" w:sz="6" w:space="0"/>
                      <w:right w:val="outset" w:color="auto" w:sz="6" w:space="0"/>
                    </w:tcBorders>
                  </w:tcPr>
                  <w:p>
                    <w:pPr>
                      <w:jc w:val="right"/>
                    </w:pPr>
                    <w:r>
                      <w:t>39,338,419,207.75</w:t>
                    </w:r>
                  </w:p>
                </w:tc>
                <w:tc>
                  <w:tcPr>
                    <w:tcW w:w="1333" w:type="pct"/>
                    <w:tcBorders>
                      <w:top w:val="outset" w:color="auto" w:sz="6" w:space="0"/>
                      <w:left w:val="outset" w:color="auto" w:sz="6" w:space="0"/>
                      <w:bottom w:val="outset" w:color="auto" w:sz="6" w:space="0"/>
                      <w:right w:val="outset" w:color="auto" w:sz="6" w:space="0"/>
                    </w:tcBorders>
                  </w:tcPr>
                  <w:p>
                    <w:pPr>
                      <w:jc w:val="right"/>
                    </w:pPr>
                    <w:r>
                      <w:t>39,160,901,716.97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7616aaf37e541948f0c2ca1f9b68af9"/>
                    <w:id w:val="664595369"/>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长期待摊费用</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七、2</w:t>
                    </w:r>
                    <w:r>
                      <w:t>9</w:t>
                    </w:r>
                  </w:p>
                </w:tc>
                <w:tc>
                  <w:tcPr>
                    <w:tcW w:w="1411" w:type="pct"/>
                    <w:tcBorders>
                      <w:top w:val="outset" w:color="auto" w:sz="6" w:space="0"/>
                      <w:left w:val="outset" w:color="auto" w:sz="6" w:space="0"/>
                      <w:bottom w:val="outset" w:color="auto" w:sz="6" w:space="0"/>
                      <w:right w:val="outset" w:color="auto" w:sz="6" w:space="0"/>
                    </w:tcBorders>
                  </w:tcPr>
                  <w:p>
                    <w:pPr>
                      <w:jc w:val="right"/>
                    </w:pPr>
                    <w:r>
                      <w:t>17,807,038.11</w:t>
                    </w:r>
                  </w:p>
                </w:tc>
                <w:tc>
                  <w:tcPr>
                    <w:tcW w:w="1333" w:type="pct"/>
                    <w:tcBorders>
                      <w:top w:val="outset" w:color="auto" w:sz="6" w:space="0"/>
                      <w:left w:val="outset" w:color="auto" w:sz="6" w:space="0"/>
                      <w:bottom w:val="outset" w:color="auto" w:sz="6" w:space="0"/>
                      <w:right w:val="outset" w:color="auto" w:sz="6" w:space="0"/>
                    </w:tcBorders>
                  </w:tcPr>
                  <w:p>
                    <w:pPr>
                      <w:jc w:val="right"/>
                    </w:pPr>
                    <w:r>
                      <w:t>18,310,574.19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31746b98bdc4418bed3ce5f97331371"/>
                    <w:id w:val="61610643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递延所得税资产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0</w:t>
                    </w:r>
                  </w:p>
                </w:tc>
                <w:tc>
                  <w:tcPr>
                    <w:tcW w:w="1411" w:type="pct"/>
                    <w:tcBorders>
                      <w:top w:val="outset" w:color="auto" w:sz="6" w:space="0"/>
                      <w:left w:val="outset" w:color="auto" w:sz="6" w:space="0"/>
                      <w:bottom w:val="outset" w:color="auto" w:sz="6" w:space="0"/>
                      <w:right w:val="outset" w:color="auto" w:sz="6" w:space="0"/>
                    </w:tcBorders>
                  </w:tcPr>
                  <w:p>
                    <w:pPr>
                      <w:jc w:val="right"/>
                    </w:pPr>
                    <w:r>
                      <w:t>193,031,746.52</w:t>
                    </w:r>
                  </w:p>
                </w:tc>
                <w:tc>
                  <w:tcPr>
                    <w:tcW w:w="1333" w:type="pct"/>
                    <w:tcBorders>
                      <w:top w:val="outset" w:color="auto" w:sz="6" w:space="0"/>
                      <w:left w:val="outset" w:color="auto" w:sz="6" w:space="0"/>
                      <w:bottom w:val="outset" w:color="auto" w:sz="6" w:space="0"/>
                      <w:right w:val="outset" w:color="auto" w:sz="6" w:space="0"/>
                    </w:tcBorders>
                  </w:tcPr>
                  <w:p>
                    <w:pPr>
                      <w:jc w:val="right"/>
                    </w:pPr>
                    <w:r>
                      <w:t>183,314,189.73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16d4dbbdf9e4712984ce3d90131c10b"/>
                    <w:id w:val="-44622898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其他非流动资产</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1</w:t>
                    </w:r>
                  </w:p>
                </w:tc>
                <w:tc>
                  <w:tcPr>
                    <w:tcW w:w="1411" w:type="pct"/>
                    <w:tcBorders>
                      <w:top w:val="outset" w:color="auto" w:sz="6" w:space="0"/>
                      <w:left w:val="outset" w:color="auto" w:sz="6" w:space="0"/>
                      <w:bottom w:val="outset" w:color="auto" w:sz="6" w:space="0"/>
                      <w:right w:val="outset" w:color="auto" w:sz="6" w:space="0"/>
                    </w:tcBorders>
                  </w:tcPr>
                  <w:p>
                    <w:pPr>
                      <w:jc w:val="right"/>
                    </w:pPr>
                    <w:r>
                      <w:t>80,230,827.55</w:t>
                    </w:r>
                  </w:p>
                </w:tc>
                <w:tc>
                  <w:tcPr>
                    <w:tcW w:w="1333" w:type="pct"/>
                    <w:tcBorders>
                      <w:top w:val="outset" w:color="auto" w:sz="6" w:space="0"/>
                      <w:left w:val="outset" w:color="auto" w:sz="6" w:space="0"/>
                      <w:bottom w:val="outset" w:color="auto" w:sz="6" w:space="0"/>
                      <w:right w:val="outset" w:color="auto" w:sz="6" w:space="0"/>
                    </w:tcBorders>
                  </w:tcPr>
                  <w:p>
                    <w:pPr>
                      <w:jc w:val="right"/>
                    </w:pPr>
                    <w:r>
                      <w:t>68,366,860.46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44b63fab9214d849ab2fc2afd25f0a8"/>
                    <w:id w:val="4951020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非流动资产合计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tcPr>
                  <w:p>
                    <w:pPr>
                      <w:jc w:val="right"/>
                    </w:pPr>
                    <w:r>
                      <w:t>69,592,477,126.90</w:t>
                    </w:r>
                  </w:p>
                </w:tc>
                <w:tc>
                  <w:tcPr>
                    <w:tcW w:w="1333" w:type="pct"/>
                    <w:tcBorders>
                      <w:top w:val="outset" w:color="auto" w:sz="6" w:space="0"/>
                      <w:left w:val="outset" w:color="auto" w:sz="6" w:space="0"/>
                      <w:bottom w:val="outset" w:color="auto" w:sz="6" w:space="0"/>
                      <w:right w:val="outset" w:color="auto" w:sz="6" w:space="0"/>
                    </w:tcBorders>
                  </w:tcPr>
                  <w:p>
                    <w:pPr>
                      <w:jc w:val="right"/>
                    </w:pPr>
                    <w:r>
                      <w:t>69,072,540,334.02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e563319c2e4471398624f06f1db4a4e"/>
                    <w:id w:val="-52410468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资产总计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rPr>
                    </w:pPr>
                    <w:r>
                      <w:rPr>
                        <w:rFonts w:asciiTheme="minorEastAsia" w:hAnsiTheme="minorEastAsia"/>
                      </w:rPr>
                      <w:t>79</w:t>
                    </w:r>
                    <w:r>
                      <w:rPr>
                        <w:rFonts w:asciiTheme="minorEastAsia" w:hAnsiTheme="minorEastAsia"/>
                        <w:color w:val="000000" w:themeColor="text1"/>
                        <w:kern w:val="2"/>
                        <w14:textFill>
                          <w14:solidFill>
                            <w14:schemeClr w14:val="tx1"/>
                          </w14:solidFill>
                        </w14:textFill>
                      </w:rPr>
                      <w:t>,787,685,</w:t>
                    </w:r>
                    <w:r>
                      <w:rPr>
                        <w:rFonts w:asciiTheme="minorEastAsia" w:hAnsiTheme="minorEastAsia"/>
                      </w:rPr>
                      <w:t>491</w:t>
                    </w:r>
                    <w:r>
                      <w:rPr>
                        <w:rFonts w:asciiTheme="minorEastAsia" w:hAnsiTheme="minorEastAsia"/>
                        <w:color w:val="000000" w:themeColor="text1"/>
                        <w:kern w:val="2"/>
                        <w14:textFill>
                          <w14:solidFill>
                            <w14:schemeClr w14:val="tx1"/>
                          </w14:solidFill>
                        </w14:textFill>
                      </w:rPr>
                      <w:t>.34</w:t>
                    </w:r>
                  </w:p>
                </w:tc>
                <w:tc>
                  <w:tcPr>
                    <w:tcW w:w="133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rPr>
                    </w:pPr>
                    <w:r>
                      <w:rPr>
                        <w:rFonts w:asciiTheme="minorEastAsia" w:hAnsiTheme="minorEastAsia"/>
                      </w:rPr>
                      <w:t>78,458,345,074.07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375d0f637964c329fb26d2b4f648745"/>
                    <w:id w:val="-1381160181"/>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FF00FF"/>
                          </w:rPr>
                        </w:pPr>
                        <w:r>
                          <w:rPr>
                            <w:rFonts w:hint="eastAsia"/>
                            <w:b/>
                          </w:rPr>
                          <w:t>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fd37dc37d5e4c28b5b0dbe25be93232"/>
                    <w:id w:val="-151437513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短期借款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2</w:t>
                    </w:r>
                  </w:p>
                </w:tc>
                <w:tc>
                  <w:tcPr>
                    <w:tcW w:w="1411" w:type="pct"/>
                    <w:tcBorders>
                      <w:top w:val="outset" w:color="auto" w:sz="6" w:space="0"/>
                      <w:left w:val="outset" w:color="auto" w:sz="6" w:space="0"/>
                      <w:bottom w:val="outset" w:color="auto" w:sz="6" w:space="0"/>
                      <w:right w:val="outset" w:color="auto" w:sz="6" w:space="0"/>
                    </w:tcBorders>
                  </w:tcPr>
                  <w:p>
                    <w:pPr>
                      <w:jc w:val="right"/>
                    </w:pPr>
                    <w:r>
                      <w:t>1,876,265,454.69</w:t>
                    </w:r>
                  </w:p>
                </w:tc>
                <w:tc>
                  <w:tcPr>
                    <w:tcW w:w="1333" w:type="pct"/>
                    <w:tcBorders>
                      <w:top w:val="outset" w:color="auto" w:sz="6" w:space="0"/>
                      <w:left w:val="outset" w:color="auto" w:sz="6" w:space="0"/>
                      <w:bottom w:val="outset" w:color="auto" w:sz="6" w:space="0"/>
                      <w:right w:val="outset" w:color="auto" w:sz="6" w:space="0"/>
                    </w:tcBorders>
                  </w:tcPr>
                  <w:p>
                    <w:pPr>
                      <w:jc w:val="right"/>
                    </w:pPr>
                    <w:r>
                      <w:t>2,434,124,067.61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1ccdf0c4f4443b685142442e1c3f8f6"/>
                    <w:id w:val="139523728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应付票据</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5</w:t>
                    </w:r>
                  </w:p>
                </w:tc>
                <w:tc>
                  <w:tcPr>
                    <w:tcW w:w="1411" w:type="pct"/>
                    <w:tcBorders>
                      <w:top w:val="outset" w:color="auto" w:sz="6" w:space="0"/>
                      <w:left w:val="outset" w:color="auto" w:sz="6" w:space="0"/>
                      <w:bottom w:val="outset" w:color="auto" w:sz="6" w:space="0"/>
                      <w:right w:val="outset" w:color="auto" w:sz="6" w:space="0"/>
                    </w:tcBorders>
                  </w:tcPr>
                  <w:p>
                    <w:pPr>
                      <w:jc w:val="right"/>
                    </w:pPr>
                    <w:r>
                      <w:t>283,840,000.00</w:t>
                    </w:r>
                  </w:p>
                </w:tc>
                <w:tc>
                  <w:tcPr>
                    <w:tcW w:w="1333" w:type="pct"/>
                    <w:tcBorders>
                      <w:top w:val="outset" w:color="auto" w:sz="6" w:space="0"/>
                      <w:left w:val="outset" w:color="auto" w:sz="6" w:space="0"/>
                      <w:bottom w:val="outset" w:color="auto" w:sz="6" w:space="0"/>
                      <w:right w:val="outset" w:color="auto" w:sz="6" w:space="0"/>
                    </w:tcBorders>
                  </w:tcPr>
                  <w:p>
                    <w:pPr>
                      <w:jc w:val="right"/>
                    </w:pPr>
                    <w:r>
                      <w:t>366,000,000.00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3f7bc90fdbe4fe9b76159c57157c382"/>
                    <w:id w:val="123621300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应付账款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6</w:t>
                    </w:r>
                  </w:p>
                </w:tc>
                <w:tc>
                  <w:tcPr>
                    <w:tcW w:w="1411" w:type="pct"/>
                    <w:tcBorders>
                      <w:top w:val="outset" w:color="auto" w:sz="6" w:space="0"/>
                      <w:left w:val="outset" w:color="auto" w:sz="6" w:space="0"/>
                      <w:bottom w:val="outset" w:color="auto" w:sz="6" w:space="0"/>
                      <w:right w:val="outset" w:color="auto" w:sz="6" w:space="0"/>
                    </w:tcBorders>
                  </w:tcPr>
                  <w:p>
                    <w:pPr>
                      <w:jc w:val="right"/>
                    </w:pPr>
                    <w:r>
                      <w:t>2,471,908,644.79</w:t>
                    </w:r>
                  </w:p>
                </w:tc>
                <w:tc>
                  <w:tcPr>
                    <w:tcW w:w="1333" w:type="pct"/>
                    <w:tcBorders>
                      <w:top w:val="outset" w:color="auto" w:sz="6" w:space="0"/>
                      <w:left w:val="outset" w:color="auto" w:sz="6" w:space="0"/>
                      <w:bottom w:val="outset" w:color="auto" w:sz="6" w:space="0"/>
                      <w:right w:val="outset" w:color="auto" w:sz="6" w:space="0"/>
                    </w:tcBorders>
                  </w:tcPr>
                  <w:p>
                    <w:pPr>
                      <w:jc w:val="right"/>
                    </w:pPr>
                    <w:r>
                      <w:t>2,813,441,518.75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652c9d68fee4d45b2cd80abc417bcfd"/>
                    <w:id w:val="-155685155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预收款项</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7</w:t>
                    </w:r>
                  </w:p>
                </w:tc>
                <w:tc>
                  <w:tcPr>
                    <w:tcW w:w="1411" w:type="pct"/>
                    <w:tcBorders>
                      <w:top w:val="outset" w:color="auto" w:sz="6" w:space="0"/>
                      <w:left w:val="outset" w:color="auto" w:sz="6" w:space="0"/>
                      <w:bottom w:val="outset" w:color="auto" w:sz="6" w:space="0"/>
                      <w:right w:val="outset" w:color="auto" w:sz="6" w:space="0"/>
                    </w:tcBorders>
                  </w:tcPr>
                  <w:p>
                    <w:pPr>
                      <w:jc w:val="right"/>
                    </w:pPr>
                    <w:r>
                      <w:t>17,407,034.11</w:t>
                    </w:r>
                  </w:p>
                </w:tc>
                <w:tc>
                  <w:tcPr>
                    <w:tcW w:w="1333" w:type="pct"/>
                    <w:tcBorders>
                      <w:top w:val="outset" w:color="auto" w:sz="6" w:space="0"/>
                      <w:left w:val="outset" w:color="auto" w:sz="6" w:space="0"/>
                      <w:bottom w:val="outset" w:color="auto" w:sz="6" w:space="0"/>
                      <w:right w:val="outset" w:color="auto" w:sz="6" w:space="0"/>
                    </w:tcBorders>
                  </w:tcPr>
                  <w:p>
                    <w:pPr>
                      <w:jc w:val="right"/>
                    </w:pPr>
                    <w:r>
                      <w:t>15,148,842.33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c16bfcfaac284e66b961859169968520"/>
                      <w:id w:val="23613003"/>
                      <w:lock w:val="sdtLocked"/>
                    </w:sdtPr>
                    <w:sdtEndPr>
                      <w:rPr>
                        <w:rFonts w:hint="eastAsia"/>
                      </w:rPr>
                    </w:sdtEndPr>
                    <w:sdtContent>
                      <w:p>
                        <w:pPr>
                          <w:ind w:firstLine="210" w:firstLineChars="100"/>
                        </w:pPr>
                        <w:r>
                          <w:rPr>
                            <w:rFonts w:hint="eastAsia"/>
                          </w:rPr>
                          <w:t>合同负债</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8</w:t>
                    </w:r>
                  </w:p>
                </w:tc>
                <w:tc>
                  <w:tcPr>
                    <w:tcW w:w="1411" w:type="pct"/>
                    <w:tcBorders>
                      <w:top w:val="outset" w:color="auto" w:sz="6" w:space="0"/>
                      <w:left w:val="outset" w:color="auto" w:sz="6" w:space="0"/>
                      <w:bottom w:val="outset" w:color="auto" w:sz="6" w:space="0"/>
                      <w:right w:val="outset" w:color="auto" w:sz="6" w:space="0"/>
                    </w:tcBorders>
                  </w:tcPr>
                  <w:p>
                    <w:pPr>
                      <w:jc w:val="right"/>
                    </w:pPr>
                    <w:r>
                      <w:t>63,256,223.45</w:t>
                    </w:r>
                  </w:p>
                </w:tc>
                <w:tc>
                  <w:tcPr>
                    <w:tcW w:w="1333" w:type="pct"/>
                    <w:tcBorders>
                      <w:top w:val="outset" w:color="auto" w:sz="6" w:space="0"/>
                      <w:left w:val="outset" w:color="auto" w:sz="6" w:space="0"/>
                      <w:bottom w:val="outset" w:color="auto" w:sz="6" w:space="0"/>
                      <w:right w:val="outset" w:color="auto" w:sz="6" w:space="0"/>
                    </w:tcBorders>
                  </w:tcPr>
                  <w:p>
                    <w:pPr>
                      <w:jc w:val="right"/>
                    </w:pPr>
                    <w:r>
                      <w:t>162,928,919.15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46164c72e3e41ec9fc7c62554dc88df"/>
                    <w:id w:val="-49464988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应付职工薪酬</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9</w:t>
                    </w:r>
                  </w:p>
                </w:tc>
                <w:tc>
                  <w:tcPr>
                    <w:tcW w:w="1411" w:type="pct"/>
                    <w:tcBorders>
                      <w:top w:val="outset" w:color="auto" w:sz="6" w:space="0"/>
                      <w:left w:val="outset" w:color="auto" w:sz="6" w:space="0"/>
                      <w:bottom w:val="outset" w:color="auto" w:sz="6" w:space="0"/>
                      <w:right w:val="outset" w:color="auto" w:sz="6" w:space="0"/>
                    </w:tcBorders>
                  </w:tcPr>
                  <w:p>
                    <w:pPr>
                      <w:jc w:val="right"/>
                    </w:pPr>
                    <w:r>
                      <w:t>7,003,031.13</w:t>
                    </w:r>
                  </w:p>
                </w:tc>
                <w:tc>
                  <w:tcPr>
                    <w:tcW w:w="1333" w:type="pct"/>
                    <w:tcBorders>
                      <w:top w:val="outset" w:color="auto" w:sz="6" w:space="0"/>
                      <w:left w:val="outset" w:color="auto" w:sz="6" w:space="0"/>
                      <w:bottom w:val="outset" w:color="auto" w:sz="6" w:space="0"/>
                      <w:right w:val="outset" w:color="auto" w:sz="6" w:space="0"/>
                    </w:tcBorders>
                  </w:tcPr>
                  <w:p>
                    <w:pPr>
                      <w:jc w:val="right"/>
                    </w:pPr>
                    <w:r>
                      <w:t>7,114,523.65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a4e94adb66d4e528e4e8867ce4f2302"/>
                    <w:id w:val="168701381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应交税费</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0</w:t>
                    </w:r>
                  </w:p>
                </w:tc>
                <w:tc>
                  <w:tcPr>
                    <w:tcW w:w="1411" w:type="pct"/>
                    <w:tcBorders>
                      <w:top w:val="outset" w:color="auto" w:sz="6" w:space="0"/>
                      <w:left w:val="outset" w:color="auto" w:sz="6" w:space="0"/>
                      <w:bottom w:val="outset" w:color="auto" w:sz="6" w:space="0"/>
                      <w:right w:val="outset" w:color="auto" w:sz="6" w:space="0"/>
                    </w:tcBorders>
                  </w:tcPr>
                  <w:p>
                    <w:pPr>
                      <w:jc w:val="right"/>
                    </w:pPr>
                    <w:r>
                      <w:t>461,583,910.50</w:t>
                    </w:r>
                  </w:p>
                </w:tc>
                <w:tc>
                  <w:tcPr>
                    <w:tcW w:w="1333" w:type="pct"/>
                    <w:tcBorders>
                      <w:top w:val="outset" w:color="auto" w:sz="6" w:space="0"/>
                      <w:left w:val="outset" w:color="auto" w:sz="6" w:space="0"/>
                      <w:bottom w:val="outset" w:color="auto" w:sz="6" w:space="0"/>
                      <w:right w:val="outset" w:color="auto" w:sz="6" w:space="0"/>
                    </w:tcBorders>
                  </w:tcPr>
                  <w:p>
                    <w:pPr>
                      <w:jc w:val="right"/>
                    </w:pPr>
                    <w:r>
                      <w:t>383,023,669.03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1bb75ef275f4cabafc790de2f817512"/>
                    <w:id w:val="178684707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其他应付款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1</w:t>
                    </w:r>
                  </w:p>
                </w:tc>
                <w:tc>
                  <w:tcPr>
                    <w:tcW w:w="1411" w:type="pct"/>
                    <w:tcBorders>
                      <w:top w:val="outset" w:color="auto" w:sz="6" w:space="0"/>
                      <w:left w:val="outset" w:color="auto" w:sz="6" w:space="0"/>
                      <w:bottom w:val="outset" w:color="auto" w:sz="6" w:space="0"/>
                      <w:right w:val="outset" w:color="auto" w:sz="6" w:space="0"/>
                    </w:tcBorders>
                  </w:tcPr>
                  <w:p>
                    <w:pPr>
                      <w:jc w:val="right"/>
                    </w:pPr>
                    <w:r>
                      <w:t>2,679,752,285.45</w:t>
                    </w:r>
                  </w:p>
                </w:tc>
                <w:tc>
                  <w:tcPr>
                    <w:tcW w:w="1333" w:type="pct"/>
                    <w:tcBorders>
                      <w:top w:val="outset" w:color="auto" w:sz="6" w:space="0"/>
                      <w:left w:val="outset" w:color="auto" w:sz="6" w:space="0"/>
                      <w:bottom w:val="outset" w:color="auto" w:sz="6" w:space="0"/>
                      <w:right w:val="outset" w:color="auto" w:sz="6" w:space="0"/>
                    </w:tcBorders>
                  </w:tcPr>
                  <w:p>
                    <w:pPr>
                      <w:jc w:val="right"/>
                    </w:pPr>
                    <w:r>
                      <w:t>288,042,394.72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d84ac3419c14af1a70409a1e659bc33"/>
                    <w:id w:val="72147783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一年内到期的非流动负债</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3</w:t>
                    </w:r>
                  </w:p>
                </w:tc>
                <w:tc>
                  <w:tcPr>
                    <w:tcW w:w="1411" w:type="pct"/>
                    <w:tcBorders>
                      <w:top w:val="outset" w:color="auto" w:sz="6" w:space="0"/>
                      <w:left w:val="outset" w:color="auto" w:sz="6" w:space="0"/>
                      <w:bottom w:val="outset" w:color="auto" w:sz="6" w:space="0"/>
                      <w:right w:val="outset" w:color="auto" w:sz="6" w:space="0"/>
                    </w:tcBorders>
                  </w:tcPr>
                  <w:p>
                    <w:pPr>
                      <w:jc w:val="right"/>
                    </w:pPr>
                    <w:r>
                      <w:t>2,557,897,625.48</w:t>
                    </w:r>
                  </w:p>
                </w:tc>
                <w:tc>
                  <w:tcPr>
                    <w:tcW w:w="1333" w:type="pct"/>
                    <w:tcBorders>
                      <w:top w:val="outset" w:color="auto" w:sz="6" w:space="0"/>
                      <w:left w:val="outset" w:color="auto" w:sz="6" w:space="0"/>
                      <w:bottom w:val="outset" w:color="auto" w:sz="6" w:space="0"/>
                      <w:right w:val="outset" w:color="auto" w:sz="6" w:space="0"/>
                    </w:tcBorders>
                  </w:tcPr>
                  <w:p>
                    <w:pPr>
                      <w:jc w:val="right"/>
                    </w:pPr>
                    <w:r>
                      <w:t>1,815,208,560.25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98d6b8169c447a0bc0b1ae069d60a30"/>
                    <w:id w:val="-1697154229"/>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其他流动负债</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4</w:t>
                    </w:r>
                  </w:p>
                </w:tc>
                <w:tc>
                  <w:tcPr>
                    <w:tcW w:w="1411" w:type="pct"/>
                    <w:tcBorders>
                      <w:top w:val="outset" w:color="auto" w:sz="6" w:space="0"/>
                      <w:left w:val="outset" w:color="auto" w:sz="6" w:space="0"/>
                      <w:bottom w:val="outset" w:color="auto" w:sz="6" w:space="0"/>
                      <w:right w:val="outset" w:color="auto" w:sz="6" w:space="0"/>
                    </w:tcBorders>
                  </w:tcPr>
                  <w:p>
                    <w:pPr>
                      <w:jc w:val="right"/>
                    </w:pPr>
                    <w:r>
                      <w:t>4,439,659,065.80</w:t>
                    </w:r>
                  </w:p>
                </w:tc>
                <w:tc>
                  <w:tcPr>
                    <w:tcW w:w="1333" w:type="pct"/>
                    <w:tcBorders>
                      <w:top w:val="outset" w:color="auto" w:sz="6" w:space="0"/>
                      <w:left w:val="outset" w:color="auto" w:sz="6" w:space="0"/>
                      <w:bottom w:val="outset" w:color="auto" w:sz="6" w:space="0"/>
                      <w:right w:val="outset" w:color="auto" w:sz="6" w:space="0"/>
                    </w:tcBorders>
                  </w:tcPr>
                  <w:p>
                    <w:pPr>
                      <w:jc w:val="right"/>
                    </w:pPr>
                    <w:r>
                      <w:t>5,359,728,092.37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6387f8c45ce4f8599c26d4b88544573"/>
                    <w:id w:val="900784819"/>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tcPr>
                  <w:p>
                    <w:pPr>
                      <w:jc w:val="right"/>
                    </w:pPr>
                    <w:r>
                      <w:t>14,858,573,275.40</w:t>
                    </w:r>
                  </w:p>
                </w:tc>
                <w:tc>
                  <w:tcPr>
                    <w:tcW w:w="1333" w:type="pct"/>
                    <w:tcBorders>
                      <w:top w:val="outset" w:color="auto" w:sz="6" w:space="0"/>
                      <w:left w:val="outset" w:color="auto" w:sz="6" w:space="0"/>
                      <w:bottom w:val="outset" w:color="auto" w:sz="6" w:space="0"/>
                      <w:right w:val="outset" w:color="auto" w:sz="6" w:space="0"/>
                    </w:tcBorders>
                  </w:tcPr>
                  <w:p>
                    <w:pPr>
                      <w:jc w:val="right"/>
                    </w:pPr>
                    <w:r>
                      <w:t>13,644,760,587.86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92d79badc1945afbed8782cdacf599f"/>
                    <w:id w:val="1585727691"/>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非流动负债：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b8d7682584443f4bae26e2ed50f8040"/>
                    <w:id w:val="-254676725"/>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长期借款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5</w:t>
                    </w:r>
                  </w:p>
                </w:tc>
                <w:tc>
                  <w:tcPr>
                    <w:tcW w:w="1411" w:type="pct"/>
                    <w:tcBorders>
                      <w:top w:val="outset" w:color="auto" w:sz="6" w:space="0"/>
                      <w:left w:val="outset" w:color="auto" w:sz="6" w:space="0"/>
                      <w:bottom w:val="outset" w:color="auto" w:sz="6" w:space="0"/>
                      <w:right w:val="outset" w:color="auto" w:sz="6" w:space="0"/>
                    </w:tcBorders>
                  </w:tcPr>
                  <w:p>
                    <w:pPr>
                      <w:jc w:val="right"/>
                    </w:pPr>
                    <w:r>
                      <w:t>16,543,565,723.06</w:t>
                    </w:r>
                  </w:p>
                </w:tc>
                <w:tc>
                  <w:tcPr>
                    <w:tcW w:w="1333" w:type="pct"/>
                    <w:tcBorders>
                      <w:top w:val="outset" w:color="auto" w:sz="6" w:space="0"/>
                      <w:left w:val="outset" w:color="auto" w:sz="6" w:space="0"/>
                      <w:bottom w:val="outset" w:color="auto" w:sz="6" w:space="0"/>
                      <w:right w:val="outset" w:color="auto" w:sz="6" w:space="0"/>
                    </w:tcBorders>
                  </w:tcPr>
                  <w:p>
                    <w:pPr>
                      <w:jc w:val="right"/>
                    </w:pPr>
                    <w:r>
                      <w:t>16,053,597,366.94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1503c6281dc48d19440b9f16f150ec0"/>
                    <w:id w:val="-164280965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应付债券</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6</w:t>
                    </w:r>
                  </w:p>
                </w:tc>
                <w:tc>
                  <w:tcPr>
                    <w:tcW w:w="1411" w:type="pct"/>
                    <w:tcBorders>
                      <w:top w:val="outset" w:color="auto" w:sz="6" w:space="0"/>
                      <w:left w:val="outset" w:color="auto" w:sz="6" w:space="0"/>
                      <w:bottom w:val="outset" w:color="auto" w:sz="6" w:space="0"/>
                      <w:right w:val="outset" w:color="auto" w:sz="6" w:space="0"/>
                    </w:tcBorders>
                  </w:tcPr>
                  <w:p>
                    <w:pPr>
                      <w:jc w:val="right"/>
                    </w:pPr>
                    <w:r>
                      <w:t>8,978,499,843.30</w:t>
                    </w:r>
                  </w:p>
                </w:tc>
                <w:tc>
                  <w:tcPr>
                    <w:tcW w:w="1333" w:type="pct"/>
                    <w:tcBorders>
                      <w:top w:val="outset" w:color="auto" w:sz="6" w:space="0"/>
                      <w:left w:val="outset" w:color="auto" w:sz="6" w:space="0"/>
                      <w:bottom w:val="outset" w:color="auto" w:sz="6" w:space="0"/>
                      <w:right w:val="outset" w:color="auto" w:sz="6" w:space="0"/>
                    </w:tcBorders>
                  </w:tcPr>
                  <w:p>
                    <w:pPr>
                      <w:jc w:val="right"/>
                    </w:pPr>
                    <w:r>
                      <w:t>9,972,337,481.34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35f24a143dea468283877b9adfce049b"/>
                      <w:id w:val="-549926994"/>
                      <w:lock w:val="sdtLocked"/>
                    </w:sdtPr>
                    <w:sdtEndPr>
                      <w:rPr>
                        <w:rFonts w:hint="eastAsia"/>
                      </w:rPr>
                    </w:sdtEndPr>
                    <w:sdtContent>
                      <w:p>
                        <w:pPr>
                          <w:ind w:firstLine="210" w:firstLineChars="100"/>
                        </w:pPr>
                        <w:r>
                          <w:rPr>
                            <w:rFonts w:hint="eastAsia"/>
                          </w:rPr>
                          <w:t>租赁负债</w:t>
                        </w:r>
                      </w:p>
                    </w:sdtContent>
                  </w:sdt>
                </w:tc>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7</w:t>
                    </w:r>
                  </w:p>
                </w:tc>
                <w:tc>
                  <w:tcPr>
                    <w:tcW w:w="1411" w:type="pct"/>
                    <w:tcBorders>
                      <w:top w:val="outset" w:color="auto" w:sz="6" w:space="0"/>
                      <w:left w:val="outset" w:color="auto" w:sz="6" w:space="0"/>
                      <w:bottom w:val="outset" w:color="auto" w:sz="6" w:space="0"/>
                      <w:right w:val="outset" w:color="auto" w:sz="6" w:space="0"/>
                    </w:tcBorders>
                  </w:tcPr>
                  <w:p>
                    <w:pPr>
                      <w:jc w:val="right"/>
                    </w:pPr>
                    <w:r>
                      <w:t>20,077,298.06</w:t>
                    </w:r>
                  </w:p>
                </w:tc>
                <w:tc>
                  <w:tcPr>
                    <w:tcW w:w="1333" w:type="pct"/>
                    <w:tcBorders>
                      <w:top w:val="outset" w:color="auto" w:sz="6" w:space="0"/>
                      <w:left w:val="outset" w:color="auto" w:sz="6" w:space="0"/>
                      <w:bottom w:val="outset" w:color="auto" w:sz="6" w:space="0"/>
                      <w:right w:val="outset" w:color="auto" w:sz="6" w:space="0"/>
                    </w:tcBorders>
                  </w:tcPr>
                  <w:p>
                    <w:pPr>
                      <w:jc w:val="right"/>
                    </w:pPr>
                    <w:r>
                      <w:t>20,300,291.44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7eb803a0fb248e2b8805e67dbe2336f"/>
                    <w:id w:val="-77247279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长期应付款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七、4</w:t>
                    </w:r>
                    <w:r>
                      <w:t>8</w:t>
                    </w:r>
                  </w:p>
                </w:tc>
                <w:tc>
                  <w:tcPr>
                    <w:tcW w:w="1411" w:type="pct"/>
                    <w:tcBorders>
                      <w:top w:val="outset" w:color="auto" w:sz="6" w:space="0"/>
                      <w:left w:val="outset" w:color="auto" w:sz="6" w:space="0"/>
                      <w:bottom w:val="outset" w:color="auto" w:sz="6" w:space="0"/>
                      <w:right w:val="outset" w:color="auto" w:sz="6" w:space="0"/>
                    </w:tcBorders>
                  </w:tcPr>
                  <w:p>
                    <w:pPr>
                      <w:jc w:val="right"/>
                    </w:pPr>
                    <w:r>
                      <w:t>71,404,993.74</w:t>
                    </w:r>
                  </w:p>
                </w:tc>
                <w:tc>
                  <w:tcPr>
                    <w:tcW w:w="1333" w:type="pct"/>
                    <w:tcBorders>
                      <w:top w:val="outset" w:color="auto" w:sz="6" w:space="0"/>
                      <w:left w:val="outset" w:color="auto" w:sz="6" w:space="0"/>
                      <w:bottom w:val="outset" w:color="auto" w:sz="6" w:space="0"/>
                      <w:right w:val="outset" w:color="auto" w:sz="6" w:space="0"/>
                    </w:tcBorders>
                  </w:tcPr>
                  <w:p>
                    <w:pPr>
                      <w:jc w:val="right"/>
                    </w:pPr>
                    <w:r>
                      <w:t>71,404,993.74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e1b0ee29ae24aa09d29da2690e141a2"/>
                    <w:id w:val="-196024543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递延收益</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1</w:t>
                    </w:r>
                  </w:p>
                </w:tc>
                <w:tc>
                  <w:tcPr>
                    <w:tcW w:w="1411" w:type="pct"/>
                    <w:tcBorders>
                      <w:top w:val="outset" w:color="auto" w:sz="6" w:space="0"/>
                      <w:left w:val="outset" w:color="auto" w:sz="6" w:space="0"/>
                      <w:bottom w:val="outset" w:color="auto" w:sz="6" w:space="0"/>
                      <w:right w:val="outset" w:color="auto" w:sz="6" w:space="0"/>
                    </w:tcBorders>
                  </w:tcPr>
                  <w:p>
                    <w:pPr>
                      <w:jc w:val="right"/>
                    </w:pPr>
                    <w:r>
                      <w:t>68,814,148.69</w:t>
                    </w:r>
                  </w:p>
                </w:tc>
                <w:tc>
                  <w:tcPr>
                    <w:tcW w:w="1333" w:type="pct"/>
                    <w:tcBorders>
                      <w:top w:val="outset" w:color="auto" w:sz="6" w:space="0"/>
                      <w:left w:val="outset" w:color="auto" w:sz="6" w:space="0"/>
                      <w:bottom w:val="outset" w:color="auto" w:sz="6" w:space="0"/>
                      <w:right w:val="outset" w:color="auto" w:sz="6" w:space="0"/>
                    </w:tcBorders>
                  </w:tcPr>
                  <w:p>
                    <w:pPr>
                      <w:jc w:val="right"/>
                    </w:pPr>
                    <w:r>
                      <w:t>73,860,914.18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5a2aba4094648e1bf1ddb4c03fa2317"/>
                    <w:id w:val="-88440274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t>递延所得税负债</w:t>
                        </w:r>
                      </w:p>
                    </w:tc>
                  </w:sdtContent>
                </w:sdt>
                <w:sdt>
                  <w:sdtPr>
                    <w:alias w:val="附注_递延税款贷项合计"/>
                    <w:tag w:val="_GBC_55b77cc3005b48feaa1be35a3a6b2847"/>
                    <w:id w:val="-424040122"/>
                    <w:lock w:val="sdtLocked"/>
                  </w:sdtPr>
                  <w:sdtContent>
                    <w:tc>
                      <w:tcPr>
                        <w:tcW w:w="627" w:type="pct"/>
                        <w:tcBorders>
                          <w:top w:val="outset" w:color="auto" w:sz="6" w:space="0"/>
                          <w:left w:val="outset" w:color="auto" w:sz="6" w:space="0"/>
                          <w:bottom w:val="outset" w:color="auto" w:sz="6" w:space="0"/>
                          <w:right w:val="outset" w:color="auto" w:sz="6" w:space="0"/>
                        </w:tcBorders>
                      </w:tcPr>
                      <w:p>
                        <w:r>
                          <w:rPr>
                            <w:rFonts w:hint="eastAsia"/>
                          </w:rPr>
                          <w:t>七、3</w:t>
                        </w:r>
                        <w:r>
                          <w:t>0</w:t>
                        </w:r>
                      </w:p>
                    </w:tc>
                  </w:sdtContent>
                </w:sdt>
                <w:sdt>
                  <w:sdtPr>
                    <w:alias w:val="递延税款贷项合计"/>
                    <w:tag w:val="_GBC_e6511abe2fdf405cb058972dc257bb9c"/>
                    <w:id w:val="1133137166"/>
                    <w:lock w:val="sdtLocked"/>
                  </w:sdtPr>
                  <w:sdtContent>
                    <w:tc>
                      <w:tcPr>
                        <w:tcW w:w="1411" w:type="pct"/>
                        <w:tcBorders>
                          <w:top w:val="outset" w:color="auto" w:sz="6" w:space="0"/>
                          <w:left w:val="outset" w:color="auto" w:sz="6" w:space="0"/>
                          <w:bottom w:val="outset" w:color="auto" w:sz="6" w:space="0"/>
                          <w:right w:val="outset" w:color="auto" w:sz="6" w:space="0"/>
                        </w:tcBorders>
                      </w:tcPr>
                      <w:p>
                        <w:pPr>
                          <w:jc w:val="right"/>
                        </w:pPr>
                        <w:r>
                          <w:t>722,572,587.98</w:t>
                        </w:r>
                      </w:p>
                    </w:tc>
                  </w:sdtContent>
                </w:sdt>
                <w:sdt>
                  <w:sdtPr>
                    <w:alias w:val="递延税款贷项合计"/>
                    <w:tag w:val="_GBC_be9e2705600d484ca1e6559364069ccd"/>
                    <w:id w:val="1993297542"/>
                    <w:lock w:val="sdtLocked"/>
                  </w:sdtPr>
                  <w:sdtContent>
                    <w:tc>
                      <w:tcPr>
                        <w:tcW w:w="1333" w:type="pct"/>
                        <w:tcBorders>
                          <w:top w:val="outset" w:color="auto" w:sz="6" w:space="0"/>
                          <w:left w:val="outset" w:color="auto" w:sz="6" w:space="0"/>
                          <w:bottom w:val="outset" w:color="auto" w:sz="6" w:space="0"/>
                          <w:right w:val="outset" w:color="auto" w:sz="6" w:space="0"/>
                        </w:tcBorders>
                      </w:tcPr>
                      <w:p>
                        <w:pPr>
                          <w:jc w:val="right"/>
                        </w:pPr>
                        <w:r>
                          <w:t>671,751,540.62</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a037ee272c84e11aebdce23c3e2fab7"/>
                    <w:id w:val="-122613997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tcPr>
                  <w:p>
                    <w:pPr>
                      <w:jc w:val="right"/>
                    </w:pPr>
                    <w:r>
                      <w:t>26,404,934,594.83</w:t>
                    </w:r>
                  </w:p>
                </w:tc>
                <w:tc>
                  <w:tcPr>
                    <w:tcW w:w="1333" w:type="pct"/>
                    <w:tcBorders>
                      <w:top w:val="outset" w:color="auto" w:sz="6" w:space="0"/>
                      <w:left w:val="outset" w:color="auto" w:sz="6" w:space="0"/>
                      <w:bottom w:val="outset" w:color="auto" w:sz="6" w:space="0"/>
                      <w:right w:val="outset" w:color="auto" w:sz="6" w:space="0"/>
                    </w:tcBorders>
                  </w:tcPr>
                  <w:p>
                    <w:pPr>
                      <w:jc w:val="right"/>
                    </w:pPr>
                    <w:r>
                      <w:t>26,863,252,588.26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33108162bf84d59baba5ef73da9dcd0"/>
                    <w:id w:val="-20611094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41,263,507,870.23</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40,508,013,176.12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fe68479676b4c8c840de2211f0c67b8"/>
                    <w:id w:val="2142922994"/>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所有者权益（或股东权益）：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456a8ee715b430f8ed57755440db66b"/>
                    <w:id w:val="165649588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实收资本（或股本）</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3</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5,037,747,500.00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5,037,747,500.00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6837305adaf4d9aba334aa74c5bef79"/>
                    <w:id w:val="-121187767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资本公积</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5</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9,776,409,372.86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9,776,409,372.86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d778b8c2aaa425cb45af63fe0d20a4d"/>
                    <w:id w:val="31230700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其他综合收益</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7</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1,855,649,717.81</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1,752,882,112.53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一般风险准备"/>
                    <w:tag w:val="_PLD_c223f5905b0e4651a5a022690a7a5a1c"/>
                    <w:id w:val="-185148049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t>一般风险准备</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七、8</w:t>
                    </w:r>
                    <w:r>
                      <w:t>5</w:t>
                    </w:r>
                  </w:p>
                </w:tc>
                <w:tc>
                  <w:tcPr>
                    <w:tcW w:w="1411" w:type="pct"/>
                    <w:tcBorders>
                      <w:top w:val="outset" w:color="auto" w:sz="6" w:space="0"/>
                      <w:left w:val="outset" w:color="auto" w:sz="6" w:space="0"/>
                      <w:bottom w:val="outset" w:color="auto" w:sz="6" w:space="0"/>
                      <w:right w:val="outset" w:color="auto" w:sz="6" w:space="0"/>
                    </w:tcBorders>
                  </w:tcPr>
                  <w:p>
                    <w:pPr>
                      <w:jc w:val="right"/>
                    </w:pPr>
                    <w:r>
                      <w:t>8,918,337.30</w:t>
                    </w:r>
                  </w:p>
                </w:tc>
                <w:tc>
                  <w:tcPr>
                    <w:tcW w:w="1333" w:type="pct"/>
                    <w:tcBorders>
                      <w:top w:val="outset" w:color="auto" w:sz="6" w:space="0"/>
                      <w:left w:val="outset" w:color="auto" w:sz="6" w:space="0"/>
                      <w:bottom w:val="outset" w:color="auto" w:sz="6" w:space="0"/>
                      <w:right w:val="outset" w:color="auto" w:sz="6" w:space="0"/>
                    </w:tcBorders>
                  </w:tcPr>
                  <w:p>
                    <w:pPr>
                      <w:jc w:val="right"/>
                    </w:pPr>
                    <w:r>
                      <w:t xml:space="preserve"> 9,737,731.83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8ef3a1b7ae6448183de3fe2b91f7cd5"/>
                    <w:id w:val="-190104886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专项储备</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8</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2,041,483.04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577,468.02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f1157091e4b41f7b980273a3e11b2e5"/>
                    <w:id w:val="-119546483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盈余公积</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七、5</w:t>
                    </w:r>
                    <w:r>
                      <w:t>9</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4,019,593,072.94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4,019,593,072.94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329719465d9412cab74b5424ac30bd4"/>
                    <w:id w:val="198065121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未分配利润</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七、6</w:t>
                    </w:r>
                    <w:r>
                      <w:t>0</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11,509,214,078.12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11,343,860,451.93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9fcb4ca82f14307ab214d34a90b9ef2"/>
                    <w:id w:val="121972375"/>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归属于母公司所有者权益（或股东权益）合计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32,209,573,562.07</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31,940,807,710.11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a9844f67b5f427c8b672b584512bc30"/>
                    <w:id w:val="-1152829929"/>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少数股东权益</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6,314,604,059.04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6,009,524,187.84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9d0693ecf324c179ed30b3065d9fd15"/>
                    <w:id w:val="132732588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所有者权益（或股东权益）合计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38,524,177,621.11</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37,950,331,897.95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ef9f9081ac845ec93bbb1e70817d650"/>
                    <w:id w:val="-198661332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负债和所有者权益（或股东权益）总计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79,787,685,491.34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78,458,345,074.07</w:t>
                    </w:r>
                  </w:p>
                </w:tc>
              </w:tr>
            </w:tbl>
            <w:p>
              <w:pPr>
                <w:ind w:right="-153" w:rightChars="-73"/>
                <w:rPr>
                  <w:color w:val="008000"/>
                  <w:u w:val="single"/>
                </w:rPr>
              </w:pPr>
              <w:r>
                <w:t>公司负责人</w:t>
              </w:r>
              <w:r>
                <w:rPr>
                  <w:rFonts w:hint="eastAsia"/>
                </w:rPr>
                <w:t>：</w:t>
              </w:r>
              <w:sdt>
                <w:sdtPr>
                  <w:rPr>
                    <w:rFonts w:hint="eastAsia"/>
                  </w:rPr>
                  <w:alias w:val="公司负责人"/>
                  <w:tag w:val="_GBC_82350876809b4479afe9f3c55db147dd"/>
                  <w:id w:val="1211772405"/>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1443266138"/>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1353260227"/>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p>
              <w:pPr>
                <w:ind w:right="-153" w:rightChars="-73"/>
                <w:rPr>
                  <w:b/>
                  <w:bCs/>
                  <w:color w:val="008000"/>
                  <w:u w:val="single"/>
                </w:rPr>
              </w:pPr>
            </w:p>
          </w:sdtContent>
        </w:sdt>
        <w:p>
          <w:pPr>
            <w:snapToGrid w:val="0"/>
            <w:spacing w:line="240" w:lineRule="atLeast"/>
            <w:ind w:right="-1594" w:rightChars="-759"/>
          </w:pPr>
        </w:p>
        <w:sdt>
          <w:sdtPr>
            <w:rPr>
              <w:rFonts w:hint="eastAsia" w:ascii="宋体" w:hAnsi="宋体" w:cs="宋体"/>
              <w:b w:val="0"/>
              <w:bCs w:val="0"/>
              <w:kern w:val="0"/>
              <w:szCs w:val="24"/>
            </w:rPr>
            <w:tag w:val="_GBC_af8c8d1094d041008b00be724891aff3"/>
            <w:id w:val="825788395"/>
            <w:lock w:val="sdtLocked"/>
            <w:placeholder>
              <w:docPart w:val="GBC22222222222222222222222222222"/>
            </w:placeholder>
          </w:sdtPr>
          <w:sdtEndPr>
            <w:rPr>
              <w:rFonts w:hint="eastAsia" w:ascii="宋体" w:hAnsi="宋体" w:cs="宋体"/>
              <w:b w:val="0"/>
              <w:bCs w:val="0"/>
              <w:kern w:val="0"/>
              <w:szCs w:val="21"/>
            </w:rPr>
          </w:sdtEndPr>
          <w:sdtContent>
            <w:p>
              <w:pPr>
                <w:pStyle w:val="117"/>
                <w:jc w:val="center"/>
                <w:rPr>
                  <w:rFonts w:ascii="宋体" w:hAnsi="宋体"/>
                </w:rPr>
              </w:pPr>
              <w:r>
                <w:rPr>
                  <w:rFonts w:hint="eastAsia" w:ascii="宋体" w:hAnsi="宋体"/>
                </w:rPr>
                <w:t>母公司</w:t>
              </w:r>
              <w:r>
                <w:rPr>
                  <w:rFonts w:ascii="宋体" w:hAnsi="宋体"/>
                </w:rPr>
                <w:t>资产负债表</w:t>
              </w:r>
            </w:p>
            <w:p>
              <w:pPr>
                <w:snapToGrid w:val="0"/>
                <w:spacing w:line="240" w:lineRule="atLeast"/>
                <w:jc w:val="center"/>
                <w:rPr>
                  <w:b/>
                </w:rPr>
              </w:pPr>
              <w:r>
                <w:t>2023年6月30日</w:t>
              </w:r>
            </w:p>
            <w:p>
              <w:pPr>
                <w:pStyle w:val="114"/>
              </w:pPr>
              <w:r>
                <w:t>编制单位：</w:t>
              </w:r>
              <w:sdt>
                <w:sdtPr>
                  <w:alias w:val="公司法定中文名称"/>
                  <w:tag w:val="_GBC_824a3e7402834e78aa66a9ee77d287bc"/>
                  <w:id w:val="893473040"/>
                  <w:lock w:val="sdtLocked"/>
                  <w:placeholder>
                    <w:docPart w:val="GBC22222222222222222222222222222"/>
                  </w:placeholder>
                  <w:dataBinding w:prefixMappings="xmlns:clcid-cgi='clcid-cgi'" w:xpath="/*/clcid-cgi:GongSiFaDingZhongWenMingCheng[not(@periodRef)]" w:storeItemID="{89EBAB94-44A0-46A2-B712-30D997D04A6D}"/>
                  <w:text/>
                </w:sdtPr>
                <w:sdtContent>
                  <w:r>
                    <w:t>江苏宁沪高速公路股份有限公司</w:t>
                  </w:r>
                </w:sdtContent>
              </w:sdt>
              <w:r>
                <w:t> </w:t>
              </w:r>
            </w:p>
            <w:p>
              <w:pPr>
                <w:jc w:val="right"/>
              </w:pPr>
              <w:r>
                <w:t>单位：</w:t>
              </w:r>
              <w:sdt>
                <w:sdtPr>
                  <w:alias w:val="单位：母公司资产负债表"/>
                  <w:tag w:val="_GBC_7be010b1a07f4048a3805d40208ccda4"/>
                  <w:id w:val="7250236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资产负债表"/>
                  <w:tag w:val="_GBC_ecd35f8ce6f84d6f8ad30e1e244c15ff"/>
                  <w:id w:val="-14994169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2"/>
                <w:tblW w:w="4994"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944"/>
                <w:gridCol w:w="1133"/>
                <w:gridCol w:w="2551"/>
                <w:gridCol w:w="24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b231a79acb54050b640bf23dd34ab8c"/>
                    <w:id w:val="178676551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jc w:val="center"/>
                          <w:rPr>
                            <w:b/>
                          </w:rPr>
                        </w:pPr>
                        <w:r>
                          <w:rPr>
                            <w:b/>
                          </w:rPr>
                          <w:t>项目</w:t>
                        </w:r>
                      </w:p>
                    </w:tc>
                  </w:sdtContent>
                </w:sdt>
                <w:sdt>
                  <w:sdtPr>
                    <w:tag w:val="_PLD_5e370aa08a144a709185abd9b2f11c20"/>
                    <w:id w:val="-345477234"/>
                    <w:lock w:val="sdtLocked"/>
                  </w:sdtPr>
                  <w:sdtContent>
                    <w:tc>
                      <w:tcPr>
                        <w:tcW w:w="627"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附注</w:t>
                        </w:r>
                      </w:p>
                    </w:tc>
                  </w:sdtContent>
                </w:sdt>
                <w:sdt>
                  <w:sdtPr>
                    <w:tag w:val="_PLD_0aa0a7a0cd4c45afa7cfb1bcfbba36c3"/>
                    <w:id w:val="-1983683"/>
                    <w:lock w:val="sdtLocked"/>
                  </w:sdtPr>
                  <w:sdtContent>
                    <w:tc>
                      <w:tcPr>
                        <w:tcW w:w="1411"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2023年6月</w:t>
                        </w:r>
                        <w:r>
                          <w:rPr>
                            <w:b/>
                          </w:rPr>
                          <w:t>3</w:t>
                        </w:r>
                        <w:r>
                          <w:rPr>
                            <w:rFonts w:hint="eastAsia"/>
                            <w:b/>
                          </w:rPr>
                          <w:t>0日</w:t>
                        </w:r>
                      </w:p>
                    </w:tc>
                  </w:sdtContent>
                </w:sdt>
                <w:sdt>
                  <w:sdtPr>
                    <w:tag w:val="_PLD_e986dda0dbc74346a9296e5a4646b696"/>
                    <w:id w:val="-2056304449"/>
                    <w:lock w:val="sdtLocked"/>
                  </w:sdtPr>
                  <w:sdtContent>
                    <w:tc>
                      <w:tcPr>
                        <w:tcW w:w="1333" w:type="pct"/>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202</w:t>
                        </w:r>
                        <w:r>
                          <w:rPr>
                            <w:b/>
                          </w:rPr>
                          <w:t>2</w:t>
                        </w:r>
                        <w:r>
                          <w:rPr>
                            <w:rFonts w:hint="eastAsia"/>
                            <w:b/>
                          </w:rPr>
                          <w:t>年12月31日</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4ae72669eea4837a1a220d585585bdf"/>
                    <w:id w:val="334193971"/>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b/>
                            <w:color w:val="FF00FF"/>
                          </w:rPr>
                        </w:pPr>
                        <w:r>
                          <w:rPr>
                            <w:rFonts w:hint="eastAsia"/>
                            <w:b/>
                          </w:rPr>
                          <w:t>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b78743cdab64576b5cd6da9a3a930fa"/>
                    <w:id w:val="-111058990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货币资金</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178,085,091.49</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457,256,666.75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9110b32630da4518a6cd2897b5ab904c"/>
                      <w:id w:val="1068540484"/>
                      <w:lock w:val="sdtLocked"/>
                    </w:sdtPr>
                    <w:sdtEndPr>
                      <w:rPr>
                        <w:rFonts w:hint="eastAsia"/>
                      </w:rPr>
                    </w:sdtEndPr>
                    <w:sdtContent>
                      <w:p>
                        <w:pPr>
                          <w:ind w:firstLine="210" w:firstLineChars="100"/>
                        </w:pPr>
                        <w:r>
                          <w:rPr>
                            <w:rFonts w:hint="eastAsia"/>
                          </w:rPr>
                          <w:t>交易性金融资产</w:t>
                        </w:r>
                      </w:p>
                    </w:sdtContent>
                  </w:sdt>
                </w:tc>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3,275,000,000.00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2,450,006,985.16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1b51c42e6ff4b2b89ce73b84b0ca8c1"/>
                    <w:id w:val="211940676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应收账款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十七、1</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427,973,265.22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410,626,643.63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05b2d340ad24fae990479b422656525"/>
                    <w:id w:val="111201617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预付款项</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14,055,529.16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1,130,751.22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f9f116dabbb48b2a5a0f3ba0b4772cd"/>
                    <w:id w:val="2615025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其他应收款</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十七、2</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44,657,499.86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10,682,984.50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cc0aeaf59b04efabb1f01b5c63b990f"/>
                    <w:id w:val="10008533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存货</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16,730,169.20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17,655,990.24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2c79909426d483f990fd7869da0a773"/>
                    <w:id w:val="161255290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其他流动资产</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2,857,364,243.11</w:t>
                    </w:r>
                  </w:p>
                </w:tc>
                <w:tc>
                  <w:tcPr>
                    <w:tcW w:w="1333" w:type="pct"/>
                    <w:tcBorders>
                      <w:top w:val="outset" w:color="auto" w:sz="6" w:space="0"/>
                      <w:left w:val="outset" w:color="auto" w:sz="6" w:space="0"/>
                      <w:bottom w:val="outset" w:color="auto" w:sz="6" w:space="0"/>
                      <w:right w:val="outset" w:color="auto" w:sz="6" w:space="0"/>
                    </w:tcBorders>
                    <w:vAlign w:val="center"/>
                  </w:tcPr>
                  <w:p>
                    <w:pPr>
                      <w:ind w:right="105"/>
                      <w:jc w:val="right"/>
                    </w:pPr>
                    <w:r>
                      <w:t>2,838,602,047.81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5f1546085cd4f41ba16ec6a8b42ac7f"/>
                    <w:id w:val="652186780"/>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流动资产合计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6,813,865,798.04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6,185,962,069.31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1f45ac7535d4ffeaa6273d6527bae0d"/>
                    <w:id w:val="-2060304808"/>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非流动资产：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a3d0d37a62a4d8890171550ab1664b1"/>
                    <w:id w:val="5089311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长期股权投资</w:t>
                        </w:r>
                      </w:p>
                    </w:tc>
                  </w:sdtContent>
                </w:sdt>
                <w:tc>
                  <w:tcPr>
                    <w:tcW w:w="627" w:type="pct"/>
                    <w:tcBorders>
                      <w:top w:val="outset" w:color="auto" w:sz="6" w:space="0"/>
                      <w:left w:val="outset" w:color="auto" w:sz="6" w:space="0"/>
                      <w:bottom w:val="outset" w:color="auto" w:sz="6" w:space="0"/>
                      <w:right w:val="outset" w:color="auto" w:sz="6" w:space="0"/>
                    </w:tcBorders>
                  </w:tcPr>
                  <w:p>
                    <w:r>
                      <w:rPr>
                        <w:rFonts w:hint="eastAsia"/>
                      </w:rPr>
                      <w:t>十七、3</w:t>
                    </w: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20,565,485,406.04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20,149,153,401.76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29" w:type="pct"/>
                    <w:tcBorders>
                      <w:top w:val="outset" w:color="auto" w:sz="6" w:space="0"/>
                      <w:left w:val="outset" w:color="auto" w:sz="6" w:space="0"/>
                      <w:bottom w:val="outset" w:color="auto" w:sz="6" w:space="0"/>
                      <w:right w:val="outset" w:color="auto" w:sz="6" w:space="0"/>
                    </w:tcBorders>
                    <w:vAlign w:val="center"/>
                  </w:tcPr>
                  <w:sdt>
                    <w:sdtPr>
                      <w:rPr>
                        <w:rFonts w:hint="eastAsia"/>
                      </w:rPr>
                      <w:tag w:val="_PLD_aff348e432d64b2db9dfbd6062b82eb5"/>
                      <w:id w:val="-6838222"/>
                      <w:lock w:val="sdtLocked"/>
                    </w:sdtPr>
                    <w:sdtEndPr>
                      <w:rPr>
                        <w:rFonts w:hint="eastAsia"/>
                      </w:rPr>
                    </w:sdtEndPr>
                    <w:sdtContent>
                      <w:p>
                        <w:pPr>
                          <w:ind w:firstLine="210" w:firstLineChars="100"/>
                        </w:pPr>
                        <w:r>
                          <w:rPr>
                            <w:rFonts w:hint="eastAsia"/>
                          </w:rPr>
                          <w:t>其他权益工具投资</w:t>
                        </w:r>
                      </w:p>
                    </w:sdtContent>
                  </w:sdt>
                </w:tc>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5,299,973,280.00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5,256,708,192.00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6c5e0c04606490d92af21e793463b46"/>
                    <w:id w:val="-27424882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固定资产</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1,168,590,208.26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1,230,056,879.64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1cd0ff44d5a4f0e8701c556dd24e59c"/>
                    <w:id w:val="192213303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在建工程</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112,388,721.49</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93,394,861.08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97c32de07ca406c995520445e6dffbf"/>
                    <w:id w:val="-34286401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无形资产</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11,124,311,433.97</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11,655,199,035.84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长期待摊费用"/>
                    <w:tag w:val="_PLD_c056001bc1b3464fb0b5268a537d7ec4"/>
                    <w:id w:val="-178310046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t>长期待摊费用</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1,317,531.66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1,315,525.44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c72539456a6441ab49e4634f35d3b45"/>
                    <w:id w:val="143054238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其他非流动资产</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2,025,713,630.00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2,062,755,638.21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584991385414bca8cca9a7a9f5fabfd"/>
                    <w:id w:val="-109170412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非流动资产合计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40,297,780,211.42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40,448,583,533.97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64f3b6fe172472c8abf2e1bf1a2b68a"/>
                    <w:id w:val="-80346352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资产总计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47,111,646,009.46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46,634,545,603.28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80943e088034c15ad8af33927d58d1b"/>
                    <w:id w:val="51518895"/>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FF00FF"/>
                          </w:rPr>
                        </w:pPr>
                        <w:r>
                          <w:rPr>
                            <w:rFonts w:hint="eastAsia"/>
                            <w:b/>
                          </w:rPr>
                          <w:t>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3de8e9c3fff4ed09c99de434527ef0d"/>
                    <w:id w:val="2784324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短期借款</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1,063,867,063.00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1,704,448,586.00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3f601396ff94f55ba0d9f4f04bea3f7"/>
                    <w:id w:val="1474581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应付账款</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387,958,654.62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582,679,623.53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d33cba97f8f47758fee51d65c9dfe52"/>
                    <w:id w:val="-26978375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预收款项</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3,159,829.32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4,488,651.19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179db1f484045d98b88860edc153236"/>
                    <w:id w:val="-11437884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应付职工薪酬</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1,194,900.92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1,927,435.78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9c6f095658e40b2a72d3d8b778fd72b"/>
                    <w:id w:val="-1289362023"/>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应交税费</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117,459,309.99</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36,143,213.39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490ad2cbccd426084cbcc4f5ffff983"/>
                    <w:id w:val="-191084401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其他应付款</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2,566,743,340.01</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243,353,866.72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29046fb2b7d4844a6a2146909afbe96"/>
                    <w:id w:val="-1185123252"/>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一年内到期的非流动负债</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1,195,139,496.90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142,426,258.82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9a119c77a3042f187a5aba37b5deecc"/>
                    <w:id w:val="-540216034"/>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其他流动负债</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4,421,226,006.00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5,334,649,066.00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d497b996a3c46b99eb5112ec0f3d649"/>
                    <w:id w:val="-24072206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9,756,748,600.76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8,050,116,701.43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62929b21cd4456494013c9cb0dc5b16"/>
                    <w:id w:val="-563955041"/>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非流动负债：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c705bf824d14c06a0f0ff2183f061bb"/>
                    <w:id w:val="-101268660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长期借款</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2,191,926,222.82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1,996,497,782.70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38e61244aeb4a06b85c45422b5d2e25"/>
                    <w:id w:val="-112962497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应付债券</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8,980,332,107.92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9,974,656,778.90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ab00dbf5a03497493b7cecfc307a4f7"/>
                    <w:id w:val="-88541625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递延收益</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58,799,086.19</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63,845,851.68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27860a290d6473991cd09d203f00279"/>
                    <w:id w:val="146454493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递延所得税负债</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265,386,306.04</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254,570,034.04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e68f69147854f91a45d2da03b70d4d5"/>
                    <w:id w:val="-206393550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其他非流动负债</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c899ef8da434424b5289e4324851489"/>
                    <w:id w:val="44119259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11,496,443,722.97</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12,289,570,447.32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2102ad9792147f2bf11ec884c204033"/>
                    <w:id w:val="143401885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21,253,192,323.73</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20,339,687,148.75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3c95ee428314f8b8091bd15dff2a83d"/>
                    <w:id w:val="-1488471001"/>
                    <w:lock w:val="sdtLocked"/>
                  </w:sdtPr>
                  <w:sdtContent>
                    <w:tc>
                      <w:tcPr>
                        <w:tcW w:w="5000" w:type="pct"/>
                        <w:gridSpan w:val="4"/>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rPr>
                          <w:t>所有者权益（或股东权益）：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dc50e71aa7b412096aaa176abd95e28"/>
                    <w:id w:val="-2100705376"/>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实收资本（或股本）</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5,037,747,500.00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5,037,747,500.00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8724ab7c9244a1186a8219085238e9f"/>
                    <w:id w:val="-1641811178"/>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资本公积</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9,945,032,992.78</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9,945,032,992.78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511319799ae49febdfc2f1e81f6d67c"/>
                    <w:id w:val="14948735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其他综合收益</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1,111,526,996.72</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1,056,590,611.44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1d459a1820947dd8bb91df8e71c615b"/>
                    <w:id w:val="-1727364359"/>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盈余公积</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2,518,873,750.00</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2,518,873,750.00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bf3fa2bf87240889853d8e32c117a77"/>
                    <w:id w:val="-247261811"/>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未分配利润</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7,245,272,446.23</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7,736,613,600.31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8e701b7d2f8447c8bb34870babce384"/>
                    <w:id w:val="207077435"/>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所有者权益（或股东权益）合计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25,858,453,685.73</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26,294,858,454.53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48d7a5f1f6c488cb5525aa8d0d88441"/>
                    <w:id w:val="-150064507"/>
                    <w:lock w:val="sdtLocked"/>
                  </w:sdtPr>
                  <w:sdtContent>
                    <w:tc>
                      <w:tcPr>
                        <w:tcW w:w="1629" w:type="pct"/>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负债和所有者权益（或股东权益）总计</w:t>
                        </w:r>
                      </w:p>
                    </w:tc>
                  </w:sdtContent>
                </w:sdt>
                <w:tc>
                  <w:tcPr>
                    <w:tcW w:w="627" w:type="pct"/>
                    <w:tcBorders>
                      <w:top w:val="outset" w:color="auto" w:sz="6" w:space="0"/>
                      <w:left w:val="outset" w:color="auto" w:sz="6" w:space="0"/>
                      <w:bottom w:val="outset" w:color="auto" w:sz="6" w:space="0"/>
                      <w:right w:val="outset" w:color="auto" w:sz="6" w:space="0"/>
                    </w:tcBorders>
                  </w:tcPr>
                  <w:p/>
                </w:tc>
                <w:tc>
                  <w:tcPr>
                    <w:tcW w:w="1411" w:type="pct"/>
                    <w:tcBorders>
                      <w:top w:val="outset" w:color="auto" w:sz="6" w:space="0"/>
                      <w:left w:val="outset" w:color="auto" w:sz="6" w:space="0"/>
                      <w:bottom w:val="outset" w:color="auto" w:sz="6" w:space="0"/>
                      <w:right w:val="outset" w:color="auto" w:sz="6" w:space="0"/>
                    </w:tcBorders>
                    <w:vAlign w:val="center"/>
                  </w:tcPr>
                  <w:p>
                    <w:pPr>
                      <w:jc w:val="right"/>
                    </w:pPr>
                    <w:r>
                      <w:t>47,111,646,009.46</w:t>
                    </w:r>
                  </w:p>
                </w:tc>
                <w:tc>
                  <w:tcPr>
                    <w:tcW w:w="1333" w:type="pct"/>
                    <w:tcBorders>
                      <w:top w:val="outset" w:color="auto" w:sz="6" w:space="0"/>
                      <w:left w:val="outset" w:color="auto" w:sz="6" w:space="0"/>
                      <w:bottom w:val="outset" w:color="auto" w:sz="6" w:space="0"/>
                      <w:right w:val="outset" w:color="auto" w:sz="6" w:space="0"/>
                    </w:tcBorders>
                    <w:vAlign w:val="center"/>
                  </w:tcPr>
                  <w:p>
                    <w:pPr>
                      <w:jc w:val="right"/>
                    </w:pPr>
                    <w:r>
                      <w:t>46,634,545,603.28</w:t>
                    </w:r>
                  </w:p>
                </w:tc>
              </w:tr>
            </w:tbl>
            <w:p>
              <w:pPr>
                <w:ind w:right="-153" w:rightChars="-73"/>
              </w:pPr>
              <w:r>
                <w:t>公司负责人</w:t>
              </w:r>
              <w:r>
                <w:rPr>
                  <w:rFonts w:hint="eastAsia"/>
                </w:rPr>
                <w:t>：</w:t>
              </w:r>
              <w:sdt>
                <w:sdtPr>
                  <w:rPr>
                    <w:rFonts w:hint="eastAsia"/>
                  </w:rPr>
                  <w:alias w:val="公司负责人"/>
                  <w:tag w:val="_GBC_f43f422c96ec4e009c3976ce8e58b778"/>
                  <w:id w:val="482746375"/>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184447744"/>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2006884599"/>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snapToGrid w:val="0"/>
          </w:pPr>
        </w:p>
      </w:sdtContent>
    </w:sdt>
    <w:bookmarkEnd w:id="107"/>
    <w:p>
      <w:pPr>
        <w:ind w:right="-153" w:rightChars="-73"/>
        <w:rPr>
          <w:b/>
          <w:bCs/>
          <w:color w:val="008000"/>
          <w:u w:val="single"/>
        </w:rPr>
      </w:pPr>
    </w:p>
    <w:sdt>
      <w:sdtPr>
        <w:rPr>
          <w:rFonts w:hint="eastAsia"/>
          <w:b/>
        </w:rPr>
        <w:alias w:val="选项模块:需要编制合并报表"/>
        <w:tag w:val="_GBC_bf89afc47e17438594730edb3412d929"/>
        <w:id w:val="1716860331"/>
        <w:lock w:val="sdtLocked"/>
        <w:placeholder>
          <w:docPart w:val="GBC22222222222222222222222222222"/>
        </w:placeholder>
      </w:sdtPr>
      <w:sdtEndPr>
        <w:rPr>
          <w:rFonts w:hint="eastAsia" w:cs="宋体-方正超大字符集"/>
          <w:b w:val="0"/>
        </w:rPr>
      </w:sdtEndPr>
      <w:sdtContent>
        <w:p>
          <w:pPr>
            <w:jc w:val="center"/>
            <w:rPr>
              <w:b/>
            </w:rPr>
          </w:pPr>
        </w:p>
        <w:sdt>
          <w:sdtPr>
            <w:rPr>
              <w:rFonts w:hint="eastAsia" w:ascii="宋体" w:hAnsi="宋体" w:cs="宋体"/>
              <w:b w:val="0"/>
              <w:bCs w:val="0"/>
              <w:kern w:val="0"/>
              <w:szCs w:val="24"/>
            </w:rPr>
            <w:tag w:val="_GBC_cc363e9840a448cbaf363887668cbe2a"/>
            <w:id w:val="-1387564771"/>
            <w:lock w:val="sdtLocked"/>
            <w:placeholder>
              <w:docPart w:val="GBC22222222222222222222222222222"/>
            </w:placeholder>
          </w:sdtPr>
          <w:sdtEndPr>
            <w:rPr>
              <w:rFonts w:hint="eastAsia" w:ascii="宋体" w:hAnsi="宋体" w:cs="宋体"/>
              <w:b w:val="0"/>
              <w:bCs w:val="0"/>
              <w:kern w:val="0"/>
              <w:szCs w:val="21"/>
            </w:rPr>
          </w:sdtEndPr>
          <w:sdtContent>
            <w:p>
              <w:pPr>
                <w:pStyle w:val="4"/>
                <w:jc w:val="center"/>
                <w:rPr>
                  <w:rFonts w:ascii="宋体" w:hAnsi="宋体"/>
                </w:rPr>
              </w:pPr>
              <w:r>
                <w:rPr>
                  <w:rFonts w:hint="eastAsia" w:ascii="宋体" w:hAnsi="宋体"/>
                </w:rPr>
                <w:t>合并</w:t>
              </w:r>
              <w:r>
                <w:rPr>
                  <w:rFonts w:ascii="宋体" w:hAnsi="宋体"/>
                </w:rPr>
                <w:t>利润表</w:t>
              </w:r>
            </w:p>
            <w:p>
              <w:pPr>
                <w:jc w:val="center"/>
                <w:rPr>
                  <w:b/>
                  <w:bCs/>
                </w:rPr>
              </w:pPr>
              <w:r>
                <w:t>2023年</w:t>
              </w:r>
              <w:r>
                <w:rPr>
                  <w:rFonts w:hint="eastAsia"/>
                </w:rPr>
                <w:t>1—6</w:t>
              </w:r>
              <w:r>
                <w:t>月</w:t>
              </w:r>
            </w:p>
            <w:p>
              <w:pPr>
                <w:jc w:val="right"/>
              </w:pPr>
              <w:r>
                <w:t>单位：</w:t>
              </w:r>
              <w:sdt>
                <w:sdtPr>
                  <w:alias w:val="单位：合并利润表"/>
                  <w:tag w:val="_GBC_4fec24feb4834b768c484fe556046382"/>
                  <w:id w:val="-17973653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利润表"/>
                  <w:tag w:val="_GBC_ae5c0d79e5694eb28ba1b8160e27a464"/>
                  <w:id w:val="13213868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507"/>
                <w:gridCol w:w="1517"/>
                <w:gridCol w:w="2009"/>
                <w:gridCol w:w="20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sdt>
                  <w:sdtPr>
                    <w:tag w:val="_PLD_ea01e0b0c9224fe59426c375515c2359"/>
                    <w:id w:val="157331143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6" w:firstLineChars="108"/>
                          <w:rPr>
                            <w:b/>
                          </w:rPr>
                        </w:pPr>
                        <w:r>
                          <w:rPr>
                            <w:b/>
                          </w:rPr>
                          <w:t>项目</w:t>
                        </w:r>
                      </w:p>
                    </w:tc>
                  </w:sdtContent>
                </w:sdt>
                <w:sdt>
                  <w:sdtPr>
                    <w:tag w:val="_PLD_e4f45f42e79e4a4aba892e3a7a7b123d"/>
                    <w:id w:val="-1267230106"/>
                    <w:lock w:val="sdtLocked"/>
                  </w:sdtPr>
                  <w:sdtContent>
                    <w:tc>
                      <w:tcPr>
                        <w:tcW w:w="838" w:type="pct"/>
                        <w:tcBorders>
                          <w:top w:val="outset" w:color="auto" w:sz="4" w:space="0"/>
                          <w:left w:val="outset" w:color="auto" w:sz="4" w:space="0"/>
                          <w:bottom w:val="outset" w:color="auto" w:sz="4" w:space="0"/>
                          <w:right w:val="outset" w:color="auto" w:sz="4" w:space="0"/>
                        </w:tcBorders>
                        <w:vAlign w:val="center"/>
                      </w:tcPr>
                      <w:p>
                        <w:pPr>
                          <w:pStyle w:val="4"/>
                          <w:jc w:val="center"/>
                          <w:rPr>
                            <w:b w:val="0"/>
                          </w:rPr>
                        </w:pPr>
                        <w:r>
                          <w:rPr>
                            <w:rFonts w:hint="eastAsia"/>
                          </w:rPr>
                          <w:t>附注</w:t>
                        </w:r>
                      </w:p>
                    </w:tc>
                  </w:sdtContent>
                </w:sdt>
                <w:sdt>
                  <w:sdtPr>
                    <w:tag w:val="_PLD_41682cdf00e5450394986df99de953d1"/>
                    <w:id w:val="-1838456532"/>
                    <w:lock w:val="sdtLocked"/>
                  </w:sdtPr>
                  <w:sdtContent>
                    <w:tc>
                      <w:tcPr>
                        <w:tcW w:w="1110" w:type="pct"/>
                        <w:tcBorders>
                          <w:top w:val="outset" w:color="auto" w:sz="4" w:space="0"/>
                          <w:left w:val="outset" w:color="auto" w:sz="4" w:space="0"/>
                          <w:bottom w:val="outset" w:color="auto" w:sz="4" w:space="0"/>
                          <w:right w:val="outset" w:color="auto" w:sz="4" w:space="0"/>
                        </w:tcBorders>
                        <w:vAlign w:val="center"/>
                      </w:tcPr>
                      <w:p>
                        <w:pPr>
                          <w:jc w:val="center"/>
                          <w:rPr>
                            <w:b/>
                          </w:rPr>
                        </w:pPr>
                        <w:r>
                          <w:rPr>
                            <w:rFonts w:hint="eastAsia"/>
                            <w:b/>
                          </w:rPr>
                          <w:t>2023年半年度</w:t>
                        </w:r>
                      </w:p>
                    </w:tc>
                  </w:sdtContent>
                </w:sdt>
                <w:sdt>
                  <w:sdtPr>
                    <w:tag w:val="_PLD_f020215569a54a6db2bd3d5298280e01"/>
                    <w:id w:val="531535415"/>
                    <w:lock w:val="sdtLocked"/>
                  </w:sdtPr>
                  <w:sdtContent>
                    <w:tc>
                      <w:tcPr>
                        <w:tcW w:w="1114" w:type="pct"/>
                        <w:tcBorders>
                          <w:top w:val="outset" w:color="auto" w:sz="4" w:space="0"/>
                          <w:left w:val="outset" w:color="auto" w:sz="4" w:space="0"/>
                          <w:bottom w:val="outset" w:color="auto" w:sz="4" w:space="0"/>
                          <w:right w:val="outset" w:color="auto" w:sz="4" w:space="0"/>
                        </w:tcBorders>
                        <w:vAlign w:val="center"/>
                      </w:tcPr>
                      <w:p>
                        <w:pPr>
                          <w:jc w:val="center"/>
                          <w:rPr>
                            <w:b/>
                          </w:rPr>
                        </w:pPr>
                        <w:r>
                          <w:rPr>
                            <w:rFonts w:hint="eastAsia"/>
                            <w:b/>
                          </w:rPr>
                          <w:t>2022年半年度</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d877c352d5440b8bf7dcd1940d9f85b"/>
                    <w:id w:val="463394631"/>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一、营业总收入</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1</w:t>
                    </w:r>
                  </w:p>
                </w:tc>
                <w:tc>
                  <w:tcPr>
                    <w:tcW w:w="1110" w:type="pct"/>
                    <w:tcBorders>
                      <w:top w:val="outset" w:color="auto" w:sz="4" w:space="0"/>
                      <w:left w:val="outset" w:color="auto" w:sz="4" w:space="0"/>
                      <w:bottom w:val="outset" w:color="auto" w:sz="4" w:space="0"/>
                      <w:right w:val="outset" w:color="auto" w:sz="4" w:space="0"/>
                    </w:tcBorders>
                  </w:tcPr>
                  <w:p>
                    <w:pPr>
                      <w:jc w:val="right"/>
                    </w:pPr>
                    <w:r>
                      <w:t>7,136,011,953.47</w:t>
                    </w:r>
                  </w:p>
                </w:tc>
                <w:tc>
                  <w:tcPr>
                    <w:tcW w:w="1114" w:type="pct"/>
                    <w:tcBorders>
                      <w:top w:val="outset" w:color="auto" w:sz="4" w:space="0"/>
                      <w:left w:val="outset" w:color="auto" w:sz="4" w:space="0"/>
                      <w:bottom w:val="outset" w:color="auto" w:sz="4" w:space="0"/>
                      <w:right w:val="outset" w:color="auto" w:sz="4" w:space="0"/>
                    </w:tcBorders>
                  </w:tcPr>
                  <w:p>
                    <w:pPr>
                      <w:jc w:val="right"/>
                    </w:pPr>
                    <w:r>
                      <w:t>4,875,399,621.13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f7b1fb368014debb0a48d797b8c9159"/>
                    <w:id w:val="65858122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其中：营业收入</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7,136,011,953.47</w:t>
                    </w:r>
                  </w:p>
                </w:tc>
                <w:tc>
                  <w:tcPr>
                    <w:tcW w:w="1114" w:type="pct"/>
                    <w:tcBorders>
                      <w:top w:val="outset" w:color="auto" w:sz="4" w:space="0"/>
                      <w:left w:val="outset" w:color="auto" w:sz="4" w:space="0"/>
                      <w:bottom w:val="outset" w:color="auto" w:sz="4" w:space="0"/>
                      <w:right w:val="outset" w:color="auto" w:sz="4" w:space="0"/>
                    </w:tcBorders>
                  </w:tcPr>
                  <w:p>
                    <w:pPr>
                      <w:jc w:val="right"/>
                    </w:pPr>
                    <w:r>
                      <w:t>4,875,399,621.13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666055067944f82816d6d4acfa0eb4c"/>
                    <w:id w:val="-131833882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二、营业总成本</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1</w:t>
                    </w:r>
                  </w:p>
                </w:tc>
                <w:tc>
                  <w:tcPr>
                    <w:tcW w:w="1110" w:type="pct"/>
                    <w:tcBorders>
                      <w:top w:val="outset" w:color="auto" w:sz="4" w:space="0"/>
                      <w:left w:val="outset" w:color="auto" w:sz="4" w:space="0"/>
                      <w:bottom w:val="outset" w:color="auto" w:sz="4" w:space="0"/>
                      <w:right w:val="outset" w:color="auto" w:sz="4" w:space="0"/>
                    </w:tcBorders>
                  </w:tcPr>
                  <w:p>
                    <w:pPr>
                      <w:jc w:val="right"/>
                    </w:pPr>
                    <w:r>
                      <w:t>4</w:t>
                    </w:r>
                    <w:r>
                      <w:rPr>
                        <w:rFonts w:hint="eastAsia"/>
                      </w:rPr>
                      <w:t>,</w:t>
                    </w:r>
                    <w:r>
                      <w:t>614,017</w:t>
                    </w:r>
                    <w:r>
                      <w:rPr>
                        <w:rFonts w:hint="eastAsia"/>
                      </w:rPr>
                      <w:t>,</w:t>
                    </w:r>
                    <w:r>
                      <w:t>336.46</w:t>
                    </w:r>
                  </w:p>
                </w:tc>
                <w:tc>
                  <w:tcPr>
                    <w:tcW w:w="1114" w:type="pct"/>
                    <w:tcBorders>
                      <w:top w:val="outset" w:color="auto" w:sz="4" w:space="0"/>
                      <w:left w:val="outset" w:color="auto" w:sz="4" w:space="0"/>
                      <w:bottom w:val="outset" w:color="auto" w:sz="4" w:space="0"/>
                      <w:right w:val="outset" w:color="auto" w:sz="4" w:space="0"/>
                    </w:tcBorders>
                  </w:tcPr>
                  <w:p>
                    <w:pPr>
                      <w:jc w:val="right"/>
                    </w:pPr>
                    <w:r>
                      <w:t>3,500,183,772.68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1171334ba69445a843af4e467f2f7b1"/>
                    <w:id w:val="-551389887"/>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其中：营业成本</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3,926,662,277.70</w:t>
                    </w:r>
                  </w:p>
                </w:tc>
                <w:tc>
                  <w:tcPr>
                    <w:tcW w:w="1114" w:type="pct"/>
                    <w:tcBorders>
                      <w:top w:val="outset" w:color="auto" w:sz="4" w:space="0"/>
                      <w:left w:val="outset" w:color="auto" w:sz="4" w:space="0"/>
                      <w:bottom w:val="outset" w:color="auto" w:sz="4" w:space="0"/>
                      <w:right w:val="outset" w:color="auto" w:sz="4" w:space="0"/>
                    </w:tcBorders>
                  </w:tcPr>
                  <w:p>
                    <w:pPr>
                      <w:jc w:val="right"/>
                    </w:pPr>
                    <w:r>
                      <w:t>2,795,363,467.49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6c17ba723b44617ab108e2265705c9e"/>
                    <w:id w:val="-1449384462"/>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6" w:firstLineChars="108"/>
                        </w:pPr>
                        <w:r>
                          <w:t xml:space="preserve">    </w:t>
                        </w:r>
                        <w:r>
                          <w:rPr>
                            <w:rFonts w:hint="eastAsia"/>
                          </w:rPr>
                          <w:t>税金及附加</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2</w:t>
                    </w:r>
                  </w:p>
                </w:tc>
                <w:tc>
                  <w:tcPr>
                    <w:tcW w:w="1110" w:type="pct"/>
                    <w:tcBorders>
                      <w:top w:val="outset" w:color="auto" w:sz="4" w:space="0"/>
                      <w:left w:val="outset" w:color="auto" w:sz="4" w:space="0"/>
                      <w:bottom w:val="outset" w:color="auto" w:sz="4" w:space="0"/>
                      <w:right w:val="outset" w:color="auto" w:sz="4" w:space="0"/>
                    </w:tcBorders>
                  </w:tcPr>
                  <w:p>
                    <w:pPr>
                      <w:jc w:val="right"/>
                    </w:pPr>
                    <w:r>
                      <w:t>38,461,347.25</w:t>
                    </w:r>
                  </w:p>
                </w:tc>
                <w:tc>
                  <w:tcPr>
                    <w:tcW w:w="1114" w:type="pct"/>
                    <w:tcBorders>
                      <w:top w:val="outset" w:color="auto" w:sz="4" w:space="0"/>
                      <w:left w:val="outset" w:color="auto" w:sz="4" w:space="0"/>
                      <w:bottom w:val="outset" w:color="auto" w:sz="4" w:space="0"/>
                      <w:right w:val="outset" w:color="auto" w:sz="4" w:space="0"/>
                    </w:tcBorders>
                  </w:tcPr>
                  <w:p>
                    <w:pPr>
                      <w:jc w:val="right"/>
                    </w:pPr>
                    <w:r>
                      <w:t>46,201,684.98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rPr>
                      <w:rFonts w:ascii="Calibri" w:hAnsi="Calibri" w:cs="Times New Roman"/>
                      <w:b/>
                      <w:bCs/>
                      <w:kern w:val="2"/>
                      <w:szCs w:val="32"/>
                    </w:rPr>
                    <w:tag w:val="_PLD_a3b8d65ff4ec461aa0e45656973f9d4f"/>
                    <w:id w:val="50668039"/>
                    <w:lock w:val="sdtLocked"/>
                  </w:sdtPr>
                  <w:sdtEndPr>
                    <w:rPr>
                      <w:rFonts w:ascii="宋体" w:hAnsi="宋体" w:cs="宋体"/>
                      <w:b w:val="0"/>
                      <w:bCs w:val="0"/>
                      <w:kern w:val="0"/>
                      <w:szCs w:val="21"/>
                    </w:rPr>
                  </w:sdtEnd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8" w:firstLineChars="108"/>
                        </w:pPr>
                        <w:r>
                          <w:rPr>
                            <w:rFonts w:ascii="Calibri" w:hAnsi="Calibri" w:cs="Times New Roman"/>
                            <w:b/>
                            <w:bCs/>
                            <w:kern w:val="2"/>
                            <w:szCs w:val="32"/>
                          </w:rPr>
                          <w:t xml:space="preserve">    </w:t>
                        </w:r>
                        <w:r>
                          <w:rPr>
                            <w:rFonts w:hint="eastAsia" w:ascii="Calibri" w:hAnsi="Calibri" w:cs="Times New Roman"/>
                            <w:kern w:val="2"/>
                            <w:szCs w:val="32"/>
                          </w:rPr>
                          <w:t>销售</w:t>
                        </w:r>
                        <w:r>
                          <w:rPr>
                            <w:rFonts w:hint="eastAsia"/>
                          </w:rPr>
                          <w:t>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3</w:t>
                    </w:r>
                  </w:p>
                </w:tc>
                <w:tc>
                  <w:tcPr>
                    <w:tcW w:w="1110" w:type="pct"/>
                    <w:tcBorders>
                      <w:top w:val="outset" w:color="auto" w:sz="4" w:space="0"/>
                      <w:left w:val="outset" w:color="auto" w:sz="4" w:space="0"/>
                      <w:bottom w:val="outset" w:color="auto" w:sz="4" w:space="0"/>
                      <w:right w:val="outset" w:color="auto" w:sz="4" w:space="0"/>
                    </w:tcBorders>
                  </w:tcPr>
                  <w:p>
                    <w:pPr>
                      <w:jc w:val="right"/>
                    </w:pPr>
                    <w:r>
                      <w:t>5,803,128.77</w:t>
                    </w:r>
                  </w:p>
                </w:tc>
                <w:tc>
                  <w:tcPr>
                    <w:tcW w:w="1114" w:type="pct"/>
                    <w:tcBorders>
                      <w:top w:val="outset" w:color="auto" w:sz="4" w:space="0"/>
                      <w:left w:val="outset" w:color="auto" w:sz="4" w:space="0"/>
                      <w:bottom w:val="outset" w:color="auto" w:sz="4" w:space="0"/>
                      <w:right w:val="outset" w:color="auto" w:sz="4" w:space="0"/>
                    </w:tcBorders>
                  </w:tcPr>
                  <w:p>
                    <w:pPr>
                      <w:jc w:val="right"/>
                    </w:pPr>
                    <w:r>
                      <w:t>6,093,714.35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ed77e0a08324462af3ef7a5005bb139"/>
                    <w:id w:val="-132273783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6" w:firstLineChars="108"/>
                        </w:pPr>
                        <w:r>
                          <w:t xml:space="preserve">    </w:t>
                        </w:r>
                        <w:r>
                          <w:rPr>
                            <w:rFonts w:hint="eastAsia"/>
                          </w:rPr>
                          <w:t>管理费用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4</w:t>
                    </w:r>
                  </w:p>
                </w:tc>
                <w:tc>
                  <w:tcPr>
                    <w:tcW w:w="1110" w:type="pct"/>
                    <w:tcBorders>
                      <w:top w:val="outset" w:color="auto" w:sz="4" w:space="0"/>
                      <w:left w:val="outset" w:color="auto" w:sz="4" w:space="0"/>
                      <w:bottom w:val="outset" w:color="auto" w:sz="4" w:space="0"/>
                      <w:right w:val="outset" w:color="auto" w:sz="4" w:space="0"/>
                    </w:tcBorders>
                  </w:tcPr>
                  <w:p>
                    <w:pPr>
                      <w:jc w:val="right"/>
                    </w:pPr>
                    <w:r>
                      <w:t>109,627,395.99</w:t>
                    </w:r>
                  </w:p>
                </w:tc>
                <w:tc>
                  <w:tcPr>
                    <w:tcW w:w="1114" w:type="pct"/>
                    <w:tcBorders>
                      <w:top w:val="outset" w:color="auto" w:sz="4" w:space="0"/>
                      <w:left w:val="outset" w:color="auto" w:sz="4" w:space="0"/>
                      <w:bottom w:val="outset" w:color="auto" w:sz="4" w:space="0"/>
                      <w:right w:val="outset" w:color="auto" w:sz="4" w:space="0"/>
                    </w:tcBorders>
                  </w:tcPr>
                  <w:p>
                    <w:pPr>
                      <w:jc w:val="right"/>
                    </w:pPr>
                    <w:r>
                      <w:t>103,023,993.20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faf3cf39dfa4fd1925e0d9be4566671"/>
                    <w:id w:val="209712522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财务费用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6</w:t>
                    </w:r>
                  </w:p>
                </w:tc>
                <w:tc>
                  <w:tcPr>
                    <w:tcW w:w="1110" w:type="pct"/>
                    <w:tcBorders>
                      <w:top w:val="outset" w:color="auto" w:sz="4" w:space="0"/>
                      <w:left w:val="outset" w:color="auto" w:sz="4" w:space="0"/>
                      <w:bottom w:val="outset" w:color="auto" w:sz="4" w:space="0"/>
                      <w:right w:val="outset" w:color="auto" w:sz="4" w:space="0"/>
                    </w:tcBorders>
                  </w:tcPr>
                  <w:p>
                    <w:pPr>
                      <w:jc w:val="right"/>
                    </w:pPr>
                    <w:r>
                      <w:t>533,463,186.75</w:t>
                    </w:r>
                  </w:p>
                </w:tc>
                <w:tc>
                  <w:tcPr>
                    <w:tcW w:w="1114" w:type="pct"/>
                    <w:tcBorders>
                      <w:top w:val="outset" w:color="auto" w:sz="4" w:space="0"/>
                      <w:left w:val="outset" w:color="auto" w:sz="4" w:space="0"/>
                      <w:bottom w:val="outset" w:color="auto" w:sz="4" w:space="0"/>
                      <w:right w:val="outset" w:color="auto" w:sz="4" w:space="0"/>
                    </w:tcBorders>
                  </w:tcPr>
                  <w:p>
                    <w:pPr>
                      <w:jc w:val="right"/>
                    </w:pPr>
                    <w:r>
                      <w:t>549,500,912.66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rPr>
                      <w:tag w:val="_PLD_d8e9b72af75c437aafc0c975b29e2a55"/>
                      <w:id w:val="-1517767918"/>
                      <w:lock w:val="sdtLocked"/>
                    </w:sdtPr>
                    <w:sdtEndPr>
                      <w:rPr>
                        <w:rFonts w:hint="eastAsia"/>
                      </w:rPr>
                    </w:sdtEndPr>
                    <w:sdtContent>
                      <w:p>
                        <w:pPr>
                          <w:ind w:firstLine="630" w:firstLineChars="300"/>
                        </w:pPr>
                        <w:r>
                          <w:rPr>
                            <w:rFonts w:hint="eastAsia"/>
                          </w:rPr>
                          <w:t>其中：利息费用</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539,002,867.78</w:t>
                    </w:r>
                  </w:p>
                </w:tc>
                <w:tc>
                  <w:tcPr>
                    <w:tcW w:w="1114" w:type="pct"/>
                    <w:tcBorders>
                      <w:top w:val="outset" w:color="auto" w:sz="4" w:space="0"/>
                      <w:left w:val="outset" w:color="auto" w:sz="4" w:space="0"/>
                      <w:bottom w:val="outset" w:color="auto" w:sz="4" w:space="0"/>
                      <w:right w:val="outset" w:color="auto" w:sz="4" w:space="0"/>
                    </w:tcBorders>
                  </w:tcPr>
                  <w:p>
                    <w:pPr>
                      <w:jc w:val="right"/>
                    </w:pPr>
                    <w:r>
                      <w:t>552,644,422.25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rPr>
                      <w:tag w:val="_PLD_c9295ba98b84473595f32450ae66410e"/>
                      <w:id w:val="533311410"/>
                      <w:lock w:val="sdtLocked"/>
                    </w:sdtPr>
                    <w:sdtEndPr>
                      <w:rPr>
                        <w:rFonts w:hint="eastAsia"/>
                      </w:rPr>
                    </w:sdtEndPr>
                    <w:sdtContent>
                      <w:p>
                        <w:pPr>
                          <w:ind w:firstLine="630" w:firstLineChars="300"/>
                        </w:pPr>
                        <w:r>
                          <w:t xml:space="preserve">     </w:t>
                        </w:r>
                        <w:r>
                          <w:rPr>
                            <w:rFonts w:hint="eastAsia"/>
                          </w:rPr>
                          <w:t>利息收入</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10,631,711.74</w:t>
                    </w:r>
                  </w:p>
                </w:tc>
                <w:tc>
                  <w:tcPr>
                    <w:tcW w:w="1114" w:type="pct"/>
                    <w:tcBorders>
                      <w:top w:val="outset" w:color="auto" w:sz="4" w:space="0"/>
                      <w:left w:val="outset" w:color="auto" w:sz="4" w:space="0"/>
                      <w:bottom w:val="outset" w:color="auto" w:sz="4" w:space="0"/>
                      <w:right w:val="outset" w:color="auto" w:sz="4" w:space="0"/>
                    </w:tcBorders>
                  </w:tcPr>
                  <w:p>
                    <w:pPr>
                      <w:jc w:val="right"/>
                    </w:pPr>
                    <w:r>
                      <w:t>7,164,447.09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5148208867748028cb9d238ab2addb6"/>
                    <w:id w:val="-1339162647"/>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加：其他收益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7</w:t>
                    </w:r>
                  </w:p>
                </w:tc>
                <w:tc>
                  <w:tcPr>
                    <w:tcW w:w="1110" w:type="pct"/>
                    <w:tcBorders>
                      <w:top w:val="outset" w:color="auto" w:sz="4" w:space="0"/>
                      <w:left w:val="outset" w:color="auto" w:sz="4" w:space="0"/>
                      <w:bottom w:val="outset" w:color="auto" w:sz="4" w:space="0"/>
                      <w:right w:val="outset" w:color="auto" w:sz="4" w:space="0"/>
                    </w:tcBorders>
                  </w:tcPr>
                  <w:p>
                    <w:pPr>
                      <w:jc w:val="right"/>
                    </w:pPr>
                    <w:r>
                      <w:t>11,806,394.00</w:t>
                    </w:r>
                  </w:p>
                </w:tc>
                <w:tc>
                  <w:tcPr>
                    <w:tcW w:w="1114" w:type="pct"/>
                    <w:tcBorders>
                      <w:top w:val="outset" w:color="auto" w:sz="4" w:space="0"/>
                      <w:left w:val="outset" w:color="auto" w:sz="4" w:space="0"/>
                      <w:bottom w:val="outset" w:color="auto" w:sz="4" w:space="0"/>
                      <w:right w:val="outset" w:color="auto" w:sz="4" w:space="0"/>
                    </w:tcBorders>
                  </w:tcPr>
                  <w:p>
                    <w:pPr>
                      <w:jc w:val="right"/>
                    </w:pPr>
                    <w:r>
                      <w:t>11,828,604.45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58a027e2ee74b79b026fbba720ccf3a"/>
                    <w:id w:val="23259210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投资收益（损失以“－”号填列）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七、6</w:t>
                    </w:r>
                    <w:r>
                      <w:t>8</w:t>
                    </w:r>
                  </w:p>
                </w:tc>
                <w:tc>
                  <w:tcPr>
                    <w:tcW w:w="1110" w:type="pct"/>
                    <w:tcBorders>
                      <w:top w:val="outset" w:color="auto" w:sz="4" w:space="0"/>
                      <w:left w:val="outset" w:color="auto" w:sz="4" w:space="0"/>
                      <w:bottom w:val="outset" w:color="auto" w:sz="4" w:space="0"/>
                      <w:right w:val="outset" w:color="auto" w:sz="4" w:space="0"/>
                    </w:tcBorders>
                  </w:tcPr>
                  <w:p>
                    <w:pPr>
                      <w:jc w:val="right"/>
                    </w:pPr>
                    <w:r>
                      <w:t>613,519,419.63</w:t>
                    </w:r>
                  </w:p>
                </w:tc>
                <w:tc>
                  <w:tcPr>
                    <w:tcW w:w="1114" w:type="pct"/>
                    <w:tcBorders>
                      <w:top w:val="outset" w:color="auto" w:sz="4" w:space="0"/>
                      <w:left w:val="outset" w:color="auto" w:sz="4" w:space="0"/>
                      <w:bottom w:val="outset" w:color="auto" w:sz="4" w:space="0"/>
                      <w:right w:val="outset" w:color="auto" w:sz="4" w:space="0"/>
                    </w:tcBorders>
                  </w:tcPr>
                  <w:p>
                    <w:pPr>
                      <w:jc w:val="right"/>
                    </w:pPr>
                    <w:r>
                      <w:t>826,449,841.39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8f92dc598044243844972f7264dee3f"/>
                    <w:id w:val="-662467221"/>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其中：对联营企业和合营企业的投资收益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461,731,804.50</w:t>
                    </w:r>
                  </w:p>
                </w:tc>
                <w:tc>
                  <w:tcPr>
                    <w:tcW w:w="1114" w:type="pct"/>
                    <w:tcBorders>
                      <w:top w:val="outset" w:color="auto" w:sz="4" w:space="0"/>
                      <w:left w:val="outset" w:color="auto" w:sz="4" w:space="0"/>
                      <w:bottom w:val="outset" w:color="auto" w:sz="4" w:space="0"/>
                      <w:right w:val="outset" w:color="auto" w:sz="4" w:space="0"/>
                    </w:tcBorders>
                  </w:tcPr>
                  <w:p>
                    <w:pPr>
                      <w:jc w:val="right"/>
                    </w:pPr>
                    <w:r>
                      <w:t>341,366,881.16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6e5f627ac054b8b8f91f930cd45c7d6"/>
                    <w:id w:val="-1678879934"/>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rPr>
                            <w:color w:val="000000"/>
                          </w:rPr>
                        </w:pPr>
                        <w:r>
                          <w:rPr>
                            <w:rFonts w:hint="eastAsia"/>
                          </w:rPr>
                          <w:t>公允价值变动收益（损失以“－”号填列）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0</w:t>
                    </w:r>
                  </w:p>
                </w:tc>
                <w:tc>
                  <w:tcPr>
                    <w:tcW w:w="1110" w:type="pct"/>
                    <w:tcBorders>
                      <w:top w:val="outset" w:color="auto" w:sz="4" w:space="0"/>
                      <w:left w:val="outset" w:color="auto" w:sz="4" w:space="0"/>
                      <w:bottom w:val="outset" w:color="auto" w:sz="4" w:space="0"/>
                      <w:right w:val="outset" w:color="auto" w:sz="4" w:space="0"/>
                    </w:tcBorders>
                  </w:tcPr>
                  <w:p>
                    <w:pPr>
                      <w:jc w:val="right"/>
                    </w:pPr>
                    <w:r>
                      <w:t>75,602,122.87</w:t>
                    </w:r>
                  </w:p>
                </w:tc>
                <w:tc>
                  <w:tcPr>
                    <w:tcW w:w="1114" w:type="pct"/>
                    <w:tcBorders>
                      <w:top w:val="outset" w:color="auto" w:sz="4" w:space="0"/>
                      <w:left w:val="outset" w:color="auto" w:sz="4" w:space="0"/>
                      <w:bottom w:val="outset" w:color="auto" w:sz="4" w:space="0"/>
                      <w:right w:val="outset" w:color="auto" w:sz="4" w:space="0"/>
                    </w:tcBorders>
                  </w:tcPr>
                  <w:p>
                    <w:pPr>
                      <w:jc w:val="right"/>
                    </w:pPr>
                    <w:r>
                      <w:t>35,105,006.37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rPr>
                      <w:tag w:val="_PLD_e30e32ac0eb74cccbe4261a78579a5ff"/>
                      <w:id w:val="1306049984"/>
                      <w:lock w:val="sdtLocked"/>
                    </w:sdtPr>
                    <w:sdtEndPr>
                      <w:rPr>
                        <w:rFonts w:hint="eastAsia"/>
                      </w:rPr>
                    </w:sdtEndPr>
                    <w:sdtContent>
                      <w:p>
                        <w:pPr>
                          <w:ind w:firstLine="630" w:firstLineChars="300"/>
                        </w:pPr>
                        <w:r>
                          <w:rPr>
                            <w:rFonts w:hint="eastAsia"/>
                          </w:rPr>
                          <w:t>信用减值损失（损失以“</w:t>
                        </w:r>
                        <w:r>
                          <w:t>-”号填列）</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1</w:t>
                    </w:r>
                  </w:p>
                </w:tc>
                <w:tc>
                  <w:tcPr>
                    <w:tcW w:w="1110" w:type="pct"/>
                    <w:tcBorders>
                      <w:top w:val="outset" w:color="auto" w:sz="4" w:space="0"/>
                      <w:left w:val="outset" w:color="auto" w:sz="4" w:space="0"/>
                      <w:bottom w:val="outset" w:color="auto" w:sz="4" w:space="0"/>
                      <w:right w:val="outset" w:color="auto" w:sz="4" w:space="0"/>
                    </w:tcBorders>
                    <w:vAlign w:val="center"/>
                  </w:tcPr>
                  <w:p>
                    <w:pPr>
                      <w:jc w:val="right"/>
                    </w:pPr>
                    <w:r>
                      <w:rPr>
                        <w:rFonts w:hint="eastAsia"/>
                      </w:rPr>
                      <w:t>-</w:t>
                    </w:r>
                    <w:r>
                      <w:t>8,941,646.00</w:t>
                    </w:r>
                  </w:p>
                </w:tc>
                <w:tc>
                  <w:tcPr>
                    <w:tcW w:w="1114" w:type="pct"/>
                    <w:tcBorders>
                      <w:top w:val="outset" w:color="auto" w:sz="4" w:space="0"/>
                      <w:left w:val="outset" w:color="auto" w:sz="4" w:space="0"/>
                      <w:bottom w:val="outset" w:color="auto" w:sz="4" w:space="0"/>
                      <w:right w:val="outset" w:color="auto" w:sz="4" w:space="0"/>
                    </w:tcBorders>
                    <w:vAlign w:val="center"/>
                  </w:tcPr>
                  <w:p>
                    <w:pPr>
                      <w:jc w:val="right"/>
                    </w:pPr>
                    <w:r>
                      <w:rPr>
                        <w:rFonts w:hint="eastAsia"/>
                      </w:rPr>
                      <w:t>-</w:t>
                    </w:r>
                    <w:r>
                      <w:t>5,820,267.59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rPr>
                      <w:rFonts w:hint="eastAsia"/>
                    </w:rPr>
                    <w:tag w:val="_PLD_60761ec4a82c4bc298a64deee215586d"/>
                    <w:id w:val="-560483164"/>
                    <w:lock w:val="sdtLocked"/>
                  </w:sdtPr>
                  <w:sdtEndPr>
                    <w:rPr>
                      <w:rFonts w:hint="eastAsia"/>
                    </w:rPr>
                  </w:sdtEnd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资产处置收益（损失以“－”号填列）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3</w:t>
                    </w:r>
                  </w:p>
                </w:tc>
                <w:tc>
                  <w:tcPr>
                    <w:tcW w:w="1110" w:type="pct"/>
                    <w:tcBorders>
                      <w:top w:val="outset" w:color="auto" w:sz="4" w:space="0"/>
                      <w:left w:val="outset" w:color="auto" w:sz="4" w:space="0"/>
                      <w:bottom w:val="outset" w:color="auto" w:sz="4" w:space="0"/>
                      <w:right w:val="outset" w:color="auto" w:sz="4" w:space="0"/>
                    </w:tcBorders>
                  </w:tcPr>
                  <w:p>
                    <w:pPr>
                      <w:jc w:val="right"/>
                    </w:pPr>
                    <w:r>
                      <w:t>4,789,530.84</w:t>
                    </w:r>
                  </w:p>
                </w:tc>
                <w:tc>
                  <w:tcPr>
                    <w:tcW w:w="1114" w:type="pct"/>
                    <w:tcBorders>
                      <w:top w:val="outset" w:color="auto" w:sz="4" w:space="0"/>
                      <w:left w:val="outset" w:color="auto" w:sz="4" w:space="0"/>
                      <w:bottom w:val="outset" w:color="auto" w:sz="4" w:space="0"/>
                      <w:right w:val="outset" w:color="auto" w:sz="4" w:space="0"/>
                    </w:tcBorders>
                  </w:tcPr>
                  <w:p>
                    <w:pPr>
                      <w:jc w:val="right"/>
                    </w:pPr>
                    <w:r>
                      <w:t>29,346,091.26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8d15c0eacb94678be3131e09c8d9904"/>
                    <w:id w:val="159250386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三、营业利润（亏损以“－”号填列）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3,218,770,438.35</w:t>
                    </w:r>
                  </w:p>
                </w:tc>
                <w:tc>
                  <w:tcPr>
                    <w:tcW w:w="1114" w:type="pct"/>
                    <w:tcBorders>
                      <w:top w:val="outset" w:color="auto" w:sz="4" w:space="0"/>
                      <w:left w:val="outset" w:color="auto" w:sz="4" w:space="0"/>
                      <w:bottom w:val="outset" w:color="auto" w:sz="4" w:space="0"/>
                      <w:right w:val="outset" w:color="auto" w:sz="4" w:space="0"/>
                    </w:tcBorders>
                  </w:tcPr>
                  <w:p>
                    <w:pPr>
                      <w:jc w:val="right"/>
                    </w:pPr>
                    <w:r>
                      <w:t>2,272,125,124.33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328c8d559944bfd89e7332623e0aea3"/>
                    <w:id w:val="-89342981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加：营业外收入</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4</w:t>
                    </w:r>
                  </w:p>
                </w:tc>
                <w:tc>
                  <w:tcPr>
                    <w:tcW w:w="1110" w:type="pct"/>
                    <w:tcBorders>
                      <w:top w:val="outset" w:color="auto" w:sz="4" w:space="0"/>
                      <w:left w:val="outset" w:color="auto" w:sz="4" w:space="0"/>
                      <w:bottom w:val="outset" w:color="auto" w:sz="4" w:space="0"/>
                      <w:right w:val="outset" w:color="auto" w:sz="4" w:space="0"/>
                    </w:tcBorders>
                  </w:tcPr>
                  <w:p>
                    <w:pPr>
                      <w:jc w:val="right"/>
                    </w:pPr>
                    <w:r>
                      <w:t>8,158,797.75</w:t>
                    </w:r>
                  </w:p>
                </w:tc>
                <w:tc>
                  <w:tcPr>
                    <w:tcW w:w="1114" w:type="pct"/>
                    <w:tcBorders>
                      <w:top w:val="outset" w:color="auto" w:sz="4" w:space="0"/>
                      <w:left w:val="outset" w:color="auto" w:sz="4" w:space="0"/>
                      <w:bottom w:val="outset" w:color="auto" w:sz="4" w:space="0"/>
                      <w:right w:val="outset" w:color="auto" w:sz="4" w:space="0"/>
                    </w:tcBorders>
                  </w:tcPr>
                  <w:p>
                    <w:pPr>
                      <w:jc w:val="right"/>
                    </w:pPr>
                    <w:r>
                      <w:t>5,348,967.82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62b6a23799a4cfdb3792bfc43248bcd"/>
                    <w:id w:val="1342281704"/>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减：营业外支出</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5</w:t>
                    </w:r>
                  </w:p>
                </w:tc>
                <w:tc>
                  <w:tcPr>
                    <w:tcW w:w="1110" w:type="pct"/>
                    <w:tcBorders>
                      <w:top w:val="outset" w:color="auto" w:sz="4" w:space="0"/>
                      <w:left w:val="outset" w:color="auto" w:sz="4" w:space="0"/>
                      <w:bottom w:val="outset" w:color="auto" w:sz="4" w:space="0"/>
                      <w:right w:val="outset" w:color="auto" w:sz="4" w:space="0"/>
                    </w:tcBorders>
                  </w:tcPr>
                  <w:p>
                    <w:pPr>
                      <w:jc w:val="right"/>
                    </w:pPr>
                    <w:r>
                      <w:t>10,813,382.08</w:t>
                    </w:r>
                  </w:p>
                </w:tc>
                <w:tc>
                  <w:tcPr>
                    <w:tcW w:w="1114" w:type="pct"/>
                    <w:tcBorders>
                      <w:top w:val="outset" w:color="auto" w:sz="4" w:space="0"/>
                      <w:left w:val="outset" w:color="auto" w:sz="4" w:space="0"/>
                      <w:bottom w:val="outset" w:color="auto" w:sz="4" w:space="0"/>
                      <w:right w:val="outset" w:color="auto" w:sz="4" w:space="0"/>
                    </w:tcBorders>
                  </w:tcPr>
                  <w:p>
                    <w:pPr>
                      <w:jc w:val="right"/>
                    </w:pPr>
                    <w:r>
                      <w:t>9,833,410.40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1e0599aa02a45b39a5b0dfc801cbadf"/>
                    <w:id w:val="-7782548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四、利润总额（亏损总额以</w:t>
                        </w:r>
                        <w:r>
                          <w:t>“</w:t>
                        </w:r>
                        <w:r>
                          <w:rPr>
                            <w:rFonts w:hint="eastAsia"/>
                          </w:rPr>
                          <w:t>－</w:t>
                        </w:r>
                        <w:r>
                          <w:t>”</w:t>
                        </w:r>
                        <w:r>
                          <w:rPr>
                            <w:rFonts w:hint="eastAsia"/>
                          </w:rPr>
                          <w:t>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3,216,115,854.02</w:t>
                    </w:r>
                  </w:p>
                </w:tc>
                <w:tc>
                  <w:tcPr>
                    <w:tcW w:w="1114" w:type="pct"/>
                    <w:tcBorders>
                      <w:top w:val="outset" w:color="auto" w:sz="4" w:space="0"/>
                      <w:left w:val="outset" w:color="auto" w:sz="4" w:space="0"/>
                      <w:bottom w:val="outset" w:color="auto" w:sz="4" w:space="0"/>
                      <w:right w:val="outset" w:color="auto" w:sz="4" w:space="0"/>
                    </w:tcBorders>
                  </w:tcPr>
                  <w:p>
                    <w:pPr>
                      <w:jc w:val="right"/>
                    </w:pPr>
                    <w:r>
                      <w:t>2,267,640,681.75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68015dc8ea145fca7f54b4569a31184"/>
                    <w:id w:val="-149047629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rPr>
                            <w:color w:val="000000"/>
                          </w:rPr>
                        </w:pPr>
                        <w:r>
                          <w:rPr>
                            <w:rFonts w:hint="eastAsia"/>
                          </w:rPr>
                          <w:t>减：所得税费用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6</w:t>
                    </w:r>
                  </w:p>
                </w:tc>
                <w:tc>
                  <w:tcPr>
                    <w:tcW w:w="1110" w:type="pct"/>
                    <w:tcBorders>
                      <w:top w:val="outset" w:color="auto" w:sz="4" w:space="0"/>
                      <w:left w:val="outset" w:color="auto" w:sz="4" w:space="0"/>
                      <w:bottom w:val="outset" w:color="auto" w:sz="4" w:space="0"/>
                      <w:right w:val="outset" w:color="auto" w:sz="4" w:space="0"/>
                    </w:tcBorders>
                  </w:tcPr>
                  <w:p>
                    <w:pPr>
                      <w:jc w:val="right"/>
                    </w:pPr>
                    <w:r>
                      <w:t>628,491,894.66</w:t>
                    </w:r>
                  </w:p>
                </w:tc>
                <w:tc>
                  <w:tcPr>
                    <w:tcW w:w="1114" w:type="pct"/>
                    <w:tcBorders>
                      <w:top w:val="outset" w:color="auto" w:sz="4" w:space="0"/>
                      <w:left w:val="outset" w:color="auto" w:sz="4" w:space="0"/>
                      <w:bottom w:val="outset" w:color="auto" w:sz="4" w:space="0"/>
                      <w:right w:val="outset" w:color="auto" w:sz="4" w:space="0"/>
                    </w:tcBorders>
                  </w:tcPr>
                  <w:p>
                    <w:pPr>
                      <w:jc w:val="right"/>
                    </w:pPr>
                    <w:r>
                      <w:t>447,454,541.12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55129e4ca9b4d29bd85d210d08f622f"/>
                    <w:id w:val="133934844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rPr>
                            <w:color w:val="000000"/>
                          </w:rPr>
                        </w:pPr>
                        <w:r>
                          <w:rPr>
                            <w:rFonts w:hint="eastAsia"/>
                          </w:rPr>
                          <w:t>五、净利润（净亏损以</w:t>
                        </w:r>
                        <w:r>
                          <w:t>“</w:t>
                        </w:r>
                        <w:r>
                          <w:rPr>
                            <w:rFonts w:hint="eastAsia"/>
                          </w:rPr>
                          <w:t>－</w:t>
                        </w:r>
                        <w:r>
                          <w:t>”</w:t>
                        </w:r>
                        <w:r>
                          <w:rPr>
                            <w:rFonts w:hint="eastAsia"/>
                          </w:rPr>
                          <w:t>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2,587,623,959.36</w:t>
                    </w:r>
                  </w:p>
                </w:tc>
                <w:tc>
                  <w:tcPr>
                    <w:tcW w:w="1114" w:type="pct"/>
                    <w:tcBorders>
                      <w:top w:val="outset" w:color="auto" w:sz="4" w:space="0"/>
                      <w:left w:val="outset" w:color="auto" w:sz="4" w:space="0"/>
                      <w:bottom w:val="outset" w:color="auto" w:sz="4" w:space="0"/>
                      <w:right w:val="outset" w:color="auto" w:sz="4" w:space="0"/>
                    </w:tcBorders>
                  </w:tcPr>
                  <w:p>
                    <w:pPr>
                      <w:jc w:val="right"/>
                    </w:pPr>
                    <w:r>
                      <w:t>1,820,186,140.63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576a2f5fbec4ba2b1cc36d0a215ba5c"/>
                    <w:id w:val="10117287"/>
                    <w:lock w:val="sdtLocked"/>
                  </w:sdtPr>
                  <w:sdtContent>
                    <w:tc>
                      <w:tcPr>
                        <w:tcW w:w="5000" w:type="pct"/>
                        <w:gridSpan w:val="4"/>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（一）</w:t>
                        </w:r>
                        <w:r>
                          <w:t>按经营持续性分类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rPr>
                      <w:rFonts w:hint="eastAsia"/>
                    </w:rPr>
                    <w:tag w:val="_PLD_0cbbecfa36204e9cb4a8afb27df49afc"/>
                    <w:id w:val="1235277491"/>
                    <w:lock w:val="sdtLocked"/>
                  </w:sdtPr>
                  <w:sdtEndPr>
                    <w:rPr>
                      <w:rFonts w:hint="eastAsia"/>
                    </w:rPr>
                  </w:sdtEnd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1.持续经营净利润（净亏损以“－”号填列）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2,587,623,959.36</w:t>
                    </w:r>
                  </w:p>
                </w:tc>
                <w:tc>
                  <w:tcPr>
                    <w:tcW w:w="1114" w:type="pct"/>
                    <w:tcBorders>
                      <w:top w:val="outset" w:color="auto" w:sz="4" w:space="0"/>
                      <w:left w:val="outset" w:color="auto" w:sz="4" w:space="0"/>
                      <w:bottom w:val="outset" w:color="auto" w:sz="4" w:space="0"/>
                      <w:right w:val="outset" w:color="auto" w:sz="4" w:space="0"/>
                    </w:tcBorders>
                  </w:tcPr>
                  <w:p>
                    <w:pPr>
                      <w:jc w:val="right"/>
                    </w:pPr>
                    <w:r>
                      <w:t>1,820,186,140.63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rPr>
                      <w:rFonts w:hint="eastAsia"/>
                    </w:rPr>
                    <w:tag w:val="_PLD_52694b4d274c4f909bf793dd26abeda4"/>
                    <w:id w:val="-3058165"/>
                    <w:lock w:val="sdtLocked"/>
                  </w:sdtPr>
                  <w:sdtEndPr>
                    <w:rPr>
                      <w:rFonts w:hint="eastAsia"/>
                    </w:rPr>
                  </w:sdtEnd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2.终止经营净利润（净亏损以“－”号填列）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p>
                </w:tc>
                <w:tc>
                  <w:tcPr>
                    <w:tcW w:w="1114"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da729560f54464cbcc9ce762078f9ba"/>
                    <w:id w:val="692963046"/>
                    <w:lock w:val="sdtLocked"/>
                  </w:sdtPr>
                  <w:sdtContent>
                    <w:tc>
                      <w:tcPr>
                        <w:tcW w:w="5000" w:type="pct"/>
                        <w:gridSpan w:val="4"/>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（二）</w:t>
                        </w:r>
                        <w:r>
                          <w:t>按所有权归属分类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4f7c178814a4729a89415435ac2aac1"/>
                    <w:id w:val="-95618179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1.</w:t>
                        </w:r>
                        <w:r>
                          <w:rPr>
                            <w:rFonts w:hint="eastAsia"/>
                          </w:rPr>
                          <w:t>归属于母公司股东的净利润（净亏损以“</w:t>
                        </w:r>
                        <w:r>
                          <w:t>-”号填列）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2,481,895,375.62</w:t>
                    </w:r>
                  </w:p>
                </w:tc>
                <w:tc>
                  <w:tcPr>
                    <w:tcW w:w="1114" w:type="pct"/>
                    <w:tcBorders>
                      <w:top w:val="outset" w:color="auto" w:sz="4" w:space="0"/>
                      <w:left w:val="outset" w:color="auto" w:sz="4" w:space="0"/>
                      <w:bottom w:val="outset" w:color="auto" w:sz="4" w:space="0"/>
                      <w:right w:val="outset" w:color="auto" w:sz="4" w:space="0"/>
                    </w:tcBorders>
                  </w:tcPr>
                  <w:p>
                    <w:pPr>
                      <w:jc w:val="right"/>
                    </w:pPr>
                    <w:r>
                      <w:t>1,828,611,453.21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95b31d3979943dc85b47d9a42d89a91"/>
                    <w:id w:val="-181209039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2.</w:t>
                        </w:r>
                        <w:r>
                          <w:rPr>
                            <w:rFonts w:hint="eastAsia"/>
                          </w:rPr>
                          <w:t>少数股东损益（净亏损以“</w:t>
                        </w:r>
                        <w:r>
                          <w:t>-”号填列）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105,728,583.74</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r>
                      <w:t>8,425,312.58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a43e7f14d234c52a7ab5dff443252a7"/>
                    <w:id w:val="-69022649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六、其他综合收益的税后净额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七、5</w:t>
                    </w:r>
                    <w:r>
                      <w:t>7</w:t>
                    </w:r>
                  </w:p>
                </w:tc>
                <w:tc>
                  <w:tcPr>
                    <w:tcW w:w="1110" w:type="pct"/>
                    <w:tcBorders>
                      <w:top w:val="outset" w:color="auto" w:sz="4" w:space="0"/>
                      <w:left w:val="outset" w:color="auto" w:sz="4" w:space="0"/>
                      <w:bottom w:val="outset" w:color="auto" w:sz="4" w:space="0"/>
                      <w:right w:val="outset" w:color="auto" w:sz="4" w:space="0"/>
                    </w:tcBorders>
                  </w:tcPr>
                  <w:p>
                    <w:pPr>
                      <w:jc w:val="right"/>
                    </w:pPr>
                    <w:r>
                      <w:t>110,717,755.28</w:t>
                    </w:r>
                  </w:p>
                </w:tc>
                <w:tc>
                  <w:tcPr>
                    <w:tcW w:w="1114" w:type="pct"/>
                    <w:tcBorders>
                      <w:top w:val="outset" w:color="auto" w:sz="4" w:space="0"/>
                      <w:left w:val="outset" w:color="auto" w:sz="4" w:space="0"/>
                      <w:bottom w:val="outset" w:color="auto" w:sz="4" w:space="0"/>
                      <w:right w:val="outset" w:color="auto" w:sz="4" w:space="0"/>
                    </w:tcBorders>
                  </w:tcPr>
                  <w:p>
                    <w:pPr>
                      <w:jc w:val="right"/>
                    </w:pPr>
                    <w:r>
                      <w:t>741,931,098.21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02e48f41e92468e9ccfc9f5b154d698"/>
                    <w:id w:val="-207418538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（一）归属母公司所有者的其他综合收益的税后净额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102,767,605.28</w:t>
                    </w:r>
                  </w:p>
                </w:tc>
                <w:tc>
                  <w:tcPr>
                    <w:tcW w:w="1114" w:type="pct"/>
                    <w:tcBorders>
                      <w:top w:val="outset" w:color="auto" w:sz="4" w:space="0"/>
                      <w:left w:val="outset" w:color="auto" w:sz="4" w:space="0"/>
                      <w:bottom w:val="outset" w:color="auto" w:sz="4" w:space="0"/>
                      <w:right w:val="outset" w:color="auto" w:sz="4" w:space="0"/>
                    </w:tcBorders>
                  </w:tcPr>
                  <w:p>
                    <w:pPr>
                      <w:jc w:val="right"/>
                    </w:pPr>
                    <w:r>
                      <w:t>740,878,098.21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367f8195cde49b4861d967effb0f541"/>
                    <w:id w:val="-35943831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1.</w:t>
                        </w:r>
                        <w:r>
                          <w:rPr>
                            <w:rFonts w:hint="eastAsia"/>
                          </w:rPr>
                          <w:t>不能重分类进损益的其他综合收益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102,767,605.28</w:t>
                    </w:r>
                  </w:p>
                </w:tc>
                <w:tc>
                  <w:tcPr>
                    <w:tcW w:w="1114" w:type="pct"/>
                    <w:tcBorders>
                      <w:top w:val="outset" w:color="auto" w:sz="4" w:space="0"/>
                      <w:left w:val="outset" w:color="auto" w:sz="4" w:space="0"/>
                      <w:bottom w:val="outset" w:color="auto" w:sz="4" w:space="0"/>
                      <w:right w:val="outset" w:color="auto" w:sz="4" w:space="0"/>
                    </w:tcBorders>
                  </w:tcPr>
                  <w:p>
                    <w:pPr>
                      <w:jc w:val="right"/>
                    </w:pPr>
                    <w:r>
                      <w:t>740,878,098.21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1d0eb5a70bd4147bff8f5ac51104882"/>
                    <w:id w:val="-62038194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（1）</w:t>
                        </w:r>
                        <w:r>
                          <w:t>重新计量设定受益计划变动额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p>
                </w:tc>
                <w:tc>
                  <w:tcPr>
                    <w:tcW w:w="1114"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a98b29079a040128e53e7426fc30a60"/>
                    <w:id w:val="75771316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w:t>
                        </w:r>
                        <w:r>
                          <w:t>2</w:t>
                        </w:r>
                        <w:r>
                          <w:rPr>
                            <w:rFonts w:hint="eastAsia"/>
                          </w:rPr>
                          <w:t>）</w:t>
                        </w:r>
                        <w:r>
                          <w:t>权益法下不能转损益的其他综合收益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22,487,569.28</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17,681,627.67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tag w:val="_PLD_9346e4819ec34beabe92d365c497e001"/>
                      <w:id w:val="-593622806"/>
                      <w:lock w:val="sdtLocked"/>
                    </w:sdtPr>
                    <w:sdtContent>
                      <w:p>
                        <w:pPr>
                          <w:pStyle w:val="114"/>
                        </w:pPr>
                        <w:r>
                          <w:rPr>
                            <w:rFonts w:hint="eastAsia"/>
                          </w:rPr>
                          <w:t>（3）</w:t>
                        </w:r>
                        <w:r>
                          <w:t>其他权益工具投资公允价值变动</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80,280,036.00</w:t>
                    </w:r>
                  </w:p>
                </w:tc>
                <w:tc>
                  <w:tcPr>
                    <w:tcW w:w="1114" w:type="pct"/>
                    <w:tcBorders>
                      <w:top w:val="outset" w:color="auto" w:sz="4" w:space="0"/>
                      <w:left w:val="outset" w:color="auto" w:sz="4" w:space="0"/>
                      <w:bottom w:val="outset" w:color="auto" w:sz="4" w:space="0"/>
                      <w:right w:val="outset" w:color="auto" w:sz="4" w:space="0"/>
                    </w:tcBorders>
                  </w:tcPr>
                  <w:p>
                    <w:pPr>
                      <w:jc w:val="right"/>
                    </w:pPr>
                    <w:r>
                      <w:t>758,559,725.88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tag w:val="_PLD_70f86b80dfa1468c8c481e18f675ad6a"/>
                      <w:id w:val="1453359647"/>
                      <w:lock w:val="sdtLocked"/>
                    </w:sdtPr>
                    <w:sdtContent>
                      <w:p>
                        <w:pPr>
                          <w:pStyle w:val="114"/>
                        </w:pPr>
                        <w:r>
                          <w:rPr>
                            <w:rFonts w:hint="eastAsia"/>
                          </w:rPr>
                          <w:t>（4）</w:t>
                        </w:r>
                        <w:r>
                          <w:t>企业自身信用风险公允价值变动</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p>
                </w:tc>
                <w:tc>
                  <w:tcPr>
                    <w:tcW w:w="1114"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f19daa8ec184be19a8a0afe308c1896"/>
                    <w:id w:val="1106233695"/>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（二）归属于少数股东的其他综合收益的税后净额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7,950,150.00</w:t>
                    </w:r>
                  </w:p>
                </w:tc>
                <w:tc>
                  <w:tcPr>
                    <w:tcW w:w="1114" w:type="pct"/>
                    <w:tcBorders>
                      <w:top w:val="outset" w:color="auto" w:sz="4" w:space="0"/>
                      <w:left w:val="outset" w:color="auto" w:sz="4" w:space="0"/>
                      <w:bottom w:val="outset" w:color="auto" w:sz="4" w:space="0"/>
                      <w:right w:val="outset" w:color="auto" w:sz="4" w:space="0"/>
                    </w:tcBorders>
                  </w:tcPr>
                  <w:p>
                    <w:pPr>
                      <w:jc w:val="right"/>
                    </w:pPr>
                    <w:r>
                      <w:t>1,053,000.00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9e4ab6c011f4b23961b002b616b19d8"/>
                    <w:id w:val="-1365058177"/>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pStyle w:val="114"/>
                        </w:pPr>
                        <w:r>
                          <w:rPr>
                            <w:rFonts w:hint="eastAsia"/>
                          </w:rPr>
                          <w:t>七、综合收益总额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2,698,341,714.64</w:t>
                    </w:r>
                  </w:p>
                </w:tc>
                <w:tc>
                  <w:tcPr>
                    <w:tcW w:w="1114" w:type="pct"/>
                    <w:tcBorders>
                      <w:top w:val="outset" w:color="auto" w:sz="4" w:space="0"/>
                      <w:left w:val="outset" w:color="auto" w:sz="4" w:space="0"/>
                      <w:bottom w:val="outset" w:color="auto" w:sz="4" w:space="0"/>
                      <w:right w:val="outset" w:color="auto" w:sz="4" w:space="0"/>
                    </w:tcBorders>
                  </w:tcPr>
                  <w:p>
                    <w:pPr>
                      <w:jc w:val="right"/>
                    </w:pPr>
                    <w:r>
                      <w:t>2,562,117,238.84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6a40d405b9d4a8a8406c1d4ba16ad58"/>
                    <w:id w:val="-95286629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t>（一）</w:t>
                        </w:r>
                        <w:r>
                          <w:rPr>
                            <w:rFonts w:hint="eastAsia"/>
                          </w:rPr>
                          <w:t>归属于母公司所有者的综合收益总额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2,584,662,980.90</w:t>
                    </w:r>
                  </w:p>
                </w:tc>
                <w:tc>
                  <w:tcPr>
                    <w:tcW w:w="1114" w:type="pct"/>
                    <w:tcBorders>
                      <w:top w:val="outset" w:color="auto" w:sz="4" w:space="0"/>
                      <w:left w:val="outset" w:color="auto" w:sz="4" w:space="0"/>
                      <w:bottom w:val="outset" w:color="auto" w:sz="4" w:space="0"/>
                      <w:right w:val="outset" w:color="auto" w:sz="4" w:space="0"/>
                    </w:tcBorders>
                  </w:tcPr>
                  <w:p>
                    <w:pPr>
                      <w:jc w:val="right"/>
                    </w:pPr>
                    <w:r>
                      <w:t>2,569,489,551.42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3f7a78de9cc4a0c8e2b3e050895da67"/>
                    <w:id w:val="-150951993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t>（二）</w:t>
                        </w:r>
                        <w:r>
                          <w:rPr>
                            <w:rFonts w:hint="eastAsia"/>
                          </w:rPr>
                          <w:t>归属于少数股东的综合收益总额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113,678,733.74</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r>
                      <w:t>7,372,312.58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faba48500f741229b3467bfe3ce2495"/>
                    <w:id w:val="1390547152"/>
                    <w:lock w:val="sdtLocked"/>
                  </w:sdtPr>
                  <w:sdtContent>
                    <w:tc>
                      <w:tcPr>
                        <w:tcW w:w="5000" w:type="pct"/>
                        <w:gridSpan w:val="4"/>
                        <w:tcBorders>
                          <w:top w:val="outset" w:color="auto" w:sz="4" w:space="0"/>
                          <w:left w:val="outset" w:color="auto" w:sz="4" w:space="0"/>
                          <w:bottom w:val="outset" w:color="auto" w:sz="4" w:space="0"/>
                          <w:right w:val="outset" w:color="auto" w:sz="4" w:space="0"/>
                        </w:tcBorders>
                        <w:vAlign w:val="center"/>
                      </w:tcPr>
                      <w:p>
                        <w:pPr>
                          <w:rPr>
                            <w:color w:val="008000"/>
                          </w:rPr>
                        </w:pPr>
                        <w:r>
                          <w:rPr>
                            <w:rFonts w:hint="eastAsia"/>
                          </w:rPr>
                          <w:t>八、每股收益：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6d9b9d4e8c34e3b874fbdaedc915880"/>
                    <w:id w:val="142377072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t>（一）基本每股收益</w:t>
                        </w:r>
                        <w:r>
                          <w:rPr>
                            <w:rFonts w:hint="eastAsia"/>
                          </w:rPr>
                          <w:t>(元/股)</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十八、2</w:t>
                    </w:r>
                  </w:p>
                </w:tc>
                <w:tc>
                  <w:tcPr>
                    <w:tcW w:w="1110" w:type="pct"/>
                    <w:tcBorders>
                      <w:top w:val="outset" w:color="auto" w:sz="4" w:space="0"/>
                      <w:left w:val="outset" w:color="auto" w:sz="4" w:space="0"/>
                      <w:bottom w:val="outset" w:color="auto" w:sz="4" w:space="0"/>
                      <w:right w:val="outset" w:color="auto" w:sz="4" w:space="0"/>
                    </w:tcBorders>
                  </w:tcPr>
                  <w:p>
                    <w:pPr>
                      <w:jc w:val="right"/>
                    </w:pPr>
                    <w:r>
                      <w:t>0.4927</w:t>
                    </w:r>
                  </w:p>
                </w:tc>
                <w:tc>
                  <w:tcPr>
                    <w:tcW w:w="1114" w:type="pct"/>
                    <w:tcBorders>
                      <w:top w:val="outset" w:color="auto" w:sz="4" w:space="0"/>
                      <w:left w:val="outset" w:color="auto" w:sz="4" w:space="0"/>
                      <w:bottom w:val="outset" w:color="auto" w:sz="4" w:space="0"/>
                      <w:right w:val="outset" w:color="auto" w:sz="4" w:space="0"/>
                    </w:tcBorders>
                  </w:tcPr>
                  <w:p>
                    <w:pPr>
                      <w:jc w:val="right"/>
                    </w:pPr>
                    <w:r>
                      <w:t>0.3630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c4d9e148cba4e79bb3da0f8a0ddb92a"/>
                    <w:id w:val="251783772"/>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t>（二）稀释每股收益</w:t>
                        </w:r>
                        <w:r>
                          <w:rPr>
                            <w:rFonts w:hint="eastAsia"/>
                          </w:rPr>
                          <w:t>(元/股)</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十八、2</w:t>
                    </w:r>
                  </w:p>
                </w:tc>
                <w:tc>
                  <w:tcPr>
                    <w:tcW w:w="1110" w:type="pct"/>
                    <w:tcBorders>
                      <w:top w:val="outset" w:color="auto" w:sz="4" w:space="0"/>
                      <w:left w:val="outset" w:color="auto" w:sz="4" w:space="0"/>
                      <w:bottom w:val="outset" w:color="auto" w:sz="4" w:space="0"/>
                      <w:right w:val="outset" w:color="auto" w:sz="4" w:space="0"/>
                    </w:tcBorders>
                  </w:tcPr>
                  <w:p>
                    <w:pPr>
                      <w:jc w:val="right"/>
                    </w:pPr>
                    <w:r>
                      <w:t>0.4927</w:t>
                    </w:r>
                  </w:p>
                </w:tc>
                <w:tc>
                  <w:tcPr>
                    <w:tcW w:w="1114" w:type="pct"/>
                    <w:tcBorders>
                      <w:top w:val="outset" w:color="auto" w:sz="4" w:space="0"/>
                      <w:left w:val="outset" w:color="auto" w:sz="4" w:space="0"/>
                      <w:bottom w:val="outset" w:color="auto" w:sz="4" w:space="0"/>
                      <w:right w:val="outset" w:color="auto" w:sz="4" w:space="0"/>
                    </w:tcBorders>
                  </w:tcPr>
                  <w:p>
                    <w:pPr>
                      <w:jc w:val="right"/>
                    </w:pPr>
                    <w:r>
                      <w:t>0.3630</w:t>
                    </w:r>
                  </w:p>
                </w:tc>
              </w:tr>
            </w:tbl>
            <w:p>
              <w:pPr>
                <w:rPr>
                  <w:b/>
                  <w:bCs/>
                  <w:color w:val="FF0000"/>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0d3f3004d896427080339d4b0e2d499c"/>
                  <w:id w:val="974255660"/>
                  <w:lock w:val="sdtLocked"/>
                  <w:placeholder>
                    <w:docPart w:val="GBC22222222222222222222222222222"/>
                  </w:placeholder>
                </w:sdtPr>
                <w:sdtEndPr>
                  <w:rPr>
                    <w:rFonts w:hint="eastAsia"/>
                  </w:rPr>
                </w:sdtEndPr>
                <w:sdtContent>
                  <w:r>
                    <w:t>0</w:t>
                  </w:r>
                </w:sdtContent>
              </w:sdt>
              <w:r>
                <w:rPr>
                  <w:rFonts w:hint="eastAsia"/>
                </w:rPr>
                <w:t xml:space="preserve"> 元, 上期被合并方实现的净利润为： </w:t>
              </w:r>
              <w:sdt>
                <w:sdtPr>
                  <w:rPr>
                    <w:rFonts w:hint="eastAsia"/>
                  </w:rPr>
                  <w:alias w:val="同一控制下的企业合并中被合并方在合并前实现的净利润"/>
                  <w:tag w:val="_GBC_7e8cf02e71b9434883c60dcb8fb33270"/>
                  <w:id w:val="1512024051"/>
                  <w:lock w:val="sdtLocked"/>
                  <w:placeholder>
                    <w:docPart w:val="GBC22222222222222222222222222222"/>
                  </w:placeholder>
                </w:sdtPr>
                <w:sdtEndPr>
                  <w:rPr>
                    <w:rFonts w:hint="default"/>
                  </w:rPr>
                </w:sdtEndPr>
                <w:sdtContent>
                  <w:r>
                    <w:t>0</w:t>
                  </w:r>
                </w:sdtContent>
              </w:sdt>
              <w:r>
                <w:rPr>
                  <w:rFonts w:hint="eastAsia"/>
                </w:rPr>
                <w:t xml:space="preserve"> 元。</w:t>
              </w:r>
            </w:p>
            <w:p>
              <w:pPr>
                <w:rPr>
                  <w:color w:val="008000"/>
                  <w:u w:val="single"/>
                </w:rPr>
              </w:pPr>
              <w:r>
                <w:t>公司负责人</w:t>
              </w:r>
              <w:r>
                <w:rPr>
                  <w:rFonts w:hint="eastAsia"/>
                </w:rPr>
                <w:t>：</w:t>
              </w:r>
              <w:sdt>
                <w:sdtPr>
                  <w:rPr>
                    <w:rFonts w:hint="eastAsia"/>
                  </w:rPr>
                  <w:alias w:val="公司负责人"/>
                  <w:tag w:val="_GBC_84d2ead02dbe49699dff5184a9cd1bd3"/>
                  <w:id w:val="-2112659051"/>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319509599"/>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1550294797"/>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rPr>
              <w:color w:val="008000"/>
              <w:u w:val="single"/>
            </w:rPr>
          </w:pPr>
        </w:p>
        <w:p>
          <w:pPr>
            <w:rPr>
              <w:color w:val="008000"/>
              <w:u w:val="single"/>
            </w:rPr>
          </w:pPr>
        </w:p>
        <w:sdt>
          <w:sdtPr>
            <w:rPr>
              <w:rFonts w:hint="eastAsia" w:ascii="宋体" w:hAnsi="宋体" w:cs="宋体"/>
              <w:b w:val="0"/>
              <w:bCs w:val="0"/>
              <w:kern w:val="0"/>
              <w:szCs w:val="24"/>
            </w:rPr>
            <w:tag w:val="_GBC_fab740d2e6854481af171030c14673b7"/>
            <w:id w:val="-1690671628"/>
            <w:lock w:val="sdtLocked"/>
            <w:placeholder>
              <w:docPart w:val="GBC22222222222222222222222222222"/>
            </w:placeholder>
          </w:sdtPr>
          <w:sdtEndPr>
            <w:rPr>
              <w:rFonts w:hint="eastAsia" w:ascii="宋体" w:hAnsi="宋体" w:cs="宋体-方正超大字符集"/>
              <w:b w:val="0"/>
              <w:bCs w:val="0"/>
              <w:kern w:val="0"/>
              <w:szCs w:val="21"/>
            </w:rPr>
          </w:sdtEndPr>
          <w:sdtContent>
            <w:p>
              <w:pPr>
                <w:pStyle w:val="4"/>
                <w:jc w:val="center"/>
                <w:rPr>
                  <w:rFonts w:ascii="宋体" w:hAnsi="宋体"/>
                </w:rPr>
              </w:pPr>
              <w:r>
                <w:rPr>
                  <w:rFonts w:hint="eastAsia" w:ascii="宋体" w:hAnsi="宋体"/>
                </w:rPr>
                <w:t>母公司</w:t>
              </w:r>
              <w:r>
                <w:rPr>
                  <w:rFonts w:ascii="宋体" w:hAnsi="宋体"/>
                </w:rPr>
                <w:t>利润表</w:t>
              </w:r>
            </w:p>
            <w:p>
              <w:pPr>
                <w:jc w:val="center"/>
                <w:rPr>
                  <w:b/>
                  <w:bCs/>
                </w:rPr>
              </w:pPr>
              <w:r>
                <w:t>2023年</w:t>
              </w:r>
              <w:r>
                <w:rPr>
                  <w:rFonts w:hint="eastAsia"/>
                </w:rPr>
                <w:t>1—6</w:t>
              </w:r>
              <w:r>
                <w:t>月</w:t>
              </w:r>
            </w:p>
            <w:p>
              <w:pPr>
                <w:snapToGrid w:val="0"/>
                <w:spacing w:line="240" w:lineRule="atLeast"/>
                <w:jc w:val="right"/>
                <w:rPr>
                  <w:b/>
                  <w:bCs/>
                  <w:color w:val="FF0000"/>
                </w:rPr>
              </w:pPr>
              <w:r>
                <w:t>单位：</w:t>
              </w:r>
              <w:sdt>
                <w:sdtPr>
                  <w:alias w:val="单位：母公司利润表"/>
                  <w:tag w:val="_GBC_955732cd74ff4f1f9b098e70c1b85c60"/>
                  <w:id w:val="-13121768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利润表"/>
                  <w:tag w:val="_GBC_125a2547934143ccb384434361f57d37"/>
                  <w:id w:val="-7999175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507"/>
                <w:gridCol w:w="1517"/>
                <w:gridCol w:w="2009"/>
                <w:gridCol w:w="20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b/>
                      </w:rPr>
                      <w:tag w:val="_PLD_2746da9ce382479bbcc34de94cc91419"/>
                      <w:id w:val="1864631040"/>
                      <w:lock w:val="sdtLocked"/>
                    </w:sdtPr>
                    <w:sdtEndPr>
                      <w:rPr>
                        <w:rFonts w:hint="eastAsia"/>
                        <w:b/>
                      </w:rPr>
                    </w:sdtEndPr>
                    <w:sdtContent>
                      <w:p>
                        <w:pPr>
                          <w:ind w:leftChars="-19" w:hanging="40" w:hangingChars="19"/>
                          <w:jc w:val="center"/>
                          <w:rPr>
                            <w:b/>
                          </w:rPr>
                        </w:pPr>
                        <w:r>
                          <w:rPr>
                            <w:rFonts w:hint="eastAsia"/>
                            <w:b/>
                          </w:rPr>
                          <w:t>项目</w:t>
                        </w:r>
                      </w:p>
                    </w:sdtContent>
                  </w:sdt>
                </w:tc>
                <w:tc>
                  <w:tcPr>
                    <w:tcW w:w="838" w:type="pct"/>
                    <w:tcBorders>
                      <w:top w:val="outset" w:color="auto" w:sz="4" w:space="0"/>
                      <w:left w:val="outset" w:color="auto" w:sz="4" w:space="0"/>
                      <w:bottom w:val="outset" w:color="auto" w:sz="4" w:space="0"/>
                      <w:right w:val="outset" w:color="auto" w:sz="4" w:space="0"/>
                    </w:tcBorders>
                  </w:tcPr>
                  <w:sdt>
                    <w:sdtPr>
                      <w:rPr>
                        <w:rFonts w:hint="eastAsia"/>
                        <w:b/>
                      </w:rPr>
                      <w:tag w:val="_PLD_353d1b95815e4cb9bce619c23384aae7"/>
                      <w:id w:val="1408727117"/>
                      <w:lock w:val="sdtLocked"/>
                    </w:sdtPr>
                    <w:sdtEndPr>
                      <w:rPr>
                        <w:rFonts w:hint="eastAsia"/>
                        <w:b/>
                      </w:rPr>
                    </w:sdtEndPr>
                    <w:sdtContent>
                      <w:p>
                        <w:pPr>
                          <w:jc w:val="center"/>
                          <w:rPr>
                            <w:b/>
                          </w:rPr>
                        </w:pPr>
                        <w:r>
                          <w:rPr>
                            <w:rFonts w:hint="eastAsia"/>
                            <w:b/>
                          </w:rPr>
                          <w:t>附注</w:t>
                        </w:r>
                      </w:p>
                    </w:sdtContent>
                  </w:sdt>
                </w:tc>
                <w:tc>
                  <w:tcPr>
                    <w:tcW w:w="1110" w:type="pct"/>
                    <w:tcBorders>
                      <w:top w:val="outset" w:color="auto" w:sz="4" w:space="0"/>
                      <w:left w:val="outset" w:color="auto" w:sz="4" w:space="0"/>
                      <w:bottom w:val="outset" w:color="auto" w:sz="4" w:space="0"/>
                      <w:right w:val="outset" w:color="auto" w:sz="4" w:space="0"/>
                    </w:tcBorders>
                    <w:vAlign w:val="center"/>
                  </w:tcPr>
                  <w:sdt>
                    <w:sdtPr>
                      <w:rPr>
                        <w:rFonts w:hint="eastAsia"/>
                        <w:b/>
                      </w:rPr>
                      <w:tag w:val="_PLD_aa6da19e961f4f0aa9c1f47a5d8bdb21"/>
                      <w:id w:val="-2111963618"/>
                      <w:lock w:val="sdtLocked"/>
                    </w:sdtPr>
                    <w:sdtEndPr>
                      <w:rPr>
                        <w:rFonts w:hint="eastAsia"/>
                        <w:b/>
                      </w:rPr>
                    </w:sdtEndPr>
                    <w:sdtContent>
                      <w:p>
                        <w:pPr>
                          <w:jc w:val="center"/>
                          <w:rPr>
                            <w:b/>
                          </w:rPr>
                        </w:pPr>
                        <w:r>
                          <w:rPr>
                            <w:rFonts w:hint="eastAsia"/>
                            <w:b/>
                          </w:rPr>
                          <w:t>2023年半年度</w:t>
                        </w:r>
                      </w:p>
                    </w:sdtContent>
                  </w:sdt>
                </w:tc>
                <w:tc>
                  <w:tcPr>
                    <w:tcW w:w="1114" w:type="pct"/>
                    <w:tcBorders>
                      <w:top w:val="outset" w:color="auto" w:sz="4" w:space="0"/>
                      <w:left w:val="outset" w:color="auto" w:sz="4" w:space="0"/>
                      <w:bottom w:val="outset" w:color="auto" w:sz="4" w:space="0"/>
                      <w:right w:val="outset" w:color="auto" w:sz="4" w:space="0"/>
                    </w:tcBorders>
                    <w:vAlign w:val="center"/>
                  </w:tcPr>
                  <w:sdt>
                    <w:sdtPr>
                      <w:rPr>
                        <w:rFonts w:hint="eastAsia"/>
                        <w:b/>
                      </w:rPr>
                      <w:tag w:val="_PLD_fd6f3d63a7544a05b6f572cee64f39fb"/>
                      <w:id w:val="741987864"/>
                      <w:lock w:val="sdtLocked"/>
                    </w:sdtPr>
                    <w:sdtEndPr>
                      <w:rPr>
                        <w:rFonts w:hint="eastAsia"/>
                        <w:b/>
                      </w:rPr>
                    </w:sdtEndPr>
                    <w:sdtContent>
                      <w:p>
                        <w:pPr>
                          <w:jc w:val="center"/>
                          <w:rPr>
                            <w:b/>
                          </w:rPr>
                        </w:pPr>
                        <w:r>
                          <w:rPr>
                            <w:rFonts w:hint="eastAsia"/>
                            <w:b/>
                          </w:rPr>
                          <w:t>2022年半年度</w:t>
                        </w:r>
                      </w:p>
                    </w:sdtContent>
                  </w:sdt>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64cf96d2f1c4cf0927ae1121cfbe089"/>
                    <w:id w:val="-1081832865"/>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rPr>
                            <w:color w:val="000000"/>
                          </w:rPr>
                        </w:pPr>
                        <w:r>
                          <w:rPr>
                            <w:rFonts w:hint="eastAsia"/>
                          </w:rPr>
                          <w:t>一、营业收入</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十七、4</w:t>
                    </w:r>
                  </w:p>
                </w:tc>
                <w:tc>
                  <w:tcPr>
                    <w:tcW w:w="1110" w:type="pct"/>
                    <w:tcBorders>
                      <w:top w:val="outset" w:color="auto" w:sz="4" w:space="0"/>
                      <w:left w:val="outset" w:color="auto" w:sz="4" w:space="0"/>
                      <w:bottom w:val="outset" w:color="auto" w:sz="4" w:space="0"/>
                      <w:right w:val="outset" w:color="auto" w:sz="4" w:space="0"/>
                    </w:tcBorders>
                  </w:tcPr>
                  <w:p>
                    <w:pPr>
                      <w:jc w:val="right"/>
                    </w:pPr>
                    <w:r>
                      <w:t>4,179,637,438.68</w:t>
                    </w:r>
                  </w:p>
                </w:tc>
                <w:tc>
                  <w:tcPr>
                    <w:tcW w:w="1114" w:type="pct"/>
                    <w:tcBorders>
                      <w:top w:val="outset" w:color="auto" w:sz="4" w:space="0"/>
                      <w:left w:val="outset" w:color="auto" w:sz="4" w:space="0"/>
                      <w:bottom w:val="outset" w:color="auto" w:sz="4" w:space="0"/>
                      <w:right w:val="outset" w:color="auto" w:sz="4" w:space="0"/>
                    </w:tcBorders>
                  </w:tcPr>
                  <w:p>
                    <w:pPr>
                      <w:jc w:val="right"/>
                    </w:pPr>
                    <w:r>
                      <w:t>2,957,699,940.63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41d97fe7493434d8f6c5694b95ac217"/>
                    <w:id w:val="-106186057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rPr>
                            <w:color w:val="000000"/>
                          </w:rPr>
                        </w:pPr>
                        <w:r>
                          <w:rPr>
                            <w:rFonts w:hint="eastAsia"/>
                          </w:rPr>
                          <w:t>减：营业成本</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十七、4</w:t>
                    </w:r>
                  </w:p>
                </w:tc>
                <w:tc>
                  <w:tcPr>
                    <w:tcW w:w="1110" w:type="pct"/>
                    <w:tcBorders>
                      <w:top w:val="outset" w:color="auto" w:sz="4" w:space="0"/>
                      <w:left w:val="outset" w:color="auto" w:sz="4" w:space="0"/>
                      <w:bottom w:val="outset" w:color="auto" w:sz="4" w:space="0"/>
                      <w:right w:val="outset" w:color="auto" w:sz="4" w:space="0"/>
                    </w:tcBorders>
                  </w:tcPr>
                  <w:p>
                    <w:pPr>
                      <w:jc w:val="right"/>
                    </w:pPr>
                    <w:r>
                      <w:t>1,909,560,682.44</w:t>
                    </w:r>
                  </w:p>
                </w:tc>
                <w:tc>
                  <w:tcPr>
                    <w:tcW w:w="1114" w:type="pct"/>
                    <w:tcBorders>
                      <w:top w:val="outset" w:color="auto" w:sz="4" w:space="0"/>
                      <w:left w:val="outset" w:color="auto" w:sz="4" w:space="0"/>
                      <w:bottom w:val="outset" w:color="auto" w:sz="4" w:space="0"/>
                      <w:right w:val="outset" w:color="auto" w:sz="4" w:space="0"/>
                    </w:tcBorders>
                  </w:tcPr>
                  <w:p>
                    <w:pPr>
                      <w:jc w:val="right"/>
                    </w:pPr>
                    <w:r>
                      <w:t>1,410,156,240.66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10d343d286f48cca8b82d2d78d02a7b"/>
                    <w:id w:val="1323859286"/>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税金及附加</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14,229,836.44</w:t>
                    </w:r>
                  </w:p>
                </w:tc>
                <w:tc>
                  <w:tcPr>
                    <w:tcW w:w="1114" w:type="pct"/>
                    <w:tcBorders>
                      <w:top w:val="outset" w:color="auto" w:sz="4" w:space="0"/>
                      <w:left w:val="outset" w:color="auto" w:sz="4" w:space="0"/>
                      <w:bottom w:val="outset" w:color="auto" w:sz="4" w:space="0"/>
                      <w:right w:val="outset" w:color="auto" w:sz="4" w:space="0"/>
                    </w:tcBorders>
                  </w:tcPr>
                  <w:p>
                    <w:pPr>
                      <w:jc w:val="right"/>
                    </w:pPr>
                    <w:r>
                      <w:t>11,622,902.87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0661646595b49dea568535f2a30949c"/>
                    <w:id w:val="41977106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管理费用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66,561,018.11</w:t>
                    </w:r>
                  </w:p>
                </w:tc>
                <w:tc>
                  <w:tcPr>
                    <w:tcW w:w="1114" w:type="pct"/>
                    <w:tcBorders>
                      <w:top w:val="outset" w:color="auto" w:sz="4" w:space="0"/>
                      <w:left w:val="outset" w:color="auto" w:sz="4" w:space="0"/>
                      <w:bottom w:val="outset" w:color="auto" w:sz="4" w:space="0"/>
                      <w:right w:val="outset" w:color="auto" w:sz="4" w:space="0"/>
                    </w:tcBorders>
                  </w:tcPr>
                  <w:p>
                    <w:pPr>
                      <w:jc w:val="right"/>
                    </w:pPr>
                    <w:r>
                      <w:t>69,288,550.84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d80afb387a7412cacbf6e23bf7e765d"/>
                    <w:id w:val="-213284704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财务费用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229,331,531.47</w:t>
                    </w:r>
                  </w:p>
                </w:tc>
                <w:tc>
                  <w:tcPr>
                    <w:tcW w:w="1114" w:type="pct"/>
                    <w:tcBorders>
                      <w:top w:val="outset" w:color="auto" w:sz="4" w:space="0"/>
                      <w:left w:val="outset" w:color="auto" w:sz="4" w:space="0"/>
                      <w:bottom w:val="outset" w:color="auto" w:sz="4" w:space="0"/>
                      <w:right w:val="outset" w:color="auto" w:sz="4" w:space="0"/>
                    </w:tcBorders>
                  </w:tcPr>
                  <w:p>
                    <w:pPr>
                      <w:jc w:val="right"/>
                    </w:pPr>
                    <w:r>
                      <w:t>196,757,495.82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rPr>
                      <w:tag w:val="_PLD_4b579b7cdda84cef98e4af379ba33cb2"/>
                      <w:id w:val="-257599964"/>
                      <w:lock w:val="sdtLocked"/>
                    </w:sdtPr>
                    <w:sdtEndPr>
                      <w:rPr>
                        <w:rFonts w:hint="eastAsia"/>
                      </w:rPr>
                    </w:sdtEndPr>
                    <w:sdtContent>
                      <w:p>
                        <w:pPr>
                          <w:ind w:firstLine="630" w:firstLineChars="300"/>
                        </w:pPr>
                        <w:r>
                          <w:rPr>
                            <w:rFonts w:hint="eastAsia"/>
                          </w:rPr>
                          <w:t>其中：利息费用</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236,410,325.87</w:t>
                    </w:r>
                  </w:p>
                </w:tc>
                <w:tc>
                  <w:tcPr>
                    <w:tcW w:w="1114" w:type="pct"/>
                    <w:tcBorders>
                      <w:top w:val="outset" w:color="auto" w:sz="4" w:space="0"/>
                      <w:left w:val="outset" w:color="auto" w:sz="4" w:space="0"/>
                      <w:bottom w:val="outset" w:color="auto" w:sz="4" w:space="0"/>
                      <w:right w:val="outset" w:color="auto" w:sz="4" w:space="0"/>
                    </w:tcBorders>
                  </w:tcPr>
                  <w:p>
                    <w:pPr>
                      <w:jc w:val="right"/>
                    </w:pPr>
                    <w:r>
                      <w:t>198,520,377.81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rPr>
                        <w:rFonts w:hint="eastAsia"/>
                      </w:rPr>
                      <w:tag w:val="_PLD_9935359bdf6941b58ec89fcbf4066014"/>
                      <w:id w:val="-168107391"/>
                      <w:lock w:val="sdtLocked"/>
                    </w:sdtPr>
                    <w:sdtEndPr>
                      <w:rPr>
                        <w:rFonts w:hint="eastAsia"/>
                      </w:rPr>
                    </w:sdtEndPr>
                    <w:sdtContent>
                      <w:p>
                        <w:pPr>
                          <w:ind w:firstLine="1260" w:firstLineChars="600"/>
                        </w:pPr>
                        <w:r>
                          <w:rPr>
                            <w:rFonts w:hint="eastAsia"/>
                          </w:rPr>
                          <w:t>利息收入</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7,884,750.13</w:t>
                    </w:r>
                  </w:p>
                </w:tc>
                <w:tc>
                  <w:tcPr>
                    <w:tcW w:w="1114" w:type="pct"/>
                    <w:tcBorders>
                      <w:top w:val="outset" w:color="auto" w:sz="4" w:space="0"/>
                      <w:left w:val="outset" w:color="auto" w:sz="4" w:space="0"/>
                      <w:bottom w:val="outset" w:color="auto" w:sz="4" w:space="0"/>
                      <w:right w:val="outset" w:color="auto" w:sz="4" w:space="0"/>
                    </w:tcBorders>
                  </w:tcPr>
                  <w:p>
                    <w:pPr>
                      <w:jc w:val="right"/>
                    </w:pPr>
                    <w:r>
                      <w:t>4,746,030.11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7b368ef9f204da9ac5a6e42b07d2fda"/>
                    <w:id w:val="-354501044"/>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加：其他收益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10,612,768.12</w:t>
                    </w:r>
                  </w:p>
                </w:tc>
                <w:tc>
                  <w:tcPr>
                    <w:tcW w:w="1114" w:type="pct"/>
                    <w:tcBorders>
                      <w:top w:val="outset" w:color="auto" w:sz="4" w:space="0"/>
                      <w:left w:val="outset" w:color="auto" w:sz="4" w:space="0"/>
                      <w:bottom w:val="outset" w:color="auto" w:sz="4" w:space="0"/>
                      <w:right w:val="outset" w:color="auto" w:sz="4" w:space="0"/>
                    </w:tcBorders>
                  </w:tcPr>
                  <w:p>
                    <w:pPr>
                      <w:jc w:val="right"/>
                    </w:pPr>
                    <w:r>
                      <w:t>11,411,134.56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6fd18eb434d4828b40716d17c61b068"/>
                    <w:id w:val="-59155102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投资收益（损失以“－”号填列）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r>
                      <w:rPr>
                        <w:rFonts w:hint="eastAsia"/>
                      </w:rPr>
                      <w:t>十七、5</w:t>
                    </w:r>
                  </w:p>
                </w:tc>
                <w:tc>
                  <w:tcPr>
                    <w:tcW w:w="1110" w:type="pct"/>
                    <w:tcBorders>
                      <w:top w:val="outset" w:color="auto" w:sz="4" w:space="0"/>
                      <w:left w:val="outset" w:color="auto" w:sz="4" w:space="0"/>
                      <w:bottom w:val="outset" w:color="auto" w:sz="4" w:space="0"/>
                      <w:right w:val="outset" w:color="auto" w:sz="4" w:space="0"/>
                    </w:tcBorders>
                  </w:tcPr>
                  <w:p>
                    <w:pPr>
                      <w:jc w:val="right"/>
                    </w:pPr>
                    <w:r>
                      <w:t>377,209,787.27</w:t>
                    </w:r>
                  </w:p>
                </w:tc>
                <w:tc>
                  <w:tcPr>
                    <w:tcW w:w="1114" w:type="pct"/>
                    <w:tcBorders>
                      <w:top w:val="outset" w:color="auto" w:sz="4" w:space="0"/>
                      <w:left w:val="outset" w:color="auto" w:sz="4" w:space="0"/>
                      <w:bottom w:val="outset" w:color="auto" w:sz="4" w:space="0"/>
                      <w:right w:val="outset" w:color="auto" w:sz="4" w:space="0"/>
                    </w:tcBorders>
                  </w:tcPr>
                  <w:p>
                    <w:pPr>
                      <w:jc w:val="right"/>
                    </w:pPr>
                    <w:r>
                      <w:t>641,451,351.53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bea34f5113c449e9a05ba733de8a76c"/>
                    <w:id w:val="17700985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其中：对联营企业和合营企业的投资收益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317,834,574.60</w:t>
                    </w:r>
                  </w:p>
                </w:tc>
                <w:tc>
                  <w:tcPr>
                    <w:tcW w:w="1114" w:type="pct"/>
                    <w:tcBorders>
                      <w:top w:val="outset" w:color="auto" w:sz="4" w:space="0"/>
                      <w:left w:val="outset" w:color="auto" w:sz="4" w:space="0"/>
                      <w:bottom w:val="outset" w:color="auto" w:sz="4" w:space="0"/>
                      <w:right w:val="outset" w:color="auto" w:sz="4" w:space="0"/>
                    </w:tcBorders>
                  </w:tcPr>
                  <w:p>
                    <w:pPr>
                      <w:jc w:val="right"/>
                    </w:pPr>
                    <w:r>
                      <w:t>225,015,071.27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07926df9ebd4b039128ab562ec28ff7"/>
                    <w:id w:val="1524828197"/>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rPr>
                            <w:color w:val="000000"/>
                          </w:rPr>
                        </w:pPr>
                        <w:r>
                          <w:rPr>
                            <w:rFonts w:hint="eastAsia"/>
                          </w:rPr>
                          <w:t>二、营业利润（亏损以“－”号填列）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2,347,776,925.61</w:t>
                    </w:r>
                  </w:p>
                </w:tc>
                <w:tc>
                  <w:tcPr>
                    <w:tcW w:w="1114" w:type="pct"/>
                    <w:tcBorders>
                      <w:top w:val="outset" w:color="auto" w:sz="4" w:space="0"/>
                      <w:left w:val="outset" w:color="auto" w:sz="4" w:space="0"/>
                      <w:bottom w:val="outset" w:color="auto" w:sz="4" w:space="0"/>
                      <w:right w:val="outset" w:color="auto" w:sz="4" w:space="0"/>
                    </w:tcBorders>
                  </w:tcPr>
                  <w:p>
                    <w:pPr>
                      <w:jc w:val="right"/>
                    </w:pPr>
                    <w:r>
                      <w:t>1,922,737,236.53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79fac843c63467da244e8b49f89e4dc"/>
                    <w:id w:val="-850250280"/>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rPr>
                            <w:color w:val="000000"/>
                          </w:rPr>
                        </w:pPr>
                        <w:r>
                          <w:rPr>
                            <w:rFonts w:hint="eastAsia"/>
                          </w:rPr>
                          <w:t>加：营业外收入</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2,995,088.08</w:t>
                    </w:r>
                  </w:p>
                </w:tc>
                <w:tc>
                  <w:tcPr>
                    <w:tcW w:w="1114" w:type="pct"/>
                    <w:tcBorders>
                      <w:top w:val="outset" w:color="auto" w:sz="4" w:space="0"/>
                      <w:left w:val="outset" w:color="auto" w:sz="4" w:space="0"/>
                      <w:bottom w:val="outset" w:color="auto" w:sz="4" w:space="0"/>
                      <w:right w:val="outset" w:color="auto" w:sz="4" w:space="0"/>
                    </w:tcBorders>
                  </w:tcPr>
                  <w:p>
                    <w:pPr>
                      <w:jc w:val="right"/>
                    </w:pPr>
                    <w:r>
                      <w:t>2,646,305.34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7c3a61b735644a1a4b866e88cef247a"/>
                    <w:id w:val="-16980481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rPr>
                            <w:color w:val="000000"/>
                          </w:rPr>
                        </w:pPr>
                        <w:r>
                          <w:rPr>
                            <w:rFonts w:hint="eastAsia"/>
                          </w:rPr>
                          <w:t>减：营业外支出</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9,765,142.32</w:t>
                    </w:r>
                  </w:p>
                </w:tc>
                <w:tc>
                  <w:tcPr>
                    <w:tcW w:w="1114" w:type="pct"/>
                    <w:tcBorders>
                      <w:top w:val="outset" w:color="auto" w:sz="4" w:space="0"/>
                      <w:left w:val="outset" w:color="auto" w:sz="4" w:space="0"/>
                      <w:bottom w:val="outset" w:color="auto" w:sz="4" w:space="0"/>
                      <w:right w:val="outset" w:color="auto" w:sz="4" w:space="0"/>
                    </w:tcBorders>
                  </w:tcPr>
                  <w:p>
                    <w:pPr>
                      <w:jc w:val="right"/>
                    </w:pPr>
                    <w:r>
                      <w:t>9,356,759.51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956406fbb5b47029f2bca13fce9359e"/>
                    <w:id w:val="376669985"/>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rPr>
                            <w:color w:val="000000"/>
                          </w:rPr>
                        </w:pPr>
                        <w:r>
                          <w:rPr>
                            <w:rFonts w:hint="eastAsia"/>
                          </w:rPr>
                          <w:t>三、利润总额（亏损总额以“－”号填列）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2,341,006,871.37</w:t>
                    </w:r>
                  </w:p>
                </w:tc>
                <w:tc>
                  <w:tcPr>
                    <w:tcW w:w="1114" w:type="pct"/>
                    <w:tcBorders>
                      <w:top w:val="outset" w:color="auto" w:sz="4" w:space="0"/>
                      <w:left w:val="outset" w:color="auto" w:sz="4" w:space="0"/>
                      <w:bottom w:val="outset" w:color="auto" w:sz="4" w:space="0"/>
                      <w:right w:val="outset" w:color="auto" w:sz="4" w:space="0"/>
                    </w:tcBorders>
                  </w:tcPr>
                  <w:p>
                    <w:pPr>
                      <w:jc w:val="right"/>
                    </w:pPr>
                    <w:r>
                      <w:t>1,916,026,782.36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de0aad305fe4960b4c088f68ada351b"/>
                    <w:id w:val="1340124311"/>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firstLine="420" w:firstLineChars="200"/>
                          <w:rPr>
                            <w:color w:val="000000"/>
                          </w:rPr>
                        </w:pPr>
                        <w:r>
                          <w:rPr>
                            <w:rFonts w:hint="eastAsia"/>
                          </w:rPr>
                          <w:t>减：所得税费用</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514,986,881.49</w:t>
                    </w:r>
                  </w:p>
                </w:tc>
                <w:tc>
                  <w:tcPr>
                    <w:tcW w:w="1114" w:type="pct"/>
                    <w:tcBorders>
                      <w:top w:val="outset" w:color="auto" w:sz="4" w:space="0"/>
                      <w:left w:val="outset" w:color="auto" w:sz="4" w:space="0"/>
                      <w:bottom w:val="outset" w:color="auto" w:sz="4" w:space="0"/>
                      <w:right w:val="outset" w:color="auto" w:sz="4" w:space="0"/>
                    </w:tcBorders>
                  </w:tcPr>
                  <w:p>
                    <w:pPr>
                      <w:jc w:val="right"/>
                    </w:pPr>
                    <w:r>
                      <w:t>367,564,526.94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ab8a9f66eb1439ab50e43a032c9541e"/>
                    <w:id w:val="194626475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rPr>
                            <w:color w:val="000000"/>
                          </w:rPr>
                        </w:pPr>
                        <w:r>
                          <w:rPr>
                            <w:rFonts w:hint="eastAsia"/>
                          </w:rPr>
                          <w:t>四、净利润（净亏损以“－”号填列）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1,826,019,989.88</w:t>
                    </w:r>
                  </w:p>
                </w:tc>
                <w:tc>
                  <w:tcPr>
                    <w:tcW w:w="1114" w:type="pct"/>
                    <w:tcBorders>
                      <w:top w:val="outset" w:color="auto" w:sz="4" w:space="0"/>
                      <w:left w:val="outset" w:color="auto" w:sz="4" w:space="0"/>
                      <w:bottom w:val="outset" w:color="auto" w:sz="4" w:space="0"/>
                      <w:right w:val="outset" w:color="auto" w:sz="4" w:space="0"/>
                    </w:tcBorders>
                  </w:tcPr>
                  <w:p>
                    <w:pPr>
                      <w:jc w:val="right"/>
                    </w:pPr>
                    <w:r>
                      <w:t>1,548,462,255.42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89ca01a050e4d34aae7f623dfff6058"/>
                    <w:id w:val="867110513"/>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6" w:firstLineChars="108"/>
                        </w:pPr>
                        <w:r>
                          <w:rPr>
                            <w:rFonts w:hint="eastAsia"/>
                          </w:rPr>
                          <w:t>（一）</w:t>
                        </w:r>
                        <w:r>
                          <w:t>持续经营净利润（净亏损以“－”号填列）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1,826,019,989.88</w:t>
                    </w:r>
                  </w:p>
                </w:tc>
                <w:tc>
                  <w:tcPr>
                    <w:tcW w:w="1114" w:type="pct"/>
                    <w:tcBorders>
                      <w:top w:val="outset" w:color="auto" w:sz="4" w:space="0"/>
                      <w:left w:val="outset" w:color="auto" w:sz="4" w:space="0"/>
                      <w:bottom w:val="outset" w:color="auto" w:sz="4" w:space="0"/>
                      <w:right w:val="outset" w:color="auto" w:sz="4" w:space="0"/>
                    </w:tcBorders>
                  </w:tcPr>
                  <w:p>
                    <w:pPr>
                      <w:jc w:val="right"/>
                    </w:pPr>
                    <w:r>
                      <w:t>1,548,462,255.42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rPr>
                      <w:rFonts w:hint="eastAsia"/>
                    </w:rPr>
                    <w:tag w:val="_PLD_3b2e8ef21ec246eaabe42c7024d8ce19"/>
                    <w:id w:val="1375281985"/>
                    <w:lock w:val="sdtLocked"/>
                  </w:sdtPr>
                  <w:sdtEndPr>
                    <w:rPr>
                      <w:rFonts w:hint="eastAsia"/>
                    </w:rPr>
                  </w:sdtEnd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26" w:firstLineChars="108"/>
                        </w:pPr>
                        <w:r>
                          <w:rPr>
                            <w:rFonts w:hint="eastAsia"/>
                          </w:rPr>
                          <w:t>（二）终止经营净利润（净亏损以“－”号填列）</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rPr>
                        <w:rFonts w:hint="eastAsia"/>
                      </w:rPr>
                      <w:t>-</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43a2fab84a848319e89b43f4f5f13af"/>
                    <w:id w:val="-74534320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Chars="-19" w:hanging="39" w:hangingChars="19"/>
                        </w:pPr>
                        <w:r>
                          <w:rPr>
                            <w:rFonts w:hint="eastAsia"/>
                          </w:rPr>
                          <w:t>五、其他综合收益的税后净额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54,936,385.28</w:t>
                    </w:r>
                  </w:p>
                </w:tc>
                <w:tc>
                  <w:tcPr>
                    <w:tcW w:w="1114" w:type="pct"/>
                    <w:tcBorders>
                      <w:top w:val="outset" w:color="auto" w:sz="4" w:space="0"/>
                      <w:left w:val="outset" w:color="auto" w:sz="4" w:space="0"/>
                      <w:bottom w:val="outset" w:color="auto" w:sz="4" w:space="0"/>
                      <w:right w:val="outset" w:color="auto" w:sz="4" w:space="0"/>
                    </w:tcBorders>
                  </w:tcPr>
                  <w:p>
                    <w:pPr>
                      <w:jc w:val="right"/>
                    </w:pPr>
                    <w:r>
                      <w:t>707,806,585.71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8aa6d052de04d1a947a8cf96dde3fef"/>
                    <w:id w:val="-1835758255"/>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（一）不能重分类进损益的其他综合收益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54,936,385.28</w:t>
                    </w:r>
                  </w:p>
                </w:tc>
                <w:tc>
                  <w:tcPr>
                    <w:tcW w:w="1114" w:type="pct"/>
                    <w:tcBorders>
                      <w:top w:val="outset" w:color="auto" w:sz="4" w:space="0"/>
                      <w:left w:val="outset" w:color="auto" w:sz="4" w:space="0"/>
                      <w:bottom w:val="outset" w:color="auto" w:sz="4" w:space="0"/>
                      <w:right w:val="outset" w:color="auto" w:sz="4" w:space="0"/>
                    </w:tcBorders>
                  </w:tcPr>
                  <w:p>
                    <w:pPr>
                      <w:jc w:val="right"/>
                    </w:pPr>
                    <w:r>
                      <w:t>707,806,585.71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f95025f3e0f4c69b258974fe8486517"/>
                    <w:id w:val="-948245959"/>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1.重新计量设定受益计划变动额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rPr>
                        <w:rFonts w:hint="eastAsia"/>
                      </w:rPr>
                      <w:t>-</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1dd2af1863b4e3d917020633c99734c"/>
                    <w:id w:val="-297225438"/>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firstLine="420" w:firstLineChars="200"/>
                        </w:pPr>
                        <w:r>
                          <w:t>2.权益法下不能转损益的其他综合收益</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22,487,569.28</w:t>
                    </w:r>
                  </w:p>
                </w:tc>
                <w:tc>
                  <w:tcPr>
                    <w:tcW w:w="1114"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17,681,627.67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38" w:type="pct"/>
                    <w:tcBorders>
                      <w:top w:val="outset" w:color="auto" w:sz="4" w:space="0"/>
                      <w:left w:val="outset" w:color="auto" w:sz="4" w:space="0"/>
                      <w:bottom w:val="outset" w:color="auto" w:sz="4" w:space="0"/>
                      <w:right w:val="outset" w:color="auto" w:sz="4" w:space="0"/>
                    </w:tcBorders>
                    <w:vAlign w:val="center"/>
                  </w:tcPr>
                  <w:sdt>
                    <w:sdtPr>
                      <w:tag w:val="_PLD_db2b7892b44f4f818af9a0a288171043"/>
                      <w:id w:val="-1809154391"/>
                      <w:lock w:val="sdtLocked"/>
                    </w:sdtPr>
                    <w:sdtContent>
                      <w:p>
                        <w:pPr>
                          <w:ind w:firstLine="420" w:firstLineChars="200"/>
                        </w:pPr>
                        <w:r>
                          <w:t>3.其他权益工具投资公允价值变动</w:t>
                        </w:r>
                      </w:p>
                    </w:sdtContent>
                  </w:sdt>
                </w:tc>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32,448,816.00</w:t>
                    </w:r>
                  </w:p>
                </w:tc>
                <w:tc>
                  <w:tcPr>
                    <w:tcW w:w="1114" w:type="pct"/>
                    <w:tcBorders>
                      <w:top w:val="outset" w:color="auto" w:sz="4" w:space="0"/>
                      <w:left w:val="outset" w:color="auto" w:sz="4" w:space="0"/>
                      <w:bottom w:val="outset" w:color="auto" w:sz="4" w:space="0"/>
                      <w:right w:val="outset" w:color="auto" w:sz="4" w:space="0"/>
                    </w:tcBorders>
                  </w:tcPr>
                  <w:p>
                    <w:pPr>
                      <w:jc w:val="right"/>
                    </w:pPr>
                    <w:r>
                      <w:t>725,488,213.38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8547dbb231643aebb7e2c7f824bc757"/>
                    <w:id w:val="1667668681"/>
                    <w:lock w:val="sdtLocked"/>
                  </w:sdtPr>
                  <w:sdtContent>
                    <w:tc>
                      <w:tcPr>
                        <w:tcW w:w="1938" w:type="pct"/>
                        <w:tcBorders>
                          <w:top w:val="outset" w:color="auto" w:sz="4" w:space="0"/>
                          <w:left w:val="outset" w:color="auto" w:sz="4" w:space="0"/>
                          <w:bottom w:val="outset" w:color="auto" w:sz="4" w:space="0"/>
                          <w:right w:val="outset" w:color="auto" w:sz="4" w:space="0"/>
                        </w:tcBorders>
                        <w:vAlign w:val="center"/>
                      </w:tcPr>
                      <w:p>
                        <w:pPr>
                          <w:ind w:left="-19"/>
                        </w:pPr>
                        <w:r>
                          <w:rPr>
                            <w:rFonts w:hint="eastAsia"/>
                          </w:rPr>
                          <w:t>六、综合收益总额</w:t>
                        </w:r>
                      </w:p>
                    </w:tc>
                  </w:sdtContent>
                </w:sdt>
                <w:tc>
                  <w:tcPr>
                    <w:tcW w:w="838" w:type="pct"/>
                    <w:tcBorders>
                      <w:top w:val="outset" w:color="auto" w:sz="4" w:space="0"/>
                      <w:left w:val="outset" w:color="auto" w:sz="4" w:space="0"/>
                      <w:bottom w:val="outset" w:color="auto" w:sz="4" w:space="0"/>
                      <w:right w:val="outset" w:color="auto" w:sz="4" w:space="0"/>
                    </w:tcBorders>
                  </w:tcPr>
                  <w:p>
                    <w:pPr>
                      <w:pStyle w:val="114"/>
                    </w:pPr>
                  </w:p>
                </w:tc>
                <w:tc>
                  <w:tcPr>
                    <w:tcW w:w="1110" w:type="pct"/>
                    <w:tcBorders>
                      <w:top w:val="outset" w:color="auto" w:sz="4" w:space="0"/>
                      <w:left w:val="outset" w:color="auto" w:sz="4" w:space="0"/>
                      <w:bottom w:val="outset" w:color="auto" w:sz="4" w:space="0"/>
                      <w:right w:val="outset" w:color="auto" w:sz="4" w:space="0"/>
                    </w:tcBorders>
                  </w:tcPr>
                  <w:p>
                    <w:pPr>
                      <w:jc w:val="right"/>
                    </w:pPr>
                    <w:r>
                      <w:t>1,880,956,375.16</w:t>
                    </w:r>
                  </w:p>
                </w:tc>
                <w:tc>
                  <w:tcPr>
                    <w:tcW w:w="1114" w:type="pct"/>
                    <w:tcBorders>
                      <w:top w:val="outset" w:color="auto" w:sz="4" w:space="0"/>
                      <w:left w:val="outset" w:color="auto" w:sz="4" w:space="0"/>
                      <w:bottom w:val="outset" w:color="auto" w:sz="4" w:space="0"/>
                      <w:right w:val="outset" w:color="auto" w:sz="4" w:space="0"/>
                    </w:tcBorders>
                  </w:tcPr>
                  <w:p>
                    <w:pPr>
                      <w:jc w:val="right"/>
                    </w:pPr>
                    <w:r>
                      <w:t>2,256,268,841.13</w:t>
                    </w:r>
                  </w:p>
                </w:tc>
              </w:tr>
            </w:tbl>
            <w:p>
              <w:pPr>
                <w:snapToGrid w:val="0"/>
                <w:spacing w:line="240" w:lineRule="atLeast"/>
                <w:ind w:right="-153" w:rightChars="-73"/>
                <w:rPr>
                  <w:rFonts w:cs="宋体-方正超大字符集"/>
                </w:rPr>
              </w:pPr>
              <w:r>
                <w:t>公司负责人</w:t>
              </w:r>
              <w:r>
                <w:rPr>
                  <w:rFonts w:hint="eastAsia"/>
                </w:rPr>
                <w:t>：</w:t>
              </w:r>
              <w:sdt>
                <w:sdtPr>
                  <w:rPr>
                    <w:rFonts w:hint="eastAsia"/>
                  </w:rPr>
                  <w:alias w:val="公司负责人"/>
                  <w:tag w:val="_GBC_6be9c51ef68a40f0b60486f4414f2413"/>
                  <w:id w:val="1921444130"/>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649559850"/>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1000965806"/>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snapToGrid w:val="0"/>
            <w:spacing w:line="240" w:lineRule="atLeast"/>
            <w:ind w:right="-153" w:rightChars="-73"/>
            <w:rPr>
              <w:b/>
              <w:bCs/>
              <w:color w:val="FF0000"/>
            </w:rPr>
          </w:pPr>
        </w:p>
      </w:sdtContent>
    </w:sdt>
    <w:p>
      <w:pPr>
        <w:rPr>
          <w:color w:val="FF0000"/>
        </w:rPr>
      </w:pPr>
    </w:p>
    <w:p>
      <w:pPr>
        <w:rPr>
          <w:color w:val="FF0000"/>
        </w:rPr>
      </w:pPr>
    </w:p>
    <w:sdt>
      <w:sdtPr>
        <w:rPr>
          <w:rFonts w:hint="eastAsia" w:ascii="宋体" w:hAnsi="宋体" w:cs="宋体"/>
          <w:b w:val="0"/>
          <w:bCs w:val="0"/>
          <w:kern w:val="0"/>
          <w:szCs w:val="24"/>
        </w:rPr>
        <w:alias w:val="选项模块:需要编制合并报表"/>
        <w:tag w:val="_GBC_d6533048a32749eaa7738390457b7f24"/>
        <w:id w:val="-1766221091"/>
        <w:lock w:val="sdtLocked"/>
        <w:placeholder>
          <w:docPart w:val="GBC22222222222222222222222222222"/>
        </w:placeholder>
      </w:sdtPr>
      <w:sdtEndPr>
        <w:rPr>
          <w:rFonts w:hint="eastAsia" w:ascii="宋体" w:hAnsi="宋体" w:cs="宋体"/>
          <w:b w:val="0"/>
          <w:bCs w:val="0"/>
          <w:kern w:val="0"/>
          <w:szCs w:val="21"/>
        </w:rPr>
      </w:sdtEndPr>
      <w:sdtContent>
        <w:sdt>
          <w:sdtPr>
            <w:rPr>
              <w:rFonts w:hint="eastAsia" w:ascii="宋体" w:hAnsi="宋体" w:cs="宋体"/>
              <w:b w:val="0"/>
              <w:bCs w:val="0"/>
              <w:kern w:val="0"/>
              <w:szCs w:val="24"/>
            </w:rPr>
            <w:tag w:val="_GBC_17c43da24c7845d3aa093910aeaf2348"/>
            <w:id w:val="1076395830"/>
            <w:lock w:val="sdtLocked"/>
            <w:placeholder>
              <w:docPart w:val="GBC22222222222222222222222222222"/>
            </w:placeholder>
          </w:sdtPr>
          <w:sdtEndPr>
            <w:rPr>
              <w:rFonts w:hint="eastAsia" w:ascii="宋体" w:hAnsi="宋体" w:cs="宋体"/>
              <w:b w:val="0"/>
              <w:bCs w:val="0"/>
              <w:kern w:val="0"/>
              <w:szCs w:val="21"/>
            </w:rPr>
          </w:sdtEndPr>
          <w:sdtContent>
            <w:p>
              <w:pPr>
                <w:pStyle w:val="4"/>
                <w:jc w:val="center"/>
                <w:rPr>
                  <w:rFonts w:ascii="宋体" w:hAnsi="宋体"/>
                </w:rPr>
              </w:pPr>
              <w:bookmarkStart w:id="108" w:name="_Hlk10211590"/>
              <w:r>
                <w:rPr>
                  <w:rFonts w:hint="eastAsia" w:ascii="宋体" w:hAnsi="宋体"/>
                </w:rPr>
                <w:t>合并</w:t>
              </w:r>
              <w:r>
                <w:rPr>
                  <w:rFonts w:ascii="宋体" w:hAnsi="宋体"/>
                </w:rPr>
                <w:t>现金流量表</w:t>
              </w:r>
            </w:p>
            <w:p>
              <w:pPr>
                <w:jc w:val="center"/>
                <w:rPr>
                  <w:b/>
                  <w:bCs/>
                </w:rPr>
              </w:pPr>
              <w:r>
                <w:t>2023年</w:t>
              </w:r>
              <w:r>
                <w:rPr>
                  <w:rFonts w:hint="eastAsia"/>
                </w:rPr>
                <w:t>1—6</w:t>
              </w:r>
              <w:r>
                <w:t>月</w:t>
              </w:r>
            </w:p>
            <w:p>
              <w:pPr>
                <w:jc w:val="right"/>
              </w:pPr>
              <w:r>
                <w:t>单位</w:t>
              </w:r>
              <w:r>
                <w:rPr>
                  <w:rFonts w:hint="eastAsia"/>
                </w:rPr>
                <w:t>：</w:t>
              </w:r>
              <w:sdt>
                <w:sdtPr>
                  <w:rPr>
                    <w:rFonts w:hint="eastAsia"/>
                  </w:rPr>
                  <w:alias w:val="单位：合并现金流量表"/>
                  <w:tag w:val="_GBC_7049413ddb8f4e5eac9cb9fb4f802433"/>
                  <w:id w:val="9234555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986134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096"/>
                <w:gridCol w:w="1524"/>
                <w:gridCol w:w="2268"/>
                <w:gridCol w:w="21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a3b6af3ab824e2db1022630f7a58e18"/>
                    <w:id w:val="1544402461"/>
                    <w:lock w:val="sdtLocked"/>
                  </w:sdtPr>
                  <w:sdtContent>
                    <w:tc>
                      <w:tcPr>
                        <w:tcW w:w="1711" w:type="pct"/>
                        <w:tcBorders>
                          <w:top w:val="outset" w:color="auto" w:sz="4" w:space="0"/>
                          <w:left w:val="outset" w:color="auto" w:sz="4" w:space="0"/>
                          <w:bottom w:val="outset" w:color="auto" w:sz="4" w:space="0"/>
                          <w:right w:val="outset" w:color="auto" w:sz="4" w:space="0"/>
                        </w:tcBorders>
                      </w:tcPr>
                      <w:p>
                        <w:pPr>
                          <w:jc w:val="center"/>
                          <w:rPr>
                            <w:b/>
                            <w:bCs/>
                          </w:rPr>
                        </w:pPr>
                        <w:r>
                          <w:rPr>
                            <w:b/>
                          </w:rPr>
                          <w:t>项目</w:t>
                        </w:r>
                      </w:p>
                    </w:tc>
                  </w:sdtContent>
                </w:sdt>
                <w:sdt>
                  <w:sdtPr>
                    <w:tag w:val="_PLD_49df1a6f5a224085bdcd56671a898d47"/>
                    <w:id w:val="-780181409"/>
                    <w:lock w:val="sdtLocked"/>
                  </w:sdtPr>
                  <w:sdtContent>
                    <w:tc>
                      <w:tcPr>
                        <w:tcW w:w="842" w:type="pct"/>
                        <w:tcBorders>
                          <w:top w:val="outset" w:color="auto" w:sz="4" w:space="0"/>
                          <w:left w:val="outset" w:color="auto" w:sz="4" w:space="0"/>
                          <w:bottom w:val="outset" w:color="auto" w:sz="4" w:space="0"/>
                          <w:right w:val="outset" w:color="auto" w:sz="4" w:space="0"/>
                        </w:tcBorders>
                      </w:tcPr>
                      <w:p>
                        <w:pPr>
                          <w:jc w:val="center"/>
                          <w:rPr>
                            <w:b/>
                          </w:rPr>
                        </w:pPr>
                        <w:r>
                          <w:rPr>
                            <w:b/>
                          </w:rPr>
                          <w:t>附注</w:t>
                        </w:r>
                      </w:p>
                    </w:tc>
                  </w:sdtContent>
                </w:sdt>
                <w:sdt>
                  <w:sdtPr>
                    <w:tag w:val="_PLD_aba5e14092764f689b78fdbe9892bc51"/>
                    <w:id w:val="-2044430842"/>
                    <w:lock w:val="sdtLocked"/>
                  </w:sdtPr>
                  <w:sdtContent>
                    <w:tc>
                      <w:tcPr>
                        <w:tcW w:w="1253" w:type="pct"/>
                        <w:tcBorders>
                          <w:top w:val="outset" w:color="auto" w:sz="4" w:space="0"/>
                          <w:left w:val="outset" w:color="auto" w:sz="4" w:space="0"/>
                          <w:bottom w:val="outset" w:color="auto" w:sz="4" w:space="0"/>
                          <w:right w:val="outset" w:color="auto" w:sz="4" w:space="0"/>
                        </w:tcBorders>
                      </w:tcPr>
                      <w:p>
                        <w:pPr>
                          <w:autoSpaceDE w:val="0"/>
                          <w:autoSpaceDN w:val="0"/>
                          <w:adjustRightInd w:val="0"/>
                          <w:jc w:val="center"/>
                          <w:rPr>
                            <w:b/>
                          </w:rPr>
                        </w:pPr>
                        <w:r>
                          <w:rPr>
                            <w:rFonts w:hint="eastAsia"/>
                            <w:b/>
                          </w:rPr>
                          <w:t>2023年半年度</w:t>
                        </w:r>
                      </w:p>
                    </w:tc>
                  </w:sdtContent>
                </w:sdt>
                <w:sdt>
                  <w:sdtPr>
                    <w:tag w:val="_PLD_8cac70c6f00c4266a9b8cff482cc71cc"/>
                    <w:id w:val="614489329"/>
                    <w:lock w:val="sdtLocked"/>
                  </w:sdtPr>
                  <w:sdtContent>
                    <w:tc>
                      <w:tcPr>
                        <w:tcW w:w="1193" w:type="pct"/>
                        <w:tcBorders>
                          <w:top w:val="outset" w:color="auto" w:sz="4" w:space="0"/>
                          <w:left w:val="outset" w:color="auto" w:sz="4" w:space="0"/>
                          <w:bottom w:val="outset" w:color="auto" w:sz="4" w:space="0"/>
                          <w:right w:val="outset" w:color="auto" w:sz="4" w:space="0"/>
                        </w:tcBorders>
                      </w:tcPr>
                      <w:p>
                        <w:pPr>
                          <w:autoSpaceDE w:val="0"/>
                          <w:autoSpaceDN w:val="0"/>
                          <w:adjustRightInd w:val="0"/>
                          <w:jc w:val="center"/>
                          <w:rPr>
                            <w:b/>
                          </w:rPr>
                        </w:pPr>
                        <w:r>
                          <w:rPr>
                            <w:rFonts w:hint="eastAsia"/>
                            <w:b/>
                          </w:rPr>
                          <w:t>2022年半年度</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fd119a1ffa641c1a00397806a78ee23"/>
                    <w:id w:val="-227227657"/>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pStyle w:val="114"/>
                        </w:pPr>
                        <w:r>
                          <w:rPr>
                            <w:rFonts w:hint="eastAsia"/>
                            <w:b/>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737bef37bc541e2b41571186e0af02f"/>
                    <w:id w:val="-1410155388"/>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销售商品、提供劳务收到的现金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6,202,644,873.59</w:t>
                    </w:r>
                  </w:p>
                </w:tc>
                <w:tc>
                  <w:tcPr>
                    <w:tcW w:w="1193" w:type="pct"/>
                    <w:tcBorders>
                      <w:top w:val="outset" w:color="auto" w:sz="4" w:space="0"/>
                      <w:left w:val="outset" w:color="auto" w:sz="4" w:space="0"/>
                      <w:bottom w:val="outset" w:color="auto" w:sz="4" w:space="0"/>
                      <w:right w:val="outset" w:color="auto" w:sz="4" w:space="0"/>
                    </w:tcBorders>
                  </w:tcPr>
                  <w:p>
                    <w:pPr>
                      <w:jc w:val="right"/>
                    </w:pPr>
                    <w:r>
                      <w:t>4,289,125,133.32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4653926f1d7432aafc100b141947533"/>
                    <w:id w:val="2038770790"/>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收到的税费返还</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79,094,805.03</w:t>
                    </w:r>
                  </w:p>
                </w:tc>
                <w:tc>
                  <w:tcPr>
                    <w:tcW w:w="1193" w:type="pct"/>
                    <w:tcBorders>
                      <w:top w:val="outset" w:color="auto" w:sz="4" w:space="0"/>
                      <w:left w:val="outset" w:color="auto" w:sz="4" w:space="0"/>
                      <w:bottom w:val="outset" w:color="auto" w:sz="4" w:space="0"/>
                      <w:right w:val="outset" w:color="auto" w:sz="4" w:space="0"/>
                    </w:tcBorders>
                  </w:tcPr>
                  <w:p>
                    <w:pPr>
                      <w:jc w:val="right"/>
                    </w:pPr>
                    <w:r>
                      <w:t>563,178,427.27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5a847bd8381445cacfacf3bd061b567"/>
                    <w:id w:val="-2033949797"/>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收到其他与经营活动有关的现金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8</w:t>
                    </w:r>
                    <w:r>
                      <w:rPr>
                        <w:rFonts w:hint="eastAsia"/>
                      </w:rPr>
                      <w:t>（1）</w:t>
                    </w:r>
                  </w:p>
                </w:tc>
                <w:tc>
                  <w:tcPr>
                    <w:tcW w:w="1253" w:type="pct"/>
                    <w:tcBorders>
                      <w:top w:val="outset" w:color="auto" w:sz="4" w:space="0"/>
                      <w:left w:val="outset" w:color="auto" w:sz="4" w:space="0"/>
                      <w:bottom w:val="outset" w:color="auto" w:sz="4" w:space="0"/>
                      <w:right w:val="outset" w:color="auto" w:sz="4" w:space="0"/>
                    </w:tcBorders>
                  </w:tcPr>
                  <w:p>
                    <w:pPr>
                      <w:jc w:val="right"/>
                    </w:pPr>
                    <w:r>
                      <w:t>500,864,061.29</w:t>
                    </w:r>
                  </w:p>
                </w:tc>
                <w:tc>
                  <w:tcPr>
                    <w:tcW w:w="1193" w:type="pct"/>
                    <w:tcBorders>
                      <w:top w:val="outset" w:color="auto" w:sz="4" w:space="0"/>
                      <w:left w:val="outset" w:color="auto" w:sz="4" w:space="0"/>
                      <w:bottom w:val="outset" w:color="auto" w:sz="4" w:space="0"/>
                      <w:right w:val="outset" w:color="auto" w:sz="4" w:space="0"/>
                    </w:tcBorders>
                  </w:tcPr>
                  <w:p>
                    <w:pPr>
                      <w:jc w:val="right"/>
                    </w:pPr>
                    <w:r>
                      <w:t>483,637,301.93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9ee67e244574f82a472dc4db883c019"/>
                    <w:id w:val="-1842918903"/>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经营活动现金流入小计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6,782,603,739.91</w:t>
                    </w:r>
                  </w:p>
                </w:tc>
                <w:tc>
                  <w:tcPr>
                    <w:tcW w:w="1193" w:type="pct"/>
                    <w:tcBorders>
                      <w:top w:val="outset" w:color="auto" w:sz="4" w:space="0"/>
                      <w:left w:val="outset" w:color="auto" w:sz="4" w:space="0"/>
                      <w:bottom w:val="outset" w:color="auto" w:sz="4" w:space="0"/>
                      <w:right w:val="outset" w:color="auto" w:sz="4" w:space="0"/>
                    </w:tcBorders>
                  </w:tcPr>
                  <w:p>
                    <w:pPr>
                      <w:jc w:val="right"/>
                    </w:pPr>
                    <w:r>
                      <w:t>5,335,940,862.52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c898111c7fa4c2db82bbfa4cfade7b1"/>
                    <w:id w:val="-1977211901"/>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购买商品、接受劳务支付的现金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1,474,881,277.65</w:t>
                    </w:r>
                  </w:p>
                </w:tc>
                <w:tc>
                  <w:tcPr>
                    <w:tcW w:w="1193" w:type="pct"/>
                    <w:tcBorders>
                      <w:top w:val="outset" w:color="auto" w:sz="4" w:space="0"/>
                      <w:left w:val="outset" w:color="auto" w:sz="4" w:space="0"/>
                      <w:bottom w:val="outset" w:color="auto" w:sz="4" w:space="0"/>
                      <w:right w:val="outset" w:color="auto" w:sz="4" w:space="0"/>
                    </w:tcBorders>
                  </w:tcPr>
                  <w:p>
                    <w:pPr>
                      <w:jc w:val="right"/>
                    </w:pPr>
                    <w:r>
                      <w:t>1,195,668,852.89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706e75cd4ec4004b26be27bc8d7bb92"/>
                    <w:id w:val="-436902984"/>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支付给职工及为职工支付的现金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vAlign w:val="center"/>
                  </w:tcPr>
                  <w:p>
                    <w:pPr>
                      <w:jc w:val="right"/>
                    </w:pPr>
                    <w:r>
                      <w:t>569,841,385.73</w:t>
                    </w:r>
                  </w:p>
                </w:tc>
                <w:tc>
                  <w:tcPr>
                    <w:tcW w:w="1193" w:type="pct"/>
                    <w:tcBorders>
                      <w:top w:val="outset" w:color="auto" w:sz="4" w:space="0"/>
                      <w:left w:val="outset" w:color="auto" w:sz="4" w:space="0"/>
                      <w:bottom w:val="outset" w:color="auto" w:sz="4" w:space="0"/>
                      <w:right w:val="outset" w:color="auto" w:sz="4" w:space="0"/>
                    </w:tcBorders>
                    <w:vAlign w:val="center"/>
                  </w:tcPr>
                  <w:p>
                    <w:pPr>
                      <w:jc w:val="right"/>
                    </w:pPr>
                    <w:r>
                      <w:t>538,973,145.95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fa9119929c34433add5e6feaff13661"/>
                    <w:id w:val="-362520894"/>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支付的各项税费</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782,098,620.81</w:t>
                    </w:r>
                  </w:p>
                </w:tc>
                <w:tc>
                  <w:tcPr>
                    <w:tcW w:w="1193" w:type="pct"/>
                    <w:tcBorders>
                      <w:top w:val="outset" w:color="auto" w:sz="4" w:space="0"/>
                      <w:left w:val="outset" w:color="auto" w:sz="4" w:space="0"/>
                      <w:bottom w:val="outset" w:color="auto" w:sz="4" w:space="0"/>
                      <w:right w:val="outset" w:color="auto" w:sz="4" w:space="0"/>
                    </w:tcBorders>
                  </w:tcPr>
                  <w:p>
                    <w:pPr>
                      <w:jc w:val="right"/>
                    </w:pPr>
                    <w:r>
                      <w:t>684,043,582.62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2d29e7e43cb4df78fb5562eda7075c6"/>
                    <w:id w:val="-2017519497"/>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支付其他与经营活动有关的现金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8</w:t>
                    </w:r>
                    <w:r>
                      <w:rPr>
                        <w:rFonts w:hint="eastAsia"/>
                      </w:rPr>
                      <w:t>（2）</w:t>
                    </w:r>
                  </w:p>
                </w:tc>
                <w:tc>
                  <w:tcPr>
                    <w:tcW w:w="1253" w:type="pct"/>
                    <w:tcBorders>
                      <w:top w:val="outset" w:color="auto" w:sz="4" w:space="0"/>
                      <w:left w:val="outset" w:color="auto" w:sz="4" w:space="0"/>
                      <w:bottom w:val="outset" w:color="auto" w:sz="4" w:space="0"/>
                      <w:right w:val="outset" w:color="auto" w:sz="4" w:space="0"/>
                    </w:tcBorders>
                  </w:tcPr>
                  <w:p>
                    <w:pPr>
                      <w:jc w:val="right"/>
                    </w:pPr>
                    <w:r>
                      <w:t>324,828,018.44</w:t>
                    </w:r>
                  </w:p>
                </w:tc>
                <w:tc>
                  <w:tcPr>
                    <w:tcW w:w="1193" w:type="pct"/>
                    <w:tcBorders>
                      <w:top w:val="outset" w:color="auto" w:sz="4" w:space="0"/>
                      <w:left w:val="outset" w:color="auto" w:sz="4" w:space="0"/>
                      <w:bottom w:val="outset" w:color="auto" w:sz="4" w:space="0"/>
                      <w:right w:val="outset" w:color="auto" w:sz="4" w:space="0"/>
                    </w:tcBorders>
                  </w:tcPr>
                  <w:p>
                    <w:pPr>
                      <w:jc w:val="right"/>
                    </w:pPr>
                    <w:r>
                      <w:t>593,542,465.71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898b9e3495c4369a548071a900462f2"/>
                    <w:id w:val="-940986590"/>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经营活动现金流出小计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3,151,649,302.63</w:t>
                    </w:r>
                  </w:p>
                </w:tc>
                <w:tc>
                  <w:tcPr>
                    <w:tcW w:w="1193" w:type="pct"/>
                    <w:tcBorders>
                      <w:top w:val="outset" w:color="auto" w:sz="4" w:space="0"/>
                      <w:left w:val="outset" w:color="auto" w:sz="4" w:space="0"/>
                      <w:bottom w:val="outset" w:color="auto" w:sz="4" w:space="0"/>
                      <w:right w:val="outset" w:color="auto" w:sz="4" w:space="0"/>
                    </w:tcBorders>
                  </w:tcPr>
                  <w:p>
                    <w:pPr>
                      <w:jc w:val="right"/>
                    </w:pPr>
                    <w:r>
                      <w:t>3,012,228,047.17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668436c46fe4d03bca9e7585b314b78"/>
                    <w:id w:val="20052567"/>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630" w:firstLineChars="300"/>
                          <w:rPr>
                            <w:color w:val="000000"/>
                          </w:rPr>
                        </w:pPr>
                        <w:r>
                          <w:rPr>
                            <w:rFonts w:hint="eastAsia"/>
                          </w:rPr>
                          <w:t>经营活动产生的现金流量净额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9</w:t>
                    </w:r>
                    <w:r>
                      <w:rPr>
                        <w:rFonts w:hint="eastAsia"/>
                      </w:rPr>
                      <w:t>（1）</w:t>
                    </w:r>
                  </w:p>
                </w:tc>
                <w:tc>
                  <w:tcPr>
                    <w:tcW w:w="1253" w:type="pct"/>
                    <w:tcBorders>
                      <w:top w:val="outset" w:color="auto" w:sz="4" w:space="0"/>
                      <w:left w:val="outset" w:color="auto" w:sz="4" w:space="0"/>
                      <w:bottom w:val="outset" w:color="auto" w:sz="4" w:space="0"/>
                      <w:right w:val="outset" w:color="auto" w:sz="4" w:space="0"/>
                    </w:tcBorders>
                  </w:tcPr>
                  <w:p>
                    <w:pPr>
                      <w:jc w:val="right"/>
                    </w:pPr>
                    <w:r>
                      <w:t>3,630,954,437.28</w:t>
                    </w:r>
                  </w:p>
                </w:tc>
                <w:tc>
                  <w:tcPr>
                    <w:tcW w:w="1193" w:type="pct"/>
                    <w:tcBorders>
                      <w:top w:val="outset" w:color="auto" w:sz="4" w:space="0"/>
                      <w:left w:val="outset" w:color="auto" w:sz="4" w:space="0"/>
                      <w:bottom w:val="outset" w:color="auto" w:sz="4" w:space="0"/>
                      <w:right w:val="outset" w:color="auto" w:sz="4" w:space="0"/>
                    </w:tcBorders>
                  </w:tcPr>
                  <w:p>
                    <w:pPr>
                      <w:jc w:val="right"/>
                    </w:pPr>
                    <w:r>
                      <w:t>2,323,712,815.35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5b1c638e8714129b03173a0758b863f"/>
                    <w:id w:val="1467782217"/>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rPr>
                            <w:color w:val="008000"/>
                          </w:rPr>
                        </w:pPr>
                        <w:r>
                          <w:rPr>
                            <w:rFonts w:hint="eastAsia"/>
                            <w:b/>
                          </w:rPr>
                          <w:t>二、投资活动产生的现金流量：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5fbf0328fd24ef59c8541003255b0f4"/>
                    <w:id w:val="469177186"/>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收回投资收到的现金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7,440,350,579.06</w:t>
                    </w:r>
                  </w:p>
                </w:tc>
                <w:tc>
                  <w:tcPr>
                    <w:tcW w:w="1193" w:type="pct"/>
                    <w:tcBorders>
                      <w:top w:val="outset" w:color="auto" w:sz="4" w:space="0"/>
                      <w:left w:val="outset" w:color="auto" w:sz="4" w:space="0"/>
                      <w:bottom w:val="outset" w:color="auto" w:sz="4" w:space="0"/>
                      <w:right w:val="outset" w:color="auto" w:sz="4" w:space="0"/>
                    </w:tcBorders>
                  </w:tcPr>
                  <w:p>
                    <w:pPr>
                      <w:jc w:val="right"/>
                    </w:pPr>
                    <w:r>
                      <w:t>6,120,656,108.08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5e4982400d84c73b6fc0f506a5d5376"/>
                    <w:id w:val="-713805911"/>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取得投资收益收到的现金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166,906,221.15</w:t>
                    </w:r>
                  </w:p>
                </w:tc>
                <w:tc>
                  <w:tcPr>
                    <w:tcW w:w="1193" w:type="pct"/>
                    <w:tcBorders>
                      <w:top w:val="outset" w:color="auto" w:sz="4" w:space="0"/>
                      <w:left w:val="outset" w:color="auto" w:sz="4" w:space="0"/>
                      <w:bottom w:val="outset" w:color="auto" w:sz="4" w:space="0"/>
                      <w:right w:val="outset" w:color="auto" w:sz="4" w:space="0"/>
                    </w:tcBorders>
                  </w:tcPr>
                  <w:p>
                    <w:pPr>
                      <w:jc w:val="right"/>
                    </w:pPr>
                    <w:r>
                      <w:t>498,750,985.32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070e73d5e4b4f3ab454e8266545ce2f"/>
                    <w:id w:val="-1477681090"/>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处置固定资产、无形资产和其他长期资产收回的现金净额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6,775,931.73</w:t>
                    </w:r>
                  </w:p>
                </w:tc>
                <w:tc>
                  <w:tcPr>
                    <w:tcW w:w="1193" w:type="pct"/>
                    <w:tcBorders>
                      <w:top w:val="outset" w:color="auto" w:sz="4" w:space="0"/>
                      <w:left w:val="outset" w:color="auto" w:sz="4" w:space="0"/>
                      <w:bottom w:val="outset" w:color="auto" w:sz="4" w:space="0"/>
                      <w:right w:val="outset" w:color="auto" w:sz="4" w:space="0"/>
                    </w:tcBorders>
                  </w:tcPr>
                  <w:p>
                    <w:pPr>
                      <w:jc w:val="right"/>
                    </w:pPr>
                    <w:r>
                      <w:t>31,166,810.76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4f8da16e041496994b857c4c1889283"/>
                    <w:id w:val="1901945662"/>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投资活动现金流入小计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7,614,032,731.94</w:t>
                    </w:r>
                  </w:p>
                </w:tc>
                <w:tc>
                  <w:tcPr>
                    <w:tcW w:w="1193" w:type="pct"/>
                    <w:tcBorders>
                      <w:top w:val="outset" w:color="auto" w:sz="4" w:space="0"/>
                      <w:left w:val="outset" w:color="auto" w:sz="4" w:space="0"/>
                      <w:bottom w:val="outset" w:color="auto" w:sz="4" w:space="0"/>
                      <w:right w:val="outset" w:color="auto" w:sz="4" w:space="0"/>
                    </w:tcBorders>
                  </w:tcPr>
                  <w:p>
                    <w:pPr>
                      <w:jc w:val="right"/>
                    </w:pPr>
                    <w:r>
                      <w:t>6,650,573,904.16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ec533e5ae47447ca845ccd778baf9d2"/>
                    <w:id w:val="-1702237269"/>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购建固定资产、无形资产和其他长期资产支付的现金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1,191,590,033.76</w:t>
                    </w:r>
                  </w:p>
                </w:tc>
                <w:tc>
                  <w:tcPr>
                    <w:tcW w:w="1193" w:type="pct"/>
                    <w:tcBorders>
                      <w:top w:val="outset" w:color="auto" w:sz="4" w:space="0"/>
                      <w:left w:val="outset" w:color="auto" w:sz="4" w:space="0"/>
                      <w:bottom w:val="outset" w:color="auto" w:sz="4" w:space="0"/>
                      <w:right w:val="outset" w:color="auto" w:sz="4" w:space="0"/>
                    </w:tcBorders>
                  </w:tcPr>
                  <w:p>
                    <w:pPr>
                      <w:jc w:val="right"/>
                    </w:pPr>
                    <w:r>
                      <w:t>645,810,162.77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cfa06cfb65e431588ea9f9c8c72d193"/>
                    <w:id w:val="1900240939"/>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投资支付的现金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8,702,075,557.18</w:t>
                    </w:r>
                  </w:p>
                </w:tc>
                <w:tc>
                  <w:tcPr>
                    <w:tcW w:w="1193" w:type="pct"/>
                    <w:tcBorders>
                      <w:top w:val="outset" w:color="auto" w:sz="4" w:space="0"/>
                      <w:left w:val="outset" w:color="auto" w:sz="4" w:space="0"/>
                      <w:bottom w:val="outset" w:color="auto" w:sz="4" w:space="0"/>
                      <w:right w:val="outset" w:color="auto" w:sz="4" w:space="0"/>
                    </w:tcBorders>
                  </w:tcPr>
                  <w:p>
                    <w:pPr>
                      <w:jc w:val="right"/>
                    </w:pPr>
                    <w:r>
                      <w:t>7,896,679,469.68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d1b57b8ea74470da0c4e250ba5ee9ce"/>
                    <w:id w:val="-1641337807"/>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取得子公司支付的现金净额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p>
                </w:tc>
                <w:tc>
                  <w:tcPr>
                    <w:tcW w:w="1193" w:type="pct"/>
                    <w:tcBorders>
                      <w:top w:val="outset" w:color="auto" w:sz="4" w:space="0"/>
                      <w:left w:val="outset" w:color="auto" w:sz="4" w:space="0"/>
                      <w:bottom w:val="outset" w:color="auto" w:sz="4" w:space="0"/>
                      <w:right w:val="outset" w:color="auto" w:sz="4" w:space="0"/>
                    </w:tcBorders>
                  </w:tcPr>
                  <w:p>
                    <w:pPr>
                      <w:jc w:val="right"/>
                    </w:pPr>
                    <w:r>
                      <w:t>99,888.00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0f03153fc624284b3402147ccc07698"/>
                    <w:id w:val="-1636555253"/>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投资活动现金流出小计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9,893,665,590.94</w:t>
                    </w:r>
                  </w:p>
                </w:tc>
                <w:tc>
                  <w:tcPr>
                    <w:tcW w:w="1193" w:type="pct"/>
                    <w:tcBorders>
                      <w:top w:val="outset" w:color="auto" w:sz="4" w:space="0"/>
                      <w:left w:val="outset" w:color="auto" w:sz="4" w:space="0"/>
                      <w:bottom w:val="outset" w:color="auto" w:sz="4" w:space="0"/>
                      <w:right w:val="outset" w:color="auto" w:sz="4" w:space="0"/>
                    </w:tcBorders>
                  </w:tcPr>
                  <w:p>
                    <w:pPr>
                      <w:jc w:val="right"/>
                    </w:pPr>
                    <w:r>
                      <w:t>8,542,589,520.45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42db552946874e118fb4a5282ca23bcb"/>
                    <w:id w:val="-975456320"/>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630" w:firstLineChars="300"/>
                          <w:rPr>
                            <w:color w:val="000000"/>
                          </w:rPr>
                        </w:pPr>
                        <w:r>
                          <w:rPr>
                            <w:rFonts w:hint="eastAsia"/>
                          </w:rPr>
                          <w:t>投资活动产生的现金流量净额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rPr>
                        <w:rFonts w:hint="eastAsia"/>
                      </w:rPr>
                      <w:t>-</w:t>
                    </w:r>
                    <w:r>
                      <w:t>2,279,632,859.00</w:t>
                    </w:r>
                  </w:p>
                </w:tc>
                <w:tc>
                  <w:tcPr>
                    <w:tcW w:w="1193"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1,892,015,616.29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ebd9a8b5d8e4227a6bc3b0738379ef1"/>
                    <w:id w:val="-1558229676"/>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rPr>
                            <w:color w:val="008000"/>
                          </w:rPr>
                        </w:pPr>
                        <w:r>
                          <w:rPr>
                            <w:rFonts w:hint="eastAsia"/>
                            <w:b/>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87e16dcff524c8fab8d4804bc3560eb"/>
                    <w:id w:val="-581840164"/>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吸收投资收到的现金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200,816,000.00</w:t>
                    </w:r>
                  </w:p>
                </w:tc>
                <w:tc>
                  <w:tcPr>
                    <w:tcW w:w="1193" w:type="pct"/>
                    <w:tcBorders>
                      <w:top w:val="outset" w:color="auto" w:sz="4" w:space="0"/>
                      <w:left w:val="outset" w:color="auto" w:sz="4" w:space="0"/>
                      <w:bottom w:val="outset" w:color="auto" w:sz="4" w:space="0"/>
                      <w:right w:val="outset" w:color="auto" w:sz="4" w:space="0"/>
                    </w:tcBorders>
                  </w:tcPr>
                  <w:p>
                    <w:pPr>
                      <w:jc w:val="right"/>
                    </w:pPr>
                    <w:r>
                      <w:t>111,000,000.00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8fd8ee113014f9584611dc39886caf7"/>
                    <w:id w:val="-1195302039"/>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其中：子公司吸收少数股东投资收到的现金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200,816,000.00</w:t>
                    </w:r>
                  </w:p>
                </w:tc>
                <w:tc>
                  <w:tcPr>
                    <w:tcW w:w="1193"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0190b07f720484f9e0102359e7978d3"/>
                    <w:id w:val="-1195539325"/>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取得借款收到的现金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4,624,000,000.00</w:t>
                    </w:r>
                  </w:p>
                </w:tc>
                <w:tc>
                  <w:tcPr>
                    <w:tcW w:w="1193" w:type="pct"/>
                    <w:tcBorders>
                      <w:top w:val="outset" w:color="auto" w:sz="4" w:space="0"/>
                      <w:left w:val="outset" w:color="auto" w:sz="4" w:space="0"/>
                      <w:bottom w:val="outset" w:color="auto" w:sz="4" w:space="0"/>
                      <w:right w:val="outset" w:color="auto" w:sz="4" w:space="0"/>
                    </w:tcBorders>
                  </w:tcPr>
                  <w:p>
                    <w:pPr>
                      <w:jc w:val="right"/>
                    </w:pPr>
                    <w:r>
                      <w:t>2,775,500,000.00</w:t>
                    </w:r>
                  </w:p>
                </w:tc>
              </w:tr>
              <w:sdt>
                <w:sdtPr>
                  <w:alias w:val="发行债卷收到的现金"/>
                  <w:tag w:val="_TUP_bc4edddce97a440ba569a93ea8fdc331"/>
                  <w:id w:val="-451483339"/>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发行债卷收到的现金"/>
                        <w:tag w:val="_GBC_68fab0a25711498588869182e49f7ad5"/>
                        <w:id w:val="-28261985"/>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t>发行债券收到的现金</w:t>
                            </w:r>
                          </w:p>
                        </w:tc>
                      </w:sdtContent>
                    </w:sdt>
                    <w:sdt>
                      <w:sdtPr>
                        <w:tag w:val="_GBC_2383482272c0410f8d21256156fc809a"/>
                        <w:id w:val="1483745037"/>
                        <w:lock w:val="sdtLocked"/>
                      </w:sdtPr>
                      <w:sdtContent>
                        <w:tc>
                          <w:tcPr>
                            <w:tcW w:w="842" w:type="pct"/>
                            <w:tcBorders>
                              <w:top w:val="outset" w:color="auto" w:sz="4" w:space="0"/>
                              <w:left w:val="outset" w:color="auto" w:sz="4" w:space="0"/>
                              <w:bottom w:val="outset" w:color="auto" w:sz="4" w:space="0"/>
                              <w:right w:val="outset" w:color="auto" w:sz="4" w:space="0"/>
                            </w:tcBorders>
                          </w:tcPr>
                          <w:p>
                            <w:pPr>
                              <w:pStyle w:val="114"/>
                            </w:pPr>
                          </w:p>
                        </w:tc>
                      </w:sdtContent>
                    </w:sdt>
                    <w:sdt>
                      <w:sdtPr>
                        <w:tag w:val="_GBC_c77b6f91a35a40d09b799fd524cd06d6"/>
                        <w:id w:val="1694502564"/>
                        <w:lock w:val="sdtLocked"/>
                      </w:sdtPr>
                      <w:sdtContent>
                        <w:tc>
                          <w:tcPr>
                            <w:tcW w:w="1253" w:type="pct"/>
                            <w:tcBorders>
                              <w:top w:val="outset" w:color="auto" w:sz="4" w:space="0"/>
                              <w:left w:val="outset" w:color="auto" w:sz="4" w:space="0"/>
                              <w:bottom w:val="outset" w:color="auto" w:sz="4" w:space="0"/>
                              <w:right w:val="outset" w:color="auto" w:sz="4" w:space="0"/>
                            </w:tcBorders>
                          </w:tcPr>
                          <w:p>
                            <w:pPr>
                              <w:jc w:val="right"/>
                            </w:pPr>
                            <w:r>
                              <w:t>8,270,000,000.00</w:t>
                            </w:r>
                          </w:p>
                        </w:tc>
                      </w:sdtContent>
                    </w:sdt>
                    <w:sdt>
                      <w:sdtPr>
                        <w:tag w:val="_GBC_d13a196d0372466f8225c7aab62a4516"/>
                        <w:id w:val="-62568999"/>
                        <w:lock w:val="sdtLocked"/>
                      </w:sdtPr>
                      <w:sdtContent>
                        <w:tc>
                          <w:tcPr>
                            <w:tcW w:w="1193" w:type="pct"/>
                            <w:tcBorders>
                              <w:top w:val="outset" w:color="auto" w:sz="4" w:space="0"/>
                              <w:left w:val="outset" w:color="auto" w:sz="4" w:space="0"/>
                              <w:bottom w:val="outset" w:color="auto" w:sz="4" w:space="0"/>
                              <w:right w:val="outset" w:color="auto" w:sz="4" w:space="0"/>
                            </w:tcBorders>
                          </w:tcPr>
                          <w:p>
                            <w:pPr>
                              <w:jc w:val="right"/>
                            </w:pPr>
                            <w:r>
                              <w:t>13,770,508,244.69</w:t>
                            </w:r>
                          </w:p>
                        </w:tc>
                      </w:sdtContent>
                    </w:sdt>
                  </w:tr>
                </w:sdtContent>
              </w:sd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7831604962849fb93fa8d17ab106c5b"/>
                    <w:id w:val="-153917785"/>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收到其他与筹资活动有关的现金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p>
                </w:tc>
                <w:tc>
                  <w:tcPr>
                    <w:tcW w:w="1193"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926a46349eb4b56bdbb2f2f944e8881"/>
                    <w:id w:val="1814450188"/>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筹资活动现金流入小计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13,094,816,000.00</w:t>
                    </w:r>
                  </w:p>
                </w:tc>
                <w:tc>
                  <w:tcPr>
                    <w:tcW w:w="1193" w:type="pct"/>
                    <w:tcBorders>
                      <w:top w:val="outset" w:color="auto" w:sz="4" w:space="0"/>
                      <w:left w:val="outset" w:color="auto" w:sz="4" w:space="0"/>
                      <w:bottom w:val="outset" w:color="auto" w:sz="4" w:space="0"/>
                      <w:right w:val="outset" w:color="auto" w:sz="4" w:space="0"/>
                    </w:tcBorders>
                  </w:tcPr>
                  <w:p>
                    <w:pPr>
                      <w:jc w:val="right"/>
                    </w:pPr>
                    <w:r>
                      <w:t>16,657,008,244.69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137864a3db342b2affb93d91fc42d1a"/>
                    <w:id w:val="702210108"/>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偿还债务支付的现金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14,327,761,339.68</w:t>
                    </w:r>
                  </w:p>
                </w:tc>
                <w:tc>
                  <w:tcPr>
                    <w:tcW w:w="1193" w:type="pct"/>
                    <w:tcBorders>
                      <w:top w:val="outset" w:color="auto" w:sz="4" w:space="0"/>
                      <w:left w:val="outset" w:color="auto" w:sz="4" w:space="0"/>
                      <w:bottom w:val="outset" w:color="auto" w:sz="4" w:space="0"/>
                      <w:right w:val="outset" w:color="auto" w:sz="4" w:space="0"/>
                    </w:tcBorders>
                  </w:tcPr>
                  <w:p>
                    <w:pPr>
                      <w:jc w:val="right"/>
                    </w:pPr>
                    <w:r>
                      <w:t>16,423,619,866.52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2a887dda27749eebf9088b00cfe1966"/>
                    <w:id w:val="-977838399"/>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分配股利、利润或偿付利息支付的现金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494,785,535.97</w:t>
                    </w:r>
                  </w:p>
                </w:tc>
                <w:tc>
                  <w:tcPr>
                    <w:tcW w:w="1193" w:type="pct"/>
                    <w:tcBorders>
                      <w:top w:val="outset" w:color="auto" w:sz="4" w:space="0"/>
                      <w:left w:val="outset" w:color="auto" w:sz="4" w:space="0"/>
                      <w:bottom w:val="outset" w:color="auto" w:sz="4" w:space="0"/>
                      <w:right w:val="outset" w:color="auto" w:sz="4" w:space="0"/>
                    </w:tcBorders>
                  </w:tcPr>
                  <w:p>
                    <w:pPr>
                      <w:jc w:val="right"/>
                    </w:pPr>
                    <w:r>
                      <w:t>522,409,918.79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b8d07de199a4a5dbc96c42e4c1ed665"/>
                    <w:id w:val="1639925580"/>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其中：子公司支付给少数股东的股利、利润</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11,597,152.11</w:t>
                    </w:r>
                  </w:p>
                </w:tc>
                <w:tc>
                  <w:tcPr>
                    <w:tcW w:w="1193"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fb96c1bc59a47a4b30f74aabd8d3bc1"/>
                    <w:id w:val="-1965411237"/>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支付其他与筹资活动有关的现金</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8</w:t>
                    </w:r>
                    <w:r>
                      <w:rPr>
                        <w:rFonts w:hint="eastAsia"/>
                      </w:rPr>
                      <w:t>（6）</w:t>
                    </w:r>
                  </w:p>
                </w:tc>
                <w:tc>
                  <w:tcPr>
                    <w:tcW w:w="1253" w:type="pct"/>
                    <w:tcBorders>
                      <w:top w:val="outset" w:color="auto" w:sz="4" w:space="0"/>
                      <w:left w:val="outset" w:color="auto" w:sz="4" w:space="0"/>
                      <w:bottom w:val="outset" w:color="auto" w:sz="4" w:space="0"/>
                      <w:right w:val="outset" w:color="auto" w:sz="4" w:space="0"/>
                    </w:tcBorders>
                  </w:tcPr>
                  <w:p>
                    <w:pPr>
                      <w:jc w:val="right"/>
                    </w:pPr>
                    <w:r>
                      <w:t>16,271,493.93</w:t>
                    </w:r>
                  </w:p>
                </w:tc>
                <w:tc>
                  <w:tcPr>
                    <w:tcW w:w="1193" w:type="pct"/>
                    <w:tcBorders>
                      <w:top w:val="outset" w:color="auto" w:sz="4" w:space="0"/>
                      <w:left w:val="outset" w:color="auto" w:sz="4" w:space="0"/>
                      <w:bottom w:val="outset" w:color="auto" w:sz="4" w:space="0"/>
                      <w:right w:val="outset" w:color="auto" w:sz="4" w:space="0"/>
                    </w:tcBorders>
                  </w:tcPr>
                  <w:p>
                    <w:pPr>
                      <w:jc w:val="right"/>
                    </w:pPr>
                    <w:r>
                      <w:t>3,730,092.00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2e28ae5b48f44edbae325bc7a025b65"/>
                    <w:id w:val="-381176036"/>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筹资活动现金流出小计</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t>14,838,818,369.58</w:t>
                    </w:r>
                  </w:p>
                </w:tc>
                <w:tc>
                  <w:tcPr>
                    <w:tcW w:w="1193" w:type="pct"/>
                    <w:tcBorders>
                      <w:top w:val="outset" w:color="auto" w:sz="4" w:space="0"/>
                      <w:left w:val="outset" w:color="auto" w:sz="4" w:space="0"/>
                      <w:bottom w:val="outset" w:color="auto" w:sz="4" w:space="0"/>
                      <w:right w:val="outset" w:color="auto" w:sz="4" w:space="0"/>
                    </w:tcBorders>
                  </w:tcPr>
                  <w:p>
                    <w:pPr>
                      <w:jc w:val="right"/>
                    </w:pPr>
                    <w:r>
                      <w:t>16,949,759,877.31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acfeaab1df34490bc35dfb823671d84"/>
                    <w:id w:val="519052448"/>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630" w:firstLineChars="300"/>
                          <w:rPr>
                            <w:color w:val="000000"/>
                          </w:rPr>
                        </w:pPr>
                        <w:r>
                          <w:rPr>
                            <w:rFonts w:hint="eastAsia"/>
                          </w:rPr>
                          <w:t>筹资活动产生的现金流量净额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1,744,002,369.58</w:t>
                    </w:r>
                  </w:p>
                </w:tc>
                <w:tc>
                  <w:tcPr>
                    <w:tcW w:w="1193" w:type="pct"/>
                    <w:tcBorders>
                      <w:top w:val="outset" w:color="auto" w:sz="4" w:space="0"/>
                      <w:left w:val="outset" w:color="auto" w:sz="4" w:space="0"/>
                      <w:bottom w:val="outset" w:color="auto" w:sz="4" w:space="0"/>
                      <w:right w:val="outset" w:color="auto" w:sz="4" w:space="0"/>
                    </w:tcBorders>
                  </w:tcPr>
                  <w:p>
                    <w:pPr>
                      <w:jc w:val="right"/>
                    </w:pPr>
                    <w:r>
                      <w:rPr>
                        <w:rFonts w:hint="eastAsia"/>
                      </w:rPr>
                      <w:t>-</w:t>
                    </w:r>
                    <w:r>
                      <w:t>292,751,632.62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8d125642e41419d9843a71dc9472f51"/>
                    <w:id w:val="1838962846"/>
                    <w:lock w:val="sdtLocked"/>
                  </w:sdtPr>
                  <w:sdtContent>
                    <w:tc>
                      <w:tcPr>
                        <w:tcW w:w="1711"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四、汇率变动对现金及现金等价物的影响</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p>
                </w:tc>
                <w:tc>
                  <w:tcPr>
                    <w:tcW w:w="1253" w:type="pct"/>
                    <w:tcBorders>
                      <w:top w:val="outset" w:color="auto" w:sz="4" w:space="0"/>
                      <w:left w:val="outset" w:color="auto" w:sz="4" w:space="0"/>
                      <w:bottom w:val="outset" w:color="auto" w:sz="4" w:space="0"/>
                      <w:right w:val="outset" w:color="auto" w:sz="4" w:space="0"/>
                    </w:tcBorders>
                  </w:tcPr>
                  <w:p>
                    <w:pPr>
                      <w:jc w:val="right"/>
                    </w:pPr>
                  </w:p>
                </w:tc>
                <w:tc>
                  <w:tcPr>
                    <w:tcW w:w="1193"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d66e1d9937544d090d0b7529065ff9b"/>
                    <w:id w:val="-156153301"/>
                    <w:lock w:val="sdtLocked"/>
                  </w:sdtPr>
                  <w:sdtContent>
                    <w:tc>
                      <w:tcPr>
                        <w:tcW w:w="1711"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五、现金及现金等价物净增加额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9</w:t>
                    </w:r>
                    <w:r>
                      <w:rPr>
                        <w:rFonts w:hint="eastAsia"/>
                      </w:rPr>
                      <w:t>（1）</w:t>
                    </w:r>
                  </w:p>
                </w:tc>
                <w:tc>
                  <w:tcPr>
                    <w:tcW w:w="1253" w:type="pct"/>
                    <w:tcBorders>
                      <w:top w:val="outset" w:color="auto" w:sz="4" w:space="0"/>
                      <w:left w:val="outset" w:color="auto" w:sz="4" w:space="0"/>
                      <w:bottom w:val="outset" w:color="auto" w:sz="4" w:space="0"/>
                      <w:right w:val="outset" w:color="auto" w:sz="4" w:space="0"/>
                    </w:tcBorders>
                  </w:tcPr>
                  <w:p>
                    <w:pPr>
                      <w:jc w:val="right"/>
                    </w:pPr>
                    <w:r>
                      <w:rPr>
                        <w:rFonts w:hint="eastAsia"/>
                      </w:rPr>
                      <w:t>-</w:t>
                    </w:r>
                    <w:r>
                      <w:t xml:space="preserve">392,680,791.30 </w:t>
                    </w:r>
                  </w:p>
                </w:tc>
                <w:tc>
                  <w:tcPr>
                    <w:tcW w:w="1193" w:type="pct"/>
                    <w:tcBorders>
                      <w:top w:val="outset" w:color="auto" w:sz="4" w:space="0"/>
                      <w:left w:val="outset" w:color="auto" w:sz="4" w:space="0"/>
                      <w:bottom w:val="outset" w:color="auto" w:sz="4" w:space="0"/>
                      <w:right w:val="outset" w:color="auto" w:sz="4" w:space="0"/>
                    </w:tcBorders>
                  </w:tcPr>
                  <w:p>
                    <w:pPr>
                      <w:jc w:val="right"/>
                    </w:pPr>
                    <w:r>
                      <w:t>138,945,566.44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384e472db4a44618443173a520a565b"/>
                    <w:id w:val="-1390186295"/>
                    <w:lock w:val="sdtLocked"/>
                  </w:sdtPr>
                  <w:sdtContent>
                    <w:tc>
                      <w:tcPr>
                        <w:tcW w:w="1711"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加：期初现金及现金等价物余额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9</w:t>
                    </w:r>
                    <w:r>
                      <w:rPr>
                        <w:rFonts w:hint="eastAsia"/>
                      </w:rPr>
                      <w:t>（4）</w:t>
                    </w:r>
                  </w:p>
                </w:tc>
                <w:tc>
                  <w:tcPr>
                    <w:tcW w:w="1253" w:type="pct"/>
                    <w:tcBorders>
                      <w:top w:val="outset" w:color="auto" w:sz="4" w:space="0"/>
                      <w:left w:val="outset" w:color="auto" w:sz="4" w:space="0"/>
                      <w:bottom w:val="outset" w:color="auto" w:sz="4" w:space="0"/>
                      <w:right w:val="outset" w:color="auto" w:sz="4" w:space="0"/>
                    </w:tcBorders>
                  </w:tcPr>
                  <w:p>
                    <w:pPr>
                      <w:jc w:val="right"/>
                    </w:pPr>
                    <w:r>
                      <w:t>925,012,854.49</w:t>
                    </w:r>
                  </w:p>
                </w:tc>
                <w:tc>
                  <w:tcPr>
                    <w:tcW w:w="1193" w:type="pct"/>
                    <w:tcBorders>
                      <w:top w:val="outset" w:color="auto" w:sz="4" w:space="0"/>
                      <w:left w:val="outset" w:color="auto" w:sz="4" w:space="0"/>
                      <w:bottom w:val="outset" w:color="auto" w:sz="4" w:space="0"/>
                      <w:right w:val="outset" w:color="auto" w:sz="4" w:space="0"/>
                    </w:tcBorders>
                  </w:tcPr>
                  <w:p>
                    <w:pPr>
                      <w:jc w:val="right"/>
                    </w:pPr>
                    <w:r>
                      <w:t>617,306,798.75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b83b8f9db734a7cb83175f4e64ae363"/>
                    <w:id w:val="587197931"/>
                    <w:lock w:val="sdtLocked"/>
                  </w:sdtPr>
                  <w:sdtContent>
                    <w:tc>
                      <w:tcPr>
                        <w:tcW w:w="1711"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六、期末现金及现金等价物余额</w:t>
                        </w:r>
                      </w:p>
                    </w:tc>
                  </w:sdtContent>
                </w:sdt>
                <w:tc>
                  <w:tcPr>
                    <w:tcW w:w="842" w:type="pct"/>
                    <w:tcBorders>
                      <w:top w:val="outset" w:color="auto" w:sz="4" w:space="0"/>
                      <w:left w:val="outset" w:color="auto" w:sz="4" w:space="0"/>
                      <w:bottom w:val="outset" w:color="auto" w:sz="4" w:space="0"/>
                      <w:right w:val="outset" w:color="auto" w:sz="4" w:space="0"/>
                    </w:tcBorders>
                  </w:tcPr>
                  <w:p>
                    <w:pPr>
                      <w:pStyle w:val="114"/>
                    </w:pPr>
                    <w:r>
                      <w:rPr>
                        <w:rFonts w:hint="eastAsia"/>
                      </w:rPr>
                      <w:t>七、7</w:t>
                    </w:r>
                    <w:r>
                      <w:t>9</w:t>
                    </w:r>
                    <w:r>
                      <w:rPr>
                        <w:rFonts w:hint="eastAsia"/>
                      </w:rPr>
                      <w:t>（4）</w:t>
                    </w:r>
                  </w:p>
                </w:tc>
                <w:tc>
                  <w:tcPr>
                    <w:tcW w:w="1253" w:type="pct"/>
                    <w:tcBorders>
                      <w:top w:val="outset" w:color="auto" w:sz="4" w:space="0"/>
                      <w:left w:val="outset" w:color="auto" w:sz="4" w:space="0"/>
                      <w:bottom w:val="outset" w:color="auto" w:sz="4" w:space="0"/>
                      <w:right w:val="outset" w:color="auto" w:sz="4" w:space="0"/>
                    </w:tcBorders>
                  </w:tcPr>
                  <w:p>
                    <w:pPr>
                      <w:jc w:val="right"/>
                    </w:pPr>
                    <w:r>
                      <w:t>532,332,063.19</w:t>
                    </w:r>
                  </w:p>
                </w:tc>
                <w:tc>
                  <w:tcPr>
                    <w:tcW w:w="1193" w:type="pct"/>
                    <w:tcBorders>
                      <w:top w:val="outset" w:color="auto" w:sz="4" w:space="0"/>
                      <w:left w:val="outset" w:color="auto" w:sz="4" w:space="0"/>
                      <w:bottom w:val="outset" w:color="auto" w:sz="4" w:space="0"/>
                      <w:right w:val="outset" w:color="auto" w:sz="4" w:space="0"/>
                    </w:tcBorders>
                  </w:tcPr>
                  <w:p>
                    <w:pPr>
                      <w:jc w:val="right"/>
                    </w:pPr>
                    <w:r>
                      <w:t>756,252,365.19</w:t>
                    </w:r>
                  </w:p>
                </w:tc>
              </w:tr>
            </w:tbl>
            <w:p>
              <w:pPr>
                <w:snapToGrid w:val="0"/>
                <w:spacing w:line="240" w:lineRule="atLeast"/>
                <w:ind w:right="25" w:rightChars="12"/>
                <w:rPr>
                  <w:b/>
                  <w:bCs/>
                  <w:color w:val="FF0000"/>
                </w:rPr>
              </w:pPr>
              <w:r>
                <w:t>公司负责人</w:t>
              </w:r>
              <w:r>
                <w:rPr>
                  <w:rFonts w:hint="eastAsia"/>
                </w:rPr>
                <w:t>：</w:t>
              </w:r>
              <w:sdt>
                <w:sdtPr>
                  <w:rPr>
                    <w:rFonts w:hint="eastAsia"/>
                  </w:rPr>
                  <w:alias w:val="公司负责人"/>
                  <w:tag w:val="_GBC_d1f7cb193ab444ff8482a06aad12f0db"/>
                  <w:id w:val="-1040965675"/>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2099400739"/>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345144873"/>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pStyle w:val="114"/>
          </w:pPr>
        </w:p>
        <w:p>
          <w:pPr>
            <w:jc w:val="center"/>
            <w:rPr>
              <w:b/>
              <w:bCs/>
            </w:rPr>
          </w:pPr>
        </w:p>
        <w:sdt>
          <w:sdtPr>
            <w:rPr>
              <w:rFonts w:hint="eastAsia" w:ascii="宋体" w:hAnsi="宋体" w:cs="宋体"/>
              <w:b w:val="0"/>
              <w:bCs w:val="0"/>
              <w:kern w:val="0"/>
              <w:szCs w:val="24"/>
            </w:rPr>
            <w:tag w:val="_GBC_fa07832b39b14b348ba105d6cedbd7b8"/>
            <w:id w:val="-79603510"/>
            <w:lock w:val="sdtLocked"/>
            <w:placeholder>
              <w:docPart w:val="GBC22222222222222222222222222222"/>
            </w:placeholder>
          </w:sdtPr>
          <w:sdtEndPr>
            <w:rPr>
              <w:rFonts w:hint="eastAsia" w:ascii="宋体" w:hAnsi="宋体" w:cs="宋体"/>
              <w:b w:val="0"/>
              <w:bCs w:val="0"/>
              <w:kern w:val="0"/>
              <w:szCs w:val="21"/>
            </w:rPr>
          </w:sdtEndPr>
          <w:sdtContent>
            <w:p>
              <w:pPr>
                <w:pStyle w:val="4"/>
                <w:jc w:val="center"/>
                <w:rPr>
                  <w:rFonts w:ascii="宋体" w:hAnsi="宋体"/>
                </w:rPr>
              </w:pPr>
              <w:r>
                <w:rPr>
                  <w:rFonts w:hint="eastAsia" w:ascii="宋体" w:hAnsi="宋体"/>
                </w:rPr>
                <w:t>母公司</w:t>
              </w:r>
              <w:r>
                <w:rPr>
                  <w:rFonts w:ascii="宋体" w:hAnsi="宋体"/>
                </w:rPr>
                <w:t>现金流量表</w:t>
              </w:r>
            </w:p>
            <w:p>
              <w:pPr>
                <w:jc w:val="center"/>
                <w:rPr>
                  <w:b/>
                  <w:bCs/>
                </w:rPr>
              </w:pPr>
              <w:r>
                <w:t>2023年</w:t>
              </w:r>
              <w:r>
                <w:rPr>
                  <w:rFonts w:hint="eastAsia"/>
                </w:rPr>
                <w:t>1—6</w:t>
              </w:r>
              <w:r>
                <w:t>月</w:t>
              </w:r>
            </w:p>
            <w:p>
              <w:pPr>
                <w:jc w:val="right"/>
              </w:pPr>
              <w:r>
                <w:t>单位：</w:t>
              </w:r>
              <w:sdt>
                <w:sdtPr>
                  <w:alias w:val="单位：母公司现金流量表"/>
                  <w:tag w:val="_GBC_993ead81b27a41dfaccaacfaec8b7c78"/>
                  <w:id w:val="-19307982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现金流量表"/>
                  <w:tag w:val="_GBC_2dd4b706d0a244a4b4c21166025356cc"/>
                  <w:id w:val="14858936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067"/>
                <w:gridCol w:w="1801"/>
                <w:gridCol w:w="2096"/>
                <w:gridCol w:w="20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0ae0904ed714106892a5beddfe5846a"/>
                    <w:id w:val="1333176630"/>
                    <w:lock w:val="sdtLocked"/>
                  </w:sdtPr>
                  <w:sdtContent>
                    <w:tc>
                      <w:tcPr>
                        <w:tcW w:w="1695" w:type="pct"/>
                        <w:tcBorders>
                          <w:top w:val="outset" w:color="auto" w:sz="4" w:space="0"/>
                          <w:left w:val="outset" w:color="auto" w:sz="4" w:space="0"/>
                          <w:bottom w:val="outset" w:color="auto" w:sz="4" w:space="0"/>
                          <w:right w:val="outset" w:color="auto" w:sz="4" w:space="0"/>
                        </w:tcBorders>
                      </w:tcPr>
                      <w:p>
                        <w:pPr>
                          <w:jc w:val="center"/>
                          <w:rPr>
                            <w:b/>
                            <w:bCs/>
                          </w:rPr>
                        </w:pPr>
                        <w:r>
                          <w:rPr>
                            <w:b/>
                          </w:rPr>
                          <w:t>项目</w:t>
                        </w:r>
                      </w:p>
                    </w:tc>
                  </w:sdtContent>
                </w:sdt>
                <w:sdt>
                  <w:sdtPr>
                    <w:tag w:val="_PLD_9cb87427e0de42d2b7e58a286ff58290"/>
                    <w:id w:val="-405304633"/>
                    <w:lock w:val="sdtLocked"/>
                  </w:sdtPr>
                  <w:sdtContent>
                    <w:tc>
                      <w:tcPr>
                        <w:tcW w:w="995" w:type="pct"/>
                        <w:tcBorders>
                          <w:top w:val="outset" w:color="auto" w:sz="4" w:space="0"/>
                          <w:left w:val="outset" w:color="auto" w:sz="4" w:space="0"/>
                          <w:bottom w:val="outset" w:color="auto" w:sz="4" w:space="0"/>
                          <w:right w:val="outset" w:color="auto" w:sz="4" w:space="0"/>
                        </w:tcBorders>
                      </w:tcPr>
                      <w:p>
                        <w:pPr>
                          <w:autoSpaceDE w:val="0"/>
                          <w:autoSpaceDN w:val="0"/>
                          <w:adjustRightInd w:val="0"/>
                          <w:jc w:val="center"/>
                          <w:rPr>
                            <w:b/>
                          </w:rPr>
                        </w:pPr>
                        <w:r>
                          <w:rPr>
                            <w:b/>
                          </w:rPr>
                          <w:t>附注</w:t>
                        </w:r>
                      </w:p>
                    </w:tc>
                  </w:sdtContent>
                </w:sdt>
                <w:sdt>
                  <w:sdtPr>
                    <w:tag w:val="_PLD_514bbce28b6040e393e59c5ec50c3820"/>
                    <w:id w:val="1634834091"/>
                    <w:lock w:val="sdtLocked"/>
                  </w:sdtPr>
                  <w:sdtContent>
                    <w:tc>
                      <w:tcPr>
                        <w:tcW w:w="1158" w:type="pct"/>
                        <w:tcBorders>
                          <w:top w:val="outset" w:color="auto" w:sz="4" w:space="0"/>
                          <w:left w:val="outset" w:color="auto" w:sz="4" w:space="0"/>
                          <w:bottom w:val="outset" w:color="auto" w:sz="4" w:space="0"/>
                          <w:right w:val="outset" w:color="auto" w:sz="4" w:space="0"/>
                        </w:tcBorders>
                      </w:tcPr>
                      <w:p>
                        <w:pPr>
                          <w:autoSpaceDE w:val="0"/>
                          <w:autoSpaceDN w:val="0"/>
                          <w:adjustRightInd w:val="0"/>
                          <w:jc w:val="center"/>
                          <w:rPr>
                            <w:b/>
                          </w:rPr>
                        </w:pPr>
                        <w:r>
                          <w:rPr>
                            <w:rFonts w:hint="eastAsia"/>
                            <w:b/>
                          </w:rPr>
                          <w:t>2023年半年度</w:t>
                        </w:r>
                      </w:p>
                    </w:tc>
                  </w:sdtContent>
                </w:sdt>
                <w:sdt>
                  <w:sdtPr>
                    <w:tag w:val="_PLD_de39c3f730c74ecca3c9a890bc08a2c1"/>
                    <w:id w:val="1822995960"/>
                    <w:lock w:val="sdtLocked"/>
                  </w:sdtPr>
                  <w:sdtContent>
                    <w:tc>
                      <w:tcPr>
                        <w:tcW w:w="1152" w:type="pct"/>
                        <w:tcBorders>
                          <w:top w:val="outset" w:color="auto" w:sz="4" w:space="0"/>
                          <w:left w:val="outset" w:color="auto" w:sz="4" w:space="0"/>
                          <w:bottom w:val="outset" w:color="auto" w:sz="4" w:space="0"/>
                          <w:right w:val="outset" w:color="auto" w:sz="4" w:space="0"/>
                        </w:tcBorders>
                      </w:tcPr>
                      <w:p>
                        <w:pPr>
                          <w:autoSpaceDE w:val="0"/>
                          <w:autoSpaceDN w:val="0"/>
                          <w:adjustRightInd w:val="0"/>
                          <w:jc w:val="center"/>
                          <w:rPr>
                            <w:b/>
                          </w:rPr>
                        </w:pPr>
                        <w:r>
                          <w:rPr>
                            <w:rFonts w:hint="eastAsia"/>
                            <w:b/>
                          </w:rPr>
                          <w:t>2022年半年度</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75fd724a7cb4261a6c80660162ce2fb"/>
                    <w:id w:val="1263331468"/>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pStyle w:val="114"/>
                        </w:pPr>
                        <w:r>
                          <w:rPr>
                            <w:rFonts w:hint="eastAsia"/>
                            <w:b/>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2863635c2aa4636ad77b92e44fbd77d"/>
                    <w:id w:val="-1470357307"/>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销售商品、提供劳务收到的现金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4,371,388,379.49</w:t>
                    </w:r>
                  </w:p>
                </w:tc>
                <w:tc>
                  <w:tcPr>
                    <w:tcW w:w="1152" w:type="pct"/>
                    <w:tcBorders>
                      <w:top w:val="outset" w:color="auto" w:sz="4" w:space="0"/>
                      <w:left w:val="outset" w:color="auto" w:sz="4" w:space="0"/>
                      <w:bottom w:val="outset" w:color="auto" w:sz="4" w:space="0"/>
                      <w:right w:val="outset" w:color="auto" w:sz="4" w:space="0"/>
                    </w:tcBorders>
                  </w:tcPr>
                  <w:p>
                    <w:pPr>
                      <w:jc w:val="right"/>
                    </w:pPr>
                    <w:r>
                      <w:t>3,044,017,076.58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f6ba49a98924345bef562f06bfcb294"/>
                    <w:id w:val="209350319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收到的税费返还</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p>
                </w:tc>
                <w:tc>
                  <w:tcPr>
                    <w:tcW w:w="1152"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6639b4a021d45c5a9c028b0a988399d"/>
                    <w:id w:val="-694304352"/>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收到其他与经营活动有关的现金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59,049,583.64</w:t>
                    </w:r>
                  </w:p>
                </w:tc>
                <w:tc>
                  <w:tcPr>
                    <w:tcW w:w="1152" w:type="pct"/>
                    <w:tcBorders>
                      <w:top w:val="outset" w:color="auto" w:sz="4" w:space="0"/>
                      <w:left w:val="outset" w:color="auto" w:sz="4" w:space="0"/>
                      <w:bottom w:val="outset" w:color="auto" w:sz="4" w:space="0"/>
                      <w:right w:val="outset" w:color="auto" w:sz="4" w:space="0"/>
                    </w:tcBorders>
                  </w:tcPr>
                  <w:p>
                    <w:pPr>
                      <w:jc w:val="right"/>
                    </w:pPr>
                    <w:r>
                      <w:t>31,786,616.95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4de81055bc940a3b2e810f08ea30cd0"/>
                    <w:id w:val="209512368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经营活动现金流入小计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4,430,437,963.13</w:t>
                    </w:r>
                  </w:p>
                </w:tc>
                <w:tc>
                  <w:tcPr>
                    <w:tcW w:w="1152" w:type="pct"/>
                    <w:tcBorders>
                      <w:top w:val="outset" w:color="auto" w:sz="4" w:space="0"/>
                      <w:left w:val="outset" w:color="auto" w:sz="4" w:space="0"/>
                      <w:bottom w:val="outset" w:color="auto" w:sz="4" w:space="0"/>
                      <w:right w:val="outset" w:color="auto" w:sz="4" w:space="0"/>
                    </w:tcBorders>
                  </w:tcPr>
                  <w:p>
                    <w:pPr>
                      <w:jc w:val="right"/>
                    </w:pPr>
                    <w:r>
                      <w:t>3,075,803,693.53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225a8e3c0d04e74be5259e8c6d2c503"/>
                    <w:id w:val="774289628"/>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购买商品、接受劳务支付的现金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1,224,457,301.86</w:t>
                    </w:r>
                  </w:p>
                </w:tc>
                <w:tc>
                  <w:tcPr>
                    <w:tcW w:w="1152" w:type="pct"/>
                    <w:tcBorders>
                      <w:top w:val="outset" w:color="auto" w:sz="4" w:space="0"/>
                      <w:left w:val="outset" w:color="auto" w:sz="4" w:space="0"/>
                      <w:bottom w:val="outset" w:color="auto" w:sz="4" w:space="0"/>
                      <w:right w:val="outset" w:color="auto" w:sz="4" w:space="0"/>
                    </w:tcBorders>
                  </w:tcPr>
                  <w:p>
                    <w:pPr>
                      <w:jc w:val="right"/>
                    </w:pPr>
                    <w:r>
                      <w:t>833,481,160.82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bc74c61fa7a4ba98c9b2ee5eb59820e"/>
                    <w:id w:val="915051148"/>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支付给职工及为职工支付的现金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395,884,637.41</w:t>
                    </w:r>
                  </w:p>
                </w:tc>
                <w:tc>
                  <w:tcPr>
                    <w:tcW w:w="1152" w:type="pct"/>
                    <w:tcBorders>
                      <w:top w:val="outset" w:color="auto" w:sz="4" w:space="0"/>
                      <w:left w:val="outset" w:color="auto" w:sz="4" w:space="0"/>
                      <w:bottom w:val="outset" w:color="auto" w:sz="4" w:space="0"/>
                      <w:right w:val="outset" w:color="auto" w:sz="4" w:space="0"/>
                    </w:tcBorders>
                  </w:tcPr>
                  <w:p>
                    <w:pPr>
                      <w:jc w:val="right"/>
                    </w:pPr>
                    <w:r>
                      <w:t>387,882,073.37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36b8ff4ff8840c58c0c9f99f358310c"/>
                    <w:id w:val="1394622713"/>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支付的各项税费</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535,644,542.18</w:t>
                    </w:r>
                  </w:p>
                </w:tc>
                <w:tc>
                  <w:tcPr>
                    <w:tcW w:w="1152" w:type="pct"/>
                    <w:tcBorders>
                      <w:top w:val="outset" w:color="auto" w:sz="4" w:space="0"/>
                      <w:left w:val="outset" w:color="auto" w:sz="4" w:space="0"/>
                      <w:bottom w:val="outset" w:color="auto" w:sz="4" w:space="0"/>
                      <w:right w:val="outset" w:color="auto" w:sz="4" w:space="0"/>
                    </w:tcBorders>
                  </w:tcPr>
                  <w:p>
                    <w:pPr>
                      <w:jc w:val="right"/>
                    </w:pPr>
                    <w:r>
                      <w:t>451,517,630.21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ca36b1e8aed4dcf8f2b3a0daeff07e6"/>
                    <w:id w:val="-559708109"/>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支付其他与经营活动有关的现金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69,901,545.43</w:t>
                    </w:r>
                  </w:p>
                </w:tc>
                <w:tc>
                  <w:tcPr>
                    <w:tcW w:w="1152" w:type="pct"/>
                    <w:tcBorders>
                      <w:top w:val="outset" w:color="auto" w:sz="4" w:space="0"/>
                      <w:left w:val="outset" w:color="auto" w:sz="4" w:space="0"/>
                      <w:bottom w:val="outset" w:color="auto" w:sz="4" w:space="0"/>
                      <w:right w:val="outset" w:color="auto" w:sz="4" w:space="0"/>
                    </w:tcBorders>
                  </w:tcPr>
                  <w:p>
                    <w:pPr>
                      <w:jc w:val="right"/>
                    </w:pPr>
                    <w:r>
                      <w:t>51,827,622.08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40429c1d7014fa58e9b7238e10cefc6"/>
                    <w:id w:val="1993982309"/>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经营活动现金流出小计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2,225,888,026.88</w:t>
                    </w:r>
                  </w:p>
                </w:tc>
                <w:tc>
                  <w:tcPr>
                    <w:tcW w:w="1152" w:type="pct"/>
                    <w:tcBorders>
                      <w:top w:val="outset" w:color="auto" w:sz="4" w:space="0"/>
                      <w:left w:val="outset" w:color="auto" w:sz="4" w:space="0"/>
                      <w:bottom w:val="outset" w:color="auto" w:sz="4" w:space="0"/>
                      <w:right w:val="outset" w:color="auto" w:sz="4" w:space="0"/>
                    </w:tcBorders>
                  </w:tcPr>
                  <w:p>
                    <w:pPr>
                      <w:jc w:val="right"/>
                    </w:pPr>
                    <w:r>
                      <w:t>1,724,708,486.48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1f55569c4e04d6a8c94438f8ecb1122"/>
                    <w:id w:val="-1482220433"/>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经营活动产生的现金流量净额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2,204,549,936.25</w:t>
                    </w:r>
                  </w:p>
                </w:tc>
                <w:tc>
                  <w:tcPr>
                    <w:tcW w:w="1152" w:type="pct"/>
                    <w:tcBorders>
                      <w:top w:val="outset" w:color="auto" w:sz="4" w:space="0"/>
                      <w:left w:val="outset" w:color="auto" w:sz="4" w:space="0"/>
                      <w:bottom w:val="outset" w:color="auto" w:sz="4" w:space="0"/>
                      <w:right w:val="outset" w:color="auto" w:sz="4" w:space="0"/>
                    </w:tcBorders>
                  </w:tcPr>
                  <w:p>
                    <w:pPr>
                      <w:jc w:val="right"/>
                    </w:pPr>
                    <w:r>
                      <w:t>1,351,095,207.05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f9190ce4227402ab02ac6431a00b46e"/>
                    <w:id w:val="558288783"/>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rPr>
                            <w:color w:val="008000"/>
                          </w:rPr>
                        </w:pPr>
                        <w:r>
                          <w:rPr>
                            <w:rFonts w:hint="eastAsia"/>
                            <w:b/>
                          </w:rPr>
                          <w:t>二、投资活动产生的现金流量：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eb5ade569574a3c87ebe15ef758047a"/>
                    <w:id w:val="18456844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收回投资收到的现金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5,150,014,877.89</w:t>
                    </w:r>
                  </w:p>
                </w:tc>
                <w:tc>
                  <w:tcPr>
                    <w:tcW w:w="1152" w:type="pct"/>
                    <w:tcBorders>
                      <w:top w:val="outset" w:color="auto" w:sz="4" w:space="0"/>
                      <w:left w:val="outset" w:color="auto" w:sz="4" w:space="0"/>
                      <w:bottom w:val="outset" w:color="auto" w:sz="4" w:space="0"/>
                      <w:right w:val="outset" w:color="auto" w:sz="4" w:space="0"/>
                    </w:tcBorders>
                  </w:tcPr>
                  <w:p>
                    <w:pPr>
                      <w:jc w:val="right"/>
                    </w:pPr>
                    <w:r>
                      <w:t>5,324,683,231.70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3a0ffc6a5d6f4279bf5f479f6d37fa63"/>
                    <w:id w:val="38098349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取得投资收益收到的现金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75,233,509.11</w:t>
                    </w:r>
                  </w:p>
                </w:tc>
                <w:tc>
                  <w:tcPr>
                    <w:tcW w:w="1152" w:type="pct"/>
                    <w:tcBorders>
                      <w:top w:val="outset" w:color="auto" w:sz="4" w:space="0"/>
                      <w:left w:val="outset" w:color="auto" w:sz="4" w:space="0"/>
                      <w:bottom w:val="outset" w:color="auto" w:sz="4" w:space="0"/>
                      <w:right w:val="outset" w:color="auto" w:sz="4" w:space="0"/>
                    </w:tcBorders>
                  </w:tcPr>
                  <w:p>
                    <w:pPr>
                      <w:jc w:val="right"/>
                    </w:pPr>
                    <w:r>
                      <w:t>431,475,392.51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b86d628c73648de84f4c45b64cce1a7"/>
                    <w:id w:val="-358357366"/>
                    <w:lock w:val="sdtLocked"/>
                  </w:sdtPr>
                  <w:sdtContent>
                    <w:tc>
                      <w:tcPr>
                        <w:tcW w:w="1695" w:type="pct"/>
                        <w:tcBorders>
                          <w:top w:val="outset" w:color="auto" w:sz="4" w:space="0"/>
                          <w:left w:val="outset" w:color="auto" w:sz="4" w:space="0"/>
                          <w:bottom w:val="outset" w:color="auto" w:sz="4" w:space="0"/>
                          <w:right w:val="outset" w:color="auto" w:sz="4" w:space="0"/>
                        </w:tcBorders>
                      </w:tcPr>
                      <w:p>
                        <w:pPr>
                          <w:pStyle w:val="114"/>
                        </w:pPr>
                        <w:r>
                          <w:rPr>
                            <w:rFonts w:hint="eastAsia"/>
                          </w:rPr>
                          <w:t>处置固定资产、无形资产和其他长期资产收回的现金净额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4,230.00</w:t>
                    </w:r>
                  </w:p>
                </w:tc>
                <w:tc>
                  <w:tcPr>
                    <w:tcW w:w="1152" w:type="pct"/>
                    <w:tcBorders>
                      <w:top w:val="outset" w:color="auto" w:sz="4" w:space="0"/>
                      <w:left w:val="outset" w:color="auto" w:sz="4" w:space="0"/>
                      <w:bottom w:val="outset" w:color="auto" w:sz="4" w:space="0"/>
                      <w:right w:val="outset" w:color="auto" w:sz="4" w:space="0"/>
                    </w:tcBorders>
                  </w:tcPr>
                  <w:p>
                    <w:pPr>
                      <w:jc w:val="right"/>
                    </w:pPr>
                    <w:r>
                      <w:t>2,639.00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bbc06129d1649f69097b53902bcb183"/>
                    <w:id w:val="-1700698292"/>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收到其他与投资活动有关的现金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4,178,463,721.88</w:t>
                    </w:r>
                  </w:p>
                </w:tc>
                <w:tc>
                  <w:tcPr>
                    <w:tcW w:w="1152" w:type="pct"/>
                    <w:tcBorders>
                      <w:top w:val="outset" w:color="auto" w:sz="4" w:space="0"/>
                      <w:left w:val="outset" w:color="auto" w:sz="4" w:space="0"/>
                      <w:bottom w:val="outset" w:color="auto" w:sz="4" w:space="0"/>
                      <w:right w:val="outset" w:color="auto" w:sz="4" w:space="0"/>
                    </w:tcBorders>
                  </w:tcPr>
                  <w:p>
                    <w:pPr>
                      <w:jc w:val="right"/>
                    </w:pPr>
                    <w:r>
                      <w:t>3,305,000,000.00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d740284844e4f809679ef6bb77b25bc"/>
                    <w:id w:val="80127384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投资活动现金流入小计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9,403,716,338.88</w:t>
                    </w:r>
                  </w:p>
                </w:tc>
                <w:tc>
                  <w:tcPr>
                    <w:tcW w:w="1152" w:type="pct"/>
                    <w:tcBorders>
                      <w:top w:val="outset" w:color="auto" w:sz="4" w:space="0"/>
                      <w:left w:val="outset" w:color="auto" w:sz="4" w:space="0"/>
                      <w:bottom w:val="outset" w:color="auto" w:sz="4" w:space="0"/>
                      <w:right w:val="outset" w:color="auto" w:sz="4" w:space="0"/>
                    </w:tcBorders>
                  </w:tcPr>
                  <w:p>
                    <w:pPr>
                      <w:jc w:val="right"/>
                    </w:pPr>
                    <w:r>
                      <w:t>9,061,161,263.21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2fef635400a49fdab7a94e37c70f56f"/>
                    <w:id w:val="821240442"/>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购建固定资产、无形资产和其他长期资产支付的现金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64,198,000.08</w:t>
                    </w:r>
                  </w:p>
                </w:tc>
                <w:tc>
                  <w:tcPr>
                    <w:tcW w:w="1152" w:type="pct"/>
                    <w:tcBorders>
                      <w:top w:val="outset" w:color="auto" w:sz="4" w:space="0"/>
                      <w:left w:val="outset" w:color="auto" w:sz="4" w:space="0"/>
                      <w:bottom w:val="outset" w:color="auto" w:sz="4" w:space="0"/>
                      <w:right w:val="outset" w:color="auto" w:sz="4" w:space="0"/>
                    </w:tcBorders>
                  </w:tcPr>
                  <w:p>
                    <w:pPr>
                      <w:jc w:val="right"/>
                    </w:pPr>
                    <w:r>
                      <w:t>36,098,543.44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ef5a0eb21854c7a9b13f6f3b7a8ebcc"/>
                    <w:id w:val="-15311691"/>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投资支付的现金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6,097,707,892.73</w:t>
                    </w:r>
                  </w:p>
                </w:tc>
                <w:tc>
                  <w:tcPr>
                    <w:tcW w:w="1152" w:type="pct"/>
                    <w:tcBorders>
                      <w:top w:val="outset" w:color="auto" w:sz="4" w:space="0"/>
                      <w:left w:val="outset" w:color="auto" w:sz="4" w:space="0"/>
                      <w:bottom w:val="outset" w:color="auto" w:sz="4" w:space="0"/>
                      <w:right w:val="outset" w:color="auto" w:sz="4" w:space="0"/>
                    </w:tcBorders>
                  </w:tcPr>
                  <w:p>
                    <w:pPr>
                      <w:jc w:val="right"/>
                    </w:pPr>
                    <w:r>
                      <w:t>6,860,072,135.54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13ddb5a043d48ffa883eb8db9d86449"/>
                    <w:id w:val="-674501489"/>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支付其他与投资活动有关的现金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4,197,000,000.00</w:t>
                    </w:r>
                  </w:p>
                </w:tc>
                <w:tc>
                  <w:tcPr>
                    <w:tcW w:w="1152" w:type="pct"/>
                    <w:tcBorders>
                      <w:top w:val="outset" w:color="auto" w:sz="4" w:space="0"/>
                      <w:left w:val="outset" w:color="auto" w:sz="4" w:space="0"/>
                      <w:bottom w:val="outset" w:color="auto" w:sz="4" w:space="0"/>
                      <w:right w:val="outset" w:color="auto" w:sz="4" w:space="0"/>
                    </w:tcBorders>
                  </w:tcPr>
                  <w:p>
                    <w:pPr>
                      <w:jc w:val="right"/>
                    </w:pPr>
                    <w:r>
                      <w:t>4,515,000,000.00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bc63f66aafc42e49516dac116f4b4d5"/>
                    <w:id w:val="-1467583062"/>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投资活动现金流出小计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10,358,905,892.81</w:t>
                    </w:r>
                  </w:p>
                </w:tc>
                <w:tc>
                  <w:tcPr>
                    <w:tcW w:w="1152" w:type="pct"/>
                    <w:tcBorders>
                      <w:top w:val="outset" w:color="auto" w:sz="4" w:space="0"/>
                      <w:left w:val="outset" w:color="auto" w:sz="4" w:space="0"/>
                      <w:bottom w:val="outset" w:color="auto" w:sz="4" w:space="0"/>
                      <w:right w:val="outset" w:color="auto" w:sz="4" w:space="0"/>
                    </w:tcBorders>
                  </w:tcPr>
                  <w:p>
                    <w:pPr>
                      <w:jc w:val="right"/>
                    </w:pPr>
                    <w:r>
                      <w:t>11,411,170,678.98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16b02a522724a558ecbae77fe729bdb"/>
                    <w:id w:val="163429219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630" w:firstLineChars="300"/>
                          <w:rPr>
                            <w:color w:val="000000"/>
                          </w:rPr>
                        </w:pPr>
                        <w:r>
                          <w:rPr>
                            <w:rFonts w:hint="eastAsia"/>
                          </w:rPr>
                          <w:t>投资活动产生的现金流量净额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rPr>
                        <w:rFonts w:hint="eastAsia"/>
                      </w:rPr>
                      <w:t>-</w:t>
                    </w:r>
                    <w:r>
                      <w:t>955,189,553.93</w:t>
                    </w:r>
                  </w:p>
                </w:tc>
                <w:tc>
                  <w:tcPr>
                    <w:tcW w:w="1152" w:type="pct"/>
                    <w:tcBorders>
                      <w:top w:val="outset" w:color="auto" w:sz="4" w:space="0"/>
                      <w:left w:val="outset" w:color="auto" w:sz="4" w:space="0"/>
                      <w:bottom w:val="outset" w:color="auto" w:sz="4" w:space="0"/>
                      <w:right w:val="outset" w:color="auto" w:sz="4" w:space="0"/>
                    </w:tcBorders>
                  </w:tcPr>
                  <w:p>
                    <w:pPr>
                      <w:jc w:val="right"/>
                    </w:pPr>
                    <w:r>
                      <w:rPr>
                        <w:rFonts w:hint="eastAsia"/>
                      </w:rPr>
                      <w:t>-</w:t>
                    </w:r>
                    <w:r>
                      <w:t>2,350,009,415.77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d68e34216d04af0934267b3078d3c35"/>
                    <w:id w:val="-504596944"/>
                    <w:lock w:val="sdtLocked"/>
                  </w:sdtPr>
                  <w:sdtContent>
                    <w:tc>
                      <w:tcPr>
                        <w:tcW w:w="5000" w:type="pct"/>
                        <w:gridSpan w:val="4"/>
                        <w:tcBorders>
                          <w:top w:val="outset" w:color="auto" w:sz="4" w:space="0"/>
                          <w:left w:val="outset" w:color="auto" w:sz="4" w:space="0"/>
                          <w:bottom w:val="outset" w:color="auto" w:sz="4" w:space="0"/>
                          <w:right w:val="outset" w:color="auto" w:sz="4" w:space="0"/>
                        </w:tcBorders>
                      </w:tcPr>
                      <w:p>
                        <w:pPr>
                          <w:rPr>
                            <w:color w:val="008000"/>
                          </w:rPr>
                        </w:pPr>
                        <w:r>
                          <w:rPr>
                            <w:rFonts w:hint="eastAsia"/>
                            <w:b/>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9a78e59f2b441018bc188661adf1a5e"/>
                    <w:id w:val="158572943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取得借款收到的现金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300,000,000.00</w:t>
                    </w:r>
                  </w:p>
                </w:tc>
                <w:tc>
                  <w:tcPr>
                    <w:tcW w:w="1152" w:type="pct"/>
                    <w:tcBorders>
                      <w:top w:val="outset" w:color="auto" w:sz="4" w:space="0"/>
                      <w:left w:val="outset" w:color="auto" w:sz="4" w:space="0"/>
                      <w:bottom w:val="outset" w:color="auto" w:sz="4" w:space="0"/>
                      <w:right w:val="outset" w:color="auto" w:sz="4" w:space="0"/>
                    </w:tcBorders>
                  </w:tcPr>
                  <w:p>
                    <w:pPr>
                      <w:jc w:val="right"/>
                    </w:pPr>
                    <w:r>
                      <w:t>1,200,000,000.00</w:t>
                    </w:r>
                  </w:p>
                </w:tc>
              </w:tr>
              <w:sdt>
                <w:sdtPr>
                  <w:alias w:val="发行债卷收到的现金"/>
                  <w:tag w:val="_TUP_0b18ecf9852e479693f2a6cfcdf31815"/>
                  <w:id w:val="327644359"/>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发行债卷收到的现金"/>
                        <w:tag w:val="_GBC_babc2f6a5ded4770bd1b312e9c563283"/>
                        <w:id w:val="756481619"/>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t>发行债券收到的现金</w:t>
                            </w:r>
                          </w:p>
                        </w:tc>
                      </w:sdtContent>
                    </w:sdt>
                    <w:sdt>
                      <w:sdtPr>
                        <w:tag w:val="_GBC_5fbaf8a9311348dfa2a0f1ddcce40df2"/>
                        <w:id w:val="859402075"/>
                        <w:lock w:val="sdtLocked"/>
                      </w:sdtPr>
                      <w:sdtContent>
                        <w:tc>
                          <w:tcPr>
                            <w:tcW w:w="995" w:type="pct"/>
                            <w:tcBorders>
                              <w:top w:val="outset" w:color="auto" w:sz="4" w:space="0"/>
                              <w:left w:val="outset" w:color="auto" w:sz="4" w:space="0"/>
                              <w:bottom w:val="outset" w:color="auto" w:sz="4" w:space="0"/>
                              <w:right w:val="outset" w:color="auto" w:sz="4" w:space="0"/>
                            </w:tcBorders>
                          </w:tcPr>
                          <w:p>
                            <w:pPr>
                              <w:pStyle w:val="114"/>
                            </w:pPr>
                          </w:p>
                        </w:tc>
                      </w:sdtContent>
                    </w:sdt>
                    <w:sdt>
                      <w:sdtPr>
                        <w:tag w:val="_GBC_56db3c807fe3406993524bdca0e788b9"/>
                        <w:id w:val="1103992356"/>
                        <w:lock w:val="sdtLocked"/>
                      </w:sdtPr>
                      <w:sdtContent>
                        <w:tc>
                          <w:tcPr>
                            <w:tcW w:w="1158" w:type="pct"/>
                            <w:tcBorders>
                              <w:top w:val="outset" w:color="auto" w:sz="4" w:space="0"/>
                              <w:left w:val="outset" w:color="auto" w:sz="4" w:space="0"/>
                              <w:bottom w:val="outset" w:color="auto" w:sz="4" w:space="0"/>
                              <w:right w:val="outset" w:color="auto" w:sz="4" w:space="0"/>
                            </w:tcBorders>
                          </w:tcPr>
                          <w:p>
                            <w:pPr>
                              <w:jc w:val="right"/>
                            </w:pPr>
                            <w:r>
                              <w:t>8,270,000,000.00</w:t>
                            </w:r>
                          </w:p>
                        </w:tc>
                      </w:sdtContent>
                    </w:sdt>
                    <w:sdt>
                      <w:sdtPr>
                        <w:tag w:val="_GBC_3a506b88a09b4f06b523ce7e97e0142b"/>
                        <w:id w:val="1057133594"/>
                        <w:lock w:val="sdtLocked"/>
                      </w:sdtPr>
                      <w:sdtContent>
                        <w:tc>
                          <w:tcPr>
                            <w:tcW w:w="1152" w:type="pct"/>
                            <w:tcBorders>
                              <w:top w:val="outset" w:color="auto" w:sz="4" w:space="0"/>
                              <w:left w:val="outset" w:color="auto" w:sz="4" w:space="0"/>
                              <w:bottom w:val="outset" w:color="auto" w:sz="4" w:space="0"/>
                              <w:right w:val="outset" w:color="auto" w:sz="4" w:space="0"/>
                            </w:tcBorders>
                          </w:tcPr>
                          <w:p>
                            <w:pPr>
                              <w:jc w:val="right"/>
                            </w:pPr>
                            <w:r>
                              <w:t>13,775,357,228.02</w:t>
                            </w:r>
                          </w:p>
                        </w:tc>
                      </w:sdtContent>
                    </w:sdt>
                  </w:tr>
                </w:sdtContent>
              </w:sd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6d354b07ee94d2e97e821e5194c14a8"/>
                    <w:id w:val="162504229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收到其他与筹资活动有关的现金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w:t>
                    </w:r>
                  </w:p>
                </w:tc>
                <w:tc>
                  <w:tcPr>
                    <w:tcW w:w="1152" w:type="pct"/>
                    <w:tcBorders>
                      <w:top w:val="outset" w:color="auto" w:sz="4" w:space="0"/>
                      <w:left w:val="outset" w:color="auto" w:sz="4" w:space="0"/>
                      <w:bottom w:val="outset" w:color="auto" w:sz="4" w:space="0"/>
                      <w:right w:val="outset" w:color="auto" w:sz="4" w:space="0"/>
                    </w:tcBorders>
                  </w:tcPr>
                  <w:p>
                    <w:pPr>
                      <w:jc w:val="right"/>
                    </w:pPr>
                    <w: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3d48c10d6aa4cf680f8a0d28834aa5a"/>
                    <w:id w:val="150185578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筹资活动现金流入小计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8,570,000,000.00</w:t>
                    </w:r>
                  </w:p>
                </w:tc>
                <w:tc>
                  <w:tcPr>
                    <w:tcW w:w="1152" w:type="pct"/>
                    <w:tcBorders>
                      <w:top w:val="outset" w:color="auto" w:sz="4" w:space="0"/>
                      <w:left w:val="outset" w:color="auto" w:sz="4" w:space="0"/>
                      <w:bottom w:val="outset" w:color="auto" w:sz="4" w:space="0"/>
                      <w:right w:val="outset" w:color="auto" w:sz="4" w:space="0"/>
                    </w:tcBorders>
                  </w:tcPr>
                  <w:p>
                    <w:pPr>
                      <w:tabs>
                        <w:tab w:val="center" w:pos="989"/>
                        <w:tab w:val="right" w:pos="1979"/>
                      </w:tabs>
                      <w:jc w:val="right"/>
                    </w:pPr>
                    <w:r>
                      <w:t>14,975,357,228.02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162d7f78ec54a5485f64b75ffbfce7d"/>
                    <w:id w:val="49083767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偿还债务支付的现金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9,934,841,755.68</w:t>
                    </w:r>
                  </w:p>
                </w:tc>
                <w:tc>
                  <w:tcPr>
                    <w:tcW w:w="1152" w:type="pct"/>
                    <w:tcBorders>
                      <w:top w:val="outset" w:color="auto" w:sz="4" w:space="0"/>
                      <w:left w:val="outset" w:color="auto" w:sz="4" w:space="0"/>
                      <w:bottom w:val="outset" w:color="auto" w:sz="4" w:space="0"/>
                      <w:right w:val="outset" w:color="auto" w:sz="4" w:space="0"/>
                    </w:tcBorders>
                  </w:tcPr>
                  <w:p>
                    <w:pPr>
                      <w:jc w:val="right"/>
                    </w:pPr>
                    <w:r>
                      <w:t>13,980,791,534.52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b61ad2acef9490ba6b84477b3518635"/>
                    <w:id w:val="-1288958884"/>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分配股利、利润或偿付利息支付的现金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162,958,832.60</w:t>
                    </w:r>
                  </w:p>
                </w:tc>
                <w:tc>
                  <w:tcPr>
                    <w:tcW w:w="1152" w:type="pct"/>
                    <w:tcBorders>
                      <w:top w:val="outset" w:color="auto" w:sz="4" w:space="0"/>
                      <w:left w:val="outset" w:color="auto" w:sz="4" w:space="0"/>
                      <w:bottom w:val="outset" w:color="auto" w:sz="4" w:space="0"/>
                      <w:right w:val="outset" w:color="auto" w:sz="4" w:space="0"/>
                    </w:tcBorders>
                  </w:tcPr>
                  <w:p>
                    <w:pPr>
                      <w:jc w:val="right"/>
                    </w:pPr>
                    <w:r>
                      <w:t>192,604,963.19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71424c9704b4bd5aa50d3ae77d051a8"/>
                    <w:id w:val="1677611257"/>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支付其他与筹资活动有关的现金</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731,369.30</w:t>
                    </w:r>
                  </w:p>
                </w:tc>
                <w:tc>
                  <w:tcPr>
                    <w:tcW w:w="1152" w:type="pct"/>
                    <w:tcBorders>
                      <w:top w:val="outset" w:color="auto" w:sz="4" w:space="0"/>
                      <w:left w:val="outset" w:color="auto" w:sz="4" w:space="0"/>
                      <w:bottom w:val="outset" w:color="auto" w:sz="4" w:space="0"/>
                      <w:right w:val="outset" w:color="auto" w:sz="4" w:space="0"/>
                    </w:tcBorders>
                  </w:tcPr>
                  <w:p>
                    <w:pPr>
                      <w:jc w:val="right"/>
                    </w:pPr>
                    <w: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9927c735ed5d4c919f65e1a111425aa6"/>
                    <w:id w:val="-1037888736"/>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420" w:firstLineChars="200"/>
                          <w:rPr>
                            <w:color w:val="000000"/>
                          </w:rPr>
                        </w:pPr>
                        <w:r>
                          <w:rPr>
                            <w:rFonts w:hint="eastAsia"/>
                          </w:rPr>
                          <w:t>筹资活动现金流出小计</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10,098,531,957.58</w:t>
                    </w:r>
                  </w:p>
                </w:tc>
                <w:tc>
                  <w:tcPr>
                    <w:tcW w:w="1152" w:type="pct"/>
                    <w:tcBorders>
                      <w:top w:val="outset" w:color="auto" w:sz="4" w:space="0"/>
                      <w:left w:val="outset" w:color="auto" w:sz="4" w:space="0"/>
                      <w:bottom w:val="outset" w:color="auto" w:sz="4" w:space="0"/>
                      <w:right w:val="outset" w:color="auto" w:sz="4" w:space="0"/>
                    </w:tcBorders>
                  </w:tcPr>
                  <w:p>
                    <w:pPr>
                      <w:jc w:val="right"/>
                    </w:pPr>
                    <w:r>
                      <w:t>14,173,396,497.71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9be081a78e64a56ac141df3af5fc043"/>
                    <w:id w:val="20440105"/>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630" w:firstLineChars="300"/>
                          <w:rPr>
                            <w:color w:val="000000"/>
                          </w:rPr>
                        </w:pPr>
                        <w:r>
                          <w:rPr>
                            <w:rFonts w:hint="eastAsia"/>
                          </w:rPr>
                          <w:t>筹资活动产生的现金流量净额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1,528,531,957.58</w:t>
                    </w:r>
                  </w:p>
                </w:tc>
                <w:tc>
                  <w:tcPr>
                    <w:tcW w:w="1152" w:type="pct"/>
                    <w:tcBorders>
                      <w:top w:val="outset" w:color="auto" w:sz="4" w:space="0"/>
                      <w:left w:val="outset" w:color="auto" w:sz="4" w:space="0"/>
                      <w:bottom w:val="outset" w:color="auto" w:sz="4" w:space="0"/>
                      <w:right w:val="outset" w:color="auto" w:sz="4" w:space="0"/>
                    </w:tcBorders>
                  </w:tcPr>
                  <w:p>
                    <w:pPr>
                      <w:jc w:val="right"/>
                    </w:pPr>
                    <w:r>
                      <w:t>801,960,730.31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97da387d2e74132aff7cc22c8d8bb95"/>
                    <w:id w:val="1980728362"/>
                    <w:lock w:val="sdtLocked"/>
                  </w:sdtPr>
                  <w:sdtContent>
                    <w:tc>
                      <w:tcPr>
                        <w:tcW w:w="1695"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四、汇率变动对现金及现金等价物的影响</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p>
                </w:tc>
                <w:tc>
                  <w:tcPr>
                    <w:tcW w:w="1152" w:type="pct"/>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88346aec88c4c41a0051140dc375359"/>
                    <w:id w:val="-1636175261"/>
                    <w:lock w:val="sdtLocked"/>
                  </w:sdtPr>
                  <w:sdtContent>
                    <w:tc>
                      <w:tcPr>
                        <w:tcW w:w="1695"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五、现金及现金等价物净增加额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rPr>
                        <w:rFonts w:hint="eastAsia"/>
                      </w:rPr>
                      <w:t>-</w:t>
                    </w:r>
                    <w:r>
                      <w:t>279,171,575.26</w:t>
                    </w:r>
                  </w:p>
                </w:tc>
                <w:tc>
                  <w:tcPr>
                    <w:tcW w:w="1152" w:type="pct"/>
                    <w:tcBorders>
                      <w:top w:val="outset" w:color="auto" w:sz="4" w:space="0"/>
                      <w:left w:val="outset" w:color="auto" w:sz="4" w:space="0"/>
                      <w:bottom w:val="outset" w:color="auto" w:sz="4" w:space="0"/>
                      <w:right w:val="outset" w:color="auto" w:sz="4" w:space="0"/>
                    </w:tcBorders>
                  </w:tcPr>
                  <w:p>
                    <w:pPr>
                      <w:jc w:val="right"/>
                    </w:pPr>
                    <w:r>
                      <w:rPr>
                        <w:rFonts w:hint="eastAsia"/>
                      </w:rPr>
                      <w:t>-</w:t>
                    </w:r>
                    <w:r>
                      <w:t>196,953,478.41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82deef70bc446e795d750d3d14aefbe"/>
                    <w:id w:val="490223568"/>
                    <w:lock w:val="sdtLocked"/>
                  </w:sdtPr>
                  <w:sdtContent>
                    <w:tc>
                      <w:tcPr>
                        <w:tcW w:w="1695" w:type="pct"/>
                        <w:tcBorders>
                          <w:top w:val="outset" w:color="auto" w:sz="4" w:space="0"/>
                          <w:left w:val="outset" w:color="auto" w:sz="4" w:space="0"/>
                          <w:bottom w:val="outset" w:color="auto" w:sz="4" w:space="0"/>
                          <w:right w:val="outset" w:color="auto" w:sz="4" w:space="0"/>
                        </w:tcBorders>
                      </w:tcPr>
                      <w:p>
                        <w:pPr>
                          <w:ind w:firstLine="210" w:firstLineChars="100"/>
                          <w:rPr>
                            <w:color w:val="000000"/>
                          </w:rPr>
                        </w:pPr>
                        <w:r>
                          <w:rPr>
                            <w:rFonts w:hint="eastAsia"/>
                          </w:rPr>
                          <w:t>加：期初现金及现金等价物余额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457,256,666.75</w:t>
                    </w:r>
                  </w:p>
                </w:tc>
                <w:tc>
                  <w:tcPr>
                    <w:tcW w:w="1152" w:type="pct"/>
                    <w:tcBorders>
                      <w:top w:val="outset" w:color="auto" w:sz="4" w:space="0"/>
                      <w:left w:val="outset" w:color="auto" w:sz="4" w:space="0"/>
                      <w:bottom w:val="outset" w:color="auto" w:sz="4" w:space="0"/>
                      <w:right w:val="outset" w:color="auto" w:sz="4" w:space="0"/>
                    </w:tcBorders>
                  </w:tcPr>
                  <w:p>
                    <w:pPr>
                      <w:jc w:val="right"/>
                    </w:pPr>
                    <w:r>
                      <w:t>319,971,226.51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c70667dbbb64ee5a6d36588cda942f9"/>
                    <w:id w:val="1817382803"/>
                    <w:lock w:val="sdtLocked"/>
                  </w:sdtPr>
                  <w:sdtContent>
                    <w:tc>
                      <w:tcPr>
                        <w:tcW w:w="1695" w:type="pct"/>
                        <w:tcBorders>
                          <w:top w:val="outset" w:color="auto" w:sz="4" w:space="0"/>
                          <w:left w:val="outset" w:color="auto" w:sz="4" w:space="0"/>
                          <w:bottom w:val="outset" w:color="auto" w:sz="4" w:space="0"/>
                          <w:right w:val="outset" w:color="auto" w:sz="4" w:space="0"/>
                        </w:tcBorders>
                      </w:tcPr>
                      <w:p>
                        <w:pPr>
                          <w:rPr>
                            <w:color w:val="000000"/>
                          </w:rPr>
                        </w:pPr>
                        <w:r>
                          <w:rPr>
                            <w:rFonts w:hint="eastAsia"/>
                            <w:b/>
                          </w:rPr>
                          <w:t>六、期末现金及现金等价物余额</w:t>
                        </w:r>
                      </w:p>
                    </w:tc>
                  </w:sdtContent>
                </w:sdt>
                <w:tc>
                  <w:tcPr>
                    <w:tcW w:w="995" w:type="pct"/>
                    <w:tcBorders>
                      <w:top w:val="outset" w:color="auto" w:sz="4" w:space="0"/>
                      <w:left w:val="outset" w:color="auto" w:sz="4" w:space="0"/>
                      <w:bottom w:val="outset" w:color="auto" w:sz="4" w:space="0"/>
                      <w:right w:val="outset" w:color="auto" w:sz="4" w:space="0"/>
                    </w:tcBorders>
                  </w:tcPr>
                  <w:p>
                    <w:pPr>
                      <w:pStyle w:val="114"/>
                    </w:pPr>
                  </w:p>
                </w:tc>
                <w:tc>
                  <w:tcPr>
                    <w:tcW w:w="1158" w:type="pct"/>
                    <w:tcBorders>
                      <w:top w:val="outset" w:color="auto" w:sz="4" w:space="0"/>
                      <w:left w:val="outset" w:color="auto" w:sz="4" w:space="0"/>
                      <w:bottom w:val="outset" w:color="auto" w:sz="4" w:space="0"/>
                      <w:right w:val="outset" w:color="auto" w:sz="4" w:space="0"/>
                    </w:tcBorders>
                  </w:tcPr>
                  <w:p>
                    <w:pPr>
                      <w:jc w:val="right"/>
                    </w:pPr>
                    <w:r>
                      <w:t>178,085,091.49</w:t>
                    </w:r>
                  </w:p>
                </w:tc>
                <w:tc>
                  <w:tcPr>
                    <w:tcW w:w="1152" w:type="pct"/>
                    <w:tcBorders>
                      <w:top w:val="outset" w:color="auto" w:sz="4" w:space="0"/>
                      <w:left w:val="outset" w:color="auto" w:sz="4" w:space="0"/>
                      <w:bottom w:val="outset" w:color="auto" w:sz="4" w:space="0"/>
                      <w:right w:val="outset" w:color="auto" w:sz="4" w:space="0"/>
                    </w:tcBorders>
                  </w:tcPr>
                  <w:p>
                    <w:pPr>
                      <w:jc w:val="right"/>
                    </w:pPr>
                    <w:r>
                      <w:t>123,017,748.10</w:t>
                    </w:r>
                  </w:p>
                </w:tc>
              </w:tr>
            </w:tbl>
            <w:p>
              <w:pPr>
                <w:snapToGrid w:val="0"/>
                <w:spacing w:line="240" w:lineRule="atLeast"/>
                <w:ind w:right="-153" w:rightChars="-73"/>
                <w:rPr>
                  <w:b/>
                  <w:bCs/>
                  <w:color w:val="FF0000"/>
                </w:rPr>
              </w:pPr>
              <w:r>
                <w:t>公司负责人</w:t>
              </w:r>
              <w:r>
                <w:rPr>
                  <w:rFonts w:hint="eastAsia"/>
                </w:rPr>
                <w:t>：</w:t>
              </w:r>
              <w:sdt>
                <w:sdtPr>
                  <w:rPr>
                    <w:rFonts w:hint="eastAsia"/>
                  </w:rPr>
                  <w:alias w:val="公司负责人"/>
                  <w:tag w:val="_GBC_b872f4b10a12453987b2d73dfe2a5ff9"/>
                  <w:id w:val="-1132091110"/>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1558932767"/>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631824552"/>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rPr>
              <w:b/>
              <w:bCs/>
              <w:color w:val="FF0000"/>
            </w:rPr>
          </w:pPr>
        </w:p>
      </w:sdtContent>
    </w:sdt>
    <w:bookmarkEnd w:id="108"/>
    <w:p>
      <w:pPr>
        <w:sectPr>
          <w:pgSz w:w="11906" w:h="16838"/>
          <w:pgMar w:top="1525" w:right="1276" w:bottom="1440" w:left="1797" w:header="851" w:footer="992" w:gutter="0"/>
          <w:cols w:space="425" w:num="1"/>
          <w:docGrid w:linePitch="312" w:charSpace="0"/>
        </w:sectPr>
      </w:pPr>
    </w:p>
    <w:sdt>
      <w:sdtPr>
        <w:rPr>
          <w:rFonts w:ascii="宋体" w:hAnsi="宋体" w:cs="宋体"/>
          <w:b w:val="0"/>
          <w:bCs w:val="0"/>
          <w:kern w:val="0"/>
          <w:szCs w:val="24"/>
        </w:rPr>
        <w:alias w:val="选项模块:需要编制合并报表"/>
        <w:tag w:val="_GBC_3b1dcbfa33024cc0a5c2f3d693817342"/>
        <w:id w:val="-784036228"/>
        <w:lock w:val="sdtLocked"/>
        <w:placeholder>
          <w:docPart w:val="GBC22222222222222222222222222222"/>
        </w:placeholder>
      </w:sdtPr>
      <w:sdtEndPr>
        <w:rPr>
          <w:rFonts w:ascii="宋体" w:hAnsi="宋体" w:cs="宋体"/>
          <w:b w:val="0"/>
          <w:bCs w:val="0"/>
          <w:color w:val="FF0000"/>
          <w:kern w:val="0"/>
          <w:szCs w:val="21"/>
        </w:rPr>
      </w:sdtEndPr>
      <w:sdtContent>
        <w:sdt>
          <w:sdtPr>
            <w:rPr>
              <w:rFonts w:ascii="宋体" w:hAnsi="宋体" w:cs="宋体"/>
              <w:b w:val="0"/>
              <w:bCs w:val="0"/>
              <w:kern w:val="0"/>
              <w:szCs w:val="24"/>
            </w:rPr>
            <w:tag w:val="_GBC_3eeab460b9b64d53b91f5e0ddcd3030f"/>
            <w:id w:val="1411498672"/>
            <w:lock w:val="sdtLocked"/>
            <w:placeholder>
              <w:docPart w:val="GBC22222222222222222222222222222"/>
            </w:placeholder>
          </w:sdtPr>
          <w:sdtEndPr>
            <w:rPr>
              <w:rFonts w:hint="eastAsia" w:ascii="宋体" w:hAnsi="宋体" w:cs="宋体"/>
              <w:b w:val="0"/>
              <w:bCs w:val="0"/>
              <w:kern w:val="0"/>
              <w:szCs w:val="21"/>
            </w:rPr>
          </w:sdtEndPr>
          <w:sdtContent>
            <w:p>
              <w:pPr>
                <w:pStyle w:val="4"/>
                <w:jc w:val="center"/>
                <w:rPr>
                  <w:rFonts w:ascii="宋体" w:hAnsi="宋体"/>
                </w:rPr>
              </w:pPr>
              <w:r>
                <w:rPr>
                  <w:rFonts w:ascii="宋体" w:hAnsi="宋体"/>
                </w:rPr>
                <w:t>合并</w:t>
              </w:r>
              <w:r>
                <w:rPr>
                  <w:rFonts w:hint="eastAsia" w:ascii="宋体" w:hAnsi="宋体"/>
                </w:rPr>
                <w:t>所有者权益变动表</w:t>
              </w:r>
            </w:p>
            <w:p>
              <w:pPr>
                <w:tabs>
                  <w:tab w:val="left" w:pos="10080"/>
                </w:tabs>
                <w:snapToGrid w:val="0"/>
                <w:spacing w:line="240" w:lineRule="atLeast"/>
                <w:ind w:right="25" w:rightChars="12"/>
                <w:jc w:val="center"/>
              </w:pPr>
              <w:r>
                <w:t>2023年</w:t>
              </w:r>
              <w:r>
                <w:rPr>
                  <w:rFonts w:hint="eastAsia"/>
                </w:rPr>
                <w:t>1—6月</w:t>
              </w:r>
            </w:p>
            <w:p>
              <w:pPr>
                <w:tabs>
                  <w:tab w:val="left" w:pos="10080"/>
                </w:tabs>
                <w:snapToGrid w:val="0"/>
                <w:spacing w:line="240" w:lineRule="atLeast"/>
                <w:jc w:val="right"/>
              </w:pPr>
              <w:r>
                <w:t>单位：</w:t>
              </w:r>
              <w:sdt>
                <w:sdtPr>
                  <w:alias w:val="单位：合并股东权益调节表"/>
                  <w:tag w:val="_GBC_57faea4e453e49ad93821b7dd6ce8bc4"/>
                  <w:id w:val="21284280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股东权益调节表"/>
                  <w:tag w:val="_GBC_cef77704267643d794145c73763360e5"/>
                  <w:id w:val="-13002223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336"/>
                <w:gridCol w:w="1336"/>
                <w:gridCol w:w="1336"/>
                <w:gridCol w:w="1126"/>
                <w:gridCol w:w="1336"/>
                <w:gridCol w:w="1056"/>
                <w:gridCol w:w="1406"/>
                <w:gridCol w:w="1406"/>
                <w:gridCol w:w="133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8" w:type="pct"/>
                    <w:vMerge w:val="restart"/>
                    <w:vAlign w:val="center"/>
                  </w:tcPr>
                  <w:sdt>
                    <w:sdtPr>
                      <w:rPr>
                        <w:rFonts w:hint="eastAsia"/>
                        <w:sz w:val="18"/>
                        <w:szCs w:val="18"/>
                      </w:rPr>
                      <w:tag w:val="_PLD_5bd68ed5796041328d1a003c1362ceaf"/>
                      <w:id w:val="-653536061"/>
                      <w:lock w:val="sdtLocked"/>
                    </w:sdtPr>
                    <w:sdtEndPr>
                      <w:rPr>
                        <w:rFonts w:hint="eastAsia"/>
                        <w:sz w:val="18"/>
                        <w:szCs w:val="18"/>
                      </w:rPr>
                    </w:sdtEndPr>
                    <w:sdtContent>
                      <w:p>
                        <w:pPr>
                          <w:snapToGrid w:val="0"/>
                          <w:spacing w:line="240" w:lineRule="atLeast"/>
                          <w:jc w:val="center"/>
                          <w:rPr>
                            <w:sz w:val="18"/>
                            <w:szCs w:val="18"/>
                          </w:rPr>
                        </w:pPr>
                        <w:r>
                          <w:rPr>
                            <w:rFonts w:hint="eastAsia"/>
                            <w:sz w:val="18"/>
                            <w:szCs w:val="18"/>
                          </w:rPr>
                          <w:t>项目</w:t>
                        </w:r>
                      </w:p>
                    </w:sdtContent>
                  </w:sdt>
                </w:tc>
                <w:tc>
                  <w:tcPr>
                    <w:tcW w:w="4542" w:type="pct"/>
                    <w:gridSpan w:val="10"/>
                    <w:vAlign w:val="center"/>
                  </w:tcPr>
                  <w:p>
                    <w:pPr>
                      <w:snapToGrid w:val="0"/>
                      <w:spacing w:line="240" w:lineRule="atLeast"/>
                      <w:ind w:right="-1594" w:rightChars="-759"/>
                      <w:jc w:val="center"/>
                    </w:pPr>
                    <w:sdt>
                      <w:sdtPr>
                        <w:tag w:val="_PLD_70c71cd0427542b1b96a0fa943173d3d"/>
                        <w:id w:val="-1612663460"/>
                        <w:lock w:val="sdtLocked"/>
                      </w:sdtPr>
                      <w:sdtContent>
                        <w:r>
                          <w:rPr>
                            <w:rFonts w:hint="eastAsia"/>
                            <w:sz w:val="18"/>
                            <w:szCs w:val="18"/>
                          </w:rPr>
                          <w:t>2023年半年度</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458" w:type="pct"/>
                    <w:vMerge w:val="continue"/>
                  </w:tcPr>
                  <w:p>
                    <w:pPr>
                      <w:snapToGrid w:val="0"/>
                      <w:spacing w:line="240" w:lineRule="atLeast"/>
                      <w:ind w:right="-1594" w:rightChars="-759"/>
                      <w:rPr>
                        <w:sz w:val="18"/>
                        <w:szCs w:val="18"/>
                      </w:rPr>
                    </w:pPr>
                  </w:p>
                </w:tc>
                <w:sdt>
                  <w:sdtPr>
                    <w:tag w:val="_PLD_e146ec74496c4c03a714dcef40faa972"/>
                    <w:id w:val="-310633274"/>
                    <w:lock w:val="sdtLocked"/>
                  </w:sdtPr>
                  <w:sdtContent>
                    <w:tc>
                      <w:tcPr>
                        <w:tcW w:w="3553" w:type="pct"/>
                        <w:gridSpan w:val="8"/>
                        <w:vAlign w:val="center"/>
                      </w:tcPr>
                      <w:p>
                        <w:pPr>
                          <w:jc w:val="center"/>
                        </w:pPr>
                        <w:r>
                          <w:rPr>
                            <w:sz w:val="18"/>
                            <w:szCs w:val="18"/>
                          </w:rPr>
                          <w:t>归属于母公司所有者权益</w:t>
                        </w:r>
                      </w:p>
                    </w:tc>
                  </w:sdtContent>
                </w:sdt>
                <w:sdt>
                  <w:sdtPr>
                    <w:tag w:val="_PLD_b1ca85c50c1341e59b4b412e92d87f2f"/>
                    <w:id w:val="861006563"/>
                    <w:lock w:val="sdtLocked"/>
                  </w:sdtPr>
                  <w:sdtContent>
                    <w:tc>
                      <w:tcPr>
                        <w:tcW w:w="482" w:type="pct"/>
                        <w:vMerge w:val="restart"/>
                        <w:vAlign w:val="center"/>
                      </w:tcPr>
                      <w:p>
                        <w:pPr>
                          <w:jc w:val="center"/>
                          <w:rPr>
                            <w:sz w:val="18"/>
                            <w:szCs w:val="18"/>
                          </w:rPr>
                        </w:pPr>
                        <w:r>
                          <w:rPr>
                            <w:sz w:val="18"/>
                            <w:szCs w:val="18"/>
                          </w:rPr>
                          <w:t>少数股东权益</w:t>
                        </w:r>
                      </w:p>
                    </w:tc>
                  </w:sdtContent>
                </w:sdt>
                <w:sdt>
                  <w:sdtPr>
                    <w:tag w:val="_PLD_0e252e0d00f04386b93d4e3064ba423d"/>
                    <w:id w:val="1746076727"/>
                    <w:lock w:val="sdtLocked"/>
                  </w:sdtPr>
                  <w:sdtContent>
                    <w:tc>
                      <w:tcPr>
                        <w:tcW w:w="507" w:type="pct"/>
                        <w:vMerge w:val="restart"/>
                        <w:vAlign w:val="center"/>
                      </w:tcPr>
                      <w:p>
                        <w:pPr>
                          <w:jc w:val="center"/>
                          <w:rPr>
                            <w:sz w:val="18"/>
                            <w:szCs w:val="18"/>
                          </w:rPr>
                        </w:pPr>
                        <w:r>
                          <w:rPr>
                            <w:sz w:val="18"/>
                            <w:szCs w:val="18"/>
                          </w:rPr>
                          <w:t>所有者权益合计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458" w:type="pct"/>
                    <w:vMerge w:val="continue"/>
                  </w:tcPr>
                  <w:p>
                    <w:pPr>
                      <w:snapToGrid w:val="0"/>
                      <w:spacing w:line="240" w:lineRule="atLeast"/>
                      <w:ind w:right="-1594" w:rightChars="-759"/>
                      <w:rPr>
                        <w:sz w:val="18"/>
                        <w:szCs w:val="18"/>
                      </w:rPr>
                    </w:pPr>
                  </w:p>
                </w:tc>
                <w:sdt>
                  <w:sdtPr>
                    <w:tag w:val="_PLD_1605afb5a60946a9ba86cca783d492d3"/>
                    <w:id w:val="-43222946"/>
                    <w:lock w:val="sdtLocked"/>
                  </w:sdtPr>
                  <w:sdtContent>
                    <w:tc>
                      <w:tcPr>
                        <w:tcW w:w="331" w:type="pct"/>
                        <w:vAlign w:val="center"/>
                      </w:tcPr>
                      <w:p>
                        <w:pPr>
                          <w:snapToGrid w:val="0"/>
                          <w:spacing w:line="240" w:lineRule="atLeast"/>
                          <w:jc w:val="center"/>
                          <w:rPr>
                            <w:sz w:val="18"/>
                            <w:szCs w:val="18"/>
                          </w:rPr>
                        </w:pPr>
                        <w:r>
                          <w:rPr>
                            <w:rFonts w:hint="eastAsia"/>
                            <w:sz w:val="18"/>
                            <w:szCs w:val="18"/>
                          </w:rPr>
                          <w:t>实收资本</w:t>
                        </w:r>
                        <w:r>
                          <w:rPr>
                            <w:sz w:val="18"/>
                            <w:szCs w:val="18"/>
                          </w:rPr>
                          <w:t xml:space="preserve"> (或股本)</w:t>
                        </w:r>
                      </w:p>
                    </w:tc>
                  </w:sdtContent>
                </w:sdt>
                <w:sdt>
                  <w:sdtPr>
                    <w:tag w:val="_PLD_f67d05ac9f6f4daaafdf90084911dcee"/>
                    <w:id w:val="160134821"/>
                    <w:lock w:val="sdtLocked"/>
                  </w:sdtPr>
                  <w:sdtContent>
                    <w:tc>
                      <w:tcPr>
                        <w:tcW w:w="482" w:type="pct"/>
                        <w:vAlign w:val="center"/>
                      </w:tcPr>
                      <w:p>
                        <w:pPr>
                          <w:snapToGrid w:val="0"/>
                          <w:spacing w:line="240" w:lineRule="atLeast"/>
                          <w:jc w:val="center"/>
                          <w:rPr>
                            <w:sz w:val="18"/>
                            <w:szCs w:val="18"/>
                          </w:rPr>
                        </w:pPr>
                        <w:r>
                          <w:rPr>
                            <w:rFonts w:hint="eastAsia"/>
                            <w:sz w:val="18"/>
                            <w:szCs w:val="18"/>
                          </w:rPr>
                          <w:t>资本公积</w:t>
                        </w:r>
                      </w:p>
                    </w:tc>
                  </w:sdtContent>
                </w:sdt>
                <w:sdt>
                  <w:sdtPr>
                    <w:tag w:val="_PLD_bdc12fd277ea4fbe9c90f9480d9ecddb"/>
                    <w:id w:val="-264313381"/>
                    <w:lock w:val="sdtLocked"/>
                  </w:sdtPr>
                  <w:sdtContent>
                    <w:tc>
                      <w:tcPr>
                        <w:tcW w:w="482" w:type="pct"/>
                        <w:vAlign w:val="center"/>
                      </w:tcPr>
                      <w:p>
                        <w:pPr>
                          <w:snapToGrid w:val="0"/>
                          <w:spacing w:line="240" w:lineRule="atLeast"/>
                          <w:jc w:val="center"/>
                          <w:rPr>
                            <w:sz w:val="18"/>
                            <w:szCs w:val="18"/>
                          </w:rPr>
                        </w:pPr>
                        <w:r>
                          <w:rPr>
                            <w:rFonts w:hint="eastAsia"/>
                            <w:sz w:val="18"/>
                            <w:szCs w:val="18"/>
                          </w:rPr>
                          <w:t>其他综合收益</w:t>
                        </w:r>
                      </w:p>
                    </w:tc>
                  </w:sdtContent>
                </w:sdt>
                <w:sdt>
                  <w:sdtPr>
                    <w:tag w:val="_PLD_b4aa95f4be904a02958b77b5542bb78d"/>
                    <w:id w:val="2071466963"/>
                    <w:lock w:val="sdtLocked"/>
                  </w:sdtPr>
                  <w:sdtContent>
                    <w:tc>
                      <w:tcPr>
                        <w:tcW w:w="381" w:type="pct"/>
                        <w:vAlign w:val="center"/>
                      </w:tcPr>
                      <w:p>
                        <w:pPr>
                          <w:snapToGrid w:val="0"/>
                          <w:spacing w:line="240" w:lineRule="atLeast"/>
                          <w:jc w:val="center"/>
                          <w:rPr>
                            <w:sz w:val="18"/>
                            <w:szCs w:val="18"/>
                          </w:rPr>
                        </w:pPr>
                        <w:r>
                          <w:rPr>
                            <w:rFonts w:hint="eastAsia"/>
                            <w:sz w:val="18"/>
                            <w:szCs w:val="18"/>
                          </w:rPr>
                          <w:t>专项储备</w:t>
                        </w:r>
                      </w:p>
                    </w:tc>
                  </w:sdtContent>
                </w:sdt>
                <w:sdt>
                  <w:sdtPr>
                    <w:tag w:val="_PLD_1ee8f47ee38e4000af64e781a1a0e729"/>
                    <w:id w:val="-998192723"/>
                    <w:lock w:val="sdtLocked"/>
                  </w:sdtPr>
                  <w:sdtContent>
                    <w:tc>
                      <w:tcPr>
                        <w:tcW w:w="482" w:type="pct"/>
                        <w:vAlign w:val="center"/>
                      </w:tcPr>
                      <w:p>
                        <w:pPr>
                          <w:snapToGrid w:val="0"/>
                          <w:spacing w:line="240" w:lineRule="atLeast"/>
                          <w:jc w:val="center"/>
                          <w:rPr>
                            <w:sz w:val="18"/>
                            <w:szCs w:val="18"/>
                          </w:rPr>
                        </w:pPr>
                        <w:r>
                          <w:rPr>
                            <w:rFonts w:hint="eastAsia"/>
                            <w:sz w:val="18"/>
                            <w:szCs w:val="18"/>
                          </w:rPr>
                          <w:t>盈余公积</w:t>
                        </w:r>
                      </w:p>
                    </w:tc>
                  </w:sdtContent>
                </w:sdt>
                <w:sdt>
                  <w:sdtPr>
                    <w:tag w:val="_PLD_b09258af0aa4494b8e88e711ca2dd7b8"/>
                    <w:id w:val="1805586252"/>
                    <w:lock w:val="sdtLocked"/>
                  </w:sdtPr>
                  <w:sdtContent>
                    <w:tc>
                      <w:tcPr>
                        <w:tcW w:w="381" w:type="pct"/>
                        <w:vAlign w:val="center"/>
                      </w:tcPr>
                      <w:p>
                        <w:pPr>
                          <w:snapToGrid w:val="0"/>
                          <w:spacing w:line="240" w:lineRule="atLeast"/>
                          <w:jc w:val="center"/>
                          <w:rPr>
                            <w:sz w:val="18"/>
                            <w:szCs w:val="18"/>
                          </w:rPr>
                        </w:pPr>
                        <w:r>
                          <w:rPr>
                            <w:rFonts w:hint="eastAsia"/>
                            <w:sz w:val="18"/>
                            <w:szCs w:val="18"/>
                          </w:rPr>
                          <w:t>一般风险准备</w:t>
                        </w:r>
                      </w:p>
                    </w:tc>
                  </w:sdtContent>
                </w:sdt>
                <w:sdt>
                  <w:sdtPr>
                    <w:tag w:val="_PLD_f20054bead0a491aafe7bb5a5952f48f"/>
                    <w:id w:val="280005526"/>
                    <w:lock w:val="sdtLocked"/>
                  </w:sdtPr>
                  <w:sdtContent>
                    <w:tc>
                      <w:tcPr>
                        <w:tcW w:w="507" w:type="pct"/>
                        <w:vAlign w:val="center"/>
                      </w:tcPr>
                      <w:p>
                        <w:pPr>
                          <w:snapToGrid w:val="0"/>
                          <w:spacing w:line="240" w:lineRule="atLeast"/>
                          <w:jc w:val="center"/>
                          <w:rPr>
                            <w:sz w:val="18"/>
                            <w:szCs w:val="18"/>
                          </w:rPr>
                        </w:pPr>
                        <w:r>
                          <w:rPr>
                            <w:rFonts w:hint="eastAsia"/>
                            <w:sz w:val="18"/>
                            <w:szCs w:val="18"/>
                          </w:rPr>
                          <w:t>未分配利润</w:t>
                        </w:r>
                      </w:p>
                    </w:tc>
                  </w:sdtContent>
                </w:sdt>
                <w:tc>
                  <w:tcPr>
                    <w:tcW w:w="507" w:type="pct"/>
                    <w:vAlign w:val="center"/>
                  </w:tcPr>
                  <w:sdt>
                    <w:sdtPr>
                      <w:rPr>
                        <w:rFonts w:hint="eastAsia"/>
                        <w:sz w:val="18"/>
                        <w:szCs w:val="18"/>
                      </w:rPr>
                      <w:tag w:val="_PLD_97c92cf2be1e4f36880a16a2c16704b4"/>
                      <w:id w:val="1263886444"/>
                      <w:lock w:val="sdtLocked"/>
                    </w:sdtPr>
                    <w:sdtEndPr>
                      <w:rPr>
                        <w:rFonts w:hint="eastAsia"/>
                        <w:sz w:val="18"/>
                        <w:szCs w:val="18"/>
                      </w:rPr>
                    </w:sdtEndPr>
                    <w:sdtContent>
                      <w:p>
                        <w:pPr>
                          <w:jc w:val="center"/>
                          <w:rPr>
                            <w:sz w:val="18"/>
                            <w:szCs w:val="18"/>
                          </w:rPr>
                        </w:pPr>
                        <w:r>
                          <w:rPr>
                            <w:rFonts w:hint="eastAsia"/>
                            <w:sz w:val="18"/>
                            <w:szCs w:val="18"/>
                          </w:rPr>
                          <w:t>小计</w:t>
                        </w:r>
                      </w:p>
                    </w:sdtContent>
                  </w:sdt>
                </w:tc>
                <w:tc>
                  <w:tcPr>
                    <w:tcW w:w="482" w:type="pct"/>
                    <w:vMerge w:val="continue"/>
                  </w:tcPr>
                  <w:p>
                    <w:pPr>
                      <w:jc w:val="center"/>
                      <w:rPr>
                        <w:sz w:val="18"/>
                        <w:szCs w:val="18"/>
                      </w:rPr>
                    </w:pPr>
                  </w:p>
                </w:tc>
                <w:tc>
                  <w:tcPr>
                    <w:tcW w:w="507" w:type="pct"/>
                    <w:vMerge w:val="continue"/>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f22f69e67ea4292afb08dec65f863c7"/>
                    <w:id w:val="1545250787"/>
                    <w:lock w:val="sdtLocked"/>
                  </w:sdtPr>
                  <w:sdtContent>
                    <w:tc>
                      <w:tcPr>
                        <w:tcW w:w="458" w:type="pct"/>
                      </w:tcPr>
                      <w:p>
                        <w:pPr>
                          <w:rPr>
                            <w:sz w:val="18"/>
                            <w:szCs w:val="18"/>
                          </w:rPr>
                        </w:pPr>
                        <w:r>
                          <w:rPr>
                            <w:sz w:val="18"/>
                            <w:szCs w:val="18"/>
                          </w:rPr>
                          <w:t>一、上年</w:t>
                        </w:r>
                        <w:r>
                          <w:rPr>
                            <w:rFonts w:hint="eastAsia"/>
                            <w:sz w:val="18"/>
                            <w:szCs w:val="18"/>
                          </w:rPr>
                          <w:t>期</w:t>
                        </w:r>
                        <w:r>
                          <w:rPr>
                            <w:sz w:val="18"/>
                            <w:szCs w:val="18"/>
                          </w:rPr>
                          <w:t>末余额</w:t>
                        </w:r>
                      </w:p>
                    </w:tc>
                  </w:sdtContent>
                </w:sdt>
                <w:tc>
                  <w:tcPr>
                    <w:tcW w:w="331" w:type="pct"/>
                  </w:tcPr>
                  <w:p>
                    <w:pPr>
                      <w:jc w:val="right"/>
                      <w:rPr>
                        <w:sz w:val="14"/>
                        <w:szCs w:val="14"/>
                      </w:rPr>
                    </w:pPr>
                    <w:r>
                      <w:rPr>
                        <w:sz w:val="14"/>
                        <w:szCs w:val="14"/>
                      </w:rPr>
                      <w:t>5,037,747,500.00</w:t>
                    </w:r>
                  </w:p>
                </w:tc>
                <w:tc>
                  <w:tcPr>
                    <w:tcW w:w="482" w:type="pct"/>
                  </w:tcPr>
                  <w:p>
                    <w:pPr>
                      <w:jc w:val="right"/>
                      <w:rPr>
                        <w:sz w:val="14"/>
                        <w:szCs w:val="14"/>
                      </w:rPr>
                    </w:pPr>
                    <w:r>
                      <w:rPr>
                        <w:sz w:val="14"/>
                        <w:szCs w:val="14"/>
                      </w:rPr>
                      <w:t>9,776,409,372.86</w:t>
                    </w:r>
                  </w:p>
                </w:tc>
                <w:tc>
                  <w:tcPr>
                    <w:tcW w:w="482" w:type="pct"/>
                  </w:tcPr>
                  <w:p>
                    <w:pPr>
                      <w:jc w:val="right"/>
                      <w:rPr>
                        <w:sz w:val="14"/>
                        <w:szCs w:val="14"/>
                      </w:rPr>
                    </w:pPr>
                    <w:r>
                      <w:rPr>
                        <w:sz w:val="14"/>
                        <w:szCs w:val="14"/>
                      </w:rPr>
                      <w:t>1,752,882,112.53</w:t>
                    </w:r>
                  </w:p>
                </w:tc>
                <w:tc>
                  <w:tcPr>
                    <w:tcW w:w="381" w:type="pct"/>
                  </w:tcPr>
                  <w:p>
                    <w:pPr>
                      <w:jc w:val="right"/>
                      <w:rPr>
                        <w:sz w:val="14"/>
                        <w:szCs w:val="14"/>
                      </w:rPr>
                    </w:pPr>
                    <w:r>
                      <w:rPr>
                        <w:sz w:val="14"/>
                        <w:szCs w:val="14"/>
                      </w:rPr>
                      <w:t>577,468.02</w:t>
                    </w:r>
                  </w:p>
                </w:tc>
                <w:tc>
                  <w:tcPr>
                    <w:tcW w:w="482" w:type="pct"/>
                  </w:tcPr>
                  <w:p>
                    <w:pPr>
                      <w:jc w:val="right"/>
                      <w:rPr>
                        <w:sz w:val="14"/>
                        <w:szCs w:val="14"/>
                      </w:rPr>
                    </w:pPr>
                    <w:r>
                      <w:rPr>
                        <w:sz w:val="14"/>
                        <w:szCs w:val="14"/>
                      </w:rPr>
                      <w:t>4,019,593,072.94</w:t>
                    </w:r>
                  </w:p>
                </w:tc>
                <w:tc>
                  <w:tcPr>
                    <w:tcW w:w="381" w:type="pct"/>
                  </w:tcPr>
                  <w:p>
                    <w:pPr>
                      <w:jc w:val="right"/>
                      <w:rPr>
                        <w:sz w:val="14"/>
                        <w:szCs w:val="14"/>
                      </w:rPr>
                    </w:pPr>
                    <w:r>
                      <w:rPr>
                        <w:sz w:val="14"/>
                        <w:szCs w:val="14"/>
                      </w:rPr>
                      <w:t>9,737,731.83</w:t>
                    </w:r>
                  </w:p>
                </w:tc>
                <w:tc>
                  <w:tcPr>
                    <w:tcW w:w="507" w:type="pct"/>
                  </w:tcPr>
                  <w:p>
                    <w:pPr>
                      <w:jc w:val="right"/>
                      <w:rPr>
                        <w:sz w:val="14"/>
                        <w:szCs w:val="14"/>
                      </w:rPr>
                    </w:pPr>
                    <w:r>
                      <w:rPr>
                        <w:sz w:val="14"/>
                        <w:szCs w:val="14"/>
                      </w:rPr>
                      <w:t>11,343,860,451.93</w:t>
                    </w:r>
                  </w:p>
                </w:tc>
                <w:tc>
                  <w:tcPr>
                    <w:tcW w:w="507" w:type="pct"/>
                  </w:tcPr>
                  <w:p>
                    <w:pPr>
                      <w:jc w:val="right"/>
                      <w:rPr>
                        <w:sz w:val="14"/>
                        <w:szCs w:val="14"/>
                      </w:rPr>
                    </w:pPr>
                    <w:r>
                      <w:rPr>
                        <w:sz w:val="14"/>
                        <w:szCs w:val="14"/>
                      </w:rPr>
                      <w:t>31,940,807,710.11</w:t>
                    </w:r>
                  </w:p>
                </w:tc>
                <w:tc>
                  <w:tcPr>
                    <w:tcW w:w="482" w:type="pct"/>
                  </w:tcPr>
                  <w:p>
                    <w:pPr>
                      <w:jc w:val="right"/>
                      <w:rPr>
                        <w:sz w:val="14"/>
                        <w:szCs w:val="14"/>
                      </w:rPr>
                    </w:pPr>
                    <w:r>
                      <w:rPr>
                        <w:sz w:val="14"/>
                        <w:szCs w:val="14"/>
                      </w:rPr>
                      <w:t>6,009,524,187.84</w:t>
                    </w:r>
                  </w:p>
                </w:tc>
                <w:tc>
                  <w:tcPr>
                    <w:tcW w:w="507" w:type="pct"/>
                  </w:tcPr>
                  <w:p>
                    <w:pPr>
                      <w:jc w:val="right"/>
                      <w:rPr>
                        <w:sz w:val="14"/>
                        <w:szCs w:val="14"/>
                      </w:rPr>
                    </w:pPr>
                    <w:r>
                      <w:rPr>
                        <w:sz w:val="14"/>
                        <w:szCs w:val="14"/>
                      </w:rPr>
                      <w:t>37,950,331,897.95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6d601e73dc14990b60ca53acf1371ba"/>
                    <w:id w:val="148572045"/>
                    <w:lock w:val="sdtLocked"/>
                  </w:sdtPr>
                  <w:sdtContent>
                    <w:tc>
                      <w:tcPr>
                        <w:tcW w:w="458" w:type="pct"/>
                      </w:tcPr>
                      <w:p>
                        <w:pPr>
                          <w:rPr>
                            <w:sz w:val="18"/>
                            <w:szCs w:val="18"/>
                          </w:rPr>
                        </w:pPr>
                        <w:r>
                          <w:rPr>
                            <w:sz w:val="18"/>
                            <w:szCs w:val="18"/>
                          </w:rPr>
                          <w:t>二、本年</w:t>
                        </w:r>
                        <w:r>
                          <w:rPr>
                            <w:rFonts w:hint="eastAsia"/>
                            <w:sz w:val="18"/>
                            <w:szCs w:val="18"/>
                          </w:rPr>
                          <w:t>期</w:t>
                        </w:r>
                        <w:r>
                          <w:rPr>
                            <w:sz w:val="18"/>
                            <w:szCs w:val="18"/>
                          </w:rPr>
                          <w:t>初余额</w:t>
                        </w:r>
                      </w:p>
                    </w:tc>
                  </w:sdtContent>
                </w:sdt>
                <w:tc>
                  <w:tcPr>
                    <w:tcW w:w="331" w:type="pct"/>
                  </w:tcPr>
                  <w:p>
                    <w:pPr>
                      <w:jc w:val="right"/>
                      <w:rPr>
                        <w:sz w:val="14"/>
                        <w:szCs w:val="14"/>
                      </w:rPr>
                    </w:pPr>
                    <w:r>
                      <w:rPr>
                        <w:sz w:val="14"/>
                        <w:szCs w:val="14"/>
                      </w:rPr>
                      <w:t>5,037,747,500.00</w:t>
                    </w:r>
                  </w:p>
                </w:tc>
                <w:tc>
                  <w:tcPr>
                    <w:tcW w:w="482" w:type="pct"/>
                  </w:tcPr>
                  <w:p>
                    <w:pPr>
                      <w:jc w:val="right"/>
                      <w:rPr>
                        <w:sz w:val="14"/>
                        <w:szCs w:val="14"/>
                      </w:rPr>
                    </w:pPr>
                    <w:r>
                      <w:rPr>
                        <w:sz w:val="14"/>
                        <w:szCs w:val="14"/>
                      </w:rPr>
                      <w:t>9,776,409,372.86</w:t>
                    </w:r>
                  </w:p>
                </w:tc>
                <w:tc>
                  <w:tcPr>
                    <w:tcW w:w="482" w:type="pct"/>
                  </w:tcPr>
                  <w:p>
                    <w:pPr>
                      <w:jc w:val="right"/>
                      <w:rPr>
                        <w:sz w:val="14"/>
                        <w:szCs w:val="14"/>
                      </w:rPr>
                    </w:pPr>
                    <w:r>
                      <w:rPr>
                        <w:sz w:val="14"/>
                        <w:szCs w:val="14"/>
                      </w:rPr>
                      <w:t>1,752,882,112.53</w:t>
                    </w:r>
                  </w:p>
                </w:tc>
                <w:tc>
                  <w:tcPr>
                    <w:tcW w:w="381" w:type="pct"/>
                  </w:tcPr>
                  <w:p>
                    <w:pPr>
                      <w:jc w:val="right"/>
                      <w:rPr>
                        <w:sz w:val="14"/>
                        <w:szCs w:val="14"/>
                      </w:rPr>
                    </w:pPr>
                    <w:r>
                      <w:rPr>
                        <w:sz w:val="14"/>
                        <w:szCs w:val="14"/>
                      </w:rPr>
                      <w:t>577,468.02</w:t>
                    </w:r>
                  </w:p>
                </w:tc>
                <w:tc>
                  <w:tcPr>
                    <w:tcW w:w="482" w:type="pct"/>
                  </w:tcPr>
                  <w:p>
                    <w:pPr>
                      <w:jc w:val="right"/>
                      <w:rPr>
                        <w:sz w:val="14"/>
                        <w:szCs w:val="14"/>
                      </w:rPr>
                    </w:pPr>
                    <w:r>
                      <w:rPr>
                        <w:sz w:val="14"/>
                        <w:szCs w:val="14"/>
                      </w:rPr>
                      <w:t>4,019,593,072.94</w:t>
                    </w:r>
                  </w:p>
                </w:tc>
                <w:tc>
                  <w:tcPr>
                    <w:tcW w:w="381" w:type="pct"/>
                  </w:tcPr>
                  <w:p>
                    <w:pPr>
                      <w:jc w:val="right"/>
                      <w:rPr>
                        <w:sz w:val="14"/>
                        <w:szCs w:val="14"/>
                      </w:rPr>
                    </w:pPr>
                    <w:r>
                      <w:rPr>
                        <w:sz w:val="14"/>
                        <w:szCs w:val="14"/>
                      </w:rPr>
                      <w:t>9,737,731.83</w:t>
                    </w:r>
                  </w:p>
                </w:tc>
                <w:tc>
                  <w:tcPr>
                    <w:tcW w:w="507" w:type="pct"/>
                  </w:tcPr>
                  <w:p>
                    <w:pPr>
                      <w:jc w:val="right"/>
                      <w:rPr>
                        <w:sz w:val="14"/>
                        <w:szCs w:val="14"/>
                      </w:rPr>
                    </w:pPr>
                    <w:r>
                      <w:rPr>
                        <w:sz w:val="14"/>
                        <w:szCs w:val="14"/>
                      </w:rPr>
                      <w:t>11,343,860,451.93</w:t>
                    </w:r>
                  </w:p>
                </w:tc>
                <w:tc>
                  <w:tcPr>
                    <w:tcW w:w="507" w:type="pct"/>
                  </w:tcPr>
                  <w:p>
                    <w:pPr>
                      <w:jc w:val="right"/>
                      <w:rPr>
                        <w:sz w:val="14"/>
                        <w:szCs w:val="14"/>
                      </w:rPr>
                    </w:pPr>
                    <w:r>
                      <w:rPr>
                        <w:sz w:val="14"/>
                        <w:szCs w:val="14"/>
                      </w:rPr>
                      <w:t>31,940,807,710.11</w:t>
                    </w:r>
                  </w:p>
                </w:tc>
                <w:tc>
                  <w:tcPr>
                    <w:tcW w:w="482" w:type="pct"/>
                  </w:tcPr>
                  <w:p>
                    <w:pPr>
                      <w:jc w:val="right"/>
                      <w:rPr>
                        <w:sz w:val="14"/>
                        <w:szCs w:val="14"/>
                      </w:rPr>
                    </w:pPr>
                    <w:r>
                      <w:rPr>
                        <w:sz w:val="14"/>
                        <w:szCs w:val="14"/>
                      </w:rPr>
                      <w:t>6,009,524,187.84</w:t>
                    </w:r>
                  </w:p>
                </w:tc>
                <w:tc>
                  <w:tcPr>
                    <w:tcW w:w="507" w:type="pct"/>
                  </w:tcPr>
                  <w:p>
                    <w:pPr>
                      <w:jc w:val="right"/>
                      <w:rPr>
                        <w:sz w:val="14"/>
                        <w:szCs w:val="14"/>
                      </w:rPr>
                    </w:pPr>
                    <w:r>
                      <w:rPr>
                        <w:sz w:val="14"/>
                        <w:szCs w:val="14"/>
                      </w:rPr>
                      <w:t>37,950,331,897.95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0156dcb8ac241a7929015e75c8eef16"/>
                    <w:id w:val="-331138694"/>
                    <w:lock w:val="sdtLocked"/>
                  </w:sdtPr>
                  <w:sdtContent>
                    <w:tc>
                      <w:tcPr>
                        <w:tcW w:w="458" w:type="pct"/>
                      </w:tcPr>
                      <w:p>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102,767,605.2</w:t>
                    </w:r>
                  </w:p>
                </w:tc>
                <w:tc>
                  <w:tcPr>
                    <w:tcW w:w="381" w:type="pct"/>
                  </w:tcPr>
                  <w:p>
                    <w:pPr>
                      <w:jc w:val="right"/>
                      <w:rPr>
                        <w:sz w:val="14"/>
                        <w:szCs w:val="14"/>
                      </w:rPr>
                    </w:pPr>
                    <w:r>
                      <w:rPr>
                        <w:sz w:val="14"/>
                        <w:szCs w:val="14"/>
                      </w:rPr>
                      <w:t>1,464,015.02</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-819,394.53</w:t>
                    </w:r>
                  </w:p>
                </w:tc>
                <w:tc>
                  <w:tcPr>
                    <w:tcW w:w="507" w:type="pct"/>
                  </w:tcPr>
                  <w:p>
                    <w:pPr>
                      <w:jc w:val="right"/>
                      <w:rPr>
                        <w:sz w:val="14"/>
                        <w:szCs w:val="14"/>
                      </w:rPr>
                    </w:pPr>
                    <w:r>
                      <w:rPr>
                        <w:sz w:val="14"/>
                        <w:szCs w:val="14"/>
                      </w:rPr>
                      <w:t>165,353,626.19</w:t>
                    </w:r>
                  </w:p>
                </w:tc>
                <w:tc>
                  <w:tcPr>
                    <w:tcW w:w="507" w:type="pct"/>
                  </w:tcPr>
                  <w:p>
                    <w:pPr>
                      <w:jc w:val="right"/>
                    </w:pPr>
                    <w:r>
                      <w:rPr>
                        <w:sz w:val="14"/>
                        <w:szCs w:val="14"/>
                      </w:rPr>
                      <w:t>268,765,851.96</w:t>
                    </w:r>
                  </w:p>
                  <w:p>
                    <w:pPr>
                      <w:rPr>
                        <w:sz w:val="14"/>
                        <w:szCs w:val="14"/>
                      </w:rPr>
                    </w:pPr>
                  </w:p>
                  <w:p>
                    <w:pPr>
                      <w:rPr>
                        <w:sz w:val="14"/>
                        <w:szCs w:val="14"/>
                      </w:rPr>
                    </w:pPr>
                  </w:p>
                  <w:p>
                    <w:pPr>
                      <w:tabs>
                        <w:tab w:val="left" w:pos="1055"/>
                      </w:tabs>
                    </w:pPr>
                  </w:p>
                  <w:p>
                    <w:pPr>
                      <w:rPr>
                        <w:sz w:val="14"/>
                        <w:szCs w:val="14"/>
                      </w:rPr>
                    </w:pPr>
                  </w:p>
                </w:tc>
                <w:tc>
                  <w:tcPr>
                    <w:tcW w:w="482" w:type="pct"/>
                  </w:tcPr>
                  <w:p>
                    <w:pPr>
                      <w:jc w:val="right"/>
                      <w:rPr>
                        <w:sz w:val="14"/>
                        <w:szCs w:val="14"/>
                      </w:rPr>
                    </w:pPr>
                    <w:r>
                      <w:rPr>
                        <w:sz w:val="14"/>
                        <w:szCs w:val="14"/>
                      </w:rPr>
                      <w:t>305,079,871.20</w:t>
                    </w:r>
                  </w:p>
                </w:tc>
                <w:tc>
                  <w:tcPr>
                    <w:tcW w:w="507" w:type="pct"/>
                  </w:tcPr>
                  <w:p>
                    <w:pPr>
                      <w:jc w:val="right"/>
                      <w:rPr>
                        <w:sz w:val="14"/>
                        <w:szCs w:val="14"/>
                      </w:rPr>
                    </w:pPr>
                    <w:r>
                      <w:rPr>
                        <w:sz w:val="14"/>
                        <w:szCs w:val="14"/>
                      </w:rPr>
                      <w:t>573,845,723.16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05dacde51ff43abaf7ec73bf9668d99"/>
                    <w:id w:val="1376039774"/>
                    <w:lock w:val="sdtLocked"/>
                  </w:sdtPr>
                  <w:sdtContent>
                    <w:tc>
                      <w:tcPr>
                        <w:tcW w:w="458" w:type="pct"/>
                      </w:tcPr>
                      <w:p>
                        <w:pPr>
                          <w:rPr>
                            <w:sz w:val="18"/>
                            <w:szCs w:val="18"/>
                          </w:rPr>
                        </w:pPr>
                        <w:r>
                          <w:rPr>
                            <w:rFonts w:hint="eastAsia"/>
                            <w:sz w:val="18"/>
                            <w:szCs w:val="18"/>
                          </w:rPr>
                          <w:t>（一）综合收益总额</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102,767,605.28</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2,481,895,375.62</w:t>
                    </w:r>
                  </w:p>
                </w:tc>
                <w:tc>
                  <w:tcPr>
                    <w:tcW w:w="507" w:type="pct"/>
                  </w:tcPr>
                  <w:p>
                    <w:pPr>
                      <w:jc w:val="right"/>
                      <w:rPr>
                        <w:sz w:val="14"/>
                        <w:szCs w:val="14"/>
                      </w:rPr>
                    </w:pPr>
                    <w:r>
                      <w:rPr>
                        <w:sz w:val="14"/>
                        <w:szCs w:val="14"/>
                      </w:rPr>
                      <w:t>2,584,662,980.90</w:t>
                    </w:r>
                  </w:p>
                </w:tc>
                <w:tc>
                  <w:tcPr>
                    <w:tcW w:w="482" w:type="pct"/>
                  </w:tcPr>
                  <w:p>
                    <w:pPr>
                      <w:jc w:val="right"/>
                      <w:rPr>
                        <w:sz w:val="14"/>
                        <w:szCs w:val="14"/>
                      </w:rPr>
                    </w:pPr>
                    <w:r>
                      <w:rPr>
                        <w:sz w:val="14"/>
                        <w:szCs w:val="14"/>
                      </w:rPr>
                      <w:t>113,678,733.74</w:t>
                    </w:r>
                  </w:p>
                </w:tc>
                <w:tc>
                  <w:tcPr>
                    <w:tcW w:w="507" w:type="pct"/>
                  </w:tcPr>
                  <w:p>
                    <w:pPr>
                      <w:jc w:val="right"/>
                      <w:rPr>
                        <w:sz w:val="14"/>
                        <w:szCs w:val="14"/>
                      </w:rPr>
                    </w:pPr>
                    <w:r>
                      <w:rPr>
                        <w:sz w:val="14"/>
                        <w:szCs w:val="14"/>
                      </w:rPr>
                      <w:t>2,698,341,714.64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17921fb207340239c73a056e615d773"/>
                    <w:id w:val="-1888490087"/>
                    <w:lock w:val="sdtLocked"/>
                  </w:sdtPr>
                  <w:sdtContent>
                    <w:tc>
                      <w:tcPr>
                        <w:tcW w:w="458" w:type="pct"/>
                      </w:tcPr>
                      <w:p>
                        <w:pPr>
                          <w:rPr>
                            <w:sz w:val="18"/>
                            <w:szCs w:val="18"/>
                          </w:rPr>
                        </w:pPr>
                        <w:r>
                          <w:rPr>
                            <w:sz w:val="18"/>
                            <w:szCs w:val="18"/>
                          </w:rPr>
                          <w:t>（</w:t>
                        </w:r>
                        <w:r>
                          <w:rPr>
                            <w:rFonts w:hint="eastAsia"/>
                            <w:sz w:val="18"/>
                            <w:szCs w:val="18"/>
                          </w:rPr>
                          <w:t>二</w:t>
                        </w:r>
                        <w:r>
                          <w:rPr>
                            <w:sz w:val="18"/>
                            <w:szCs w:val="18"/>
                          </w:rPr>
                          <w:t>）所有者投入和减少资本</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482" w:type="pct"/>
                  </w:tcPr>
                  <w:p>
                    <w:pPr>
                      <w:jc w:val="right"/>
                      <w:rPr>
                        <w:sz w:val="14"/>
                        <w:szCs w:val="14"/>
                      </w:rPr>
                    </w:pPr>
                    <w:r>
                      <w:rPr>
                        <w:sz w:val="14"/>
                        <w:szCs w:val="14"/>
                      </w:rPr>
                      <w:t>200,816,000.00</w:t>
                    </w:r>
                  </w:p>
                </w:tc>
                <w:tc>
                  <w:tcPr>
                    <w:tcW w:w="507" w:type="pct"/>
                  </w:tcPr>
                  <w:p>
                    <w:pPr>
                      <w:jc w:val="right"/>
                      <w:rPr>
                        <w:sz w:val="14"/>
                        <w:szCs w:val="14"/>
                      </w:rPr>
                    </w:pPr>
                    <w:r>
                      <w:rPr>
                        <w:sz w:val="14"/>
                        <w:szCs w:val="14"/>
                      </w:rPr>
                      <w:t>200,816,000.00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4e5a1909d05445a88f8a664e237ae02"/>
                    <w:id w:val="1840812639"/>
                    <w:lock w:val="sdtLocked"/>
                  </w:sdtPr>
                  <w:sdtContent>
                    <w:tc>
                      <w:tcPr>
                        <w:tcW w:w="458" w:type="pct"/>
                      </w:tcPr>
                      <w:p>
                        <w:pPr>
                          <w:rPr>
                            <w:sz w:val="18"/>
                            <w:szCs w:val="18"/>
                          </w:rPr>
                        </w:pPr>
                        <w:r>
                          <w:rPr>
                            <w:rFonts w:hint="eastAsia"/>
                            <w:sz w:val="18"/>
                            <w:szCs w:val="18"/>
                          </w:rPr>
                          <w:t>1．所有者投入的普通股</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482" w:type="pct"/>
                  </w:tcPr>
                  <w:p>
                    <w:pPr>
                      <w:jc w:val="right"/>
                      <w:rPr>
                        <w:sz w:val="14"/>
                        <w:szCs w:val="14"/>
                      </w:rPr>
                    </w:pPr>
                    <w:r>
                      <w:rPr>
                        <w:sz w:val="14"/>
                        <w:szCs w:val="14"/>
                      </w:rPr>
                      <w:t>200,816,000.00</w:t>
                    </w:r>
                  </w:p>
                </w:tc>
                <w:tc>
                  <w:tcPr>
                    <w:tcW w:w="507" w:type="pct"/>
                  </w:tcPr>
                  <w:p>
                    <w:pPr>
                      <w:jc w:val="right"/>
                      <w:rPr>
                        <w:sz w:val="14"/>
                        <w:szCs w:val="14"/>
                      </w:rPr>
                    </w:pPr>
                    <w:r>
                      <w:rPr>
                        <w:sz w:val="14"/>
                        <w:szCs w:val="14"/>
                      </w:rPr>
                      <w:t>200,816,000.00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fb1d678e8ca4e3ba31e34bed05e6c58"/>
                    <w:id w:val="-1478211107"/>
                    <w:lock w:val="sdtLocked"/>
                  </w:sdtPr>
                  <w:sdtContent>
                    <w:tc>
                      <w:tcPr>
                        <w:tcW w:w="458" w:type="pct"/>
                      </w:tcPr>
                      <w:p>
                        <w:pPr>
                          <w:rPr>
                            <w:sz w:val="18"/>
                            <w:szCs w:val="18"/>
                          </w:rPr>
                        </w:pPr>
                        <w:r>
                          <w:rPr>
                            <w:sz w:val="18"/>
                            <w:szCs w:val="18"/>
                          </w:rPr>
                          <w:t>（</w:t>
                        </w:r>
                        <w:r>
                          <w:rPr>
                            <w:rFonts w:hint="eastAsia"/>
                            <w:sz w:val="18"/>
                            <w:szCs w:val="18"/>
                          </w:rPr>
                          <w:t>三</w:t>
                        </w:r>
                        <w:r>
                          <w:rPr>
                            <w:sz w:val="18"/>
                            <w:szCs w:val="18"/>
                          </w:rPr>
                          <w:t>）利润分配</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-819,394.53</w:t>
                    </w:r>
                  </w:p>
                </w:tc>
                <w:tc>
                  <w:tcPr>
                    <w:tcW w:w="507" w:type="pct"/>
                  </w:tcPr>
                  <w:p>
                    <w:pPr>
                      <w:jc w:val="right"/>
                      <w:rPr>
                        <w:sz w:val="14"/>
                        <w:szCs w:val="14"/>
                      </w:rPr>
                    </w:pPr>
                    <w:r>
                      <w:rPr>
                        <w:rFonts w:hint="eastAsia"/>
                        <w:sz w:val="14"/>
                        <w:szCs w:val="14"/>
                      </w:rPr>
                      <w:t>-</w:t>
                    </w:r>
                    <w:r>
                      <w:rPr>
                        <w:sz w:val="14"/>
                        <w:szCs w:val="14"/>
                      </w:rPr>
                      <w:t>2,316,544,455.47</w:t>
                    </w:r>
                  </w:p>
                </w:tc>
                <w:tc>
                  <w:tcPr>
                    <w:tcW w:w="507" w:type="pct"/>
                  </w:tcPr>
                  <w:p>
                    <w:pPr>
                      <w:jc w:val="right"/>
                      <w:rPr>
                        <w:sz w:val="14"/>
                        <w:szCs w:val="14"/>
                      </w:rPr>
                    </w:pPr>
                    <w:r>
                      <w:rPr>
                        <w:sz w:val="14"/>
                        <w:szCs w:val="14"/>
                      </w:rPr>
                      <w:t>-2,317,363,850.00</w:t>
                    </w:r>
                  </w:p>
                </w:tc>
                <w:tc>
                  <w:tcPr>
                    <w:tcW w:w="482" w:type="pct"/>
                  </w:tcPr>
                  <w:p>
                    <w:pPr>
                      <w:jc w:val="right"/>
                      <w:rPr>
                        <w:sz w:val="14"/>
                        <w:szCs w:val="14"/>
                      </w:rPr>
                    </w:pPr>
                    <w:r>
                      <w:rPr>
                        <w:sz w:val="14"/>
                        <w:szCs w:val="14"/>
                      </w:rPr>
                      <w:t>-9,803,888.62</w:t>
                    </w:r>
                  </w:p>
                </w:tc>
                <w:tc>
                  <w:tcPr>
                    <w:tcW w:w="507" w:type="pct"/>
                  </w:tcPr>
                  <w:p>
                    <w:pPr>
                      <w:jc w:val="right"/>
                      <w:rPr>
                        <w:sz w:val="14"/>
                        <w:szCs w:val="14"/>
                      </w:rPr>
                    </w:pPr>
                    <w:r>
                      <w:rPr>
                        <w:sz w:val="14"/>
                        <w:szCs w:val="14"/>
                      </w:rPr>
                      <w:t>-2,327,167,738.62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badbc22860d48e29f8d8d9a4a633d8c"/>
                    <w:id w:val="-76910729"/>
                    <w:lock w:val="sdtLocked"/>
                  </w:sdtPr>
                  <w:sdtContent>
                    <w:tc>
                      <w:tcPr>
                        <w:tcW w:w="458" w:type="pct"/>
                      </w:tcPr>
                      <w:p>
                        <w:pPr>
                          <w:rPr>
                            <w:sz w:val="18"/>
                            <w:szCs w:val="18"/>
                          </w:rPr>
                        </w:pPr>
                        <w:r>
                          <w:rPr>
                            <w:sz w:val="18"/>
                            <w:szCs w:val="18"/>
                          </w:rPr>
                          <w:t>1．提取盈余公积</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c8b649d670044a9b5fda521dd40705d"/>
                    <w:id w:val="1928525309"/>
                    <w:lock w:val="sdtLocked"/>
                  </w:sdtPr>
                  <w:sdtContent>
                    <w:tc>
                      <w:tcPr>
                        <w:tcW w:w="458" w:type="pct"/>
                      </w:tcPr>
                      <w:p>
                        <w:pPr>
                          <w:rPr>
                            <w:sz w:val="18"/>
                            <w:szCs w:val="18"/>
                          </w:rPr>
                        </w:pPr>
                        <w:r>
                          <w:rPr>
                            <w:sz w:val="18"/>
                            <w:szCs w:val="18"/>
                          </w:rPr>
                          <w:t>2．提取一般风险准备</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-819,394.53</w:t>
                    </w:r>
                  </w:p>
                </w:tc>
                <w:tc>
                  <w:tcPr>
                    <w:tcW w:w="507" w:type="pct"/>
                  </w:tcPr>
                  <w:p>
                    <w:pPr>
                      <w:jc w:val="right"/>
                      <w:rPr>
                        <w:sz w:val="14"/>
                        <w:szCs w:val="14"/>
                      </w:rPr>
                    </w:pPr>
                    <w:r>
                      <w:rPr>
                        <w:sz w:val="14"/>
                        <w:szCs w:val="14"/>
                      </w:rPr>
                      <w:t>819,394.53</w:t>
                    </w:r>
                  </w:p>
                </w:tc>
                <w:tc>
                  <w:tcPr>
                    <w:tcW w:w="507"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54428ff3bee49c2acd11ef634901543"/>
                    <w:id w:val="1737820228"/>
                    <w:lock w:val="sdtLocked"/>
                  </w:sdtPr>
                  <w:sdtContent>
                    <w:tc>
                      <w:tcPr>
                        <w:tcW w:w="458" w:type="pct"/>
                      </w:tcPr>
                      <w:p>
                        <w:pPr>
                          <w:rPr>
                            <w:sz w:val="18"/>
                            <w:szCs w:val="18"/>
                          </w:rPr>
                        </w:pPr>
                        <w:r>
                          <w:rPr>
                            <w:sz w:val="18"/>
                            <w:szCs w:val="18"/>
                          </w:rPr>
                          <w:t>3．对所有者（或股东）的分配</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-2,317,363,850.00</w:t>
                    </w:r>
                  </w:p>
                </w:tc>
                <w:tc>
                  <w:tcPr>
                    <w:tcW w:w="507" w:type="pct"/>
                  </w:tcPr>
                  <w:p>
                    <w:pPr>
                      <w:jc w:val="right"/>
                      <w:rPr>
                        <w:sz w:val="14"/>
                        <w:szCs w:val="14"/>
                      </w:rPr>
                    </w:pPr>
                    <w:r>
                      <w:rPr>
                        <w:sz w:val="14"/>
                        <w:szCs w:val="14"/>
                      </w:rPr>
                      <w:t>-2,317,363,850.00</w:t>
                    </w:r>
                  </w:p>
                </w:tc>
                <w:tc>
                  <w:tcPr>
                    <w:tcW w:w="482" w:type="pct"/>
                  </w:tcPr>
                  <w:p>
                    <w:pPr>
                      <w:jc w:val="right"/>
                      <w:rPr>
                        <w:sz w:val="14"/>
                        <w:szCs w:val="14"/>
                      </w:rPr>
                    </w:pPr>
                    <w:r>
                      <w:rPr>
                        <w:sz w:val="14"/>
                        <w:szCs w:val="14"/>
                      </w:rPr>
                      <w:t>-9,803,888.62</w:t>
                    </w:r>
                  </w:p>
                </w:tc>
                <w:tc>
                  <w:tcPr>
                    <w:tcW w:w="507" w:type="pct"/>
                  </w:tcPr>
                  <w:p>
                    <w:pPr>
                      <w:jc w:val="right"/>
                      <w:rPr>
                        <w:sz w:val="14"/>
                        <w:szCs w:val="14"/>
                      </w:rPr>
                    </w:pPr>
                    <w:r>
                      <w:rPr>
                        <w:sz w:val="14"/>
                        <w:szCs w:val="14"/>
                      </w:rPr>
                      <w:t>-2,327,167,738.62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3d350728a6c49ccaa6dbb4adf16c691"/>
                    <w:id w:val="1668739061"/>
                    <w:lock w:val="sdtLocked"/>
                  </w:sdtPr>
                  <w:sdtContent>
                    <w:tc>
                      <w:tcPr>
                        <w:tcW w:w="458" w:type="pct"/>
                      </w:tcPr>
                      <w:p>
                        <w:pPr>
                          <w:rPr>
                            <w:sz w:val="18"/>
                            <w:szCs w:val="18"/>
                          </w:rPr>
                        </w:pPr>
                        <w:r>
                          <w:rPr>
                            <w:sz w:val="18"/>
                            <w:szCs w:val="18"/>
                          </w:rPr>
                          <w:t>4．其他</w:t>
                        </w:r>
                      </w:p>
                    </w:tc>
                  </w:sdtContent>
                </w:sdt>
                <w:tc>
                  <w:tcPr>
                    <w:tcW w:w="331" w:type="pct"/>
                  </w:tcPr>
                  <w:p>
                    <w:pPr>
                      <w:jc w:val="right"/>
                      <w:rPr>
                        <w:sz w:val="14"/>
                        <w:szCs w:val="14"/>
                      </w:rPr>
                    </w:pPr>
                  </w:p>
                </w:tc>
                <w:tc>
                  <w:tcPr>
                    <w:tcW w:w="482"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507" w:type="pct"/>
                  </w:tcPr>
                  <w:p>
                    <w:pPr>
                      <w:jc w:val="right"/>
                      <w:rPr>
                        <w:sz w:val="14"/>
                        <w:szCs w:val="14"/>
                      </w:rPr>
                    </w:pPr>
                  </w:p>
                </w:tc>
                <w:tc>
                  <w:tcPr>
                    <w:tcW w:w="507" w:type="pct"/>
                  </w:tcPr>
                  <w:p>
                    <w:pPr>
                      <w:jc w:val="right"/>
                      <w:rPr>
                        <w:sz w:val="14"/>
                        <w:szCs w:val="14"/>
                      </w:rPr>
                    </w:pPr>
                  </w:p>
                </w:tc>
                <w:tc>
                  <w:tcPr>
                    <w:tcW w:w="482" w:type="pct"/>
                  </w:tcPr>
                  <w:p>
                    <w:pPr>
                      <w:jc w:val="right"/>
                      <w:rPr>
                        <w:sz w:val="14"/>
                        <w:szCs w:val="14"/>
                      </w:rPr>
                    </w:pPr>
                  </w:p>
                </w:tc>
                <w:tc>
                  <w:tcPr>
                    <w:tcW w:w="507" w:type="pct"/>
                  </w:tcPr>
                  <w:p>
                    <w:pPr>
                      <w:jc w:val="right"/>
                      <w:rPr>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3ab84b7536c4ddcaaad4c99a2dd5fd3"/>
                    <w:id w:val="-98188945"/>
                    <w:lock w:val="sdtLocked"/>
                  </w:sdtPr>
                  <w:sdtContent>
                    <w:tc>
                      <w:tcPr>
                        <w:tcW w:w="458" w:type="pct"/>
                      </w:tcPr>
                      <w:p>
                        <w:pPr>
                          <w:rPr>
                            <w:sz w:val="18"/>
                            <w:szCs w:val="18"/>
                          </w:rPr>
                        </w:pPr>
                        <w:r>
                          <w:rPr>
                            <w:sz w:val="18"/>
                            <w:szCs w:val="18"/>
                          </w:rPr>
                          <w:t>（</w:t>
                        </w:r>
                        <w:r>
                          <w:rPr>
                            <w:rFonts w:hint="eastAsia"/>
                            <w:sz w:val="18"/>
                            <w:szCs w:val="18"/>
                          </w:rPr>
                          <w:t>四</w:t>
                        </w:r>
                        <w:r>
                          <w:rPr>
                            <w:sz w:val="18"/>
                            <w:szCs w:val="18"/>
                          </w:rPr>
                          <w:t>）所有者权益内部结转</w:t>
                        </w:r>
                      </w:p>
                    </w:tc>
                  </w:sdtContent>
                </w:sdt>
                <w:tc>
                  <w:tcPr>
                    <w:tcW w:w="331" w:type="pct"/>
                  </w:tcPr>
                  <w:p>
                    <w:pPr>
                      <w:jc w:val="right"/>
                      <w:rPr>
                        <w:sz w:val="14"/>
                        <w:szCs w:val="14"/>
                      </w:rPr>
                    </w:pPr>
                  </w:p>
                </w:tc>
                <w:tc>
                  <w:tcPr>
                    <w:tcW w:w="482"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507" w:type="pct"/>
                  </w:tcPr>
                  <w:p>
                    <w:pPr>
                      <w:jc w:val="right"/>
                      <w:rPr>
                        <w:sz w:val="14"/>
                        <w:szCs w:val="14"/>
                      </w:rPr>
                    </w:pPr>
                  </w:p>
                </w:tc>
                <w:tc>
                  <w:tcPr>
                    <w:tcW w:w="507" w:type="pct"/>
                  </w:tcPr>
                  <w:p>
                    <w:pPr>
                      <w:jc w:val="right"/>
                      <w:rPr>
                        <w:sz w:val="14"/>
                        <w:szCs w:val="14"/>
                      </w:rPr>
                    </w:pPr>
                  </w:p>
                </w:tc>
                <w:tc>
                  <w:tcPr>
                    <w:tcW w:w="482" w:type="pct"/>
                  </w:tcPr>
                  <w:p>
                    <w:pPr>
                      <w:jc w:val="right"/>
                      <w:rPr>
                        <w:sz w:val="14"/>
                        <w:szCs w:val="14"/>
                      </w:rPr>
                    </w:pPr>
                  </w:p>
                </w:tc>
                <w:tc>
                  <w:tcPr>
                    <w:tcW w:w="507" w:type="pct"/>
                  </w:tcPr>
                  <w:p>
                    <w:pPr>
                      <w:jc w:val="right"/>
                      <w:rPr>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tcPr>
                  <w:sdt>
                    <w:sdtPr>
                      <w:rPr>
                        <w:sz w:val="18"/>
                        <w:szCs w:val="18"/>
                      </w:rPr>
                      <w:tag w:val="_PLD_de42fced9d0547ecb946b8443ac4ea20"/>
                      <w:id w:val="512887757"/>
                      <w:lock w:val="sdtLocked"/>
                    </w:sdtPr>
                    <w:sdtEndPr>
                      <w:rPr>
                        <w:sz w:val="18"/>
                        <w:szCs w:val="18"/>
                      </w:rPr>
                    </w:sdtEndPr>
                    <w:sdtContent>
                      <w:p>
                        <w:r>
                          <w:rPr>
                            <w:sz w:val="18"/>
                            <w:szCs w:val="18"/>
                          </w:rPr>
                          <w:t>6．其他</w:t>
                        </w:r>
                      </w:p>
                    </w:sdtContent>
                  </w:sdt>
                </w:tc>
                <w:tc>
                  <w:tcPr>
                    <w:tcW w:w="331" w:type="pct"/>
                  </w:tcPr>
                  <w:p>
                    <w:pPr>
                      <w:jc w:val="right"/>
                      <w:rPr>
                        <w:sz w:val="14"/>
                        <w:szCs w:val="14"/>
                      </w:rPr>
                    </w:pPr>
                  </w:p>
                </w:tc>
                <w:tc>
                  <w:tcPr>
                    <w:tcW w:w="482"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482" w:type="pct"/>
                  </w:tcPr>
                  <w:p>
                    <w:pPr>
                      <w:jc w:val="right"/>
                      <w:rPr>
                        <w:sz w:val="14"/>
                        <w:szCs w:val="14"/>
                      </w:rPr>
                    </w:pPr>
                  </w:p>
                </w:tc>
                <w:tc>
                  <w:tcPr>
                    <w:tcW w:w="381" w:type="pct"/>
                  </w:tcPr>
                  <w:p>
                    <w:pPr>
                      <w:jc w:val="right"/>
                      <w:rPr>
                        <w:sz w:val="14"/>
                        <w:szCs w:val="14"/>
                      </w:rPr>
                    </w:pPr>
                  </w:p>
                </w:tc>
                <w:tc>
                  <w:tcPr>
                    <w:tcW w:w="507" w:type="pct"/>
                  </w:tcPr>
                  <w:p>
                    <w:pPr>
                      <w:jc w:val="right"/>
                      <w:rPr>
                        <w:sz w:val="14"/>
                        <w:szCs w:val="14"/>
                      </w:rPr>
                    </w:pPr>
                  </w:p>
                </w:tc>
                <w:tc>
                  <w:tcPr>
                    <w:tcW w:w="507" w:type="pct"/>
                  </w:tcPr>
                  <w:p>
                    <w:pPr>
                      <w:jc w:val="right"/>
                      <w:rPr>
                        <w:sz w:val="14"/>
                        <w:szCs w:val="14"/>
                      </w:rPr>
                    </w:pPr>
                  </w:p>
                </w:tc>
                <w:tc>
                  <w:tcPr>
                    <w:tcW w:w="482" w:type="pct"/>
                  </w:tcPr>
                  <w:p>
                    <w:pPr>
                      <w:jc w:val="right"/>
                      <w:rPr>
                        <w:sz w:val="14"/>
                        <w:szCs w:val="14"/>
                      </w:rPr>
                    </w:pPr>
                  </w:p>
                </w:tc>
                <w:tc>
                  <w:tcPr>
                    <w:tcW w:w="507" w:type="pct"/>
                  </w:tcPr>
                  <w:p>
                    <w:pPr>
                      <w:jc w:val="right"/>
                      <w:rPr>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86b455cc9854476a754a4b43feec57d"/>
                    <w:id w:val="114026996"/>
                    <w:lock w:val="sdtLocked"/>
                  </w:sdtPr>
                  <w:sdtContent>
                    <w:tc>
                      <w:tcPr>
                        <w:tcW w:w="458" w:type="pct"/>
                      </w:tcPr>
                      <w:p>
                        <w:pPr>
                          <w:rPr>
                            <w:sz w:val="18"/>
                            <w:szCs w:val="18"/>
                          </w:rPr>
                        </w:pPr>
                        <w:r>
                          <w:rPr>
                            <w:rFonts w:hint="eastAsia"/>
                            <w:sz w:val="18"/>
                            <w:szCs w:val="18"/>
                          </w:rPr>
                          <w:t>（五）同一控制下企业合并</w:t>
                        </w:r>
                      </w:p>
                    </w:tc>
                  </w:sdtContent>
                </w:sdt>
                <w:sdt>
                  <w:sdtPr>
                    <w:alias w:val="（五）同一控制下企业合并实收资本 (或股本)"/>
                    <w:tag w:val="_GBC_23f59dc6605d4f4fac4972abc3bb886b"/>
                    <w:id w:val="-1505733241"/>
                    <w:lock w:val="sdtLocked"/>
                    <w:showingPlcHdr/>
                  </w:sdtPr>
                  <w:sdtContent>
                    <w:tc>
                      <w:tcPr>
                        <w:tcW w:w="331" w:type="pct"/>
                      </w:tcPr>
                      <w:p>
                        <w:pPr>
                          <w:jc w:val="right"/>
                          <w:rPr>
                            <w:sz w:val="14"/>
                            <w:szCs w:val="14"/>
                          </w:rPr>
                        </w:pPr>
                        <w:r>
                          <w:t xml:space="preserve">     </w:t>
                        </w:r>
                      </w:p>
                    </w:tc>
                  </w:sdtContent>
                </w:sdt>
                <w:sdt>
                  <w:sdtPr>
                    <w:alias w:val="（五）同一控制下企业合并资本公积"/>
                    <w:tag w:val="_GBC_18dc016bb2984f76923abe53ae464879"/>
                    <w:id w:val="1797174465"/>
                    <w:lock w:val="sdtLocked"/>
                  </w:sdtPr>
                  <w:sdtContent>
                    <w:tc>
                      <w:tcPr>
                        <w:tcW w:w="482" w:type="pct"/>
                      </w:tcPr>
                      <w:p>
                        <w:pPr>
                          <w:jc w:val="right"/>
                          <w:rPr>
                            <w:sz w:val="14"/>
                            <w:szCs w:val="14"/>
                          </w:rPr>
                        </w:pPr>
                      </w:p>
                    </w:tc>
                  </w:sdtContent>
                </w:sdt>
                <w:sdt>
                  <w:sdtPr>
                    <w:alias w:val="（五）同一控制下企业合并其他综合收益"/>
                    <w:tag w:val="_GBC_a05b6db61da54711ba85e8c10d34a747"/>
                    <w:id w:val="-1583681977"/>
                    <w:lock w:val="sdtLocked"/>
                  </w:sdtPr>
                  <w:sdtContent>
                    <w:tc>
                      <w:tcPr>
                        <w:tcW w:w="482" w:type="pct"/>
                      </w:tcPr>
                      <w:p>
                        <w:pPr>
                          <w:jc w:val="right"/>
                          <w:rPr>
                            <w:sz w:val="14"/>
                            <w:szCs w:val="14"/>
                          </w:rPr>
                        </w:pPr>
                      </w:p>
                    </w:tc>
                  </w:sdtContent>
                </w:sdt>
                <w:sdt>
                  <w:sdtPr>
                    <w:alias w:val="（五）同一控制下企业合并专项储备"/>
                    <w:tag w:val="_GBC_5546d7e8c76148df807188d36dffb631"/>
                    <w:id w:val="-2145269243"/>
                    <w:lock w:val="sdtLocked"/>
                  </w:sdtPr>
                  <w:sdtContent>
                    <w:tc>
                      <w:tcPr>
                        <w:tcW w:w="381" w:type="pct"/>
                      </w:tcPr>
                      <w:p>
                        <w:pPr>
                          <w:jc w:val="right"/>
                          <w:rPr>
                            <w:sz w:val="14"/>
                            <w:szCs w:val="14"/>
                          </w:rPr>
                        </w:pPr>
                      </w:p>
                    </w:tc>
                  </w:sdtContent>
                </w:sdt>
                <w:sdt>
                  <w:sdtPr>
                    <w:alias w:val="（五）同一控制下企业合并盈余公积"/>
                    <w:tag w:val="_GBC_93c1880aff634db48ba959631085c1e1"/>
                    <w:id w:val="-1944607148"/>
                    <w:lock w:val="sdtLocked"/>
                  </w:sdtPr>
                  <w:sdtContent>
                    <w:tc>
                      <w:tcPr>
                        <w:tcW w:w="482" w:type="pct"/>
                      </w:tcPr>
                      <w:p>
                        <w:pPr>
                          <w:jc w:val="right"/>
                          <w:rPr>
                            <w:sz w:val="14"/>
                            <w:szCs w:val="14"/>
                          </w:rPr>
                        </w:pPr>
                      </w:p>
                    </w:tc>
                  </w:sdtContent>
                </w:sdt>
                <w:sdt>
                  <w:sdtPr>
                    <w:alias w:val="（五）同一控制下企业合并一般风险准备"/>
                    <w:tag w:val="_GBC_4640e78149714a8f98f57e821aef4b29"/>
                    <w:id w:val="1449432100"/>
                    <w:lock w:val="sdtLocked"/>
                  </w:sdtPr>
                  <w:sdtContent>
                    <w:tc>
                      <w:tcPr>
                        <w:tcW w:w="381" w:type="pct"/>
                      </w:tcPr>
                      <w:p>
                        <w:pPr>
                          <w:jc w:val="right"/>
                          <w:rPr>
                            <w:sz w:val="14"/>
                            <w:szCs w:val="14"/>
                          </w:rPr>
                        </w:pPr>
                      </w:p>
                    </w:tc>
                  </w:sdtContent>
                </w:sdt>
                <w:sdt>
                  <w:sdtPr>
                    <w:alias w:val="（五）同一控制下企业合并未分配利润"/>
                    <w:tag w:val="_GBC_b1cc0f30ff1441a5b3b02c6fd21b6ac1"/>
                    <w:id w:val="-1933121232"/>
                    <w:lock w:val="sdtLocked"/>
                  </w:sdtPr>
                  <w:sdtContent>
                    <w:tc>
                      <w:tcPr>
                        <w:tcW w:w="507" w:type="pct"/>
                      </w:tcPr>
                      <w:p>
                        <w:pPr>
                          <w:jc w:val="right"/>
                          <w:rPr>
                            <w:sz w:val="14"/>
                            <w:szCs w:val="14"/>
                          </w:rPr>
                        </w:pPr>
                      </w:p>
                    </w:tc>
                  </w:sdtContent>
                </w:sdt>
                <w:sdt>
                  <w:sdtPr>
                    <w:alias w:val="（五）同一控制下企业合并小计"/>
                    <w:tag w:val="_GBC_b528dea8a6884c338228c3698c87c570"/>
                    <w:id w:val="1315145511"/>
                    <w:lock w:val="sdtLocked"/>
                  </w:sdtPr>
                  <w:sdtContent>
                    <w:tc>
                      <w:tcPr>
                        <w:tcW w:w="507" w:type="pct"/>
                      </w:tcPr>
                      <w:p>
                        <w:pPr>
                          <w:jc w:val="right"/>
                          <w:rPr>
                            <w:sz w:val="14"/>
                            <w:szCs w:val="14"/>
                          </w:rPr>
                        </w:pPr>
                      </w:p>
                    </w:tc>
                  </w:sdtContent>
                </w:sdt>
                <w:sdt>
                  <w:sdtPr>
                    <w:alias w:val="（五）同一控制下企业合并少数股东权益"/>
                    <w:tag w:val="_GBC_54ea36b43f3e466684a315ae0dc3b228"/>
                    <w:id w:val="1198890657"/>
                    <w:lock w:val="sdtLocked"/>
                  </w:sdtPr>
                  <w:sdtContent>
                    <w:tc>
                      <w:tcPr>
                        <w:tcW w:w="482" w:type="pct"/>
                      </w:tcPr>
                      <w:p>
                        <w:pPr>
                          <w:jc w:val="right"/>
                          <w:rPr>
                            <w:sz w:val="14"/>
                            <w:szCs w:val="14"/>
                          </w:rPr>
                        </w:pPr>
                      </w:p>
                    </w:tc>
                  </w:sdtContent>
                </w:sdt>
                <w:sdt>
                  <w:sdtPr>
                    <w:alias w:val="（五）同一控制下企业合并所有者权益合计"/>
                    <w:tag w:val="_GBC_3e75b5b1b4ab4d048598272a09b523bc"/>
                    <w:id w:val="-254982243"/>
                    <w:lock w:val="sdtLocked"/>
                  </w:sdtPr>
                  <w:sdtContent>
                    <w:tc>
                      <w:tcPr>
                        <w:tcW w:w="507" w:type="pct"/>
                      </w:tcPr>
                      <w:p>
                        <w:pPr>
                          <w:jc w:val="right"/>
                          <w:rPr>
                            <w:sz w:val="14"/>
                            <w:szCs w:val="14"/>
                          </w:rPr>
                        </w:pP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4d25c6e75074c52a0f884581cc84dba"/>
                    <w:id w:val="-1704702322"/>
                    <w:lock w:val="sdtLocked"/>
                  </w:sdtPr>
                  <w:sdtContent>
                    <w:tc>
                      <w:tcPr>
                        <w:tcW w:w="458" w:type="pct"/>
                      </w:tcPr>
                      <w:p>
                        <w:pPr>
                          <w:rPr>
                            <w:sz w:val="18"/>
                            <w:szCs w:val="18"/>
                          </w:rPr>
                        </w:pPr>
                        <w:r>
                          <w:rPr>
                            <w:rFonts w:hint="eastAsia"/>
                            <w:sz w:val="18"/>
                            <w:szCs w:val="18"/>
                          </w:rPr>
                          <w:t>（六）专项储备</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1,464,015.02</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1,464,015.02</w:t>
                    </w:r>
                  </w:p>
                </w:tc>
                <w:tc>
                  <w:tcPr>
                    <w:tcW w:w="482" w:type="pct"/>
                  </w:tcPr>
                  <w:p>
                    <w:pPr>
                      <w:jc w:val="right"/>
                      <w:rPr>
                        <w:sz w:val="14"/>
                        <w:szCs w:val="14"/>
                      </w:rPr>
                    </w:pPr>
                    <w:r>
                      <w:rPr>
                        <w:sz w:val="14"/>
                        <w:szCs w:val="14"/>
                      </w:rPr>
                      <w:t>389,026.08</w:t>
                    </w:r>
                  </w:p>
                </w:tc>
                <w:tc>
                  <w:tcPr>
                    <w:tcW w:w="507" w:type="pct"/>
                  </w:tcPr>
                  <w:p>
                    <w:pPr>
                      <w:jc w:val="right"/>
                      <w:rPr>
                        <w:sz w:val="14"/>
                        <w:szCs w:val="14"/>
                      </w:rPr>
                    </w:pPr>
                    <w:r>
                      <w:rPr>
                        <w:sz w:val="14"/>
                        <w:szCs w:val="14"/>
                      </w:rPr>
                      <w:t>1,853,041.10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72c666008dd4adfa2ab5933e9cd1671"/>
                    <w:id w:val="-257990202"/>
                    <w:lock w:val="sdtLocked"/>
                  </w:sdtPr>
                  <w:sdtContent>
                    <w:tc>
                      <w:tcPr>
                        <w:tcW w:w="458" w:type="pct"/>
                      </w:tcPr>
                      <w:p>
                        <w:pPr>
                          <w:rPr>
                            <w:sz w:val="18"/>
                            <w:szCs w:val="18"/>
                          </w:rPr>
                        </w:pPr>
                        <w:r>
                          <w:rPr>
                            <w:rFonts w:hint="eastAsia"/>
                            <w:sz w:val="18"/>
                            <w:szCs w:val="18"/>
                          </w:rPr>
                          <w:t>1．本期提取</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3,468,156.25</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3,468,156.25</w:t>
                    </w:r>
                  </w:p>
                </w:tc>
                <w:tc>
                  <w:tcPr>
                    <w:tcW w:w="482" w:type="pct"/>
                  </w:tcPr>
                  <w:p>
                    <w:pPr>
                      <w:jc w:val="right"/>
                      <w:rPr>
                        <w:sz w:val="14"/>
                        <w:szCs w:val="14"/>
                      </w:rPr>
                    </w:pPr>
                    <w:r>
                      <w:rPr>
                        <w:sz w:val="14"/>
                        <w:szCs w:val="14"/>
                      </w:rPr>
                      <w:t>1,095,438.48</w:t>
                    </w:r>
                  </w:p>
                </w:tc>
                <w:tc>
                  <w:tcPr>
                    <w:tcW w:w="507" w:type="pct"/>
                  </w:tcPr>
                  <w:p>
                    <w:pPr>
                      <w:jc w:val="right"/>
                      <w:rPr>
                        <w:sz w:val="14"/>
                        <w:szCs w:val="14"/>
                      </w:rPr>
                    </w:pPr>
                    <w:r>
                      <w:rPr>
                        <w:sz w:val="14"/>
                        <w:szCs w:val="14"/>
                      </w:rPr>
                      <w:t>4,563,594.73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10ec2533aac40f59079e8e8d20e52c3"/>
                    <w:id w:val="831339825"/>
                    <w:lock w:val="sdtLocked"/>
                  </w:sdtPr>
                  <w:sdtContent>
                    <w:tc>
                      <w:tcPr>
                        <w:tcW w:w="458" w:type="pct"/>
                      </w:tcPr>
                      <w:p>
                        <w:pPr>
                          <w:rPr>
                            <w:sz w:val="18"/>
                            <w:szCs w:val="18"/>
                          </w:rPr>
                        </w:pPr>
                        <w:r>
                          <w:rPr>
                            <w:rFonts w:hint="eastAsia"/>
                            <w:sz w:val="18"/>
                            <w:szCs w:val="18"/>
                          </w:rPr>
                          <w:t>2．本期使用</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-2,004,141.23</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w:t>
                    </w:r>
                  </w:p>
                </w:tc>
                <w:tc>
                  <w:tcPr>
                    <w:tcW w:w="507" w:type="pct"/>
                  </w:tcPr>
                  <w:p>
                    <w:pPr>
                      <w:jc w:val="right"/>
                      <w:rPr>
                        <w:sz w:val="14"/>
                        <w:szCs w:val="14"/>
                      </w:rPr>
                    </w:pPr>
                    <w:r>
                      <w:rPr>
                        <w:sz w:val="14"/>
                        <w:szCs w:val="14"/>
                      </w:rPr>
                      <w:t>-2,004,141.23</w:t>
                    </w:r>
                  </w:p>
                </w:tc>
                <w:tc>
                  <w:tcPr>
                    <w:tcW w:w="482" w:type="pct"/>
                  </w:tcPr>
                  <w:p>
                    <w:pPr>
                      <w:jc w:val="right"/>
                      <w:rPr>
                        <w:sz w:val="14"/>
                        <w:szCs w:val="14"/>
                      </w:rPr>
                    </w:pPr>
                    <w:r>
                      <w:rPr>
                        <w:sz w:val="14"/>
                        <w:szCs w:val="14"/>
                      </w:rPr>
                      <w:t>-706,412.40</w:t>
                    </w:r>
                  </w:p>
                </w:tc>
                <w:tc>
                  <w:tcPr>
                    <w:tcW w:w="507" w:type="pct"/>
                  </w:tcPr>
                  <w:p>
                    <w:pPr>
                      <w:jc w:val="right"/>
                      <w:rPr>
                        <w:sz w:val="14"/>
                        <w:szCs w:val="14"/>
                      </w:rPr>
                    </w:pPr>
                    <w:r>
                      <w:rPr>
                        <w:sz w:val="14"/>
                        <w:szCs w:val="14"/>
                      </w:rPr>
                      <w:t>-2,710,553.63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4bc69f9c7d34151a4b7a0d89088f0ee"/>
                    <w:id w:val="-477916400"/>
                    <w:lock w:val="sdtLocked"/>
                  </w:sdtPr>
                  <w:sdtContent>
                    <w:tc>
                      <w:tcPr>
                        <w:tcW w:w="458" w:type="pct"/>
                      </w:tcPr>
                      <w:p>
                        <w:pPr>
                          <w:rPr>
                            <w:sz w:val="18"/>
                            <w:szCs w:val="18"/>
                          </w:rPr>
                        </w:pPr>
                        <w:r>
                          <w:rPr>
                            <w:rFonts w:hint="eastAsia"/>
                            <w:sz w:val="18"/>
                            <w:szCs w:val="18"/>
                          </w:rPr>
                          <w:t>（七）其他</w:t>
                        </w:r>
                      </w:p>
                    </w:tc>
                  </w:sdtContent>
                </w:sdt>
                <w:tc>
                  <w:tcPr>
                    <w:tcW w:w="33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482" w:type="pct"/>
                  </w:tcPr>
                  <w:p>
                    <w:pPr>
                      <w:jc w:val="right"/>
                      <w:rPr>
                        <w:sz w:val="14"/>
                        <w:szCs w:val="14"/>
                      </w:rPr>
                    </w:pPr>
                    <w:r>
                      <w:rPr>
                        <w:sz w:val="14"/>
                        <w:szCs w:val="14"/>
                      </w:rPr>
                      <w:t>-</w:t>
                    </w:r>
                  </w:p>
                </w:tc>
                <w:tc>
                  <w:tcPr>
                    <w:tcW w:w="381" w:type="pct"/>
                  </w:tcPr>
                  <w:p>
                    <w:pPr>
                      <w:jc w:val="right"/>
                      <w:rPr>
                        <w:sz w:val="14"/>
                        <w:szCs w:val="14"/>
                      </w:rPr>
                    </w:pPr>
                    <w:r>
                      <w:rPr>
                        <w:sz w:val="14"/>
                        <w:szCs w:val="14"/>
                      </w:rPr>
                      <w:t>-</w:t>
                    </w:r>
                  </w:p>
                </w:tc>
                <w:tc>
                  <w:tcPr>
                    <w:tcW w:w="507" w:type="pct"/>
                  </w:tcPr>
                  <w:p>
                    <w:pPr>
                      <w:jc w:val="right"/>
                      <w:rPr>
                        <w:sz w:val="14"/>
                        <w:szCs w:val="14"/>
                      </w:rPr>
                    </w:pPr>
                    <w:r>
                      <w:rPr>
                        <w:sz w:val="14"/>
                        <w:szCs w:val="14"/>
                      </w:rPr>
                      <w:t>2,706.04</w:t>
                    </w:r>
                  </w:p>
                </w:tc>
                <w:tc>
                  <w:tcPr>
                    <w:tcW w:w="507" w:type="pct"/>
                  </w:tcPr>
                  <w:p>
                    <w:pPr>
                      <w:jc w:val="right"/>
                      <w:rPr>
                        <w:sz w:val="14"/>
                        <w:szCs w:val="14"/>
                      </w:rPr>
                    </w:pPr>
                    <w:r>
                      <w:rPr>
                        <w:sz w:val="14"/>
                        <w:szCs w:val="14"/>
                      </w:rPr>
                      <w:t>2,706.04</w:t>
                    </w:r>
                  </w:p>
                </w:tc>
                <w:tc>
                  <w:tcPr>
                    <w:tcW w:w="482" w:type="pct"/>
                  </w:tcPr>
                  <w:p>
                    <w:pPr>
                      <w:jc w:val="right"/>
                      <w:rPr>
                        <w:sz w:val="14"/>
                        <w:szCs w:val="14"/>
                      </w:rPr>
                    </w:pPr>
                    <w:r>
                      <w:rPr>
                        <w:sz w:val="14"/>
                        <w:szCs w:val="14"/>
                      </w:rPr>
                      <w:t>-</w:t>
                    </w:r>
                  </w:p>
                </w:tc>
                <w:tc>
                  <w:tcPr>
                    <w:tcW w:w="507" w:type="pct"/>
                  </w:tcPr>
                  <w:p>
                    <w:pPr>
                      <w:jc w:val="right"/>
                      <w:rPr>
                        <w:sz w:val="14"/>
                        <w:szCs w:val="14"/>
                      </w:rPr>
                    </w:pPr>
                    <w:r>
                      <w:rPr>
                        <w:sz w:val="14"/>
                        <w:szCs w:val="14"/>
                      </w:rPr>
                      <w:t>2,706.04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33ca7ec3c1d4c1b905d0af57ca8a614"/>
                    <w:id w:val="552893184"/>
                    <w:lock w:val="sdtLocked"/>
                  </w:sdtPr>
                  <w:sdtContent>
                    <w:tc>
                      <w:tcPr>
                        <w:tcW w:w="458" w:type="pct"/>
                      </w:tcPr>
                      <w:p>
                        <w:pPr>
                          <w:rPr>
                            <w:sz w:val="18"/>
                            <w:szCs w:val="18"/>
                          </w:rPr>
                        </w:pPr>
                        <w:r>
                          <w:rPr>
                            <w:sz w:val="18"/>
                            <w:szCs w:val="18"/>
                          </w:rPr>
                          <w:t>四、本期期末余额</w:t>
                        </w:r>
                      </w:p>
                    </w:tc>
                  </w:sdtContent>
                </w:sdt>
                <w:tc>
                  <w:tcPr>
                    <w:tcW w:w="331" w:type="pct"/>
                  </w:tcPr>
                  <w:p>
                    <w:pPr>
                      <w:jc w:val="right"/>
                      <w:rPr>
                        <w:sz w:val="14"/>
                        <w:szCs w:val="14"/>
                      </w:rPr>
                    </w:pPr>
                    <w:r>
                      <w:rPr>
                        <w:sz w:val="14"/>
                        <w:szCs w:val="14"/>
                      </w:rPr>
                      <w:t>5,037,747,500.00</w:t>
                    </w:r>
                  </w:p>
                </w:tc>
                <w:tc>
                  <w:tcPr>
                    <w:tcW w:w="482" w:type="pct"/>
                  </w:tcPr>
                  <w:p>
                    <w:pPr>
                      <w:jc w:val="right"/>
                      <w:rPr>
                        <w:sz w:val="14"/>
                        <w:szCs w:val="14"/>
                      </w:rPr>
                    </w:pPr>
                    <w:r>
                      <w:rPr>
                        <w:sz w:val="14"/>
                        <w:szCs w:val="14"/>
                      </w:rPr>
                      <w:t>9,776,409,372.86</w:t>
                    </w:r>
                  </w:p>
                </w:tc>
                <w:tc>
                  <w:tcPr>
                    <w:tcW w:w="482" w:type="pct"/>
                  </w:tcPr>
                  <w:p>
                    <w:pPr>
                      <w:jc w:val="right"/>
                      <w:rPr>
                        <w:sz w:val="14"/>
                        <w:szCs w:val="14"/>
                      </w:rPr>
                    </w:pPr>
                    <w:r>
                      <w:rPr>
                        <w:sz w:val="14"/>
                        <w:szCs w:val="14"/>
                      </w:rPr>
                      <w:t>1,855,649,717.81</w:t>
                    </w:r>
                  </w:p>
                </w:tc>
                <w:tc>
                  <w:tcPr>
                    <w:tcW w:w="381" w:type="pct"/>
                  </w:tcPr>
                  <w:p>
                    <w:pPr>
                      <w:jc w:val="right"/>
                      <w:rPr>
                        <w:sz w:val="14"/>
                        <w:szCs w:val="14"/>
                      </w:rPr>
                    </w:pPr>
                    <w:r>
                      <w:rPr>
                        <w:sz w:val="14"/>
                        <w:szCs w:val="14"/>
                      </w:rPr>
                      <w:t>2,041,483.04</w:t>
                    </w:r>
                  </w:p>
                </w:tc>
                <w:tc>
                  <w:tcPr>
                    <w:tcW w:w="482" w:type="pct"/>
                  </w:tcPr>
                  <w:p>
                    <w:pPr>
                      <w:jc w:val="right"/>
                      <w:rPr>
                        <w:sz w:val="14"/>
                        <w:szCs w:val="14"/>
                      </w:rPr>
                    </w:pPr>
                    <w:r>
                      <w:rPr>
                        <w:sz w:val="14"/>
                        <w:szCs w:val="14"/>
                      </w:rPr>
                      <w:t>4,019,593,072.94</w:t>
                    </w:r>
                  </w:p>
                </w:tc>
                <w:tc>
                  <w:tcPr>
                    <w:tcW w:w="381" w:type="pct"/>
                  </w:tcPr>
                  <w:p>
                    <w:pPr>
                      <w:jc w:val="right"/>
                      <w:rPr>
                        <w:sz w:val="14"/>
                        <w:szCs w:val="14"/>
                      </w:rPr>
                    </w:pPr>
                    <w:r>
                      <w:rPr>
                        <w:sz w:val="14"/>
                        <w:szCs w:val="14"/>
                      </w:rPr>
                      <w:t>8,918,337.30</w:t>
                    </w:r>
                  </w:p>
                </w:tc>
                <w:tc>
                  <w:tcPr>
                    <w:tcW w:w="507" w:type="pct"/>
                  </w:tcPr>
                  <w:p>
                    <w:pPr>
                      <w:jc w:val="right"/>
                      <w:rPr>
                        <w:sz w:val="14"/>
                        <w:szCs w:val="14"/>
                      </w:rPr>
                    </w:pPr>
                    <w:r>
                      <w:rPr>
                        <w:sz w:val="14"/>
                        <w:szCs w:val="14"/>
                      </w:rPr>
                      <w:t>11,509,214,078.12</w:t>
                    </w:r>
                  </w:p>
                </w:tc>
                <w:tc>
                  <w:tcPr>
                    <w:tcW w:w="507" w:type="pct"/>
                  </w:tcPr>
                  <w:p>
                    <w:pPr>
                      <w:jc w:val="right"/>
                      <w:rPr>
                        <w:sz w:val="14"/>
                        <w:szCs w:val="14"/>
                      </w:rPr>
                    </w:pPr>
                    <w:r>
                      <w:rPr>
                        <w:sz w:val="14"/>
                        <w:szCs w:val="14"/>
                      </w:rPr>
                      <w:t>32,209,573,562.07</w:t>
                    </w:r>
                  </w:p>
                </w:tc>
                <w:tc>
                  <w:tcPr>
                    <w:tcW w:w="482" w:type="pct"/>
                  </w:tcPr>
                  <w:p>
                    <w:pPr>
                      <w:jc w:val="right"/>
                      <w:rPr>
                        <w:sz w:val="14"/>
                        <w:szCs w:val="14"/>
                      </w:rPr>
                    </w:pPr>
                    <w:r>
                      <w:rPr>
                        <w:sz w:val="14"/>
                        <w:szCs w:val="14"/>
                      </w:rPr>
                      <w:t>6,314,604,059.04</w:t>
                    </w:r>
                  </w:p>
                </w:tc>
                <w:tc>
                  <w:tcPr>
                    <w:tcW w:w="507" w:type="pct"/>
                  </w:tcPr>
                  <w:p>
                    <w:pPr>
                      <w:jc w:val="right"/>
                      <w:rPr>
                        <w:sz w:val="14"/>
                        <w:szCs w:val="14"/>
                      </w:rPr>
                    </w:pPr>
                    <w:r>
                      <w:rPr>
                        <w:sz w:val="14"/>
                        <w:szCs w:val="14"/>
                      </w:rPr>
                      <w:t>38,524,177,621.11</w:t>
                    </w:r>
                  </w:p>
                </w:tc>
              </w:tr>
            </w:tbl>
            <w:p>
              <w:pPr>
                <w:snapToGrid w:val="0"/>
                <w:spacing w:line="240" w:lineRule="atLeast"/>
                <w:ind w:right="-1594" w:rightChars="-759"/>
              </w:pPr>
            </w:p>
            <w:p>
              <w:pPr>
                <w:snapToGrid w:val="0"/>
                <w:spacing w:line="240" w:lineRule="atLeast"/>
                <w:ind w:right="-1594" w:rightChars="-759"/>
              </w:pPr>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336"/>
                <w:gridCol w:w="1406"/>
                <w:gridCol w:w="1336"/>
                <w:gridCol w:w="1056"/>
                <w:gridCol w:w="1589"/>
                <w:gridCol w:w="1056"/>
                <w:gridCol w:w="1406"/>
                <w:gridCol w:w="1406"/>
                <w:gridCol w:w="133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9" w:type="pct"/>
                    <w:vMerge w:val="restart"/>
                    <w:vAlign w:val="center"/>
                  </w:tcPr>
                  <w:sdt>
                    <w:sdtPr>
                      <w:rPr>
                        <w:rFonts w:hint="eastAsia"/>
                        <w:sz w:val="18"/>
                        <w:szCs w:val="18"/>
                      </w:rPr>
                      <w:tag w:val="_PLD_20eb9c9dd1e14fb0a0790f87b63a489d"/>
                      <w:id w:val="456305352"/>
                      <w:lock w:val="sdtLocked"/>
                    </w:sdtPr>
                    <w:sdtEndPr>
                      <w:rPr>
                        <w:rFonts w:hint="eastAsia"/>
                        <w:sz w:val="18"/>
                        <w:szCs w:val="18"/>
                      </w:rPr>
                    </w:sdtEndPr>
                    <w:sdtContent>
                      <w:p>
                        <w:pPr>
                          <w:snapToGrid w:val="0"/>
                          <w:spacing w:line="240" w:lineRule="atLeast"/>
                          <w:jc w:val="center"/>
                          <w:rPr>
                            <w:sz w:val="18"/>
                            <w:szCs w:val="18"/>
                          </w:rPr>
                        </w:pPr>
                        <w:r>
                          <w:rPr>
                            <w:rFonts w:hint="eastAsia"/>
                            <w:sz w:val="18"/>
                            <w:szCs w:val="18"/>
                          </w:rPr>
                          <w:t>项目</w:t>
                        </w:r>
                      </w:p>
                    </w:sdtContent>
                  </w:sdt>
                </w:tc>
                <w:tc>
                  <w:tcPr>
                    <w:tcW w:w="4741" w:type="pct"/>
                    <w:gridSpan w:val="10"/>
                  </w:tcPr>
                  <w:p>
                    <w:pPr>
                      <w:snapToGrid w:val="0"/>
                      <w:spacing w:line="240" w:lineRule="atLeast"/>
                      <w:jc w:val="center"/>
                    </w:pPr>
                    <w:r>
                      <w:rPr>
                        <w:rFonts w:hint="eastAsia"/>
                      </w:rPr>
                      <w:t xml:space="preserve"> </w:t>
                    </w:r>
                    <w:sdt>
                      <w:sdtPr>
                        <w:rPr>
                          <w:rFonts w:hint="eastAsia"/>
                        </w:rPr>
                        <w:tag w:val="_PLD_95c0e6e5f75a49daa1b601f67b7dd704"/>
                        <w:id w:val="622576702"/>
                        <w:lock w:val="sdtLocked"/>
                      </w:sdtPr>
                      <w:sdtEndPr>
                        <w:rPr>
                          <w:rFonts w:hint="eastAsia"/>
                        </w:rPr>
                      </w:sdtEndPr>
                      <w:sdtContent>
                        <w:r>
                          <w:rPr>
                            <w:rFonts w:hint="eastAsia"/>
                            <w:sz w:val="18"/>
                            <w:szCs w:val="18"/>
                          </w:rPr>
                          <w:t>2022年半年度</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259" w:type="pct"/>
                    <w:vMerge w:val="continue"/>
                  </w:tcPr>
                  <w:p>
                    <w:pPr>
                      <w:snapToGrid w:val="0"/>
                      <w:spacing w:line="240" w:lineRule="atLeast"/>
                      <w:ind w:right="-1594" w:rightChars="-759"/>
                      <w:rPr>
                        <w:sz w:val="18"/>
                        <w:szCs w:val="18"/>
                      </w:rPr>
                    </w:pPr>
                  </w:p>
                </w:tc>
                <w:sdt>
                  <w:sdtPr>
                    <w:tag w:val="_PLD_3c5d65171933469ea16eac46afc03a54"/>
                    <w:id w:val="-374845686"/>
                    <w:lock w:val="sdtLocked"/>
                  </w:sdtPr>
                  <w:sdtContent>
                    <w:tc>
                      <w:tcPr>
                        <w:tcW w:w="3807" w:type="pct"/>
                        <w:gridSpan w:val="8"/>
                        <w:vAlign w:val="center"/>
                      </w:tcPr>
                      <w:p>
                        <w:pPr>
                          <w:jc w:val="center"/>
                        </w:pPr>
                        <w:r>
                          <w:rPr>
                            <w:sz w:val="18"/>
                            <w:szCs w:val="18"/>
                          </w:rPr>
                          <w:t>归属于母公司所有者权益</w:t>
                        </w:r>
                      </w:p>
                    </w:tc>
                  </w:sdtContent>
                </w:sdt>
                <w:sdt>
                  <w:sdtPr>
                    <w:tag w:val="_PLD_ba7b1c99b1634f48939c500d6c46ce09"/>
                    <w:id w:val="2029516637"/>
                    <w:lock w:val="sdtLocked"/>
                  </w:sdtPr>
                  <w:sdtContent>
                    <w:tc>
                      <w:tcPr>
                        <w:tcW w:w="455" w:type="pct"/>
                        <w:vMerge w:val="restart"/>
                        <w:vAlign w:val="center"/>
                      </w:tcPr>
                      <w:p>
                        <w:pPr>
                          <w:jc w:val="center"/>
                          <w:rPr>
                            <w:sz w:val="18"/>
                            <w:szCs w:val="18"/>
                          </w:rPr>
                        </w:pPr>
                        <w:r>
                          <w:rPr>
                            <w:sz w:val="18"/>
                            <w:szCs w:val="18"/>
                          </w:rPr>
                          <w:t>少数股东权益</w:t>
                        </w:r>
                      </w:p>
                    </w:tc>
                  </w:sdtContent>
                </w:sdt>
                <w:sdt>
                  <w:sdtPr>
                    <w:tag w:val="_PLD_fb367567c5f141a5863649df07435b71"/>
                    <w:id w:val="138697699"/>
                    <w:lock w:val="sdtLocked"/>
                  </w:sdtPr>
                  <w:sdtContent>
                    <w:tc>
                      <w:tcPr>
                        <w:tcW w:w="479" w:type="pct"/>
                        <w:vMerge w:val="restart"/>
                        <w:vAlign w:val="center"/>
                      </w:tcPr>
                      <w:p>
                        <w:pPr>
                          <w:jc w:val="center"/>
                          <w:rPr>
                            <w:sz w:val="18"/>
                            <w:szCs w:val="18"/>
                          </w:rPr>
                        </w:pPr>
                        <w:r>
                          <w:rPr>
                            <w:sz w:val="18"/>
                            <w:szCs w:val="18"/>
                          </w:rPr>
                          <w:t>所有者权益合计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259" w:type="pct"/>
                    <w:vMerge w:val="continue"/>
                  </w:tcPr>
                  <w:p>
                    <w:pPr>
                      <w:snapToGrid w:val="0"/>
                      <w:spacing w:line="240" w:lineRule="atLeast"/>
                      <w:ind w:right="-1594" w:rightChars="-759"/>
                      <w:rPr>
                        <w:sz w:val="18"/>
                        <w:szCs w:val="18"/>
                      </w:rPr>
                    </w:pPr>
                  </w:p>
                </w:tc>
                <w:sdt>
                  <w:sdtPr>
                    <w:tag w:val="_PLD_36b3a5c009c04b53b0bd25afc2596e7e"/>
                    <w:id w:val="1478110954"/>
                    <w:lock w:val="sdtLocked"/>
                  </w:sdtPr>
                  <w:sdtContent>
                    <w:tc>
                      <w:tcPr>
                        <w:tcW w:w="455" w:type="pct"/>
                        <w:vAlign w:val="center"/>
                      </w:tcPr>
                      <w:p>
                        <w:pPr>
                          <w:snapToGrid w:val="0"/>
                          <w:spacing w:line="240" w:lineRule="atLeast"/>
                          <w:jc w:val="center"/>
                          <w:rPr>
                            <w:sz w:val="18"/>
                            <w:szCs w:val="18"/>
                          </w:rPr>
                        </w:pPr>
                        <w:r>
                          <w:rPr>
                            <w:rFonts w:hint="eastAsia"/>
                            <w:sz w:val="18"/>
                            <w:szCs w:val="18"/>
                          </w:rPr>
                          <w:t>实收资本</w:t>
                        </w:r>
                        <w:r>
                          <w:rPr>
                            <w:sz w:val="18"/>
                            <w:szCs w:val="18"/>
                          </w:rPr>
                          <w:t>(或股本)</w:t>
                        </w:r>
                      </w:p>
                    </w:tc>
                  </w:sdtContent>
                </w:sdt>
                <w:sdt>
                  <w:sdtPr>
                    <w:tag w:val="_PLD_f728bf12d1d64c4fa04dfc828a7a0411"/>
                    <w:id w:val="154810849"/>
                    <w:lock w:val="sdtLocked"/>
                  </w:sdtPr>
                  <w:sdtContent>
                    <w:tc>
                      <w:tcPr>
                        <w:tcW w:w="479" w:type="pct"/>
                        <w:vAlign w:val="center"/>
                      </w:tcPr>
                      <w:p>
                        <w:pPr>
                          <w:snapToGrid w:val="0"/>
                          <w:spacing w:line="240" w:lineRule="atLeast"/>
                          <w:jc w:val="center"/>
                          <w:rPr>
                            <w:sz w:val="18"/>
                            <w:szCs w:val="18"/>
                          </w:rPr>
                        </w:pPr>
                        <w:r>
                          <w:rPr>
                            <w:rFonts w:hint="eastAsia"/>
                            <w:sz w:val="18"/>
                            <w:szCs w:val="18"/>
                          </w:rPr>
                          <w:t>资本公积</w:t>
                        </w:r>
                      </w:p>
                    </w:tc>
                  </w:sdtContent>
                </w:sdt>
                <w:sdt>
                  <w:sdtPr>
                    <w:tag w:val="_PLD_68ae3206209542ea8491f40d49bafeb7"/>
                    <w:id w:val="-1034269923"/>
                    <w:lock w:val="sdtLocked"/>
                  </w:sdtPr>
                  <w:sdtContent>
                    <w:tc>
                      <w:tcPr>
                        <w:tcW w:w="455" w:type="pct"/>
                        <w:vAlign w:val="center"/>
                      </w:tcPr>
                      <w:p>
                        <w:pPr>
                          <w:snapToGrid w:val="0"/>
                          <w:spacing w:line="240" w:lineRule="atLeast"/>
                          <w:jc w:val="center"/>
                          <w:rPr>
                            <w:sz w:val="18"/>
                            <w:szCs w:val="18"/>
                          </w:rPr>
                        </w:pPr>
                        <w:r>
                          <w:rPr>
                            <w:rFonts w:hint="eastAsia"/>
                            <w:sz w:val="18"/>
                            <w:szCs w:val="18"/>
                          </w:rPr>
                          <w:t>其他综合收益</w:t>
                        </w:r>
                      </w:p>
                    </w:tc>
                  </w:sdtContent>
                </w:sdt>
                <w:sdt>
                  <w:sdtPr>
                    <w:tag w:val="_PLD_6402f064d7a041d58973d8b8205096d0"/>
                    <w:id w:val="-196555764"/>
                    <w:lock w:val="sdtLocked"/>
                  </w:sdtPr>
                  <w:sdtContent>
                    <w:tc>
                      <w:tcPr>
                        <w:tcW w:w="455" w:type="pct"/>
                        <w:vAlign w:val="center"/>
                      </w:tcPr>
                      <w:p>
                        <w:pPr>
                          <w:snapToGrid w:val="0"/>
                          <w:spacing w:line="240" w:lineRule="atLeast"/>
                          <w:jc w:val="center"/>
                          <w:rPr>
                            <w:sz w:val="18"/>
                            <w:szCs w:val="18"/>
                          </w:rPr>
                        </w:pPr>
                        <w:r>
                          <w:rPr>
                            <w:rFonts w:hint="eastAsia"/>
                            <w:sz w:val="18"/>
                            <w:szCs w:val="18"/>
                          </w:rPr>
                          <w:t>专项储备</w:t>
                        </w:r>
                      </w:p>
                    </w:tc>
                  </w:sdtContent>
                </w:sdt>
                <w:sdt>
                  <w:sdtPr>
                    <w:tag w:val="_PLD_b1d22d8686164205bfa14ef647cebfcd"/>
                    <w:id w:val="1420915250"/>
                    <w:lock w:val="sdtLocked"/>
                  </w:sdtPr>
                  <w:sdtContent>
                    <w:tc>
                      <w:tcPr>
                        <w:tcW w:w="644" w:type="pct"/>
                        <w:vAlign w:val="center"/>
                      </w:tcPr>
                      <w:p>
                        <w:pPr>
                          <w:snapToGrid w:val="0"/>
                          <w:spacing w:line="240" w:lineRule="atLeast"/>
                          <w:jc w:val="center"/>
                          <w:rPr>
                            <w:sz w:val="18"/>
                            <w:szCs w:val="18"/>
                          </w:rPr>
                        </w:pPr>
                        <w:r>
                          <w:rPr>
                            <w:rFonts w:hint="eastAsia"/>
                            <w:sz w:val="18"/>
                            <w:szCs w:val="18"/>
                          </w:rPr>
                          <w:t>盈余公积</w:t>
                        </w:r>
                      </w:p>
                    </w:tc>
                  </w:sdtContent>
                </w:sdt>
                <w:sdt>
                  <w:sdtPr>
                    <w:tag w:val="_PLD_c5c57d0195b14864b413898a9c76e89d"/>
                    <w:id w:val="824713921"/>
                    <w:lock w:val="sdtLocked"/>
                  </w:sdtPr>
                  <w:sdtContent>
                    <w:tc>
                      <w:tcPr>
                        <w:tcW w:w="361" w:type="pct"/>
                        <w:vAlign w:val="center"/>
                      </w:tcPr>
                      <w:p>
                        <w:pPr>
                          <w:snapToGrid w:val="0"/>
                          <w:spacing w:line="240" w:lineRule="atLeast"/>
                          <w:jc w:val="center"/>
                          <w:rPr>
                            <w:sz w:val="18"/>
                            <w:szCs w:val="18"/>
                          </w:rPr>
                        </w:pPr>
                        <w:r>
                          <w:rPr>
                            <w:rFonts w:hint="eastAsia"/>
                            <w:sz w:val="18"/>
                            <w:szCs w:val="18"/>
                          </w:rPr>
                          <w:t>一般风险准备</w:t>
                        </w:r>
                      </w:p>
                    </w:tc>
                  </w:sdtContent>
                </w:sdt>
                <w:sdt>
                  <w:sdtPr>
                    <w:tag w:val="_PLD_c9bffd2027d24ca1955db036ad79f5ea"/>
                    <w:id w:val="-1681883559"/>
                    <w:lock w:val="sdtLocked"/>
                  </w:sdtPr>
                  <w:sdtContent>
                    <w:tc>
                      <w:tcPr>
                        <w:tcW w:w="479" w:type="pct"/>
                        <w:vAlign w:val="center"/>
                      </w:tcPr>
                      <w:p>
                        <w:pPr>
                          <w:snapToGrid w:val="0"/>
                          <w:spacing w:line="240" w:lineRule="atLeast"/>
                          <w:jc w:val="center"/>
                          <w:rPr>
                            <w:sz w:val="18"/>
                            <w:szCs w:val="18"/>
                          </w:rPr>
                        </w:pPr>
                        <w:r>
                          <w:rPr>
                            <w:rFonts w:hint="eastAsia"/>
                            <w:sz w:val="18"/>
                            <w:szCs w:val="18"/>
                          </w:rPr>
                          <w:t>未分配利润</w:t>
                        </w:r>
                      </w:p>
                    </w:tc>
                  </w:sdtContent>
                </w:sdt>
                <w:tc>
                  <w:tcPr>
                    <w:tcW w:w="479" w:type="pct"/>
                    <w:vAlign w:val="center"/>
                  </w:tcPr>
                  <w:sdt>
                    <w:sdtPr>
                      <w:rPr>
                        <w:rFonts w:hint="eastAsia"/>
                        <w:sz w:val="18"/>
                        <w:szCs w:val="18"/>
                      </w:rPr>
                      <w:tag w:val="_PLD_e6df9793a438430a8df9730b2cdd8a99"/>
                      <w:id w:val="-1979682262"/>
                      <w:lock w:val="sdtLocked"/>
                    </w:sdtPr>
                    <w:sdtEndPr>
                      <w:rPr>
                        <w:rFonts w:hint="eastAsia"/>
                        <w:sz w:val="18"/>
                        <w:szCs w:val="18"/>
                      </w:rPr>
                    </w:sdtEndPr>
                    <w:sdtContent>
                      <w:p>
                        <w:pPr>
                          <w:jc w:val="center"/>
                          <w:rPr>
                            <w:sz w:val="18"/>
                            <w:szCs w:val="18"/>
                          </w:rPr>
                        </w:pPr>
                        <w:r>
                          <w:rPr>
                            <w:rFonts w:hint="eastAsia"/>
                            <w:sz w:val="18"/>
                            <w:szCs w:val="18"/>
                          </w:rPr>
                          <w:t>小计</w:t>
                        </w:r>
                      </w:p>
                    </w:sdtContent>
                  </w:sdt>
                </w:tc>
                <w:tc>
                  <w:tcPr>
                    <w:tcW w:w="455" w:type="pct"/>
                    <w:vMerge w:val="continue"/>
                  </w:tcPr>
                  <w:p>
                    <w:pPr>
                      <w:jc w:val="center"/>
                      <w:rPr>
                        <w:sz w:val="18"/>
                        <w:szCs w:val="18"/>
                      </w:rPr>
                    </w:pPr>
                  </w:p>
                </w:tc>
                <w:tc>
                  <w:tcPr>
                    <w:tcW w:w="479" w:type="pct"/>
                    <w:vMerge w:val="continue"/>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e9607e7cfb34d74bf0fce08e0866d34"/>
                    <w:id w:val="149106259"/>
                    <w:lock w:val="sdtLocked"/>
                  </w:sdtPr>
                  <w:sdtContent>
                    <w:tc>
                      <w:tcPr>
                        <w:tcW w:w="259" w:type="pct"/>
                      </w:tcPr>
                      <w:p>
                        <w:pPr>
                          <w:rPr>
                            <w:sz w:val="18"/>
                            <w:szCs w:val="18"/>
                          </w:rPr>
                        </w:pPr>
                        <w:r>
                          <w:rPr>
                            <w:sz w:val="18"/>
                            <w:szCs w:val="18"/>
                          </w:rPr>
                          <w:t>一、上年</w:t>
                        </w:r>
                        <w:r>
                          <w:rPr>
                            <w:rFonts w:hint="eastAsia"/>
                            <w:sz w:val="18"/>
                            <w:szCs w:val="18"/>
                          </w:rPr>
                          <w:t>期</w:t>
                        </w:r>
                        <w:r>
                          <w:rPr>
                            <w:sz w:val="18"/>
                            <w:szCs w:val="18"/>
                          </w:rPr>
                          <w:t>末余额</w:t>
                        </w:r>
                        <w:r>
                          <w:rPr>
                            <w:rFonts w:hint="eastAsia"/>
                            <w:sz w:val="18"/>
                            <w:szCs w:val="18"/>
                          </w:rPr>
                          <w:t>（重述后）</w:t>
                        </w:r>
                      </w:p>
                    </w:tc>
                  </w:sdtContent>
                </w:sdt>
                <w:tc>
                  <w:tcPr>
                    <w:tcW w:w="455" w:type="pct"/>
                    <w:vAlign w:val="center"/>
                  </w:tcPr>
                  <w:p>
                    <w:pPr>
                      <w:jc w:val="right"/>
                      <w:rPr>
                        <w:sz w:val="14"/>
                        <w:szCs w:val="14"/>
                      </w:rPr>
                    </w:pPr>
                    <w:r>
                      <w:rPr>
                        <w:sz w:val="14"/>
                        <w:szCs w:val="14"/>
                      </w:rPr>
                      <w:t>5,037,747,500.00</w:t>
                    </w:r>
                  </w:p>
                </w:tc>
                <w:tc>
                  <w:tcPr>
                    <w:tcW w:w="479" w:type="pct"/>
                    <w:vAlign w:val="center"/>
                  </w:tcPr>
                  <w:p>
                    <w:pPr>
                      <w:jc w:val="right"/>
                      <w:rPr>
                        <w:sz w:val="14"/>
                        <w:szCs w:val="14"/>
                      </w:rPr>
                    </w:pPr>
                    <w:r>
                      <w:rPr>
                        <w:sz w:val="14"/>
                        <w:szCs w:val="14"/>
                      </w:rPr>
                      <w:t>12,122,409,372.86</w:t>
                    </w:r>
                  </w:p>
                </w:tc>
                <w:tc>
                  <w:tcPr>
                    <w:tcW w:w="455" w:type="pct"/>
                    <w:vAlign w:val="center"/>
                  </w:tcPr>
                  <w:p>
                    <w:pPr>
                      <w:jc w:val="right"/>
                      <w:rPr>
                        <w:sz w:val="14"/>
                        <w:szCs w:val="14"/>
                      </w:rPr>
                    </w:pPr>
                    <w:r>
                      <w:rPr>
                        <w:sz w:val="14"/>
                        <w:szCs w:val="14"/>
                      </w:rPr>
                      <w:t>931,335,600.50</w:t>
                    </w:r>
                  </w:p>
                </w:tc>
                <w:tc>
                  <w:tcPr>
                    <w:tcW w:w="455" w:type="pct"/>
                    <w:vAlign w:val="center"/>
                  </w:tcPr>
                  <w:p>
                    <w:pPr>
                      <w:jc w:val="right"/>
                      <w:rPr>
                        <w:sz w:val="14"/>
                        <w:szCs w:val="14"/>
                      </w:rPr>
                    </w:pPr>
                    <w:r>
                      <w:rPr>
                        <w:sz w:val="14"/>
                        <w:szCs w:val="14"/>
                      </w:rPr>
                      <w:t>-</w:t>
                    </w:r>
                  </w:p>
                </w:tc>
                <w:tc>
                  <w:tcPr>
                    <w:tcW w:w="644" w:type="pct"/>
                    <w:vAlign w:val="center"/>
                  </w:tcPr>
                  <w:p>
                    <w:pPr>
                      <w:jc w:val="right"/>
                      <w:rPr>
                        <w:sz w:val="14"/>
                        <w:szCs w:val="14"/>
                      </w:rPr>
                    </w:pPr>
                    <w:r>
                      <w:rPr>
                        <w:sz w:val="14"/>
                        <w:szCs w:val="14"/>
                      </w:rPr>
                      <w:t>3,834,110,631.26</w:t>
                    </w:r>
                  </w:p>
                </w:tc>
                <w:tc>
                  <w:tcPr>
                    <w:tcW w:w="361" w:type="pct"/>
                    <w:vAlign w:val="center"/>
                  </w:tcPr>
                  <w:p>
                    <w:pPr>
                      <w:jc w:val="right"/>
                      <w:rPr>
                        <w:sz w:val="14"/>
                        <w:szCs w:val="14"/>
                      </w:rPr>
                    </w:pPr>
                    <w:r>
                      <w:rPr>
                        <w:sz w:val="14"/>
                        <w:szCs w:val="14"/>
                      </w:rPr>
                      <w:t>6,505,092.88</w:t>
                    </w:r>
                  </w:p>
                </w:tc>
                <w:tc>
                  <w:tcPr>
                    <w:tcW w:w="479" w:type="pct"/>
                    <w:vAlign w:val="center"/>
                  </w:tcPr>
                  <w:p>
                    <w:pPr>
                      <w:jc w:val="right"/>
                      <w:rPr>
                        <w:sz w:val="14"/>
                        <w:szCs w:val="14"/>
                      </w:rPr>
                    </w:pPr>
                    <w:r>
                      <w:rPr>
                        <w:sz w:val="14"/>
                        <w:szCs w:val="14"/>
                      </w:rPr>
                      <w:t>10,110,279,671.92</w:t>
                    </w:r>
                  </w:p>
                </w:tc>
                <w:tc>
                  <w:tcPr>
                    <w:tcW w:w="479" w:type="pct"/>
                    <w:vAlign w:val="center"/>
                  </w:tcPr>
                  <w:p>
                    <w:pPr>
                      <w:jc w:val="right"/>
                      <w:rPr>
                        <w:sz w:val="14"/>
                        <w:szCs w:val="14"/>
                      </w:rPr>
                    </w:pPr>
                    <w:r>
                      <w:rPr>
                        <w:sz w:val="14"/>
                        <w:szCs w:val="14"/>
                      </w:rPr>
                      <w:t>32,042,387,869.42</w:t>
                    </w:r>
                  </w:p>
                </w:tc>
                <w:tc>
                  <w:tcPr>
                    <w:tcW w:w="455" w:type="pct"/>
                    <w:vAlign w:val="center"/>
                  </w:tcPr>
                  <w:p>
                    <w:pPr>
                      <w:jc w:val="right"/>
                      <w:rPr>
                        <w:sz w:val="14"/>
                        <w:szCs w:val="14"/>
                      </w:rPr>
                    </w:pPr>
                    <w:r>
                      <w:rPr>
                        <w:sz w:val="14"/>
                        <w:szCs w:val="14"/>
                      </w:rPr>
                      <w:t>5,595,196,297.05</w:t>
                    </w:r>
                  </w:p>
                </w:tc>
                <w:tc>
                  <w:tcPr>
                    <w:tcW w:w="479" w:type="pct"/>
                    <w:vAlign w:val="center"/>
                  </w:tcPr>
                  <w:p>
                    <w:pPr>
                      <w:jc w:val="right"/>
                      <w:rPr>
                        <w:sz w:val="14"/>
                        <w:szCs w:val="14"/>
                      </w:rPr>
                    </w:pPr>
                    <w:r>
                      <w:rPr>
                        <w:sz w:val="14"/>
                        <w:szCs w:val="14"/>
                      </w:rPr>
                      <w:t>37,637,584,166.47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579c38070f04b86951daea3037af89c"/>
                    <w:id w:val="1803964872"/>
                    <w:lock w:val="sdtLocked"/>
                  </w:sdtPr>
                  <w:sdtContent>
                    <w:tc>
                      <w:tcPr>
                        <w:tcW w:w="259" w:type="pct"/>
                      </w:tcPr>
                      <w:p>
                        <w:pPr>
                          <w:rPr>
                            <w:sz w:val="18"/>
                            <w:szCs w:val="18"/>
                          </w:rPr>
                        </w:pPr>
                        <w:r>
                          <w:rPr>
                            <w:sz w:val="18"/>
                            <w:szCs w:val="18"/>
                          </w:rPr>
                          <w:t>二、本年</w:t>
                        </w:r>
                        <w:r>
                          <w:rPr>
                            <w:rFonts w:hint="eastAsia"/>
                            <w:sz w:val="18"/>
                            <w:szCs w:val="18"/>
                          </w:rPr>
                          <w:t>期</w:t>
                        </w:r>
                        <w:r>
                          <w:rPr>
                            <w:sz w:val="18"/>
                            <w:szCs w:val="18"/>
                          </w:rPr>
                          <w:t>初余额</w:t>
                        </w:r>
                      </w:p>
                    </w:tc>
                  </w:sdtContent>
                </w:sdt>
                <w:tc>
                  <w:tcPr>
                    <w:tcW w:w="455" w:type="pct"/>
                    <w:vAlign w:val="center"/>
                  </w:tcPr>
                  <w:p>
                    <w:pPr>
                      <w:jc w:val="right"/>
                      <w:rPr>
                        <w:sz w:val="14"/>
                        <w:szCs w:val="14"/>
                      </w:rPr>
                    </w:pPr>
                    <w:r>
                      <w:rPr>
                        <w:sz w:val="14"/>
                        <w:szCs w:val="14"/>
                      </w:rPr>
                      <w:t>5,037,747,500.00</w:t>
                    </w:r>
                  </w:p>
                </w:tc>
                <w:tc>
                  <w:tcPr>
                    <w:tcW w:w="479" w:type="pct"/>
                    <w:vAlign w:val="center"/>
                  </w:tcPr>
                  <w:p>
                    <w:pPr>
                      <w:jc w:val="right"/>
                      <w:rPr>
                        <w:sz w:val="14"/>
                        <w:szCs w:val="14"/>
                      </w:rPr>
                    </w:pPr>
                    <w:r>
                      <w:rPr>
                        <w:sz w:val="14"/>
                        <w:szCs w:val="14"/>
                      </w:rPr>
                      <w:t>12,122,409,372.86</w:t>
                    </w:r>
                  </w:p>
                </w:tc>
                <w:tc>
                  <w:tcPr>
                    <w:tcW w:w="455" w:type="pct"/>
                    <w:vAlign w:val="center"/>
                  </w:tcPr>
                  <w:p>
                    <w:pPr>
                      <w:jc w:val="right"/>
                      <w:rPr>
                        <w:sz w:val="14"/>
                        <w:szCs w:val="14"/>
                      </w:rPr>
                    </w:pPr>
                    <w:r>
                      <w:rPr>
                        <w:sz w:val="14"/>
                        <w:szCs w:val="14"/>
                      </w:rPr>
                      <w:t>931,335,600.50</w:t>
                    </w:r>
                  </w:p>
                </w:tc>
                <w:tc>
                  <w:tcPr>
                    <w:tcW w:w="455" w:type="pct"/>
                    <w:vAlign w:val="center"/>
                  </w:tcPr>
                  <w:p>
                    <w:pPr>
                      <w:jc w:val="right"/>
                      <w:rPr>
                        <w:sz w:val="14"/>
                        <w:szCs w:val="14"/>
                      </w:rPr>
                    </w:pPr>
                    <w:r>
                      <w:rPr>
                        <w:sz w:val="14"/>
                        <w:szCs w:val="14"/>
                      </w:rPr>
                      <w:t>-</w:t>
                    </w:r>
                  </w:p>
                </w:tc>
                <w:tc>
                  <w:tcPr>
                    <w:tcW w:w="644" w:type="pct"/>
                    <w:vAlign w:val="center"/>
                  </w:tcPr>
                  <w:p>
                    <w:pPr>
                      <w:jc w:val="right"/>
                      <w:rPr>
                        <w:sz w:val="14"/>
                        <w:szCs w:val="14"/>
                      </w:rPr>
                    </w:pPr>
                    <w:r>
                      <w:rPr>
                        <w:sz w:val="14"/>
                        <w:szCs w:val="14"/>
                      </w:rPr>
                      <w:t>3,834,110,631.26</w:t>
                    </w:r>
                  </w:p>
                </w:tc>
                <w:tc>
                  <w:tcPr>
                    <w:tcW w:w="361" w:type="pct"/>
                    <w:vAlign w:val="center"/>
                  </w:tcPr>
                  <w:p>
                    <w:pPr>
                      <w:jc w:val="right"/>
                      <w:rPr>
                        <w:sz w:val="14"/>
                        <w:szCs w:val="14"/>
                      </w:rPr>
                    </w:pPr>
                    <w:r>
                      <w:rPr>
                        <w:sz w:val="14"/>
                        <w:szCs w:val="14"/>
                      </w:rPr>
                      <w:t>6,505,092.88</w:t>
                    </w:r>
                  </w:p>
                </w:tc>
                <w:tc>
                  <w:tcPr>
                    <w:tcW w:w="479" w:type="pct"/>
                    <w:vAlign w:val="center"/>
                  </w:tcPr>
                  <w:p>
                    <w:pPr>
                      <w:jc w:val="right"/>
                      <w:rPr>
                        <w:sz w:val="14"/>
                        <w:szCs w:val="14"/>
                      </w:rPr>
                    </w:pPr>
                    <w:r>
                      <w:rPr>
                        <w:sz w:val="14"/>
                        <w:szCs w:val="14"/>
                      </w:rPr>
                      <w:t>10,110,279,671.92</w:t>
                    </w:r>
                  </w:p>
                </w:tc>
                <w:tc>
                  <w:tcPr>
                    <w:tcW w:w="479" w:type="pct"/>
                    <w:vAlign w:val="center"/>
                  </w:tcPr>
                  <w:p>
                    <w:pPr>
                      <w:jc w:val="right"/>
                      <w:rPr>
                        <w:sz w:val="14"/>
                        <w:szCs w:val="14"/>
                      </w:rPr>
                    </w:pPr>
                    <w:r>
                      <w:rPr>
                        <w:sz w:val="14"/>
                        <w:szCs w:val="14"/>
                      </w:rPr>
                      <w:t>32,042,387,869.42</w:t>
                    </w:r>
                  </w:p>
                </w:tc>
                <w:tc>
                  <w:tcPr>
                    <w:tcW w:w="455" w:type="pct"/>
                    <w:vAlign w:val="center"/>
                  </w:tcPr>
                  <w:p>
                    <w:pPr>
                      <w:jc w:val="right"/>
                      <w:rPr>
                        <w:sz w:val="14"/>
                        <w:szCs w:val="14"/>
                      </w:rPr>
                    </w:pPr>
                    <w:r>
                      <w:rPr>
                        <w:sz w:val="14"/>
                        <w:szCs w:val="14"/>
                      </w:rPr>
                      <w:t>5,595,196,297.05</w:t>
                    </w:r>
                  </w:p>
                </w:tc>
                <w:tc>
                  <w:tcPr>
                    <w:tcW w:w="479" w:type="pct"/>
                    <w:vAlign w:val="center"/>
                  </w:tcPr>
                  <w:p>
                    <w:pPr>
                      <w:jc w:val="right"/>
                      <w:rPr>
                        <w:sz w:val="14"/>
                        <w:szCs w:val="14"/>
                      </w:rPr>
                    </w:pPr>
                    <w:r>
                      <w:rPr>
                        <w:sz w:val="14"/>
                        <w:szCs w:val="14"/>
                      </w:rPr>
                      <w:t>37,637,584,166.47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86aec2424a047ee9af21797aa0ee0d8"/>
                    <w:id w:val="-1353335861"/>
                    <w:lock w:val="sdtLocked"/>
                  </w:sdtPr>
                  <w:sdtContent>
                    <w:tc>
                      <w:tcPr>
                        <w:tcW w:w="259" w:type="pct"/>
                      </w:tcPr>
                      <w:p>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-2,346,000,000.00</w:t>
                    </w:r>
                  </w:p>
                </w:tc>
                <w:tc>
                  <w:tcPr>
                    <w:tcW w:w="455" w:type="pct"/>
                    <w:vAlign w:val="center"/>
                  </w:tcPr>
                  <w:p>
                    <w:pPr>
                      <w:jc w:val="right"/>
                      <w:rPr>
                        <w:sz w:val="14"/>
                        <w:szCs w:val="14"/>
                      </w:rPr>
                    </w:pPr>
                    <w:r>
                      <w:rPr>
                        <w:sz w:val="14"/>
                        <w:szCs w:val="14"/>
                      </w:rPr>
                      <w:t xml:space="preserve">740,878,098.21 </w:t>
                    </w:r>
                  </w:p>
                </w:tc>
                <w:tc>
                  <w:tcPr>
                    <w:tcW w:w="455" w:type="pct"/>
                    <w:vAlign w:val="center"/>
                  </w:tcPr>
                  <w:p>
                    <w:pPr>
                      <w:jc w:val="right"/>
                      <w:rPr>
                        <w:sz w:val="14"/>
                        <w:szCs w:val="14"/>
                      </w:rPr>
                    </w:pPr>
                    <w:r>
                      <w:rPr>
                        <w:sz w:val="14"/>
                        <w:szCs w:val="14"/>
                      </w:rPr>
                      <w:t xml:space="preserve">894,243.17   </w:t>
                    </w:r>
                  </w:p>
                </w:tc>
                <w:tc>
                  <w:tcPr>
                    <w:tcW w:w="644" w:type="pct"/>
                    <w:vAlign w:val="center"/>
                  </w:tcPr>
                  <w:p>
                    <w:pPr>
                      <w:jc w:val="right"/>
                      <w:rPr>
                        <w:sz w:val="14"/>
                        <w:szCs w:val="14"/>
                      </w:rPr>
                    </w:pPr>
                    <w:r>
                      <w:rPr>
                        <w:sz w:val="14"/>
                        <w:szCs w:val="14"/>
                      </w:rPr>
                      <w:t xml:space="preserve">                         </w:t>
                    </w:r>
                    <w:r>
                      <w:rPr>
                        <w:rFonts w:hint="eastAsia"/>
                        <w:sz w:val="14"/>
                        <w:szCs w:val="14"/>
                      </w:rPr>
                      <w:t>-</w:t>
                    </w:r>
                  </w:p>
                </w:tc>
                <w:tc>
                  <w:tcPr>
                    <w:tcW w:w="361" w:type="pct"/>
                    <w:vAlign w:val="center"/>
                  </w:tcPr>
                  <w:p>
                    <w:pPr>
                      <w:jc w:val="right"/>
                      <w:rPr>
                        <w:sz w:val="14"/>
                        <w:szCs w:val="14"/>
                      </w:rPr>
                    </w:pPr>
                    <w:r>
                      <w:rPr>
                        <w:sz w:val="14"/>
                        <w:szCs w:val="14"/>
                      </w:rPr>
                      <w:t>842,107.79</w:t>
                    </w:r>
                  </w:p>
                </w:tc>
                <w:tc>
                  <w:tcPr>
                    <w:tcW w:w="479" w:type="pct"/>
                    <w:vAlign w:val="center"/>
                  </w:tcPr>
                  <w:p>
                    <w:pPr>
                      <w:jc w:val="right"/>
                      <w:rPr>
                        <w:sz w:val="14"/>
                        <w:szCs w:val="14"/>
                      </w:rPr>
                    </w:pPr>
                    <w:r>
                      <w:rPr>
                        <w:sz w:val="14"/>
                        <w:szCs w:val="14"/>
                      </w:rPr>
                      <w:t xml:space="preserve">-489,594,504.58 </w:t>
                    </w:r>
                  </w:p>
                </w:tc>
                <w:tc>
                  <w:tcPr>
                    <w:tcW w:w="479" w:type="pct"/>
                    <w:vAlign w:val="center"/>
                  </w:tcPr>
                  <w:p>
                    <w:pPr>
                      <w:jc w:val="right"/>
                      <w:rPr>
                        <w:sz w:val="14"/>
                        <w:szCs w:val="14"/>
                      </w:rPr>
                    </w:pPr>
                    <w:r>
                      <w:rPr>
                        <w:sz w:val="14"/>
                        <w:szCs w:val="14"/>
                      </w:rPr>
                      <w:t xml:space="preserve">-2,092,980,055.41 </w:t>
                    </w:r>
                  </w:p>
                </w:tc>
                <w:tc>
                  <w:tcPr>
                    <w:tcW w:w="455" w:type="pct"/>
                    <w:vAlign w:val="center"/>
                  </w:tcPr>
                  <w:p>
                    <w:pPr>
                      <w:jc w:val="right"/>
                      <w:rPr>
                        <w:sz w:val="14"/>
                        <w:szCs w:val="14"/>
                      </w:rPr>
                    </w:pPr>
                    <w:r>
                      <w:rPr>
                        <w:sz w:val="14"/>
                        <w:szCs w:val="14"/>
                      </w:rPr>
                      <w:t xml:space="preserve">-7,117,468.89 </w:t>
                    </w:r>
                  </w:p>
                </w:tc>
                <w:tc>
                  <w:tcPr>
                    <w:tcW w:w="479" w:type="pct"/>
                    <w:vAlign w:val="center"/>
                  </w:tcPr>
                  <w:p>
                    <w:pPr>
                      <w:jc w:val="right"/>
                      <w:rPr>
                        <w:sz w:val="14"/>
                        <w:szCs w:val="14"/>
                      </w:rPr>
                    </w:pPr>
                    <w:r>
                      <w:rPr>
                        <w:sz w:val="14"/>
                        <w:szCs w:val="14"/>
                      </w:rPr>
                      <w:t xml:space="preserve">-2,100,097,524.30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7bf1a1d144b41e18dbd63758cccc7b5"/>
                    <w:id w:val="-1001189896"/>
                    <w:lock w:val="sdtLocked"/>
                  </w:sdtPr>
                  <w:sdtContent>
                    <w:tc>
                      <w:tcPr>
                        <w:tcW w:w="259" w:type="pct"/>
                      </w:tcPr>
                      <w:p>
                        <w:pPr>
                          <w:rPr>
                            <w:sz w:val="18"/>
                            <w:szCs w:val="18"/>
                          </w:rPr>
                        </w:pPr>
                        <w:r>
                          <w:rPr>
                            <w:rFonts w:hint="eastAsia"/>
                            <w:sz w:val="18"/>
                            <w:szCs w:val="18"/>
                          </w:rPr>
                          <w:t>（一）综合收益总额</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740,878,098.21</w:t>
                    </w:r>
                  </w:p>
                </w:tc>
                <w:tc>
                  <w:tcPr>
                    <w:tcW w:w="455" w:type="pct"/>
                    <w:vAlign w:val="center"/>
                  </w:tcPr>
                  <w:p>
                    <w:pPr>
                      <w:jc w:val="right"/>
                      <w:rPr>
                        <w:sz w:val="14"/>
                        <w:szCs w:val="14"/>
                      </w:rPr>
                    </w:pPr>
                    <w:r>
                      <w:rPr>
                        <w:sz w:val="14"/>
                        <w:szCs w:val="14"/>
                      </w:rPr>
                      <w:t>-　</w:t>
                    </w:r>
                  </w:p>
                </w:tc>
                <w:tc>
                  <w:tcPr>
                    <w:tcW w:w="644" w:type="pct"/>
                    <w:vAlign w:val="center"/>
                  </w:tcPr>
                  <w:p>
                    <w:pPr>
                      <w:jc w:val="right"/>
                      <w:rPr>
                        <w:sz w:val="14"/>
                        <w:szCs w:val="14"/>
                      </w:rPr>
                    </w:pPr>
                    <w:r>
                      <w:rPr>
                        <w:sz w:val="14"/>
                        <w:szCs w:val="14"/>
                      </w:rPr>
                      <w:t>-　</w:t>
                    </w:r>
                  </w:p>
                </w:tc>
                <w:tc>
                  <w:tcPr>
                    <w:tcW w:w="361"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1,828,611,453.21</w:t>
                    </w:r>
                  </w:p>
                </w:tc>
                <w:tc>
                  <w:tcPr>
                    <w:tcW w:w="479" w:type="pct"/>
                    <w:vAlign w:val="center"/>
                  </w:tcPr>
                  <w:p>
                    <w:pPr>
                      <w:jc w:val="right"/>
                      <w:rPr>
                        <w:sz w:val="14"/>
                        <w:szCs w:val="14"/>
                      </w:rPr>
                    </w:pPr>
                    <w:r>
                      <w:rPr>
                        <w:sz w:val="14"/>
                        <w:szCs w:val="14"/>
                      </w:rPr>
                      <w:t>2,569,489,551.42</w:t>
                    </w:r>
                  </w:p>
                </w:tc>
                <w:tc>
                  <w:tcPr>
                    <w:tcW w:w="455" w:type="pct"/>
                    <w:vAlign w:val="center"/>
                  </w:tcPr>
                  <w:p>
                    <w:pPr>
                      <w:jc w:val="right"/>
                      <w:rPr>
                        <w:sz w:val="14"/>
                        <w:szCs w:val="14"/>
                      </w:rPr>
                    </w:pPr>
                    <w:r>
                      <w:rPr>
                        <w:sz w:val="14"/>
                        <w:szCs w:val="14"/>
                      </w:rPr>
                      <w:t>-7,372,312.58</w:t>
                    </w:r>
                  </w:p>
                </w:tc>
                <w:tc>
                  <w:tcPr>
                    <w:tcW w:w="479" w:type="pct"/>
                    <w:vAlign w:val="center"/>
                  </w:tcPr>
                  <w:p>
                    <w:pPr>
                      <w:jc w:val="right"/>
                      <w:rPr>
                        <w:sz w:val="14"/>
                        <w:szCs w:val="14"/>
                      </w:rPr>
                    </w:pPr>
                    <w:r>
                      <w:rPr>
                        <w:sz w:val="14"/>
                        <w:szCs w:val="14"/>
                      </w:rPr>
                      <w:t xml:space="preserve">2,562,117,238.84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55056423dbf4ac187d64bd43c03aca3"/>
                    <w:id w:val="894246450"/>
                    <w:lock w:val="sdtLocked"/>
                  </w:sdtPr>
                  <w:sdtContent>
                    <w:tc>
                      <w:tcPr>
                        <w:tcW w:w="259" w:type="pct"/>
                      </w:tcPr>
                      <w:p>
                        <w:pPr>
                          <w:rPr>
                            <w:sz w:val="18"/>
                            <w:szCs w:val="18"/>
                          </w:rPr>
                        </w:pPr>
                        <w:r>
                          <w:rPr>
                            <w:sz w:val="18"/>
                            <w:szCs w:val="18"/>
                          </w:rPr>
                          <w:t>（</w:t>
                        </w:r>
                        <w:r>
                          <w:rPr>
                            <w:rFonts w:hint="eastAsia"/>
                            <w:sz w:val="18"/>
                            <w:szCs w:val="18"/>
                          </w:rPr>
                          <w:t>二</w:t>
                        </w:r>
                        <w:r>
                          <w:rPr>
                            <w:sz w:val="18"/>
                            <w:szCs w:val="18"/>
                          </w:rPr>
                          <w:t>）所有者投入和减少资本</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111,000,000.00</w:t>
                    </w:r>
                  </w:p>
                </w:tc>
                <w:tc>
                  <w:tcPr>
                    <w:tcW w:w="455" w:type="pct"/>
                    <w:vAlign w:val="center"/>
                  </w:tcPr>
                  <w:p>
                    <w:pPr>
                      <w:jc w:val="right"/>
                      <w:rPr>
                        <w:sz w:val="14"/>
                        <w:szCs w:val="14"/>
                      </w:rPr>
                    </w:pPr>
                    <w:r>
                      <w:rPr>
                        <w:sz w:val="14"/>
                        <w:szCs w:val="14"/>
                      </w:rPr>
                      <w:t>-　</w:t>
                    </w:r>
                  </w:p>
                </w:tc>
                <w:tc>
                  <w:tcPr>
                    <w:tcW w:w="455" w:type="pct"/>
                    <w:vAlign w:val="center"/>
                  </w:tcPr>
                  <w:p>
                    <w:pPr>
                      <w:jc w:val="right"/>
                      <w:rPr>
                        <w:sz w:val="14"/>
                        <w:szCs w:val="14"/>
                      </w:rPr>
                    </w:pPr>
                    <w:r>
                      <w:rPr>
                        <w:sz w:val="14"/>
                        <w:szCs w:val="14"/>
                      </w:rPr>
                      <w:t>-　</w:t>
                    </w:r>
                  </w:p>
                </w:tc>
                <w:tc>
                  <w:tcPr>
                    <w:tcW w:w="644" w:type="pct"/>
                    <w:vAlign w:val="center"/>
                  </w:tcPr>
                  <w:p>
                    <w:pPr>
                      <w:jc w:val="right"/>
                      <w:rPr>
                        <w:sz w:val="14"/>
                        <w:szCs w:val="14"/>
                      </w:rPr>
                    </w:pPr>
                    <w:r>
                      <w:rPr>
                        <w:sz w:val="14"/>
                        <w:szCs w:val="14"/>
                      </w:rPr>
                      <w:t>-　</w:t>
                    </w:r>
                  </w:p>
                </w:tc>
                <w:tc>
                  <w:tcPr>
                    <w:tcW w:w="361"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xml:space="preserve">111,000,000.00 </w:t>
                    </w:r>
                  </w:p>
                </w:tc>
                <w:tc>
                  <w:tcPr>
                    <w:tcW w:w="455" w:type="pct"/>
                    <w:vAlign w:val="center"/>
                  </w:tcPr>
                  <w:p>
                    <w:pPr>
                      <w:jc w:val="right"/>
                      <w:rPr>
                        <w:sz w:val="14"/>
                        <w:szCs w:val="14"/>
                      </w:rPr>
                    </w:pPr>
                    <w:r>
                      <w:rPr>
                        <w:sz w:val="14"/>
                        <w:szCs w:val="14"/>
                      </w:rPr>
                      <w:t xml:space="preserve">-   </w:t>
                    </w:r>
                  </w:p>
                </w:tc>
                <w:tc>
                  <w:tcPr>
                    <w:tcW w:w="479" w:type="pct"/>
                    <w:vAlign w:val="center"/>
                  </w:tcPr>
                  <w:p>
                    <w:pPr>
                      <w:jc w:val="right"/>
                      <w:rPr>
                        <w:sz w:val="14"/>
                        <w:szCs w:val="14"/>
                      </w:rPr>
                    </w:pPr>
                    <w:r>
                      <w:rPr>
                        <w:sz w:val="14"/>
                        <w:szCs w:val="14"/>
                      </w:rPr>
                      <w:t xml:space="preserve">111,000,000.00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84541025868477ca26973c13dd9ff9e"/>
                    <w:id w:val="-1141032029"/>
                    <w:lock w:val="sdtLocked"/>
                  </w:sdtPr>
                  <w:sdtContent>
                    <w:tc>
                      <w:tcPr>
                        <w:tcW w:w="259" w:type="pct"/>
                      </w:tcPr>
                      <w:p>
                        <w:pPr>
                          <w:rPr>
                            <w:sz w:val="18"/>
                            <w:szCs w:val="18"/>
                          </w:rPr>
                        </w:pPr>
                        <w:r>
                          <w:rPr>
                            <w:rFonts w:hint="eastAsia"/>
                            <w:sz w:val="18"/>
                            <w:szCs w:val="18"/>
                          </w:rPr>
                          <w:t>1．所有者投入的普通股</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111,000,000.00</w:t>
                    </w:r>
                  </w:p>
                </w:tc>
                <w:tc>
                  <w:tcPr>
                    <w:tcW w:w="455" w:type="pct"/>
                    <w:vAlign w:val="center"/>
                  </w:tcPr>
                  <w:p>
                    <w:pPr>
                      <w:jc w:val="right"/>
                      <w:rPr>
                        <w:sz w:val="14"/>
                        <w:szCs w:val="14"/>
                      </w:rPr>
                    </w:pPr>
                    <w:r>
                      <w:rPr>
                        <w:sz w:val="14"/>
                        <w:szCs w:val="14"/>
                      </w:rPr>
                      <w:t>-　</w:t>
                    </w:r>
                  </w:p>
                </w:tc>
                <w:tc>
                  <w:tcPr>
                    <w:tcW w:w="455" w:type="pct"/>
                    <w:vAlign w:val="center"/>
                  </w:tcPr>
                  <w:p>
                    <w:pPr>
                      <w:jc w:val="right"/>
                      <w:rPr>
                        <w:sz w:val="14"/>
                        <w:szCs w:val="14"/>
                      </w:rPr>
                    </w:pPr>
                    <w:r>
                      <w:rPr>
                        <w:sz w:val="14"/>
                        <w:szCs w:val="14"/>
                      </w:rPr>
                      <w:t>-　</w:t>
                    </w:r>
                  </w:p>
                </w:tc>
                <w:tc>
                  <w:tcPr>
                    <w:tcW w:w="644" w:type="pct"/>
                    <w:vAlign w:val="center"/>
                  </w:tcPr>
                  <w:p>
                    <w:pPr>
                      <w:jc w:val="right"/>
                      <w:rPr>
                        <w:sz w:val="14"/>
                        <w:szCs w:val="14"/>
                      </w:rPr>
                    </w:pPr>
                    <w:r>
                      <w:rPr>
                        <w:sz w:val="14"/>
                        <w:szCs w:val="14"/>
                      </w:rPr>
                      <w:t>-　</w:t>
                    </w:r>
                  </w:p>
                </w:tc>
                <w:tc>
                  <w:tcPr>
                    <w:tcW w:w="361"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xml:space="preserve">111,000,000.00 </w:t>
                    </w:r>
                  </w:p>
                </w:tc>
                <w:tc>
                  <w:tcPr>
                    <w:tcW w:w="455" w:type="pct"/>
                    <w:vAlign w:val="center"/>
                  </w:tcPr>
                  <w:p>
                    <w:pPr>
                      <w:jc w:val="right"/>
                      <w:rPr>
                        <w:sz w:val="14"/>
                        <w:szCs w:val="14"/>
                      </w:rPr>
                    </w:pPr>
                    <w:r>
                      <w:rPr>
                        <w:sz w:val="14"/>
                        <w:szCs w:val="14"/>
                      </w:rPr>
                      <w:t xml:space="preserve">-   </w:t>
                    </w:r>
                  </w:p>
                </w:tc>
                <w:tc>
                  <w:tcPr>
                    <w:tcW w:w="479" w:type="pct"/>
                    <w:vAlign w:val="center"/>
                  </w:tcPr>
                  <w:p>
                    <w:pPr>
                      <w:jc w:val="right"/>
                      <w:rPr>
                        <w:sz w:val="14"/>
                        <w:szCs w:val="14"/>
                      </w:rPr>
                    </w:pPr>
                    <w:r>
                      <w:rPr>
                        <w:sz w:val="14"/>
                        <w:szCs w:val="14"/>
                      </w:rPr>
                      <w:t xml:space="preserve">111,000,000.00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7e75a2d1ed049d9bbdb0ef093ac9478"/>
                    <w:id w:val="758099255"/>
                    <w:lock w:val="sdtLocked"/>
                  </w:sdtPr>
                  <w:sdtContent>
                    <w:tc>
                      <w:tcPr>
                        <w:tcW w:w="259" w:type="pct"/>
                      </w:tcPr>
                      <w:p>
                        <w:pPr>
                          <w:rPr>
                            <w:sz w:val="18"/>
                            <w:szCs w:val="18"/>
                          </w:rPr>
                        </w:pPr>
                        <w:r>
                          <w:rPr>
                            <w:sz w:val="18"/>
                            <w:szCs w:val="18"/>
                          </w:rPr>
                          <w:t>（</w:t>
                        </w:r>
                        <w:r>
                          <w:rPr>
                            <w:rFonts w:hint="eastAsia"/>
                            <w:sz w:val="18"/>
                            <w:szCs w:val="18"/>
                          </w:rPr>
                          <w:t>三</w:t>
                        </w:r>
                        <w:r>
                          <w:rPr>
                            <w:sz w:val="18"/>
                            <w:szCs w:val="18"/>
                          </w:rPr>
                          <w:t>）利润分配</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rFonts w:hint="eastAsia"/>
                        <w:sz w:val="14"/>
                        <w:szCs w:val="14"/>
                      </w:rPr>
                      <w:t>-</w:t>
                    </w:r>
                  </w:p>
                </w:tc>
                <w:tc>
                  <w:tcPr>
                    <w:tcW w:w="644" w:type="pct"/>
                    <w:vAlign w:val="center"/>
                  </w:tcPr>
                  <w:p>
                    <w:pPr>
                      <w:jc w:val="right"/>
                      <w:rPr>
                        <w:sz w:val="14"/>
                        <w:szCs w:val="14"/>
                      </w:rPr>
                    </w:pPr>
                    <w:r>
                      <w:rPr>
                        <w:sz w:val="14"/>
                        <w:szCs w:val="14"/>
                      </w:rPr>
                      <w:t>-</w:t>
                    </w:r>
                  </w:p>
                </w:tc>
                <w:tc>
                  <w:tcPr>
                    <w:tcW w:w="361" w:type="pct"/>
                    <w:vAlign w:val="center"/>
                  </w:tcPr>
                  <w:p>
                    <w:pPr>
                      <w:jc w:val="right"/>
                      <w:rPr>
                        <w:sz w:val="14"/>
                        <w:szCs w:val="14"/>
                      </w:rPr>
                    </w:pPr>
                    <w:r>
                      <w:rPr>
                        <w:sz w:val="14"/>
                        <w:szCs w:val="14"/>
                      </w:rPr>
                      <w:t>842,107.79</w:t>
                    </w:r>
                  </w:p>
                </w:tc>
                <w:tc>
                  <w:tcPr>
                    <w:tcW w:w="479" w:type="pct"/>
                    <w:vAlign w:val="center"/>
                  </w:tcPr>
                  <w:p>
                    <w:pPr>
                      <w:jc w:val="right"/>
                      <w:rPr>
                        <w:sz w:val="14"/>
                        <w:szCs w:val="14"/>
                      </w:rPr>
                    </w:pPr>
                    <w:r>
                      <w:rPr>
                        <w:sz w:val="14"/>
                        <w:szCs w:val="14"/>
                      </w:rPr>
                      <w:t>-2,318,205,957.79</w:t>
                    </w:r>
                  </w:p>
                </w:tc>
                <w:tc>
                  <w:tcPr>
                    <w:tcW w:w="479" w:type="pct"/>
                    <w:vAlign w:val="center"/>
                  </w:tcPr>
                  <w:p>
                    <w:pPr>
                      <w:jc w:val="right"/>
                      <w:rPr>
                        <w:sz w:val="14"/>
                        <w:szCs w:val="14"/>
                      </w:rPr>
                    </w:pPr>
                    <w:r>
                      <w:rPr>
                        <w:sz w:val="14"/>
                        <w:szCs w:val="14"/>
                      </w:rPr>
                      <w:t xml:space="preserve">   -2,317,363,850.00</w:t>
                    </w:r>
                  </w:p>
                </w:tc>
                <w:tc>
                  <w:tcPr>
                    <w:tcW w:w="455" w:type="pct"/>
                    <w:vAlign w:val="center"/>
                  </w:tcPr>
                  <w:p>
                    <w:pPr>
                      <w:jc w:val="right"/>
                      <w:rPr>
                        <w:sz w:val="14"/>
                        <w:szCs w:val="14"/>
                      </w:rPr>
                    </w:pPr>
                    <w:r>
                      <w:rPr>
                        <w:sz w:val="14"/>
                        <w:szCs w:val="14"/>
                      </w:rPr>
                      <w:t xml:space="preserve">-   </w:t>
                    </w:r>
                  </w:p>
                </w:tc>
                <w:tc>
                  <w:tcPr>
                    <w:tcW w:w="479" w:type="pct"/>
                    <w:vAlign w:val="center"/>
                  </w:tcPr>
                  <w:p>
                    <w:pPr>
                      <w:jc w:val="right"/>
                      <w:rPr>
                        <w:sz w:val="14"/>
                        <w:szCs w:val="14"/>
                      </w:rPr>
                    </w:pPr>
                    <w:r>
                      <w:rPr>
                        <w:sz w:val="14"/>
                        <w:szCs w:val="14"/>
                      </w:rPr>
                      <w:t xml:space="preserve">-2,317,363,850.00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28c39864cdd4a7c93d6a2bae73ac47f"/>
                    <w:id w:val="-2053606894"/>
                    <w:lock w:val="sdtLocked"/>
                  </w:sdtPr>
                  <w:sdtContent>
                    <w:tc>
                      <w:tcPr>
                        <w:tcW w:w="259" w:type="pct"/>
                      </w:tcPr>
                      <w:p>
                        <w:pPr>
                          <w:rPr>
                            <w:sz w:val="18"/>
                            <w:szCs w:val="18"/>
                          </w:rPr>
                        </w:pPr>
                        <w:r>
                          <w:rPr>
                            <w:sz w:val="18"/>
                            <w:szCs w:val="18"/>
                          </w:rPr>
                          <w:t>1．提取盈余公积</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644" w:type="pct"/>
                    <w:vAlign w:val="center"/>
                  </w:tcPr>
                  <w:p>
                    <w:pPr>
                      <w:jc w:val="right"/>
                      <w:rPr>
                        <w:sz w:val="14"/>
                        <w:szCs w:val="14"/>
                      </w:rPr>
                    </w:pPr>
                    <w:r>
                      <w:rPr>
                        <w:sz w:val="14"/>
                        <w:szCs w:val="14"/>
                      </w:rPr>
                      <w:t>-</w:t>
                    </w:r>
                  </w:p>
                </w:tc>
                <w:tc>
                  <w:tcPr>
                    <w:tcW w:w="361"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d8c8a0de80b4f6a97fdb16b82b3a6ac"/>
                    <w:id w:val="1800334842"/>
                    <w:lock w:val="sdtLocked"/>
                  </w:sdtPr>
                  <w:sdtContent>
                    <w:tc>
                      <w:tcPr>
                        <w:tcW w:w="259" w:type="pct"/>
                      </w:tcPr>
                      <w:p>
                        <w:pPr>
                          <w:rPr>
                            <w:sz w:val="18"/>
                            <w:szCs w:val="18"/>
                          </w:rPr>
                        </w:pPr>
                        <w:r>
                          <w:rPr>
                            <w:sz w:val="18"/>
                            <w:szCs w:val="18"/>
                          </w:rPr>
                          <w:t>2．提取一般风险准备</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 xml:space="preserve">-   </w:t>
                    </w:r>
                  </w:p>
                </w:tc>
                <w:tc>
                  <w:tcPr>
                    <w:tcW w:w="644" w:type="pct"/>
                    <w:vAlign w:val="center"/>
                  </w:tcPr>
                  <w:p>
                    <w:pPr>
                      <w:jc w:val="right"/>
                      <w:rPr>
                        <w:sz w:val="14"/>
                        <w:szCs w:val="14"/>
                      </w:rPr>
                    </w:pPr>
                    <w:r>
                      <w:rPr>
                        <w:rFonts w:hint="eastAsia"/>
                        <w:sz w:val="14"/>
                        <w:szCs w:val="14"/>
                      </w:rPr>
                      <w:t>-</w:t>
                    </w:r>
                  </w:p>
                </w:tc>
                <w:tc>
                  <w:tcPr>
                    <w:tcW w:w="361" w:type="pct"/>
                    <w:vAlign w:val="center"/>
                  </w:tcPr>
                  <w:p>
                    <w:pPr>
                      <w:jc w:val="right"/>
                      <w:rPr>
                        <w:sz w:val="14"/>
                        <w:szCs w:val="14"/>
                      </w:rPr>
                    </w:pPr>
                    <w:r>
                      <w:rPr>
                        <w:sz w:val="14"/>
                        <w:szCs w:val="14"/>
                      </w:rPr>
                      <w:t>842,107.79</w:t>
                    </w:r>
                  </w:p>
                </w:tc>
                <w:tc>
                  <w:tcPr>
                    <w:tcW w:w="479" w:type="pct"/>
                    <w:vAlign w:val="center"/>
                  </w:tcPr>
                  <w:p>
                    <w:pPr>
                      <w:jc w:val="right"/>
                      <w:rPr>
                        <w:sz w:val="14"/>
                        <w:szCs w:val="14"/>
                      </w:rPr>
                    </w:pPr>
                    <w:r>
                      <w:rPr>
                        <w:sz w:val="14"/>
                        <w:szCs w:val="14"/>
                      </w:rPr>
                      <w:t xml:space="preserve">-842,107.79 </w:t>
                    </w:r>
                  </w:p>
                </w:tc>
                <w:tc>
                  <w:tcPr>
                    <w:tcW w:w="479" w:type="pct"/>
                    <w:vAlign w:val="center"/>
                  </w:tcPr>
                  <w:p>
                    <w:pPr>
                      <w:jc w:val="right"/>
                      <w:rPr>
                        <w:sz w:val="14"/>
                        <w:szCs w:val="14"/>
                      </w:rPr>
                    </w:pPr>
                    <w:r>
                      <w:rPr>
                        <w:sz w:val="14"/>
                        <w:szCs w:val="14"/>
                      </w:rPr>
                      <w:t xml:space="preserve"> -   </w:t>
                    </w:r>
                  </w:p>
                </w:tc>
                <w:tc>
                  <w:tcPr>
                    <w:tcW w:w="455" w:type="pct"/>
                    <w:vAlign w:val="center"/>
                  </w:tcPr>
                  <w:p>
                    <w:pPr>
                      <w:jc w:val="right"/>
                      <w:rPr>
                        <w:sz w:val="14"/>
                        <w:szCs w:val="14"/>
                      </w:rPr>
                    </w:pPr>
                    <w:r>
                      <w:rPr>
                        <w:sz w:val="14"/>
                        <w:szCs w:val="14"/>
                      </w:rPr>
                      <w:t xml:space="preserve"> -   </w:t>
                    </w:r>
                  </w:p>
                </w:tc>
                <w:tc>
                  <w:tcPr>
                    <w:tcW w:w="479" w:type="pct"/>
                    <w:vAlign w:val="center"/>
                  </w:tcPr>
                  <w:p>
                    <w:pPr>
                      <w:jc w:val="right"/>
                      <w:rPr>
                        <w:sz w:val="14"/>
                        <w:szCs w:val="14"/>
                      </w:rPr>
                    </w:pPr>
                    <w:r>
                      <w:rPr>
                        <w:sz w:val="14"/>
                        <w:szCs w:val="14"/>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5531db3e1d84f3897cb962fdc73ab3d"/>
                    <w:id w:val="-351812302"/>
                    <w:lock w:val="sdtLocked"/>
                  </w:sdtPr>
                  <w:sdtContent>
                    <w:tc>
                      <w:tcPr>
                        <w:tcW w:w="259" w:type="pct"/>
                      </w:tcPr>
                      <w:p>
                        <w:pPr>
                          <w:rPr>
                            <w:sz w:val="18"/>
                            <w:szCs w:val="18"/>
                          </w:rPr>
                        </w:pPr>
                        <w:r>
                          <w:rPr>
                            <w:sz w:val="18"/>
                            <w:szCs w:val="18"/>
                          </w:rPr>
                          <w:t>3．对所有者（或股东）的分配</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 xml:space="preserve"> -   </w:t>
                    </w:r>
                  </w:p>
                </w:tc>
                <w:tc>
                  <w:tcPr>
                    <w:tcW w:w="644" w:type="pct"/>
                    <w:vAlign w:val="center"/>
                  </w:tcPr>
                  <w:p>
                    <w:pPr>
                      <w:jc w:val="right"/>
                      <w:rPr>
                        <w:sz w:val="14"/>
                        <w:szCs w:val="14"/>
                      </w:rPr>
                    </w:pPr>
                    <w:r>
                      <w:rPr>
                        <w:sz w:val="14"/>
                        <w:szCs w:val="14"/>
                      </w:rPr>
                      <w:t xml:space="preserve"> -   </w:t>
                    </w:r>
                  </w:p>
                </w:tc>
                <w:tc>
                  <w:tcPr>
                    <w:tcW w:w="361"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-2,317,363,850.00</w:t>
                    </w:r>
                  </w:p>
                </w:tc>
                <w:tc>
                  <w:tcPr>
                    <w:tcW w:w="479" w:type="pct"/>
                    <w:vAlign w:val="center"/>
                  </w:tcPr>
                  <w:p>
                    <w:pPr>
                      <w:jc w:val="right"/>
                      <w:rPr>
                        <w:sz w:val="14"/>
                        <w:szCs w:val="14"/>
                      </w:rPr>
                    </w:pPr>
                    <w:r>
                      <w:rPr>
                        <w:sz w:val="14"/>
                        <w:szCs w:val="14"/>
                      </w:rPr>
                      <w:t>-2,317,363,850.00</w:t>
                    </w:r>
                  </w:p>
                </w:tc>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-2,317,363,850.00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0c9652bd3724ad8b729d3650a0840d4"/>
                    <w:id w:val="2061351622"/>
                    <w:lock w:val="sdtLocked"/>
                  </w:sdtPr>
                  <w:sdtContent>
                    <w:tc>
                      <w:tcPr>
                        <w:tcW w:w="259" w:type="pct"/>
                      </w:tcPr>
                      <w:p>
                        <w:pPr>
                          <w:rPr>
                            <w:sz w:val="18"/>
                            <w:szCs w:val="18"/>
                          </w:rPr>
                        </w:pPr>
                        <w:r>
                          <w:rPr>
                            <w:sz w:val="18"/>
                            <w:szCs w:val="18"/>
                          </w:rPr>
                          <w:t>（</w:t>
                        </w:r>
                        <w:r>
                          <w:rPr>
                            <w:rFonts w:hint="eastAsia"/>
                            <w:sz w:val="18"/>
                            <w:szCs w:val="18"/>
                          </w:rPr>
                          <w:t>四</w:t>
                        </w:r>
                        <w:r>
                          <w:rPr>
                            <w:sz w:val="18"/>
                            <w:szCs w:val="18"/>
                          </w:rPr>
                          <w:t>）所有者权益内部结转</w:t>
                        </w:r>
                      </w:p>
                    </w:tc>
                  </w:sdtContent>
                </w:sdt>
                <w:tc>
                  <w:tcPr>
                    <w:tcW w:w="455" w:type="pct"/>
                    <w:vAlign w:val="center"/>
                  </w:tcPr>
                  <w:p>
                    <w:pPr>
                      <w:jc w:val="right"/>
                      <w:rPr>
                        <w:sz w:val="18"/>
                        <w:szCs w:val="18"/>
                      </w:rPr>
                    </w:pPr>
                    <w:r>
                      <w:t>-</w:t>
                    </w:r>
                  </w:p>
                </w:tc>
                <w:tc>
                  <w:tcPr>
                    <w:tcW w:w="479" w:type="pct"/>
                    <w:vAlign w:val="center"/>
                  </w:tcPr>
                  <w:p>
                    <w:pPr>
                      <w:jc w:val="right"/>
                      <w:rPr>
                        <w:sz w:val="18"/>
                        <w:szCs w:val="18"/>
                      </w:rPr>
                    </w:pPr>
                    <w:r>
                      <w:t>-</w:t>
                    </w:r>
                  </w:p>
                </w:tc>
                <w:tc>
                  <w:tcPr>
                    <w:tcW w:w="455" w:type="pct"/>
                    <w:vAlign w:val="center"/>
                  </w:tcPr>
                  <w:p>
                    <w:pPr>
                      <w:jc w:val="right"/>
                      <w:rPr>
                        <w:sz w:val="18"/>
                        <w:szCs w:val="18"/>
                      </w:rPr>
                    </w:pPr>
                    <w:r>
                      <w:t>-</w:t>
                    </w:r>
                  </w:p>
                </w:tc>
                <w:tc>
                  <w:tcPr>
                    <w:tcW w:w="455" w:type="pct"/>
                    <w:vAlign w:val="center"/>
                  </w:tcPr>
                  <w:p>
                    <w:pPr>
                      <w:jc w:val="right"/>
                      <w:rPr>
                        <w:sz w:val="18"/>
                        <w:szCs w:val="18"/>
                      </w:rPr>
                    </w:pPr>
                    <w:r>
                      <w:t>-</w:t>
                    </w:r>
                  </w:p>
                </w:tc>
                <w:tc>
                  <w:tcPr>
                    <w:tcW w:w="644" w:type="pct"/>
                    <w:vAlign w:val="center"/>
                  </w:tcPr>
                  <w:p>
                    <w:pPr>
                      <w:jc w:val="right"/>
                      <w:rPr>
                        <w:sz w:val="18"/>
                        <w:szCs w:val="18"/>
                      </w:rPr>
                    </w:pPr>
                    <w:r>
                      <w:t>-</w:t>
                    </w:r>
                  </w:p>
                </w:tc>
                <w:tc>
                  <w:tcPr>
                    <w:tcW w:w="361" w:type="pct"/>
                    <w:vAlign w:val="center"/>
                  </w:tcPr>
                  <w:p>
                    <w:pPr>
                      <w:jc w:val="right"/>
                      <w:rPr>
                        <w:sz w:val="18"/>
                        <w:szCs w:val="18"/>
                      </w:rPr>
                    </w:pPr>
                    <w:r>
                      <w:t>-</w:t>
                    </w:r>
                  </w:p>
                </w:tc>
                <w:tc>
                  <w:tcPr>
                    <w:tcW w:w="479" w:type="pct"/>
                    <w:vAlign w:val="center"/>
                  </w:tcPr>
                  <w:p>
                    <w:pPr>
                      <w:jc w:val="right"/>
                      <w:rPr>
                        <w:sz w:val="18"/>
                        <w:szCs w:val="18"/>
                      </w:rPr>
                    </w:pPr>
                    <w:r>
                      <w:t>-</w:t>
                    </w:r>
                  </w:p>
                </w:tc>
                <w:tc>
                  <w:tcPr>
                    <w:tcW w:w="479" w:type="pct"/>
                    <w:vAlign w:val="center"/>
                  </w:tcPr>
                  <w:p>
                    <w:pPr>
                      <w:jc w:val="right"/>
                      <w:rPr>
                        <w:sz w:val="18"/>
                        <w:szCs w:val="18"/>
                      </w:rPr>
                    </w:pPr>
                    <w:r>
                      <w:t>-</w:t>
                    </w:r>
                  </w:p>
                </w:tc>
                <w:tc>
                  <w:tcPr>
                    <w:tcW w:w="455" w:type="pct"/>
                    <w:vAlign w:val="center"/>
                  </w:tcPr>
                  <w:p>
                    <w:pPr>
                      <w:jc w:val="right"/>
                      <w:rPr>
                        <w:sz w:val="18"/>
                        <w:szCs w:val="18"/>
                      </w:rPr>
                    </w:pPr>
                    <w:r>
                      <w:t>-</w:t>
                    </w:r>
                  </w:p>
                </w:tc>
                <w:tc>
                  <w:tcPr>
                    <w:tcW w:w="479" w:type="pct"/>
                    <w:vAlign w:val="center"/>
                  </w:tcPr>
                  <w:p>
                    <w:pPr>
                      <w:jc w:val="right"/>
                      <w:rPr>
                        <w:sz w:val="18"/>
                        <w:szCs w:val="18"/>
                      </w:rP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ef8e2dd877a4047b17ec9f532b320c9"/>
                    <w:id w:val="-1751883353"/>
                    <w:lock w:val="sdtLocked"/>
                  </w:sdtPr>
                  <w:sdtContent>
                    <w:tc>
                      <w:tcPr>
                        <w:tcW w:w="259" w:type="pct"/>
                      </w:tcPr>
                      <w:p>
                        <w:pPr>
                          <w:rPr>
                            <w:sz w:val="18"/>
                            <w:szCs w:val="18"/>
                          </w:rPr>
                        </w:pPr>
                        <w:r>
                          <w:rPr>
                            <w:rFonts w:hint="eastAsia"/>
                            <w:sz w:val="18"/>
                            <w:szCs w:val="18"/>
                          </w:rPr>
                          <w:t>（五）同一控制下企业合并支付的对价</w:t>
                        </w:r>
                      </w:p>
                    </w:tc>
                  </w:sdtContent>
                </w:sdt>
                <w:sdt>
                  <w:sdtPr>
                    <w:rPr>
                      <w:sz w:val="14"/>
                      <w:szCs w:val="14"/>
                    </w:rPr>
                    <w:alias w:val="（五）同一控制下企业合并支付的对价实收资本(或股本)"/>
                    <w:tag w:val="_GBC_dc4f3288ac2f405d82842b168ccad5c4"/>
                    <w:id w:val="-1863740149"/>
                    <w:lock w:val="sdtLocked"/>
                  </w:sdtPr>
                  <w:sdtEndPr>
                    <w:rPr>
                      <w:sz w:val="14"/>
                      <w:szCs w:val="14"/>
                    </w:rPr>
                  </w:sdtEndPr>
                  <w:sdtContent>
                    <w:tc>
                      <w:tcPr>
                        <w:tcW w:w="455"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资本公积"/>
                    <w:tag w:val="_GBC_202c159d88c14a7b87fd87b1879be329"/>
                    <w:id w:val="463924035"/>
                    <w:lock w:val="sdtLocked"/>
                  </w:sdtPr>
                  <w:sdtEndPr>
                    <w:rPr>
                      <w:sz w:val="14"/>
                      <w:szCs w:val="14"/>
                    </w:rPr>
                  </w:sdtEndPr>
                  <w:sdtContent>
                    <w:tc>
                      <w:tcPr>
                        <w:tcW w:w="479" w:type="pct"/>
                        <w:vAlign w:val="center"/>
                      </w:tcPr>
                      <w:p>
                        <w:pPr>
                          <w:jc w:val="right"/>
                          <w:rPr>
                            <w:sz w:val="14"/>
                            <w:szCs w:val="14"/>
                          </w:rPr>
                        </w:pPr>
                        <w:r>
                          <w:rPr>
                            <w:sz w:val="14"/>
                            <w:szCs w:val="14"/>
                          </w:rPr>
                          <w:t>-2,457,000,000.00</w:t>
                        </w:r>
                      </w:p>
                    </w:tc>
                  </w:sdtContent>
                </w:sdt>
                <w:sdt>
                  <w:sdtPr>
                    <w:rPr>
                      <w:sz w:val="14"/>
                      <w:szCs w:val="14"/>
                    </w:rPr>
                    <w:alias w:val="（五）同一控制下企业合并支付的对价其他综合收益"/>
                    <w:tag w:val="_GBC_a7a0d16d79e643389f1fb502873158a6"/>
                    <w:id w:val="-684986161"/>
                    <w:lock w:val="sdtLocked"/>
                  </w:sdtPr>
                  <w:sdtEndPr>
                    <w:rPr>
                      <w:sz w:val="14"/>
                      <w:szCs w:val="14"/>
                    </w:rPr>
                  </w:sdtEndPr>
                  <w:sdtContent>
                    <w:tc>
                      <w:tcPr>
                        <w:tcW w:w="455"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专项储备"/>
                    <w:tag w:val="_GBC_553e38ec5a9344ab83057153b392f982"/>
                    <w:id w:val="-1784494740"/>
                    <w:lock w:val="sdtLocked"/>
                  </w:sdtPr>
                  <w:sdtEndPr>
                    <w:rPr>
                      <w:sz w:val="14"/>
                      <w:szCs w:val="14"/>
                    </w:rPr>
                  </w:sdtEndPr>
                  <w:sdtContent>
                    <w:tc>
                      <w:tcPr>
                        <w:tcW w:w="455"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盈余公积"/>
                    <w:tag w:val="_GBC_2a06a0473ab04922b25d0dde51193dee"/>
                    <w:id w:val="378053069"/>
                    <w:lock w:val="sdtLocked"/>
                  </w:sdtPr>
                  <w:sdtEndPr>
                    <w:rPr>
                      <w:sz w:val="14"/>
                      <w:szCs w:val="14"/>
                    </w:rPr>
                  </w:sdtEndPr>
                  <w:sdtContent>
                    <w:tc>
                      <w:tcPr>
                        <w:tcW w:w="644"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一般风险准备"/>
                    <w:tag w:val="_GBC_e0425d31d9664a8881d651c38ca9ae68"/>
                    <w:id w:val="-1673337385"/>
                    <w:lock w:val="sdtLocked"/>
                  </w:sdtPr>
                  <w:sdtEndPr>
                    <w:rPr>
                      <w:sz w:val="14"/>
                      <w:szCs w:val="14"/>
                    </w:rPr>
                  </w:sdtEndPr>
                  <w:sdtContent>
                    <w:tc>
                      <w:tcPr>
                        <w:tcW w:w="361"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未分配利润"/>
                    <w:tag w:val="_GBC_2544dc1204e54236995fdeb58243ccc9"/>
                    <w:id w:val="-679815221"/>
                    <w:lock w:val="sdtLocked"/>
                  </w:sdtPr>
                  <w:sdtEndPr>
                    <w:rPr>
                      <w:sz w:val="14"/>
                      <w:szCs w:val="14"/>
                    </w:rPr>
                  </w:sdtEndPr>
                  <w:sdtContent>
                    <w:tc>
                      <w:tcPr>
                        <w:tcW w:w="479"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小计"/>
                    <w:tag w:val="_GBC_b7e60dd323c04fa8b75766b648deb383"/>
                    <w:id w:val="-27343732"/>
                    <w:lock w:val="sdtLocked"/>
                  </w:sdtPr>
                  <w:sdtEndPr>
                    <w:rPr>
                      <w:sz w:val="14"/>
                      <w:szCs w:val="14"/>
                    </w:rPr>
                  </w:sdtEndPr>
                  <w:sdtContent>
                    <w:tc>
                      <w:tcPr>
                        <w:tcW w:w="479" w:type="pct"/>
                        <w:vAlign w:val="center"/>
                      </w:tcPr>
                      <w:p>
                        <w:pPr>
                          <w:jc w:val="right"/>
                          <w:rPr>
                            <w:sz w:val="14"/>
                            <w:szCs w:val="14"/>
                          </w:rPr>
                        </w:pPr>
                        <w:r>
                          <w:rPr>
                            <w:sz w:val="14"/>
                            <w:szCs w:val="14"/>
                          </w:rPr>
                          <w:t>-2,457,000,000.00</w:t>
                        </w:r>
                      </w:p>
                    </w:tc>
                  </w:sdtContent>
                </w:sdt>
                <w:sdt>
                  <w:sdtPr>
                    <w:rPr>
                      <w:sz w:val="14"/>
                      <w:szCs w:val="14"/>
                    </w:rPr>
                    <w:alias w:val="（五）同一控制下企业合并支付的对价少数股东权益"/>
                    <w:tag w:val="_GBC_41d6c78fafda44098910b13ad66cbe5a"/>
                    <w:id w:val="-2058001217"/>
                    <w:lock w:val="sdtLocked"/>
                  </w:sdtPr>
                  <w:sdtEndPr>
                    <w:rPr>
                      <w:sz w:val="14"/>
                      <w:szCs w:val="14"/>
                    </w:rPr>
                  </w:sdtEndPr>
                  <w:sdtContent>
                    <w:tc>
                      <w:tcPr>
                        <w:tcW w:w="455" w:type="pct"/>
                        <w:vAlign w:val="center"/>
                      </w:tcPr>
                      <w:p>
                        <w:pPr>
                          <w:jc w:val="right"/>
                          <w:rPr>
                            <w:sz w:val="14"/>
                            <w:szCs w:val="14"/>
                          </w:rPr>
                        </w:pPr>
                        <w:r>
                          <w:rPr>
                            <w:rFonts w:hint="eastAsia"/>
                            <w:sz w:val="14"/>
                            <w:szCs w:val="14"/>
                          </w:rPr>
                          <w:t>-</w:t>
                        </w:r>
                      </w:p>
                    </w:tc>
                  </w:sdtContent>
                </w:sdt>
                <w:sdt>
                  <w:sdtPr>
                    <w:rPr>
                      <w:sz w:val="14"/>
                      <w:szCs w:val="14"/>
                    </w:rPr>
                    <w:alias w:val="（五）同一控制下企业合并支付的对价所有者权益合计"/>
                    <w:tag w:val="_GBC_21dfaea608d74d538847c12d6dff1212"/>
                    <w:id w:val="971721779"/>
                    <w:lock w:val="sdtLocked"/>
                  </w:sdtPr>
                  <w:sdtEndPr>
                    <w:rPr>
                      <w:sz w:val="14"/>
                      <w:szCs w:val="14"/>
                    </w:rPr>
                  </w:sdtEndPr>
                  <w:sdtContent>
                    <w:tc>
                      <w:tcPr>
                        <w:tcW w:w="479" w:type="pct"/>
                        <w:vAlign w:val="center"/>
                      </w:tcPr>
                      <w:p>
                        <w:pPr>
                          <w:jc w:val="right"/>
                          <w:rPr>
                            <w:sz w:val="14"/>
                            <w:szCs w:val="14"/>
                          </w:rPr>
                        </w:pPr>
                        <w:r>
                          <w:rPr>
                            <w:sz w:val="14"/>
                            <w:szCs w:val="14"/>
                          </w:rPr>
                          <w:t>-2,457,000,000.00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c2ffccd1b8247f8b48874b508665dc1"/>
                    <w:id w:val="-2103864918"/>
                    <w:lock w:val="sdtLocked"/>
                  </w:sdtPr>
                  <w:sdtContent>
                    <w:tc>
                      <w:tcPr>
                        <w:tcW w:w="259" w:type="pct"/>
                      </w:tcPr>
                      <w:p>
                        <w:pPr>
                          <w:rPr>
                            <w:sz w:val="18"/>
                            <w:szCs w:val="18"/>
                          </w:rPr>
                        </w:pPr>
                        <w:r>
                          <w:rPr>
                            <w:rFonts w:hint="eastAsia"/>
                            <w:sz w:val="18"/>
                            <w:szCs w:val="18"/>
                          </w:rPr>
                          <w:t>（六）专项储备</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 xml:space="preserve"> 894,243.17  </w:t>
                    </w:r>
                  </w:p>
                </w:tc>
                <w:tc>
                  <w:tcPr>
                    <w:tcW w:w="644" w:type="pct"/>
                    <w:vAlign w:val="center"/>
                  </w:tcPr>
                  <w:p>
                    <w:pPr>
                      <w:jc w:val="right"/>
                      <w:rPr>
                        <w:sz w:val="14"/>
                        <w:szCs w:val="14"/>
                      </w:rPr>
                    </w:pPr>
                    <w:r>
                      <w:rPr>
                        <w:sz w:val="14"/>
                        <w:szCs w:val="14"/>
                      </w:rPr>
                      <w:t xml:space="preserve"> -   </w:t>
                    </w:r>
                  </w:p>
                </w:tc>
                <w:tc>
                  <w:tcPr>
                    <w:tcW w:w="361"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xml:space="preserve">894,243.17 </w:t>
                    </w:r>
                  </w:p>
                </w:tc>
                <w:tc>
                  <w:tcPr>
                    <w:tcW w:w="455" w:type="pct"/>
                    <w:vAlign w:val="center"/>
                  </w:tcPr>
                  <w:p>
                    <w:pPr>
                      <w:jc w:val="right"/>
                      <w:rPr>
                        <w:sz w:val="14"/>
                        <w:szCs w:val="14"/>
                      </w:rPr>
                    </w:pPr>
                    <w:r>
                      <w:rPr>
                        <w:sz w:val="14"/>
                        <w:szCs w:val="14"/>
                      </w:rPr>
                      <w:t>254,843.69</w:t>
                    </w:r>
                  </w:p>
                </w:tc>
                <w:tc>
                  <w:tcPr>
                    <w:tcW w:w="479" w:type="pct"/>
                    <w:vAlign w:val="center"/>
                  </w:tcPr>
                  <w:p>
                    <w:pPr>
                      <w:jc w:val="right"/>
                      <w:rPr>
                        <w:sz w:val="14"/>
                        <w:szCs w:val="14"/>
                      </w:rPr>
                    </w:pPr>
                    <w:r>
                      <w:rPr>
                        <w:sz w:val="14"/>
                        <w:szCs w:val="14"/>
                      </w:rPr>
                      <w:t xml:space="preserve">1,149,086.86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7da1c1428f3471c9d74c89a582725d7"/>
                    <w:id w:val="-1812014473"/>
                    <w:lock w:val="sdtLocked"/>
                  </w:sdtPr>
                  <w:sdtContent>
                    <w:tc>
                      <w:tcPr>
                        <w:tcW w:w="259" w:type="pct"/>
                      </w:tcPr>
                      <w:p>
                        <w:pPr>
                          <w:rPr>
                            <w:sz w:val="18"/>
                            <w:szCs w:val="18"/>
                          </w:rPr>
                        </w:pPr>
                        <w:r>
                          <w:rPr>
                            <w:rFonts w:hint="eastAsia"/>
                            <w:sz w:val="18"/>
                            <w:szCs w:val="18"/>
                          </w:rPr>
                          <w:t>1．本期提取</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1,008,743.34</w:t>
                    </w:r>
                  </w:p>
                </w:tc>
                <w:tc>
                  <w:tcPr>
                    <w:tcW w:w="644" w:type="pct"/>
                    <w:vAlign w:val="center"/>
                  </w:tcPr>
                  <w:p>
                    <w:pPr>
                      <w:jc w:val="right"/>
                      <w:rPr>
                        <w:sz w:val="14"/>
                        <w:szCs w:val="14"/>
                      </w:rPr>
                    </w:pPr>
                    <w:r>
                      <w:rPr>
                        <w:sz w:val="14"/>
                        <w:szCs w:val="14"/>
                      </w:rPr>
                      <w:t>-</w:t>
                    </w:r>
                  </w:p>
                </w:tc>
                <w:tc>
                  <w:tcPr>
                    <w:tcW w:w="361"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xml:space="preserve">1,008,743.34 </w:t>
                    </w:r>
                  </w:p>
                </w:tc>
                <w:tc>
                  <w:tcPr>
                    <w:tcW w:w="455" w:type="pct"/>
                    <w:vAlign w:val="center"/>
                  </w:tcPr>
                  <w:p>
                    <w:pPr>
                      <w:jc w:val="right"/>
                      <w:rPr>
                        <w:sz w:val="14"/>
                        <w:szCs w:val="14"/>
                      </w:rPr>
                    </w:pPr>
                    <w:r>
                      <w:rPr>
                        <w:sz w:val="14"/>
                        <w:szCs w:val="14"/>
                      </w:rPr>
                      <w:t>269,038.44</w:t>
                    </w:r>
                  </w:p>
                </w:tc>
                <w:tc>
                  <w:tcPr>
                    <w:tcW w:w="479" w:type="pct"/>
                    <w:vAlign w:val="center"/>
                  </w:tcPr>
                  <w:p>
                    <w:pPr>
                      <w:jc w:val="right"/>
                      <w:rPr>
                        <w:sz w:val="14"/>
                        <w:szCs w:val="14"/>
                      </w:rPr>
                    </w:pPr>
                    <w:r>
                      <w:rPr>
                        <w:sz w:val="14"/>
                        <w:szCs w:val="14"/>
                      </w:rPr>
                      <w:t xml:space="preserve">1,277,781.78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11a5c1cf32e432cb3dba158baca32fc"/>
                    <w:id w:val="1671988185"/>
                    <w:lock w:val="sdtLocked"/>
                  </w:sdtPr>
                  <w:sdtContent>
                    <w:tc>
                      <w:tcPr>
                        <w:tcW w:w="259" w:type="pct"/>
                      </w:tcPr>
                      <w:p>
                        <w:pPr>
                          <w:rPr>
                            <w:sz w:val="18"/>
                            <w:szCs w:val="18"/>
                          </w:rPr>
                        </w:pPr>
                        <w:r>
                          <w:rPr>
                            <w:rFonts w:hint="eastAsia"/>
                            <w:sz w:val="18"/>
                            <w:szCs w:val="18"/>
                          </w:rPr>
                          <w:t>2．本期使用</w:t>
                        </w:r>
                      </w:p>
                    </w:tc>
                  </w:sdtContent>
                </w:sdt>
                <w:tc>
                  <w:tcPr>
                    <w:tcW w:w="455" w:type="pct"/>
                    <w:vAlign w:val="center"/>
                  </w:tcPr>
                  <w:p>
                    <w:pPr>
                      <w:jc w:val="right"/>
                      <w:rPr>
                        <w:sz w:val="14"/>
                        <w:szCs w:val="14"/>
                      </w:rPr>
                    </w:pPr>
                    <w:r>
                      <w:rPr>
                        <w:sz w:val="14"/>
                        <w:szCs w:val="14"/>
                      </w:rPr>
                      <w:t>-</w:t>
                    </w:r>
                  </w:p>
                </w:tc>
                <w:tc>
                  <w:tcPr>
                    <w:tcW w:w="479"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w:t>
                    </w:r>
                  </w:p>
                </w:tc>
                <w:tc>
                  <w:tcPr>
                    <w:tcW w:w="455" w:type="pct"/>
                    <w:vAlign w:val="center"/>
                  </w:tcPr>
                  <w:p>
                    <w:pPr>
                      <w:jc w:val="right"/>
                      <w:rPr>
                        <w:sz w:val="14"/>
                        <w:szCs w:val="14"/>
                      </w:rPr>
                    </w:pPr>
                    <w:r>
                      <w:rPr>
                        <w:sz w:val="14"/>
                        <w:szCs w:val="14"/>
                      </w:rPr>
                      <w:t>-114,500.17</w:t>
                    </w:r>
                  </w:p>
                </w:tc>
                <w:tc>
                  <w:tcPr>
                    <w:tcW w:w="644" w:type="pct"/>
                    <w:vAlign w:val="center"/>
                  </w:tcPr>
                  <w:p>
                    <w:pPr>
                      <w:jc w:val="right"/>
                      <w:rPr>
                        <w:sz w:val="14"/>
                        <w:szCs w:val="14"/>
                      </w:rPr>
                    </w:pPr>
                    <w:r>
                      <w:rPr>
                        <w:sz w:val="14"/>
                        <w:szCs w:val="14"/>
                      </w:rPr>
                      <w:t>-</w:t>
                    </w:r>
                  </w:p>
                </w:tc>
                <w:tc>
                  <w:tcPr>
                    <w:tcW w:w="361"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sz w:val="14"/>
                        <w:szCs w:val="14"/>
                      </w:rPr>
                      <w:t>-　</w:t>
                    </w:r>
                  </w:p>
                </w:tc>
                <w:tc>
                  <w:tcPr>
                    <w:tcW w:w="479" w:type="pct"/>
                    <w:vAlign w:val="center"/>
                  </w:tcPr>
                  <w:p>
                    <w:pPr>
                      <w:jc w:val="right"/>
                      <w:rPr>
                        <w:sz w:val="14"/>
                        <w:szCs w:val="14"/>
                      </w:rPr>
                    </w:pPr>
                    <w:r>
                      <w:rPr>
                        <w:sz w:val="14"/>
                        <w:szCs w:val="14"/>
                      </w:rPr>
                      <w:t xml:space="preserve">-114,500.17 </w:t>
                    </w:r>
                  </w:p>
                </w:tc>
                <w:tc>
                  <w:tcPr>
                    <w:tcW w:w="455" w:type="pct"/>
                    <w:vAlign w:val="center"/>
                  </w:tcPr>
                  <w:p>
                    <w:pPr>
                      <w:jc w:val="right"/>
                      <w:rPr>
                        <w:sz w:val="14"/>
                        <w:szCs w:val="14"/>
                      </w:rPr>
                    </w:pPr>
                    <w:r>
                      <w:rPr>
                        <w:sz w:val="14"/>
                        <w:szCs w:val="14"/>
                      </w:rPr>
                      <w:t>14,194.75</w:t>
                    </w:r>
                  </w:p>
                </w:tc>
                <w:tc>
                  <w:tcPr>
                    <w:tcW w:w="479" w:type="pct"/>
                    <w:vAlign w:val="center"/>
                  </w:tcPr>
                  <w:p>
                    <w:pPr>
                      <w:jc w:val="right"/>
                      <w:rPr>
                        <w:sz w:val="14"/>
                        <w:szCs w:val="14"/>
                      </w:rPr>
                    </w:pPr>
                    <w:r>
                      <w:rPr>
                        <w:sz w:val="14"/>
                        <w:szCs w:val="14"/>
                      </w:rPr>
                      <w:t xml:space="preserve">-128,694.92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49e92980f334c9cae023bb1dba136fc"/>
                    <w:id w:val="1766810244"/>
                    <w:lock w:val="sdtLocked"/>
                  </w:sdtPr>
                  <w:sdtContent>
                    <w:tc>
                      <w:tcPr>
                        <w:tcW w:w="259" w:type="pct"/>
                      </w:tcPr>
                      <w:p>
                        <w:pPr>
                          <w:rPr>
                            <w:sz w:val="18"/>
                            <w:szCs w:val="18"/>
                          </w:rPr>
                        </w:pPr>
                        <w:r>
                          <w:rPr>
                            <w:rFonts w:hint="eastAsia"/>
                            <w:sz w:val="18"/>
                            <w:szCs w:val="18"/>
                          </w:rPr>
                          <w:t>（七）其他</w:t>
                        </w:r>
                      </w:p>
                    </w:tc>
                  </w:sdtContent>
                </w:sdt>
                <w:tc>
                  <w:tcPr>
                    <w:tcW w:w="455"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rFonts w:hint="eastAsia"/>
                        <w:sz w:val="14"/>
                        <w:szCs w:val="14"/>
                      </w:rPr>
                      <w:t>-</w:t>
                    </w:r>
                  </w:p>
                </w:tc>
                <w:tc>
                  <w:tcPr>
                    <w:tcW w:w="455" w:type="pct"/>
                    <w:vAlign w:val="center"/>
                  </w:tcPr>
                  <w:p>
                    <w:pPr>
                      <w:jc w:val="right"/>
                      <w:rPr>
                        <w:sz w:val="14"/>
                        <w:szCs w:val="14"/>
                      </w:rPr>
                    </w:pPr>
                    <w:r>
                      <w:rPr>
                        <w:rFonts w:hint="eastAsia"/>
                        <w:sz w:val="14"/>
                        <w:szCs w:val="14"/>
                      </w:rPr>
                      <w:t>-</w:t>
                    </w:r>
                  </w:p>
                </w:tc>
                <w:tc>
                  <w:tcPr>
                    <w:tcW w:w="455" w:type="pct"/>
                    <w:vAlign w:val="center"/>
                  </w:tcPr>
                  <w:p>
                    <w:pPr>
                      <w:jc w:val="right"/>
                      <w:rPr>
                        <w:sz w:val="14"/>
                        <w:szCs w:val="14"/>
                      </w:rPr>
                    </w:pPr>
                    <w:r>
                      <w:rPr>
                        <w:sz w:val="14"/>
                        <w:szCs w:val="14"/>
                      </w:rPr>
                      <w:t>-</w:t>
                    </w:r>
                  </w:p>
                </w:tc>
                <w:tc>
                  <w:tcPr>
                    <w:tcW w:w="644" w:type="pct"/>
                    <w:vAlign w:val="center"/>
                  </w:tcPr>
                  <w:p>
                    <w:pPr>
                      <w:jc w:val="right"/>
                      <w:rPr>
                        <w:sz w:val="14"/>
                        <w:szCs w:val="14"/>
                      </w:rPr>
                    </w:pPr>
                    <w:r>
                      <w:rPr>
                        <w:rFonts w:hint="eastAsia"/>
                        <w:sz w:val="14"/>
                        <w:szCs w:val="14"/>
                      </w:rPr>
                      <w:t>-</w:t>
                    </w:r>
                  </w:p>
                </w:tc>
                <w:tc>
                  <w:tcPr>
                    <w:tcW w:w="361"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rFonts w:hint="eastAsia"/>
                        <w:sz w:val="14"/>
                        <w:szCs w:val="14"/>
                      </w:rPr>
                      <w:t>-</w:t>
                    </w:r>
                  </w:p>
                </w:tc>
                <w:tc>
                  <w:tcPr>
                    <w:tcW w:w="455" w:type="pct"/>
                    <w:vAlign w:val="center"/>
                  </w:tcPr>
                  <w:p>
                    <w:pPr>
                      <w:jc w:val="right"/>
                      <w:rPr>
                        <w:sz w:val="14"/>
                        <w:szCs w:val="14"/>
                      </w:rPr>
                    </w:pPr>
                    <w:r>
                      <w:rPr>
                        <w:rFonts w:hint="eastAsia"/>
                        <w:sz w:val="14"/>
                        <w:szCs w:val="14"/>
                      </w:rPr>
                      <w:t>-</w:t>
                    </w:r>
                  </w:p>
                </w:tc>
                <w:tc>
                  <w:tcPr>
                    <w:tcW w:w="479" w:type="pct"/>
                    <w:vAlign w:val="center"/>
                  </w:tcPr>
                  <w:p>
                    <w:pPr>
                      <w:jc w:val="right"/>
                      <w:rPr>
                        <w:sz w:val="14"/>
                        <w:szCs w:val="14"/>
                      </w:rPr>
                    </w:pPr>
                    <w:r>
                      <w:rPr>
                        <w:rFonts w:hint="eastAsia"/>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9c8435b637745858c6ad855ad7bbea0"/>
                    <w:id w:val="-1146735400"/>
                    <w:lock w:val="sdtLocked"/>
                  </w:sdtPr>
                  <w:sdtContent>
                    <w:tc>
                      <w:tcPr>
                        <w:tcW w:w="259" w:type="pct"/>
                      </w:tcPr>
                      <w:p>
                        <w:pPr>
                          <w:rPr>
                            <w:sz w:val="18"/>
                            <w:szCs w:val="18"/>
                          </w:rPr>
                        </w:pPr>
                        <w:r>
                          <w:rPr>
                            <w:sz w:val="18"/>
                            <w:szCs w:val="18"/>
                          </w:rPr>
                          <w:t>四、本期期末余额</w:t>
                        </w:r>
                      </w:p>
                    </w:tc>
                  </w:sdtContent>
                </w:sdt>
                <w:tc>
                  <w:tcPr>
                    <w:tcW w:w="455" w:type="pct"/>
                    <w:vAlign w:val="center"/>
                  </w:tcPr>
                  <w:p>
                    <w:pPr>
                      <w:jc w:val="right"/>
                      <w:rPr>
                        <w:sz w:val="14"/>
                        <w:szCs w:val="14"/>
                      </w:rPr>
                    </w:pPr>
                    <w:r>
                      <w:rPr>
                        <w:sz w:val="14"/>
                        <w:szCs w:val="14"/>
                      </w:rPr>
                      <w:t>5,037,747,500.00</w:t>
                    </w:r>
                  </w:p>
                </w:tc>
                <w:tc>
                  <w:tcPr>
                    <w:tcW w:w="479" w:type="pct"/>
                    <w:vAlign w:val="center"/>
                  </w:tcPr>
                  <w:p>
                    <w:pPr>
                      <w:jc w:val="right"/>
                      <w:rPr>
                        <w:sz w:val="14"/>
                        <w:szCs w:val="14"/>
                      </w:rPr>
                    </w:pPr>
                    <w:r>
                      <w:rPr>
                        <w:sz w:val="14"/>
                        <w:szCs w:val="14"/>
                      </w:rPr>
                      <w:t>9,776,409,372.86</w:t>
                    </w:r>
                  </w:p>
                </w:tc>
                <w:tc>
                  <w:tcPr>
                    <w:tcW w:w="455" w:type="pct"/>
                    <w:vAlign w:val="center"/>
                  </w:tcPr>
                  <w:p>
                    <w:pPr>
                      <w:jc w:val="right"/>
                      <w:rPr>
                        <w:sz w:val="14"/>
                        <w:szCs w:val="14"/>
                      </w:rPr>
                    </w:pPr>
                    <w:r>
                      <w:rPr>
                        <w:sz w:val="14"/>
                        <w:szCs w:val="14"/>
                      </w:rPr>
                      <w:t>1,672,213,698.71</w:t>
                    </w:r>
                  </w:p>
                </w:tc>
                <w:tc>
                  <w:tcPr>
                    <w:tcW w:w="455" w:type="pct"/>
                    <w:vAlign w:val="center"/>
                  </w:tcPr>
                  <w:p>
                    <w:pPr>
                      <w:jc w:val="right"/>
                      <w:rPr>
                        <w:sz w:val="14"/>
                        <w:szCs w:val="14"/>
                      </w:rPr>
                    </w:pPr>
                    <w:r>
                      <w:rPr>
                        <w:sz w:val="14"/>
                        <w:szCs w:val="14"/>
                      </w:rPr>
                      <w:t>894,243.17</w:t>
                    </w:r>
                  </w:p>
                </w:tc>
                <w:tc>
                  <w:tcPr>
                    <w:tcW w:w="644" w:type="pct"/>
                    <w:vAlign w:val="center"/>
                  </w:tcPr>
                  <w:p>
                    <w:pPr>
                      <w:jc w:val="right"/>
                      <w:rPr>
                        <w:sz w:val="14"/>
                        <w:szCs w:val="14"/>
                      </w:rPr>
                    </w:pPr>
                    <w:r>
                      <w:rPr>
                        <w:sz w:val="14"/>
                        <w:szCs w:val="14"/>
                      </w:rPr>
                      <w:t>3,834,110,631.26</w:t>
                    </w:r>
                  </w:p>
                </w:tc>
                <w:tc>
                  <w:tcPr>
                    <w:tcW w:w="361" w:type="pct"/>
                    <w:vAlign w:val="center"/>
                  </w:tcPr>
                  <w:p>
                    <w:pPr>
                      <w:jc w:val="right"/>
                      <w:rPr>
                        <w:sz w:val="14"/>
                        <w:szCs w:val="14"/>
                      </w:rPr>
                    </w:pPr>
                    <w:r>
                      <w:rPr>
                        <w:sz w:val="14"/>
                        <w:szCs w:val="14"/>
                      </w:rPr>
                      <w:t>7,347,200.67</w:t>
                    </w:r>
                  </w:p>
                </w:tc>
                <w:tc>
                  <w:tcPr>
                    <w:tcW w:w="479" w:type="pct"/>
                    <w:vAlign w:val="center"/>
                  </w:tcPr>
                  <w:p>
                    <w:pPr>
                      <w:jc w:val="right"/>
                      <w:rPr>
                        <w:sz w:val="14"/>
                        <w:szCs w:val="14"/>
                      </w:rPr>
                    </w:pPr>
                    <w:r>
                      <w:rPr>
                        <w:sz w:val="14"/>
                        <w:szCs w:val="14"/>
                      </w:rPr>
                      <w:t>9,620,685,167.34</w:t>
                    </w:r>
                  </w:p>
                </w:tc>
                <w:tc>
                  <w:tcPr>
                    <w:tcW w:w="479" w:type="pct"/>
                    <w:vAlign w:val="center"/>
                  </w:tcPr>
                  <w:p>
                    <w:pPr>
                      <w:jc w:val="right"/>
                      <w:rPr>
                        <w:sz w:val="14"/>
                        <w:szCs w:val="14"/>
                      </w:rPr>
                    </w:pPr>
                    <w:r>
                      <w:rPr>
                        <w:sz w:val="14"/>
                        <w:szCs w:val="14"/>
                      </w:rPr>
                      <w:t>29,949,407,814.01</w:t>
                    </w:r>
                  </w:p>
                </w:tc>
                <w:tc>
                  <w:tcPr>
                    <w:tcW w:w="455" w:type="pct"/>
                    <w:vAlign w:val="center"/>
                  </w:tcPr>
                  <w:p>
                    <w:pPr>
                      <w:jc w:val="right"/>
                      <w:rPr>
                        <w:sz w:val="14"/>
                        <w:szCs w:val="14"/>
                      </w:rPr>
                    </w:pPr>
                    <w:r>
                      <w:rPr>
                        <w:sz w:val="14"/>
                        <w:szCs w:val="14"/>
                      </w:rPr>
                      <w:t>5,588,078,828.16</w:t>
                    </w:r>
                  </w:p>
                </w:tc>
                <w:tc>
                  <w:tcPr>
                    <w:tcW w:w="479" w:type="pct"/>
                    <w:vAlign w:val="center"/>
                  </w:tcPr>
                  <w:p>
                    <w:pPr>
                      <w:jc w:val="right"/>
                      <w:rPr>
                        <w:sz w:val="14"/>
                        <w:szCs w:val="14"/>
                      </w:rPr>
                    </w:pPr>
                    <w:r>
                      <w:rPr>
                        <w:sz w:val="14"/>
                        <w:szCs w:val="14"/>
                      </w:rPr>
                      <w:t>35,537,486,642.17</w:t>
                    </w:r>
                  </w:p>
                </w:tc>
              </w:tr>
            </w:tbl>
            <w:p>
              <w:pPr>
                <w:snapToGrid w:val="0"/>
                <w:spacing w:line="240" w:lineRule="atLeast"/>
                <w:rPr>
                  <w:b/>
                  <w:bCs/>
                  <w:color w:val="FF0000"/>
                </w:rPr>
              </w:pPr>
              <w:r>
                <w:t>公司负责人</w:t>
              </w:r>
              <w:r>
                <w:rPr>
                  <w:rFonts w:hint="eastAsia"/>
                </w:rPr>
                <w:t>：</w:t>
              </w:r>
              <w:sdt>
                <w:sdtPr>
                  <w:rPr>
                    <w:rFonts w:hint="eastAsia"/>
                  </w:rPr>
                  <w:alias w:val="公司负责人"/>
                  <w:tag w:val="_GBC_076a4a0998a840bab20f0ed83e5bab3d"/>
                  <w:id w:val="-1903906594"/>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1514448793"/>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866292538"/>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
        <w:sdt>
          <w:sdtPr>
            <w:rPr>
              <w:rFonts w:ascii="宋体" w:hAnsi="宋体" w:cs="宋体"/>
              <w:b w:val="0"/>
              <w:bCs w:val="0"/>
              <w:kern w:val="0"/>
              <w:szCs w:val="24"/>
            </w:rPr>
            <w:tag w:val="_GBC_24560eea01804b8b9d3678736eb60ca8"/>
            <w:id w:val="-190226662"/>
            <w:lock w:val="sdtLocked"/>
            <w:placeholder>
              <w:docPart w:val="GBC22222222222222222222222222222"/>
            </w:placeholder>
          </w:sdtPr>
          <w:sdtEndPr>
            <w:rPr>
              <w:rFonts w:hint="eastAsia" w:ascii="宋体" w:hAnsi="宋体" w:cs="宋体"/>
              <w:b w:val="0"/>
              <w:bCs w:val="0"/>
              <w:kern w:val="0"/>
              <w:szCs w:val="21"/>
            </w:rPr>
          </w:sdtEndPr>
          <w:sdtContent>
            <w:p>
              <w:pPr>
                <w:pStyle w:val="4"/>
                <w:jc w:val="center"/>
                <w:rPr>
                  <w:rFonts w:ascii="宋体" w:hAnsi="宋体"/>
                </w:rPr>
              </w:pPr>
              <w:r>
                <w:rPr>
                  <w:rFonts w:ascii="宋体" w:hAnsi="宋体"/>
                </w:rPr>
                <w:t>母公司</w:t>
              </w:r>
              <w:r>
                <w:rPr>
                  <w:rFonts w:hint="eastAsia" w:ascii="宋体" w:hAnsi="宋体"/>
                </w:rPr>
                <w:t>所有者权益变动表</w:t>
              </w:r>
            </w:p>
            <w:p>
              <w:pPr>
                <w:tabs>
                  <w:tab w:val="left" w:pos="10080"/>
                </w:tabs>
                <w:snapToGrid w:val="0"/>
                <w:spacing w:line="240" w:lineRule="atLeast"/>
                <w:ind w:right="25" w:rightChars="12"/>
                <w:jc w:val="center"/>
                <w:rPr>
                  <w:b/>
                  <w:bCs/>
                </w:rPr>
              </w:pPr>
              <w:r>
                <w:t>2023年</w:t>
              </w:r>
              <w:r>
                <w:rPr>
                  <w:rFonts w:hint="eastAsia"/>
                </w:rPr>
                <w:t>1—6</w:t>
              </w:r>
              <w:r>
                <w:t>月</w:t>
              </w:r>
            </w:p>
            <w:p>
              <w:pPr>
                <w:snapToGrid w:val="0"/>
                <w:spacing w:line="240" w:lineRule="atLeast"/>
                <w:jc w:val="right"/>
              </w:pPr>
              <w:r>
                <w:t>单位：</w:t>
              </w:r>
              <w:sdt>
                <w:sdtPr>
                  <w:alias w:val="单位：母公司股东权益调节表"/>
                  <w:tag w:val="_GBC_048773409e614c6bb753000b028316a5"/>
                  <w:id w:val="13308672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股东权益调节表"/>
                  <w:tag w:val="_GBC_5214b7a188334da286fc3038d017d072"/>
                  <w:id w:val="-17113440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41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74"/>
                <w:gridCol w:w="1767"/>
                <w:gridCol w:w="1499"/>
                <w:gridCol w:w="1939"/>
                <w:gridCol w:w="1939"/>
                <w:gridCol w:w="1927"/>
                <w:gridCol w:w="1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e16babcb874e4410be91226aac3d24db"/>
                    <w:id w:val="-1257890856"/>
                    <w:lock w:val="sdtLocked"/>
                  </w:sdtPr>
                  <w:sdtContent>
                    <w:tc>
                      <w:tcPr>
                        <w:tcW w:w="1091" w:type="pct"/>
                        <w:vMerge w:val="restart"/>
                        <w:vAlign w:val="center"/>
                      </w:tcPr>
                      <w:p>
                        <w:pPr>
                          <w:adjustRightInd w:val="0"/>
                          <w:snapToGrid w:val="0"/>
                          <w:jc w:val="center"/>
                          <w:rPr>
                            <w:sz w:val="18"/>
                            <w:szCs w:val="18"/>
                          </w:rPr>
                        </w:pPr>
                        <w:r>
                          <w:rPr>
                            <w:rFonts w:hint="eastAsia"/>
                            <w:sz w:val="18"/>
                            <w:szCs w:val="18"/>
                          </w:rPr>
                          <w:t>项目</w:t>
                        </w:r>
                      </w:p>
                    </w:tc>
                  </w:sdtContent>
                </w:sdt>
                <w:tc>
                  <w:tcPr>
                    <w:tcW w:w="3909" w:type="pct"/>
                    <w:gridSpan w:val="6"/>
                    <w:vAlign w:val="center"/>
                  </w:tcPr>
                  <w:p>
                    <w:pPr>
                      <w:adjustRightInd w:val="0"/>
                      <w:snapToGrid w:val="0"/>
                      <w:jc w:val="center"/>
                    </w:pPr>
                    <w:r>
                      <w:rPr>
                        <w:rFonts w:hint="eastAsia"/>
                      </w:rPr>
                      <w:t xml:space="preserve"> </w:t>
                    </w:r>
                    <w:sdt>
                      <w:sdtPr>
                        <w:rPr>
                          <w:rFonts w:hint="eastAsia"/>
                        </w:rPr>
                        <w:tag w:val="_PLD_f6e21c3ce66d4e148eea3bf743a653b8"/>
                        <w:id w:val="1796717337"/>
                        <w:lock w:val="sdtLocked"/>
                      </w:sdtPr>
                      <w:sdtEndPr>
                        <w:rPr>
                          <w:rFonts w:hint="eastAsia"/>
                        </w:rPr>
                      </w:sdtEndPr>
                      <w:sdtContent>
                        <w:r>
                          <w:rPr>
                            <w:rFonts w:hint="eastAsia"/>
                            <w:sz w:val="18"/>
                          </w:rPr>
                          <w:t>2023年半年度</w:t>
                        </w:r>
                      </w:sdtContent>
                    </w:sdt>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091" w:type="pct"/>
                    <w:vMerge w:val="continue"/>
                  </w:tcPr>
                  <w:p>
                    <w:pPr>
                      <w:adjustRightInd w:val="0"/>
                      <w:snapToGrid w:val="0"/>
                      <w:rPr>
                        <w:sz w:val="18"/>
                        <w:szCs w:val="18"/>
                      </w:rPr>
                    </w:pPr>
                  </w:p>
                </w:tc>
                <w:sdt>
                  <w:sdtPr>
                    <w:tag w:val="_PLD_0b6e9703ed65458cb162afd47e6cc9f5"/>
                    <w:id w:val="570314336"/>
                    <w:lock w:val="sdtLocked"/>
                  </w:sdtPr>
                  <w:sdtContent>
                    <w:tc>
                      <w:tcPr>
                        <w:tcW w:w="627" w:type="pct"/>
                        <w:tcBorders>
                          <w:right w:val="single" w:color="auto" w:sz="4" w:space="0"/>
                        </w:tcBorders>
                        <w:vAlign w:val="center"/>
                      </w:tcPr>
                      <w:p>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670488de432c4150880353e82f6ebb21"/>
                    <w:id w:val="394559327"/>
                    <w:lock w:val="sdtLocked"/>
                  </w:sdtPr>
                  <w:sdtContent>
                    <w:tc>
                      <w:tcPr>
                        <w:tcW w:w="532" w:type="pct"/>
                        <w:vAlign w:val="center"/>
                      </w:tcPr>
                      <w:p>
                        <w:pPr>
                          <w:adjustRightInd w:val="0"/>
                          <w:snapToGrid w:val="0"/>
                          <w:jc w:val="center"/>
                          <w:rPr>
                            <w:sz w:val="18"/>
                            <w:szCs w:val="18"/>
                          </w:rPr>
                        </w:pPr>
                        <w:r>
                          <w:rPr>
                            <w:sz w:val="18"/>
                            <w:szCs w:val="18"/>
                          </w:rPr>
                          <w:t>资本公积</w:t>
                        </w:r>
                      </w:p>
                    </w:tc>
                  </w:sdtContent>
                </w:sdt>
                <w:sdt>
                  <w:sdtPr>
                    <w:tag w:val="_PLD_4ef83c170ca54a08ac6fcebc6a487dcd"/>
                    <w:id w:val="-901677381"/>
                    <w:lock w:val="sdtLocked"/>
                  </w:sdtPr>
                  <w:sdtContent>
                    <w:tc>
                      <w:tcPr>
                        <w:tcW w:w="688" w:type="pct"/>
                        <w:vAlign w:val="center"/>
                      </w:tcPr>
                      <w:p>
                        <w:pPr>
                          <w:jc w:val="center"/>
                          <w:rPr>
                            <w:sz w:val="18"/>
                            <w:szCs w:val="18"/>
                          </w:rPr>
                        </w:pPr>
                        <w:r>
                          <w:rPr>
                            <w:rFonts w:hint="eastAsia"/>
                            <w:sz w:val="18"/>
                            <w:szCs w:val="18"/>
                          </w:rPr>
                          <w:t>其他综合收益</w:t>
                        </w:r>
                      </w:p>
                    </w:tc>
                  </w:sdtContent>
                </w:sdt>
                <w:sdt>
                  <w:sdtPr>
                    <w:tag w:val="_PLD_dbef0e1514f54b8ab8b43e975d3451b6"/>
                    <w:id w:val="-461267221"/>
                    <w:lock w:val="sdtLocked"/>
                  </w:sdtPr>
                  <w:sdtContent>
                    <w:tc>
                      <w:tcPr>
                        <w:tcW w:w="688" w:type="pct"/>
                        <w:vAlign w:val="center"/>
                      </w:tcPr>
                      <w:p>
                        <w:pPr>
                          <w:adjustRightInd w:val="0"/>
                          <w:snapToGrid w:val="0"/>
                          <w:jc w:val="center"/>
                          <w:rPr>
                            <w:sz w:val="18"/>
                            <w:szCs w:val="18"/>
                          </w:rPr>
                        </w:pPr>
                        <w:r>
                          <w:rPr>
                            <w:sz w:val="18"/>
                            <w:szCs w:val="18"/>
                          </w:rPr>
                          <w:t>盈余公积</w:t>
                        </w:r>
                      </w:p>
                    </w:tc>
                  </w:sdtContent>
                </w:sdt>
                <w:sdt>
                  <w:sdtPr>
                    <w:tag w:val="_PLD_63b6c2969ec64e7abb1802f027c1069a"/>
                    <w:id w:val="165914420"/>
                    <w:lock w:val="sdtLocked"/>
                  </w:sdtPr>
                  <w:sdtContent>
                    <w:tc>
                      <w:tcPr>
                        <w:tcW w:w="684" w:type="pct"/>
                        <w:vAlign w:val="center"/>
                      </w:tcPr>
                      <w:p>
                        <w:pPr>
                          <w:adjustRightInd w:val="0"/>
                          <w:snapToGrid w:val="0"/>
                          <w:jc w:val="center"/>
                          <w:rPr>
                            <w:sz w:val="18"/>
                            <w:szCs w:val="18"/>
                          </w:rPr>
                        </w:pPr>
                        <w:r>
                          <w:rPr>
                            <w:sz w:val="18"/>
                            <w:szCs w:val="18"/>
                          </w:rPr>
                          <w:t>未分配利润</w:t>
                        </w:r>
                      </w:p>
                    </w:tc>
                  </w:sdtContent>
                </w:sdt>
                <w:sdt>
                  <w:sdtPr>
                    <w:tag w:val="_PLD_cdd38492b3a84e28b52c6700432babfd"/>
                    <w:id w:val="-555079927"/>
                    <w:lock w:val="sdtLocked"/>
                  </w:sdtPr>
                  <w:sdtContent>
                    <w:tc>
                      <w:tcPr>
                        <w:tcW w:w="690" w:type="pct"/>
                        <w:vAlign w:val="center"/>
                      </w:tcPr>
                      <w:p>
                        <w:pPr>
                          <w:adjustRightInd w:val="0"/>
                          <w:snapToGrid w:val="0"/>
                          <w:jc w:val="center"/>
                          <w:rPr>
                            <w:sz w:val="18"/>
                            <w:szCs w:val="18"/>
                          </w:rPr>
                        </w:pPr>
                        <w:r>
                          <w:rPr>
                            <w:sz w:val="18"/>
                            <w:szCs w:val="18"/>
                          </w:rPr>
                          <w:t>所有者权益合计</w:t>
                        </w:r>
                      </w:p>
                    </w:tc>
                  </w:sdtContent>
                </w:sdt>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b5131b53bda244fcbd76916797d6b666"/>
                    <w:id w:val="-495956468"/>
                    <w:lock w:val="sdtLocked"/>
                  </w:sdtPr>
                  <w:sdtContent>
                    <w:tc>
                      <w:tcPr>
                        <w:tcW w:w="1091" w:type="pct"/>
                      </w:tcPr>
                      <w:p>
                        <w:pPr>
                          <w:rPr>
                            <w:sz w:val="18"/>
                            <w:szCs w:val="18"/>
                          </w:rPr>
                        </w:pPr>
                        <w:r>
                          <w:rPr>
                            <w:sz w:val="18"/>
                            <w:szCs w:val="18"/>
                          </w:rPr>
                          <w:t>一、上年</w:t>
                        </w:r>
                        <w:r>
                          <w:rPr>
                            <w:rFonts w:hint="eastAsia"/>
                            <w:sz w:val="18"/>
                            <w:szCs w:val="18"/>
                          </w:rPr>
                          <w:t>期</w:t>
                        </w:r>
                        <w:r>
                          <w:rPr>
                            <w:sz w:val="18"/>
                            <w:szCs w:val="18"/>
                          </w:rPr>
                          <w:t>末余额</w:t>
                        </w:r>
                      </w:p>
                    </w:tc>
                  </w:sdtContent>
                </w:sdt>
                <w:tc>
                  <w:tcPr>
                    <w:tcW w:w="627" w:type="pct"/>
                    <w:tcBorders>
                      <w:right w:val="single" w:color="auto" w:sz="4" w:space="0"/>
                    </w:tcBorders>
                    <w:vAlign w:val="center"/>
                  </w:tcPr>
                  <w:p>
                    <w:pPr>
                      <w:jc w:val="right"/>
                      <w:rPr>
                        <w:sz w:val="14"/>
                        <w:szCs w:val="14"/>
                      </w:rPr>
                    </w:pPr>
                    <w:r>
                      <w:rPr>
                        <w:sz w:val="14"/>
                        <w:szCs w:val="14"/>
                      </w:rPr>
                      <w:t>5,037,747,500.00</w:t>
                    </w:r>
                  </w:p>
                </w:tc>
                <w:tc>
                  <w:tcPr>
                    <w:tcW w:w="532" w:type="pct"/>
                    <w:tcBorders>
                      <w:left w:val="single" w:color="auto" w:sz="4" w:space="0"/>
                    </w:tcBorders>
                    <w:vAlign w:val="center"/>
                  </w:tcPr>
                  <w:p>
                    <w:pPr>
                      <w:jc w:val="right"/>
                      <w:rPr>
                        <w:sz w:val="14"/>
                        <w:szCs w:val="14"/>
                      </w:rPr>
                    </w:pPr>
                    <w:r>
                      <w:rPr>
                        <w:sz w:val="14"/>
                        <w:szCs w:val="14"/>
                      </w:rPr>
                      <w:t>9,945,032,992.78</w:t>
                    </w:r>
                  </w:p>
                </w:tc>
                <w:tc>
                  <w:tcPr>
                    <w:tcW w:w="688" w:type="pct"/>
                    <w:vAlign w:val="center"/>
                  </w:tcPr>
                  <w:p>
                    <w:pPr>
                      <w:jc w:val="right"/>
                      <w:rPr>
                        <w:sz w:val="14"/>
                        <w:szCs w:val="14"/>
                      </w:rPr>
                    </w:pPr>
                    <w:r>
                      <w:rPr>
                        <w:sz w:val="14"/>
                        <w:szCs w:val="14"/>
                      </w:rPr>
                      <w:t>1,056,590,611.44</w:t>
                    </w:r>
                  </w:p>
                </w:tc>
                <w:tc>
                  <w:tcPr>
                    <w:tcW w:w="688" w:type="pct"/>
                    <w:vAlign w:val="center"/>
                  </w:tcPr>
                  <w:p>
                    <w:pPr>
                      <w:jc w:val="right"/>
                      <w:rPr>
                        <w:sz w:val="14"/>
                        <w:szCs w:val="14"/>
                      </w:rPr>
                    </w:pPr>
                    <w:r>
                      <w:rPr>
                        <w:sz w:val="14"/>
                        <w:szCs w:val="14"/>
                      </w:rPr>
                      <w:t>2,518,873,750.00</w:t>
                    </w:r>
                  </w:p>
                </w:tc>
                <w:tc>
                  <w:tcPr>
                    <w:tcW w:w="684" w:type="pct"/>
                    <w:vAlign w:val="center"/>
                  </w:tcPr>
                  <w:p>
                    <w:pPr>
                      <w:jc w:val="right"/>
                      <w:rPr>
                        <w:sz w:val="14"/>
                        <w:szCs w:val="14"/>
                      </w:rPr>
                    </w:pPr>
                    <w:r>
                      <w:rPr>
                        <w:sz w:val="14"/>
                        <w:szCs w:val="14"/>
                      </w:rPr>
                      <w:t>7,736,613,600.31</w:t>
                    </w:r>
                  </w:p>
                </w:tc>
                <w:tc>
                  <w:tcPr>
                    <w:tcW w:w="690" w:type="pct"/>
                    <w:vAlign w:val="center"/>
                  </w:tcPr>
                  <w:p>
                    <w:pPr>
                      <w:jc w:val="right"/>
                      <w:rPr>
                        <w:sz w:val="14"/>
                        <w:szCs w:val="14"/>
                      </w:rPr>
                    </w:pPr>
                    <w:r>
                      <w:rPr>
                        <w:sz w:val="14"/>
                        <w:szCs w:val="14"/>
                      </w:rPr>
                      <w:t>26,294,858,454.53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345919472b384d0eb13471ef5f2f5e92"/>
                    <w:id w:val="-1977057846"/>
                    <w:lock w:val="sdtLocked"/>
                  </w:sdtPr>
                  <w:sdtContent>
                    <w:tc>
                      <w:tcPr>
                        <w:tcW w:w="1091" w:type="pct"/>
                      </w:tcPr>
                      <w:p>
                        <w:pPr>
                          <w:rPr>
                            <w:sz w:val="18"/>
                            <w:szCs w:val="18"/>
                          </w:rPr>
                        </w:pPr>
                        <w:r>
                          <w:rPr>
                            <w:sz w:val="18"/>
                            <w:szCs w:val="18"/>
                          </w:rPr>
                          <w:t>二、本年</w:t>
                        </w:r>
                        <w:r>
                          <w:rPr>
                            <w:rFonts w:hint="eastAsia"/>
                            <w:sz w:val="18"/>
                            <w:szCs w:val="18"/>
                          </w:rPr>
                          <w:t>期</w:t>
                        </w:r>
                        <w:r>
                          <w:rPr>
                            <w:sz w:val="18"/>
                            <w:szCs w:val="18"/>
                          </w:rPr>
                          <w:t>初余额</w:t>
                        </w:r>
                      </w:p>
                    </w:tc>
                  </w:sdtContent>
                </w:sdt>
                <w:tc>
                  <w:tcPr>
                    <w:tcW w:w="627" w:type="pct"/>
                    <w:tcBorders>
                      <w:right w:val="single" w:color="auto" w:sz="4" w:space="0"/>
                    </w:tcBorders>
                    <w:vAlign w:val="center"/>
                  </w:tcPr>
                  <w:p>
                    <w:pPr>
                      <w:jc w:val="right"/>
                      <w:rPr>
                        <w:sz w:val="14"/>
                        <w:szCs w:val="14"/>
                      </w:rPr>
                    </w:pPr>
                    <w:r>
                      <w:rPr>
                        <w:sz w:val="14"/>
                        <w:szCs w:val="14"/>
                      </w:rPr>
                      <w:t>5,037,747,500.00</w:t>
                    </w:r>
                  </w:p>
                </w:tc>
                <w:tc>
                  <w:tcPr>
                    <w:tcW w:w="532" w:type="pct"/>
                    <w:tcBorders>
                      <w:left w:val="single" w:color="auto" w:sz="4" w:space="0"/>
                    </w:tcBorders>
                    <w:vAlign w:val="center"/>
                  </w:tcPr>
                  <w:p>
                    <w:pPr>
                      <w:jc w:val="right"/>
                      <w:rPr>
                        <w:sz w:val="14"/>
                        <w:szCs w:val="14"/>
                      </w:rPr>
                    </w:pPr>
                    <w:r>
                      <w:rPr>
                        <w:sz w:val="14"/>
                        <w:szCs w:val="14"/>
                      </w:rPr>
                      <w:t>9,945,032,992.78</w:t>
                    </w:r>
                  </w:p>
                </w:tc>
                <w:tc>
                  <w:tcPr>
                    <w:tcW w:w="688" w:type="pct"/>
                    <w:vAlign w:val="center"/>
                  </w:tcPr>
                  <w:p>
                    <w:pPr>
                      <w:jc w:val="right"/>
                      <w:rPr>
                        <w:sz w:val="14"/>
                        <w:szCs w:val="14"/>
                      </w:rPr>
                    </w:pPr>
                    <w:r>
                      <w:rPr>
                        <w:sz w:val="14"/>
                        <w:szCs w:val="14"/>
                      </w:rPr>
                      <w:t>1,056,590,611.44</w:t>
                    </w:r>
                  </w:p>
                </w:tc>
                <w:tc>
                  <w:tcPr>
                    <w:tcW w:w="688" w:type="pct"/>
                    <w:vAlign w:val="center"/>
                  </w:tcPr>
                  <w:p>
                    <w:pPr>
                      <w:jc w:val="right"/>
                      <w:rPr>
                        <w:sz w:val="14"/>
                        <w:szCs w:val="14"/>
                      </w:rPr>
                    </w:pPr>
                    <w:r>
                      <w:rPr>
                        <w:sz w:val="14"/>
                        <w:szCs w:val="14"/>
                      </w:rPr>
                      <w:t>2,518,873,750.00</w:t>
                    </w:r>
                  </w:p>
                </w:tc>
                <w:tc>
                  <w:tcPr>
                    <w:tcW w:w="684" w:type="pct"/>
                    <w:vAlign w:val="center"/>
                  </w:tcPr>
                  <w:p>
                    <w:pPr>
                      <w:jc w:val="right"/>
                      <w:rPr>
                        <w:sz w:val="14"/>
                        <w:szCs w:val="14"/>
                      </w:rPr>
                    </w:pPr>
                    <w:r>
                      <w:rPr>
                        <w:sz w:val="14"/>
                        <w:szCs w:val="14"/>
                      </w:rPr>
                      <w:t>7,736,613,600.31</w:t>
                    </w:r>
                  </w:p>
                </w:tc>
                <w:tc>
                  <w:tcPr>
                    <w:tcW w:w="690" w:type="pct"/>
                    <w:vAlign w:val="center"/>
                  </w:tcPr>
                  <w:p>
                    <w:pPr>
                      <w:jc w:val="right"/>
                      <w:rPr>
                        <w:sz w:val="14"/>
                        <w:szCs w:val="14"/>
                      </w:rPr>
                    </w:pPr>
                    <w:r>
                      <w:rPr>
                        <w:sz w:val="14"/>
                        <w:szCs w:val="14"/>
                      </w:rPr>
                      <w:t>26,294,858,454.53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4eea4cc259884a6ab5f2fe018aec3d4e"/>
                    <w:id w:val="408199681"/>
                    <w:lock w:val="sdtLocked"/>
                  </w:sdtPr>
                  <w:sdtContent>
                    <w:tc>
                      <w:tcPr>
                        <w:tcW w:w="1091" w:type="pct"/>
                      </w:tcPr>
                      <w:p>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54,936,385.28</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rFonts w:hint="eastAsia"/>
                        <w:sz w:val="14"/>
                        <w:szCs w:val="14"/>
                      </w:rPr>
                      <w:t>-</w:t>
                    </w:r>
                    <w:r>
                      <w:rPr>
                        <w:sz w:val="14"/>
                        <w:szCs w:val="14"/>
                      </w:rPr>
                      <w:t>491,341,154.08</w:t>
                    </w:r>
                  </w:p>
                </w:tc>
                <w:tc>
                  <w:tcPr>
                    <w:tcW w:w="690" w:type="pct"/>
                    <w:vAlign w:val="center"/>
                  </w:tcPr>
                  <w:p>
                    <w:pPr>
                      <w:jc w:val="right"/>
                      <w:rPr>
                        <w:sz w:val="14"/>
                        <w:szCs w:val="14"/>
                      </w:rPr>
                    </w:pPr>
                    <w:r>
                      <w:rPr>
                        <w:rFonts w:hint="eastAsia"/>
                        <w:sz w:val="14"/>
                        <w:szCs w:val="14"/>
                      </w:rPr>
                      <w:t>-</w:t>
                    </w:r>
                    <w:r>
                      <w:rPr>
                        <w:sz w:val="14"/>
                        <w:szCs w:val="14"/>
                      </w:rPr>
                      <w:t>436,404,768.80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c2eb317db9474ea9b9513a40ba81d9f7"/>
                    <w:id w:val="1553272107"/>
                    <w:lock w:val="sdtLocked"/>
                  </w:sdtPr>
                  <w:sdtContent>
                    <w:tc>
                      <w:tcPr>
                        <w:tcW w:w="1091" w:type="pct"/>
                      </w:tcPr>
                      <w:p>
                        <w:pPr>
                          <w:rPr>
                            <w:sz w:val="18"/>
                            <w:szCs w:val="18"/>
                          </w:rPr>
                        </w:pPr>
                        <w:r>
                          <w:rPr>
                            <w:rFonts w:hint="eastAsia"/>
                            <w:sz w:val="18"/>
                            <w:szCs w:val="18"/>
                          </w:rPr>
                          <w:t>（一）综合收益总额</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54,936,385.28</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1,826,019,989.88</w:t>
                    </w:r>
                  </w:p>
                </w:tc>
                <w:tc>
                  <w:tcPr>
                    <w:tcW w:w="690" w:type="pct"/>
                    <w:vAlign w:val="center"/>
                  </w:tcPr>
                  <w:p>
                    <w:pPr>
                      <w:jc w:val="right"/>
                      <w:rPr>
                        <w:sz w:val="14"/>
                        <w:szCs w:val="14"/>
                      </w:rPr>
                    </w:pPr>
                    <w:r>
                      <w:rPr>
                        <w:sz w:val="14"/>
                        <w:szCs w:val="14"/>
                      </w:rPr>
                      <w:t>1,880,956,375.16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2c2c42255e12419d81111ac5d28c5859"/>
                    <w:id w:val="-2072803974"/>
                    <w:lock w:val="sdtLocked"/>
                  </w:sdtPr>
                  <w:sdtContent>
                    <w:tc>
                      <w:tcPr>
                        <w:tcW w:w="1091" w:type="pct"/>
                      </w:tcPr>
                      <w:p>
                        <w:pPr>
                          <w:rPr>
                            <w:sz w:val="18"/>
                            <w:szCs w:val="18"/>
                          </w:rPr>
                        </w:pPr>
                        <w:r>
                          <w:rPr>
                            <w:sz w:val="18"/>
                            <w:szCs w:val="18"/>
                          </w:rPr>
                          <w:t>（</w:t>
                        </w:r>
                        <w:r>
                          <w:rPr>
                            <w:rFonts w:hint="eastAsia"/>
                            <w:sz w:val="18"/>
                            <w:szCs w:val="18"/>
                          </w:rPr>
                          <w:t>二</w:t>
                        </w:r>
                        <w:r>
                          <w:rPr>
                            <w:sz w:val="18"/>
                            <w:szCs w:val="18"/>
                          </w:rPr>
                          <w:t>）所有者投入和减少资本</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ced9c335ab0c4ec8b683bd42730e309b"/>
                    <w:id w:val="54434365"/>
                    <w:lock w:val="sdtLocked"/>
                  </w:sdtPr>
                  <w:sdtContent>
                    <w:tc>
                      <w:tcPr>
                        <w:tcW w:w="1091" w:type="pct"/>
                      </w:tcPr>
                      <w:p>
                        <w:pPr>
                          <w:rPr>
                            <w:sz w:val="18"/>
                            <w:szCs w:val="18"/>
                          </w:rPr>
                        </w:pPr>
                        <w:r>
                          <w:rPr>
                            <w:rFonts w:hint="eastAsia"/>
                            <w:sz w:val="18"/>
                            <w:szCs w:val="18"/>
                          </w:rPr>
                          <w:t>1．所有者投入的普通股</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5db7714c048b45cb8fc2f783898126a2"/>
                    <w:id w:val="1957909034"/>
                    <w:lock w:val="sdtLocked"/>
                  </w:sdtPr>
                  <w:sdtContent>
                    <w:tc>
                      <w:tcPr>
                        <w:tcW w:w="1091" w:type="pct"/>
                      </w:tcPr>
                      <w:p>
                        <w:pPr>
                          <w:rPr>
                            <w:sz w:val="18"/>
                            <w:szCs w:val="18"/>
                          </w:rPr>
                        </w:pPr>
                        <w:r>
                          <w:rPr>
                            <w:rFonts w:hint="eastAsia"/>
                            <w:sz w:val="18"/>
                            <w:szCs w:val="18"/>
                          </w:rPr>
                          <w:t>2．其他权益工具持有者投入资本</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0c8627dcaed14beabce3c3a65384cf01"/>
                    <w:id w:val="1679769760"/>
                    <w:lock w:val="sdtLocked"/>
                  </w:sdtPr>
                  <w:sdtContent>
                    <w:tc>
                      <w:tcPr>
                        <w:tcW w:w="1091" w:type="pct"/>
                      </w:tcPr>
                      <w:p>
                        <w:pPr>
                          <w:rPr>
                            <w:sz w:val="18"/>
                            <w:szCs w:val="18"/>
                          </w:rPr>
                        </w:pPr>
                        <w:r>
                          <w:rPr>
                            <w:rFonts w:hint="eastAsia"/>
                            <w:sz w:val="18"/>
                            <w:szCs w:val="18"/>
                          </w:rPr>
                          <w:t>3</w:t>
                        </w:r>
                        <w:r>
                          <w:rPr>
                            <w:sz w:val="18"/>
                            <w:szCs w:val="18"/>
                          </w:rPr>
                          <w:t>．股份支付计入所有者权益的金额</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4815225e85794febad32622528b72229"/>
                    <w:id w:val="-1694755087"/>
                    <w:lock w:val="sdtLocked"/>
                  </w:sdtPr>
                  <w:sdtContent>
                    <w:tc>
                      <w:tcPr>
                        <w:tcW w:w="1091" w:type="pct"/>
                      </w:tcPr>
                      <w:p>
                        <w:pPr>
                          <w:rPr>
                            <w:sz w:val="18"/>
                            <w:szCs w:val="18"/>
                          </w:rPr>
                        </w:pPr>
                        <w:r>
                          <w:rPr>
                            <w:rFonts w:hint="eastAsia"/>
                            <w:sz w:val="18"/>
                            <w:szCs w:val="18"/>
                          </w:rPr>
                          <w:t>4</w:t>
                        </w:r>
                        <w:r>
                          <w:rPr>
                            <w:sz w:val="18"/>
                            <w:szCs w:val="18"/>
                          </w:rPr>
                          <w:t>．其他</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1277678c10f343d5a55853e3552c21df"/>
                    <w:id w:val="1873886261"/>
                    <w:lock w:val="sdtLocked"/>
                  </w:sdtPr>
                  <w:sdtContent>
                    <w:tc>
                      <w:tcPr>
                        <w:tcW w:w="1091" w:type="pct"/>
                      </w:tcPr>
                      <w:p>
                        <w:pPr>
                          <w:rPr>
                            <w:sz w:val="18"/>
                            <w:szCs w:val="18"/>
                          </w:rPr>
                        </w:pPr>
                        <w:r>
                          <w:rPr>
                            <w:sz w:val="18"/>
                            <w:szCs w:val="18"/>
                          </w:rPr>
                          <w:t>（</w:t>
                        </w:r>
                        <w:r>
                          <w:rPr>
                            <w:rFonts w:hint="eastAsia"/>
                            <w:sz w:val="18"/>
                            <w:szCs w:val="18"/>
                          </w:rPr>
                          <w:t>三</w:t>
                        </w:r>
                        <w:r>
                          <w:rPr>
                            <w:sz w:val="18"/>
                            <w:szCs w:val="18"/>
                          </w:rPr>
                          <w:t>）利润分配</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rFonts w:hint="eastAsia"/>
                        <w:sz w:val="14"/>
                        <w:szCs w:val="14"/>
                      </w:rPr>
                      <w:t>-</w:t>
                    </w:r>
                    <w:r>
                      <w:rPr>
                        <w:sz w:val="14"/>
                        <w:szCs w:val="14"/>
                      </w:rPr>
                      <w:t>2,317,363,850.00</w:t>
                    </w:r>
                  </w:p>
                </w:tc>
                <w:tc>
                  <w:tcPr>
                    <w:tcW w:w="690" w:type="pct"/>
                    <w:vAlign w:val="center"/>
                  </w:tcPr>
                  <w:p>
                    <w:pPr>
                      <w:jc w:val="right"/>
                      <w:rPr>
                        <w:sz w:val="14"/>
                        <w:szCs w:val="14"/>
                      </w:rPr>
                    </w:pPr>
                    <w:r>
                      <w:rPr>
                        <w:rFonts w:hint="eastAsia"/>
                        <w:sz w:val="14"/>
                        <w:szCs w:val="14"/>
                      </w:rPr>
                      <w:t>-</w:t>
                    </w:r>
                    <w:r>
                      <w:rPr>
                        <w:sz w:val="14"/>
                        <w:szCs w:val="14"/>
                      </w:rPr>
                      <w:t>2,317,363,850.00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6be0f6b7609247d98f239c435a57bdf2"/>
                    <w:id w:val="467404319"/>
                    <w:lock w:val="sdtLocked"/>
                  </w:sdtPr>
                  <w:sdtContent>
                    <w:tc>
                      <w:tcPr>
                        <w:tcW w:w="1091" w:type="pct"/>
                      </w:tcPr>
                      <w:p>
                        <w:pPr>
                          <w:rPr>
                            <w:sz w:val="18"/>
                            <w:szCs w:val="18"/>
                          </w:rPr>
                        </w:pPr>
                        <w:r>
                          <w:rPr>
                            <w:sz w:val="18"/>
                            <w:szCs w:val="18"/>
                          </w:rPr>
                          <w:t>1．提取盈余公积</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b4a66855afc2407cbaf93baeafe0ad7f"/>
                    <w:id w:val="299347567"/>
                    <w:lock w:val="sdtLocked"/>
                  </w:sdtPr>
                  <w:sdtContent>
                    <w:tc>
                      <w:tcPr>
                        <w:tcW w:w="1091" w:type="pct"/>
                      </w:tcPr>
                      <w:p>
                        <w:pPr>
                          <w:rPr>
                            <w:sz w:val="18"/>
                            <w:szCs w:val="18"/>
                          </w:rPr>
                        </w:pPr>
                        <w:r>
                          <w:rPr>
                            <w:rFonts w:hint="eastAsia"/>
                            <w:sz w:val="18"/>
                            <w:szCs w:val="18"/>
                          </w:rPr>
                          <w:t>2</w:t>
                        </w:r>
                        <w:r>
                          <w:rPr>
                            <w:sz w:val="18"/>
                            <w:szCs w:val="18"/>
                          </w:rPr>
                          <w:t>．对所有者（或股东）的分配</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-2,317,363,850.00</w:t>
                    </w:r>
                  </w:p>
                </w:tc>
                <w:tc>
                  <w:tcPr>
                    <w:tcW w:w="690" w:type="pct"/>
                    <w:vAlign w:val="center"/>
                  </w:tcPr>
                  <w:p>
                    <w:pPr>
                      <w:jc w:val="right"/>
                      <w:rPr>
                        <w:sz w:val="14"/>
                        <w:szCs w:val="14"/>
                      </w:rPr>
                    </w:pPr>
                    <w:r>
                      <w:rPr>
                        <w:sz w:val="14"/>
                        <w:szCs w:val="14"/>
                      </w:rPr>
                      <w:t>-2,317,363,850.00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f35184bd1aa14b32a781b0ed9b526ffe"/>
                    <w:id w:val="693047882"/>
                    <w:lock w:val="sdtLocked"/>
                  </w:sdtPr>
                  <w:sdtContent>
                    <w:tc>
                      <w:tcPr>
                        <w:tcW w:w="1091" w:type="pct"/>
                      </w:tcPr>
                      <w:p>
                        <w:pPr>
                          <w:rPr>
                            <w:sz w:val="18"/>
                            <w:szCs w:val="18"/>
                          </w:rPr>
                        </w:pPr>
                        <w:r>
                          <w:rPr>
                            <w:rFonts w:hint="eastAsia"/>
                            <w:sz w:val="18"/>
                            <w:szCs w:val="18"/>
                          </w:rPr>
                          <w:t>3</w:t>
                        </w:r>
                        <w:r>
                          <w:rPr>
                            <w:sz w:val="18"/>
                            <w:szCs w:val="18"/>
                          </w:rPr>
                          <w:t>．其他</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377c539e51b74e8689b49d91a30d6a9f"/>
                    <w:id w:val="-530265594"/>
                    <w:lock w:val="sdtLocked"/>
                  </w:sdtPr>
                  <w:sdtContent>
                    <w:tc>
                      <w:tcPr>
                        <w:tcW w:w="1091" w:type="pct"/>
                      </w:tcPr>
                      <w:p>
                        <w:pPr>
                          <w:rPr>
                            <w:sz w:val="18"/>
                            <w:szCs w:val="18"/>
                          </w:rPr>
                        </w:pPr>
                        <w:r>
                          <w:rPr>
                            <w:sz w:val="18"/>
                            <w:szCs w:val="18"/>
                          </w:rPr>
                          <w:t>（</w:t>
                        </w:r>
                        <w:r>
                          <w:rPr>
                            <w:rFonts w:hint="eastAsia"/>
                            <w:sz w:val="18"/>
                            <w:szCs w:val="18"/>
                          </w:rPr>
                          <w:t>四</w:t>
                        </w:r>
                        <w:r>
                          <w:rPr>
                            <w:sz w:val="18"/>
                            <w:szCs w:val="18"/>
                          </w:rPr>
                          <w:t>）所有者权益内部结转</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9d82304ad85542d89ad56bdebdedd7c5"/>
                    <w:id w:val="-1193148820"/>
                    <w:lock w:val="sdtLocked"/>
                  </w:sdtPr>
                  <w:sdtContent>
                    <w:tc>
                      <w:tcPr>
                        <w:tcW w:w="1091" w:type="pct"/>
                      </w:tcPr>
                      <w:p>
                        <w:pPr>
                          <w:rPr>
                            <w:sz w:val="18"/>
                            <w:szCs w:val="18"/>
                          </w:rPr>
                        </w:pPr>
                        <w:r>
                          <w:rPr>
                            <w:sz w:val="18"/>
                            <w:szCs w:val="18"/>
                          </w:rPr>
                          <w:t>1．资本公积转增资本（或股本）</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ba5c81951f1c4ff0a188b55532ed96a5"/>
                    <w:id w:val="-761293884"/>
                    <w:lock w:val="sdtLocked"/>
                  </w:sdtPr>
                  <w:sdtContent>
                    <w:tc>
                      <w:tcPr>
                        <w:tcW w:w="1091" w:type="pct"/>
                      </w:tcPr>
                      <w:p>
                        <w:pPr>
                          <w:rPr>
                            <w:sz w:val="18"/>
                            <w:szCs w:val="18"/>
                          </w:rPr>
                        </w:pPr>
                        <w:r>
                          <w:rPr>
                            <w:sz w:val="18"/>
                            <w:szCs w:val="18"/>
                          </w:rPr>
                          <w:t>2．盈余公积转增资本（或股本）</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81b068c4cdf2482a9438450e52e9b3b4"/>
                    <w:id w:val="913892569"/>
                    <w:lock w:val="sdtLocked"/>
                  </w:sdtPr>
                  <w:sdtContent>
                    <w:tc>
                      <w:tcPr>
                        <w:tcW w:w="1091" w:type="pct"/>
                      </w:tcPr>
                      <w:p>
                        <w:pPr>
                          <w:rPr>
                            <w:sz w:val="18"/>
                            <w:szCs w:val="18"/>
                          </w:rPr>
                        </w:pPr>
                        <w:r>
                          <w:rPr>
                            <w:sz w:val="18"/>
                            <w:szCs w:val="18"/>
                          </w:rPr>
                          <w:t>3．盈余公积弥补亏损</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091" w:type="pct"/>
                  </w:tcPr>
                  <w:sdt>
                    <w:sdtPr>
                      <w:rPr>
                        <w:sz w:val="18"/>
                        <w:szCs w:val="18"/>
                      </w:rPr>
                      <w:tag w:val="_PLD_0e7647effaeb42219d706b118465bdec"/>
                      <w:id w:val="-1283180671"/>
                      <w:lock w:val="sdtLocked"/>
                    </w:sdtPr>
                    <w:sdtEndPr>
                      <w:rPr>
                        <w:sz w:val="18"/>
                        <w:szCs w:val="18"/>
                      </w:rPr>
                    </w:sdtEndPr>
                    <w:sdtContent>
                      <w:p>
                        <w:r>
                          <w:rPr>
                            <w:sz w:val="18"/>
                            <w:szCs w:val="18"/>
                          </w:rPr>
                          <w:t>4．设定受益计划变动额结转留存收益</w:t>
                        </w:r>
                      </w:p>
                    </w:sdtContent>
                  </w:sdt>
                </w:tc>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091" w:type="pct"/>
                  </w:tcPr>
                  <w:sdt>
                    <w:sdtPr>
                      <w:rPr>
                        <w:sz w:val="18"/>
                        <w:szCs w:val="18"/>
                      </w:rPr>
                      <w:tag w:val="_PLD_1c8ba4a0bb224c1d891e628390545199"/>
                      <w:id w:val="-1879460645"/>
                      <w:lock w:val="sdtLocked"/>
                    </w:sdtPr>
                    <w:sdtEndPr>
                      <w:rPr>
                        <w:sz w:val="18"/>
                        <w:szCs w:val="18"/>
                      </w:rPr>
                    </w:sdtEndPr>
                    <w:sdtContent>
                      <w:p>
                        <w:pPr>
                          <w:rPr>
                            <w:sz w:val="18"/>
                            <w:szCs w:val="18"/>
                          </w:rPr>
                        </w:pPr>
                        <w:r>
                          <w:rPr>
                            <w:sz w:val="18"/>
                            <w:szCs w:val="18"/>
                          </w:rPr>
                          <w:t>5．其他综合收益结转留存收益</w:t>
                        </w:r>
                      </w:p>
                    </w:sdtContent>
                  </w:sdt>
                </w:tc>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091" w:type="pct"/>
                  </w:tcPr>
                  <w:sdt>
                    <w:sdtPr>
                      <w:rPr>
                        <w:sz w:val="18"/>
                        <w:szCs w:val="18"/>
                      </w:rPr>
                      <w:tag w:val="_PLD_69d4adb536bf498a8a9d97dda9d31e75"/>
                      <w:id w:val="-1968810976"/>
                      <w:lock w:val="sdtLocked"/>
                    </w:sdtPr>
                    <w:sdtEndPr>
                      <w:rPr>
                        <w:sz w:val="18"/>
                        <w:szCs w:val="18"/>
                      </w:rPr>
                    </w:sdtEndPr>
                    <w:sdtContent>
                      <w:p>
                        <w:r>
                          <w:rPr>
                            <w:sz w:val="18"/>
                            <w:szCs w:val="18"/>
                          </w:rPr>
                          <w:t>6．其他</w:t>
                        </w:r>
                      </w:p>
                    </w:sdtContent>
                  </w:sdt>
                </w:tc>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2ae06251c01740e284196240776af550"/>
                    <w:id w:val="-1788965323"/>
                    <w:lock w:val="sdtLocked"/>
                  </w:sdtPr>
                  <w:sdtContent>
                    <w:tc>
                      <w:tcPr>
                        <w:tcW w:w="1091" w:type="pct"/>
                        <w:vAlign w:val="center"/>
                      </w:tcPr>
                      <w:p>
                        <w:pPr>
                          <w:rPr>
                            <w:sz w:val="18"/>
                            <w:szCs w:val="18"/>
                          </w:rPr>
                        </w:pPr>
                        <w:r>
                          <w:rPr>
                            <w:rFonts w:hint="eastAsia"/>
                            <w:sz w:val="18"/>
                            <w:szCs w:val="18"/>
                          </w:rPr>
                          <w:t>（五）专项储备</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6c9c274129814a4ea45296335d45791b"/>
                    <w:id w:val="-405301693"/>
                    <w:lock w:val="sdtLocked"/>
                  </w:sdtPr>
                  <w:sdtContent>
                    <w:tc>
                      <w:tcPr>
                        <w:tcW w:w="1091" w:type="pct"/>
                        <w:vAlign w:val="center"/>
                      </w:tcPr>
                      <w:p>
                        <w:pPr>
                          <w:rPr>
                            <w:sz w:val="18"/>
                            <w:szCs w:val="18"/>
                          </w:rPr>
                        </w:pPr>
                        <w:r>
                          <w:rPr>
                            <w:rFonts w:hint="eastAsia"/>
                            <w:sz w:val="18"/>
                            <w:szCs w:val="18"/>
                          </w:rPr>
                          <w:t>1．本期提取</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14398e4dd6ed4c74869a974323e2137e"/>
                    <w:id w:val="-260916336"/>
                    <w:lock w:val="sdtLocked"/>
                  </w:sdtPr>
                  <w:sdtContent>
                    <w:tc>
                      <w:tcPr>
                        <w:tcW w:w="1091" w:type="pct"/>
                        <w:vAlign w:val="center"/>
                      </w:tcPr>
                      <w:p>
                        <w:pPr>
                          <w:rPr>
                            <w:sz w:val="18"/>
                            <w:szCs w:val="18"/>
                          </w:rPr>
                        </w:pPr>
                        <w:r>
                          <w:rPr>
                            <w:rFonts w:hint="eastAsia"/>
                            <w:sz w:val="18"/>
                            <w:szCs w:val="18"/>
                          </w:rPr>
                          <w:t>2．本期使用</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w:t>
                    </w:r>
                  </w:p>
                </w:tc>
                <w:tc>
                  <w:tcPr>
                    <w:tcW w:w="690" w:type="pct"/>
                    <w:vAlign w:val="center"/>
                  </w:tcPr>
                  <w:p>
                    <w:pPr>
                      <w:jc w:val="right"/>
                      <w:rPr>
                        <w:sz w:val="14"/>
                        <w:szCs w:val="14"/>
                      </w:rPr>
                    </w:pPr>
                    <w:r>
                      <w:rPr>
                        <w:sz w:val="14"/>
                        <w:szCs w:val="1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224fa1ebe84a4d40b88b89a97997e311"/>
                    <w:id w:val="-619144965"/>
                    <w:lock w:val="sdtLocked"/>
                  </w:sdtPr>
                  <w:sdtContent>
                    <w:tc>
                      <w:tcPr>
                        <w:tcW w:w="1091" w:type="pct"/>
                      </w:tcPr>
                      <w:p>
                        <w:pPr>
                          <w:rPr>
                            <w:sz w:val="18"/>
                            <w:szCs w:val="18"/>
                          </w:rPr>
                        </w:pPr>
                        <w:r>
                          <w:rPr>
                            <w:rFonts w:hint="eastAsia"/>
                            <w:sz w:val="18"/>
                            <w:szCs w:val="18"/>
                          </w:rPr>
                          <w:t>（六）其他</w:t>
                        </w:r>
                      </w:p>
                    </w:tc>
                  </w:sdtContent>
                </w:sdt>
                <w:tc>
                  <w:tcPr>
                    <w:tcW w:w="627" w:type="pct"/>
                    <w:tcBorders>
                      <w:right w:val="single" w:color="auto" w:sz="4" w:space="0"/>
                    </w:tcBorders>
                    <w:vAlign w:val="center"/>
                  </w:tcPr>
                  <w:p>
                    <w:pPr>
                      <w:jc w:val="right"/>
                      <w:rPr>
                        <w:sz w:val="14"/>
                        <w:szCs w:val="14"/>
                      </w:rPr>
                    </w:pPr>
                    <w:r>
                      <w:rPr>
                        <w:sz w:val="14"/>
                        <w:szCs w:val="14"/>
                      </w:rPr>
                      <w:t>-</w:t>
                    </w:r>
                  </w:p>
                </w:tc>
                <w:tc>
                  <w:tcPr>
                    <w:tcW w:w="532"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8" w:type="pct"/>
                    <w:vAlign w:val="center"/>
                  </w:tcPr>
                  <w:p>
                    <w:pPr>
                      <w:jc w:val="right"/>
                      <w:rPr>
                        <w:sz w:val="14"/>
                        <w:szCs w:val="14"/>
                      </w:rPr>
                    </w:pPr>
                    <w:r>
                      <w:rPr>
                        <w:sz w:val="14"/>
                        <w:szCs w:val="14"/>
                      </w:rPr>
                      <w:t>-</w:t>
                    </w:r>
                  </w:p>
                </w:tc>
                <w:tc>
                  <w:tcPr>
                    <w:tcW w:w="684" w:type="pct"/>
                    <w:vAlign w:val="center"/>
                  </w:tcPr>
                  <w:p>
                    <w:pPr>
                      <w:jc w:val="right"/>
                      <w:rPr>
                        <w:sz w:val="14"/>
                        <w:szCs w:val="14"/>
                      </w:rPr>
                    </w:pPr>
                    <w:r>
                      <w:rPr>
                        <w:sz w:val="14"/>
                        <w:szCs w:val="14"/>
                      </w:rPr>
                      <w:t>2,706.04</w:t>
                    </w:r>
                  </w:p>
                </w:tc>
                <w:tc>
                  <w:tcPr>
                    <w:tcW w:w="690" w:type="pct"/>
                    <w:vAlign w:val="center"/>
                  </w:tcPr>
                  <w:p>
                    <w:pPr>
                      <w:jc w:val="right"/>
                      <w:rPr>
                        <w:sz w:val="14"/>
                        <w:szCs w:val="14"/>
                      </w:rPr>
                    </w:pPr>
                    <w:r>
                      <w:rPr>
                        <w:sz w:val="14"/>
                        <w:szCs w:val="14"/>
                      </w:rPr>
                      <w:t>2,706.04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sdt>
                  <w:sdtPr>
                    <w:tag w:val="_PLD_fe962ef732004aec94edafee7e0bef94"/>
                    <w:id w:val="853768088"/>
                    <w:lock w:val="sdtLocked"/>
                  </w:sdtPr>
                  <w:sdtContent>
                    <w:tc>
                      <w:tcPr>
                        <w:tcW w:w="1091" w:type="pct"/>
                      </w:tcPr>
                      <w:p>
                        <w:pPr>
                          <w:rPr>
                            <w:sz w:val="18"/>
                            <w:szCs w:val="18"/>
                          </w:rPr>
                        </w:pPr>
                        <w:r>
                          <w:rPr>
                            <w:sz w:val="18"/>
                            <w:szCs w:val="18"/>
                          </w:rPr>
                          <w:t>四、本期期末余额</w:t>
                        </w:r>
                      </w:p>
                    </w:tc>
                  </w:sdtContent>
                </w:sdt>
                <w:tc>
                  <w:tcPr>
                    <w:tcW w:w="627" w:type="pct"/>
                    <w:tcBorders>
                      <w:right w:val="single" w:color="auto" w:sz="4" w:space="0"/>
                    </w:tcBorders>
                    <w:vAlign w:val="center"/>
                  </w:tcPr>
                  <w:p>
                    <w:pPr>
                      <w:jc w:val="right"/>
                      <w:rPr>
                        <w:sz w:val="14"/>
                        <w:szCs w:val="14"/>
                      </w:rPr>
                    </w:pPr>
                    <w:r>
                      <w:rPr>
                        <w:sz w:val="14"/>
                        <w:szCs w:val="14"/>
                      </w:rPr>
                      <w:t>5,037,747,500.00</w:t>
                    </w:r>
                  </w:p>
                </w:tc>
                <w:tc>
                  <w:tcPr>
                    <w:tcW w:w="532" w:type="pct"/>
                    <w:vAlign w:val="center"/>
                  </w:tcPr>
                  <w:p>
                    <w:pPr>
                      <w:jc w:val="right"/>
                      <w:rPr>
                        <w:sz w:val="14"/>
                        <w:szCs w:val="14"/>
                      </w:rPr>
                    </w:pPr>
                    <w:r>
                      <w:rPr>
                        <w:sz w:val="14"/>
                        <w:szCs w:val="14"/>
                      </w:rPr>
                      <w:t>9,945,032,992.78</w:t>
                    </w:r>
                  </w:p>
                </w:tc>
                <w:tc>
                  <w:tcPr>
                    <w:tcW w:w="688" w:type="pct"/>
                    <w:vAlign w:val="center"/>
                  </w:tcPr>
                  <w:p>
                    <w:pPr>
                      <w:jc w:val="right"/>
                      <w:rPr>
                        <w:sz w:val="14"/>
                        <w:szCs w:val="14"/>
                      </w:rPr>
                    </w:pPr>
                    <w:r>
                      <w:rPr>
                        <w:sz w:val="14"/>
                        <w:szCs w:val="14"/>
                      </w:rPr>
                      <w:t>1,111,526,996.72</w:t>
                    </w:r>
                  </w:p>
                </w:tc>
                <w:tc>
                  <w:tcPr>
                    <w:tcW w:w="688" w:type="pct"/>
                    <w:vAlign w:val="center"/>
                  </w:tcPr>
                  <w:p>
                    <w:pPr>
                      <w:jc w:val="right"/>
                      <w:rPr>
                        <w:sz w:val="14"/>
                        <w:szCs w:val="14"/>
                      </w:rPr>
                    </w:pPr>
                    <w:r>
                      <w:rPr>
                        <w:sz w:val="14"/>
                        <w:szCs w:val="14"/>
                      </w:rPr>
                      <w:t>2,518,873,750.00</w:t>
                    </w:r>
                  </w:p>
                </w:tc>
                <w:tc>
                  <w:tcPr>
                    <w:tcW w:w="684" w:type="pct"/>
                    <w:vAlign w:val="center"/>
                  </w:tcPr>
                  <w:p>
                    <w:pPr>
                      <w:jc w:val="right"/>
                      <w:rPr>
                        <w:sz w:val="14"/>
                        <w:szCs w:val="14"/>
                      </w:rPr>
                    </w:pPr>
                    <w:r>
                      <w:rPr>
                        <w:sz w:val="14"/>
                        <w:szCs w:val="14"/>
                      </w:rPr>
                      <w:t>7,245,272,446.23</w:t>
                    </w:r>
                  </w:p>
                </w:tc>
                <w:tc>
                  <w:tcPr>
                    <w:tcW w:w="690" w:type="pct"/>
                    <w:vAlign w:val="center"/>
                  </w:tcPr>
                  <w:p>
                    <w:pPr>
                      <w:jc w:val="right"/>
                      <w:rPr>
                        <w:sz w:val="14"/>
                        <w:szCs w:val="14"/>
                      </w:rPr>
                    </w:pPr>
                    <w:r>
                      <w:rPr>
                        <w:sz w:val="14"/>
                        <w:szCs w:val="14"/>
                      </w:rPr>
                      <w:t>25,858,453,685.73</w:t>
                    </w:r>
                  </w:p>
                </w:tc>
              </w:tr>
            </w:tbl>
            <w:p/>
            <w:p/>
            <w:tbl>
              <w:tblPr>
                <w:tblStyle w:val="418"/>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3024"/>
                <w:gridCol w:w="1775"/>
                <w:gridCol w:w="1510"/>
                <w:gridCol w:w="1947"/>
                <w:gridCol w:w="1947"/>
                <w:gridCol w:w="1936"/>
                <w:gridCol w:w="19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tc>
                  <w:tcPr>
                    <w:tcW w:w="1073" w:type="pct"/>
                    <w:vMerge w:val="restart"/>
                    <w:vAlign w:val="center"/>
                  </w:tcPr>
                  <w:sdt>
                    <w:sdtPr>
                      <w:rPr>
                        <w:rFonts w:hint="eastAsia"/>
                        <w:sz w:val="18"/>
                        <w:szCs w:val="18"/>
                      </w:rPr>
                      <w:tag w:val="_PLD_312727f4b56147c2b646c0fb68a4b58b"/>
                      <w:id w:val="1735892453"/>
                      <w:lock w:val="sdtLocked"/>
                    </w:sdtPr>
                    <w:sdtEndPr>
                      <w:rPr>
                        <w:rFonts w:hint="eastAsia"/>
                        <w:sz w:val="18"/>
                        <w:szCs w:val="18"/>
                      </w:rPr>
                    </w:sdtEndPr>
                    <w:sdtContent>
                      <w:p>
                        <w:pPr>
                          <w:adjustRightInd w:val="0"/>
                          <w:snapToGrid w:val="0"/>
                          <w:jc w:val="center"/>
                          <w:rPr>
                            <w:sz w:val="18"/>
                            <w:szCs w:val="18"/>
                          </w:rPr>
                        </w:pPr>
                        <w:bookmarkStart w:id="109" w:name="_Hlk142613018"/>
                        <w:r>
                          <w:rPr>
                            <w:rFonts w:hint="eastAsia"/>
                            <w:sz w:val="18"/>
                            <w:szCs w:val="18"/>
                          </w:rPr>
                          <w:t>项目</w:t>
                        </w:r>
                      </w:p>
                    </w:sdtContent>
                  </w:sdt>
                </w:tc>
                <w:tc>
                  <w:tcPr>
                    <w:tcW w:w="3927" w:type="pct"/>
                    <w:gridSpan w:val="6"/>
                  </w:tcPr>
                  <w:p>
                    <w:pPr>
                      <w:adjustRightInd w:val="0"/>
                      <w:snapToGrid w:val="0"/>
                      <w:jc w:val="center"/>
                      <w:rPr>
                        <w:sz w:val="18"/>
                      </w:rPr>
                    </w:pPr>
                    <w:r>
                      <w:rPr>
                        <w:rFonts w:hint="eastAsia"/>
                        <w:sz w:val="18"/>
                      </w:rPr>
                      <w:t xml:space="preserve"> </w:t>
                    </w:r>
                    <w:sdt>
                      <w:sdtPr>
                        <w:rPr>
                          <w:rFonts w:hint="eastAsia"/>
                          <w:sz w:val="18"/>
                        </w:rPr>
                        <w:tag w:val="_PLD_35246b22171846ac8ef46c5dfa1d1663"/>
                        <w:id w:val="-1289655887"/>
                        <w:lock w:val="sdtLocked"/>
                      </w:sdtPr>
                      <w:sdtEndPr>
                        <w:rPr>
                          <w:rFonts w:hint="eastAsia"/>
                          <w:sz w:val="18"/>
                        </w:rPr>
                      </w:sdtEndPr>
                      <w:sdtContent>
                        <w:r>
                          <w:rPr>
                            <w:rFonts w:hint="eastAsia"/>
                            <w:sz w:val="18"/>
                          </w:rPr>
                          <w:t>2022年半年度</w:t>
                        </w:r>
                      </w:sdtContent>
                    </w:sdt>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1073" w:type="pct"/>
                    <w:vMerge w:val="continue"/>
                  </w:tcPr>
                  <w:p>
                    <w:pPr>
                      <w:adjustRightInd w:val="0"/>
                      <w:snapToGrid w:val="0"/>
                      <w:rPr>
                        <w:sz w:val="18"/>
                        <w:szCs w:val="18"/>
                      </w:rPr>
                    </w:pPr>
                  </w:p>
                </w:tc>
                <w:sdt>
                  <w:sdtPr>
                    <w:tag w:val="_PLD_5da9900c5a9e46a085487ea972f44796"/>
                    <w:id w:val="235127430"/>
                    <w:lock w:val="sdtLocked"/>
                  </w:sdtPr>
                  <w:sdtContent>
                    <w:tc>
                      <w:tcPr>
                        <w:tcW w:w="630" w:type="pct"/>
                        <w:tcBorders>
                          <w:right w:val="single" w:color="auto" w:sz="4" w:space="0"/>
                        </w:tcBorders>
                        <w:vAlign w:val="center"/>
                      </w:tcPr>
                      <w:p>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b31d07f97db344b1b180738b22a76467"/>
                    <w:id w:val="106475754"/>
                    <w:lock w:val="sdtLocked"/>
                  </w:sdtPr>
                  <w:sdtContent>
                    <w:tc>
                      <w:tcPr>
                        <w:tcW w:w="536" w:type="pct"/>
                        <w:vAlign w:val="center"/>
                      </w:tcPr>
                      <w:p>
                        <w:pPr>
                          <w:adjustRightInd w:val="0"/>
                          <w:snapToGrid w:val="0"/>
                          <w:jc w:val="center"/>
                          <w:rPr>
                            <w:sz w:val="18"/>
                            <w:szCs w:val="18"/>
                          </w:rPr>
                        </w:pPr>
                        <w:r>
                          <w:rPr>
                            <w:sz w:val="18"/>
                            <w:szCs w:val="18"/>
                          </w:rPr>
                          <w:t>资本公积</w:t>
                        </w:r>
                      </w:p>
                    </w:tc>
                  </w:sdtContent>
                </w:sdt>
                <w:sdt>
                  <w:sdtPr>
                    <w:tag w:val="_PLD_01eab1b775574165b2820a19e72d2ad0"/>
                    <w:id w:val="1453980062"/>
                    <w:lock w:val="sdtLocked"/>
                  </w:sdtPr>
                  <w:sdtContent>
                    <w:tc>
                      <w:tcPr>
                        <w:tcW w:w="691" w:type="pct"/>
                        <w:vAlign w:val="center"/>
                      </w:tcPr>
                      <w:p>
                        <w:pPr>
                          <w:jc w:val="center"/>
                          <w:rPr>
                            <w:sz w:val="18"/>
                            <w:szCs w:val="18"/>
                          </w:rPr>
                        </w:pPr>
                        <w:r>
                          <w:rPr>
                            <w:rFonts w:hint="eastAsia"/>
                            <w:sz w:val="18"/>
                            <w:szCs w:val="18"/>
                          </w:rPr>
                          <w:t>其他综合收益</w:t>
                        </w:r>
                      </w:p>
                    </w:tc>
                  </w:sdtContent>
                </w:sdt>
                <w:sdt>
                  <w:sdtPr>
                    <w:tag w:val="_PLD_9578f3812cf04a34965a5bdc9ee82115"/>
                    <w:id w:val="-1660617993"/>
                    <w:lock w:val="sdtLocked"/>
                  </w:sdtPr>
                  <w:sdtContent>
                    <w:tc>
                      <w:tcPr>
                        <w:tcW w:w="691" w:type="pct"/>
                        <w:vAlign w:val="center"/>
                      </w:tcPr>
                      <w:p>
                        <w:pPr>
                          <w:adjustRightInd w:val="0"/>
                          <w:snapToGrid w:val="0"/>
                          <w:jc w:val="center"/>
                          <w:rPr>
                            <w:sz w:val="18"/>
                            <w:szCs w:val="18"/>
                          </w:rPr>
                        </w:pPr>
                        <w:r>
                          <w:rPr>
                            <w:sz w:val="18"/>
                            <w:szCs w:val="18"/>
                          </w:rPr>
                          <w:t>盈余公积</w:t>
                        </w:r>
                      </w:p>
                    </w:tc>
                  </w:sdtContent>
                </w:sdt>
                <w:sdt>
                  <w:sdtPr>
                    <w:tag w:val="_PLD_5d835cd98ccc4304aec553a0b6a56628"/>
                    <w:id w:val="1466851701"/>
                    <w:lock w:val="sdtLocked"/>
                  </w:sdtPr>
                  <w:sdtContent>
                    <w:tc>
                      <w:tcPr>
                        <w:tcW w:w="687" w:type="pct"/>
                        <w:vAlign w:val="center"/>
                      </w:tcPr>
                      <w:p>
                        <w:pPr>
                          <w:adjustRightInd w:val="0"/>
                          <w:snapToGrid w:val="0"/>
                          <w:jc w:val="center"/>
                          <w:rPr>
                            <w:sz w:val="18"/>
                            <w:szCs w:val="18"/>
                          </w:rPr>
                        </w:pPr>
                        <w:r>
                          <w:rPr>
                            <w:sz w:val="18"/>
                            <w:szCs w:val="18"/>
                          </w:rPr>
                          <w:t>未分配利润</w:t>
                        </w:r>
                      </w:p>
                    </w:tc>
                  </w:sdtContent>
                </w:sdt>
                <w:sdt>
                  <w:sdtPr>
                    <w:tag w:val="_PLD_1cbb8af374a54430ad1f29ed83c69cd0"/>
                    <w:id w:val="809209415"/>
                    <w:lock w:val="sdtLocked"/>
                  </w:sdtPr>
                  <w:sdtContent>
                    <w:tc>
                      <w:tcPr>
                        <w:tcW w:w="693" w:type="pct"/>
                        <w:vAlign w:val="center"/>
                      </w:tcPr>
                      <w:p>
                        <w:pPr>
                          <w:adjustRightInd w:val="0"/>
                          <w:snapToGrid w:val="0"/>
                          <w:jc w:val="center"/>
                          <w:rPr>
                            <w:sz w:val="18"/>
                            <w:szCs w:val="18"/>
                          </w:rPr>
                        </w:pPr>
                        <w:r>
                          <w:rPr>
                            <w:sz w:val="18"/>
                            <w:szCs w:val="18"/>
                          </w:rPr>
                          <w:t>所有者权益合计</w:t>
                        </w:r>
                      </w:p>
                    </w:tc>
                  </w:sdtContent>
                </w:sdt>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b00b327c7ecc4ad1bfafd8f9c1a6ce86"/>
                    <w:id w:val="-1701081092"/>
                    <w:lock w:val="sdtLocked"/>
                  </w:sdtPr>
                  <w:sdtContent>
                    <w:tc>
                      <w:tcPr>
                        <w:tcW w:w="1073" w:type="pct"/>
                      </w:tcPr>
                      <w:p>
                        <w:pPr>
                          <w:rPr>
                            <w:sz w:val="18"/>
                            <w:szCs w:val="18"/>
                          </w:rPr>
                        </w:pPr>
                        <w:r>
                          <w:rPr>
                            <w:sz w:val="18"/>
                            <w:szCs w:val="18"/>
                          </w:rPr>
                          <w:t>一、上年</w:t>
                        </w:r>
                        <w:r>
                          <w:rPr>
                            <w:rFonts w:hint="eastAsia"/>
                            <w:sz w:val="18"/>
                            <w:szCs w:val="18"/>
                          </w:rPr>
                          <w:t>期</w:t>
                        </w:r>
                        <w:r>
                          <w:rPr>
                            <w:sz w:val="18"/>
                            <w:szCs w:val="18"/>
                          </w:rPr>
                          <w:t>末余额</w:t>
                        </w:r>
                      </w:p>
                    </w:tc>
                  </w:sdtContent>
                </w:sdt>
                <w:tc>
                  <w:tcPr>
                    <w:tcW w:w="630" w:type="pct"/>
                    <w:tcBorders>
                      <w:right w:val="single" w:color="auto" w:sz="4" w:space="0"/>
                    </w:tcBorders>
                    <w:vAlign w:val="center"/>
                  </w:tcPr>
                  <w:p>
                    <w:pPr>
                      <w:jc w:val="right"/>
                      <w:rPr>
                        <w:sz w:val="14"/>
                        <w:szCs w:val="14"/>
                      </w:rPr>
                    </w:pPr>
                    <w:r>
                      <w:rPr>
                        <w:sz w:val="14"/>
                        <w:szCs w:val="14"/>
                      </w:rPr>
                      <w:t>5,037,747,500.00</w:t>
                    </w:r>
                  </w:p>
                </w:tc>
                <w:tc>
                  <w:tcPr>
                    <w:tcW w:w="536" w:type="pct"/>
                    <w:tcBorders>
                      <w:left w:val="single" w:color="auto" w:sz="4" w:space="0"/>
                    </w:tcBorders>
                    <w:vAlign w:val="center"/>
                  </w:tcPr>
                  <w:p>
                    <w:pPr>
                      <w:jc w:val="right"/>
                      <w:rPr>
                        <w:sz w:val="14"/>
                        <w:szCs w:val="14"/>
                      </w:rPr>
                    </w:pPr>
                    <w:r>
                      <w:rPr>
                        <w:sz w:val="14"/>
                        <w:szCs w:val="14"/>
                      </w:rPr>
                      <w:t>10,372,950,811.58</w:t>
                    </w:r>
                  </w:p>
                </w:tc>
                <w:tc>
                  <w:tcPr>
                    <w:tcW w:w="691" w:type="pct"/>
                    <w:vAlign w:val="center"/>
                  </w:tcPr>
                  <w:p>
                    <w:pPr>
                      <w:jc w:val="right"/>
                      <w:rPr>
                        <w:sz w:val="14"/>
                        <w:szCs w:val="14"/>
                      </w:rPr>
                    </w:pPr>
                    <w:r>
                      <w:rPr>
                        <w:sz w:val="14"/>
                        <w:szCs w:val="14"/>
                      </w:rPr>
                      <w:t>336,797,292.10</w:t>
                    </w:r>
                  </w:p>
                </w:tc>
                <w:tc>
                  <w:tcPr>
                    <w:tcW w:w="691" w:type="pct"/>
                    <w:vAlign w:val="center"/>
                  </w:tcPr>
                  <w:p>
                    <w:pPr>
                      <w:jc w:val="right"/>
                      <w:rPr>
                        <w:sz w:val="14"/>
                        <w:szCs w:val="14"/>
                      </w:rPr>
                    </w:pPr>
                    <w:r>
                      <w:rPr>
                        <w:sz w:val="14"/>
                        <w:szCs w:val="14"/>
                      </w:rPr>
                      <w:t>2,518,873,750.00</w:t>
                    </w:r>
                  </w:p>
                </w:tc>
                <w:tc>
                  <w:tcPr>
                    <w:tcW w:w="687" w:type="pct"/>
                    <w:vAlign w:val="center"/>
                  </w:tcPr>
                  <w:p>
                    <w:pPr>
                      <w:jc w:val="right"/>
                      <w:rPr>
                        <w:sz w:val="14"/>
                        <w:szCs w:val="14"/>
                      </w:rPr>
                    </w:pPr>
                    <w:r>
                      <w:rPr>
                        <w:sz w:val="14"/>
                        <w:szCs w:val="14"/>
                      </w:rPr>
                      <w:t>7,017,852,074.36</w:t>
                    </w:r>
                  </w:p>
                </w:tc>
                <w:tc>
                  <w:tcPr>
                    <w:tcW w:w="693" w:type="pct"/>
                    <w:vAlign w:val="center"/>
                  </w:tcPr>
                  <w:p>
                    <w:pPr>
                      <w:jc w:val="right"/>
                      <w:rPr>
                        <w:sz w:val="14"/>
                        <w:szCs w:val="14"/>
                      </w:rPr>
                    </w:pPr>
                    <w:r>
                      <w:rPr>
                        <w:sz w:val="14"/>
                        <w:szCs w:val="14"/>
                      </w:rPr>
                      <w:t>25,284,221,428.04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8593e1735c664981bacefcb1a0cab245"/>
                    <w:id w:val="249707855"/>
                    <w:lock w:val="sdtLocked"/>
                  </w:sdtPr>
                  <w:sdtContent>
                    <w:tc>
                      <w:tcPr>
                        <w:tcW w:w="1073" w:type="pct"/>
                      </w:tcPr>
                      <w:p>
                        <w:pPr>
                          <w:rPr>
                            <w:sz w:val="18"/>
                            <w:szCs w:val="18"/>
                          </w:rPr>
                        </w:pPr>
                        <w:r>
                          <w:rPr>
                            <w:sz w:val="18"/>
                            <w:szCs w:val="18"/>
                          </w:rPr>
                          <w:t>二、本年</w:t>
                        </w:r>
                        <w:r>
                          <w:rPr>
                            <w:rFonts w:hint="eastAsia"/>
                            <w:sz w:val="18"/>
                            <w:szCs w:val="18"/>
                          </w:rPr>
                          <w:t>期</w:t>
                        </w:r>
                        <w:r>
                          <w:rPr>
                            <w:sz w:val="18"/>
                            <w:szCs w:val="18"/>
                          </w:rPr>
                          <w:t>初余额</w:t>
                        </w:r>
                      </w:p>
                    </w:tc>
                  </w:sdtContent>
                </w:sdt>
                <w:tc>
                  <w:tcPr>
                    <w:tcW w:w="630" w:type="pct"/>
                    <w:tcBorders>
                      <w:right w:val="single" w:color="auto" w:sz="4" w:space="0"/>
                    </w:tcBorders>
                    <w:vAlign w:val="center"/>
                  </w:tcPr>
                  <w:p>
                    <w:pPr>
                      <w:jc w:val="right"/>
                      <w:rPr>
                        <w:sz w:val="14"/>
                        <w:szCs w:val="14"/>
                      </w:rPr>
                    </w:pPr>
                    <w:r>
                      <w:rPr>
                        <w:sz w:val="14"/>
                        <w:szCs w:val="14"/>
                      </w:rPr>
                      <w:t>5,037,747,500.00</w:t>
                    </w:r>
                  </w:p>
                </w:tc>
                <w:tc>
                  <w:tcPr>
                    <w:tcW w:w="536" w:type="pct"/>
                    <w:tcBorders>
                      <w:left w:val="single" w:color="auto" w:sz="4" w:space="0"/>
                    </w:tcBorders>
                    <w:vAlign w:val="center"/>
                  </w:tcPr>
                  <w:p>
                    <w:pPr>
                      <w:jc w:val="right"/>
                      <w:rPr>
                        <w:sz w:val="14"/>
                        <w:szCs w:val="14"/>
                      </w:rPr>
                    </w:pPr>
                    <w:r>
                      <w:rPr>
                        <w:sz w:val="14"/>
                        <w:szCs w:val="14"/>
                      </w:rPr>
                      <w:t>10,372,950,811.58</w:t>
                    </w:r>
                  </w:p>
                </w:tc>
                <w:tc>
                  <w:tcPr>
                    <w:tcW w:w="691" w:type="pct"/>
                    <w:vAlign w:val="center"/>
                  </w:tcPr>
                  <w:p>
                    <w:pPr>
                      <w:jc w:val="right"/>
                      <w:rPr>
                        <w:sz w:val="14"/>
                        <w:szCs w:val="14"/>
                      </w:rPr>
                    </w:pPr>
                    <w:r>
                      <w:rPr>
                        <w:sz w:val="14"/>
                        <w:szCs w:val="14"/>
                      </w:rPr>
                      <w:t>336,797,292.10</w:t>
                    </w:r>
                  </w:p>
                </w:tc>
                <w:tc>
                  <w:tcPr>
                    <w:tcW w:w="691" w:type="pct"/>
                    <w:vAlign w:val="center"/>
                  </w:tcPr>
                  <w:p>
                    <w:pPr>
                      <w:jc w:val="right"/>
                      <w:rPr>
                        <w:sz w:val="14"/>
                        <w:szCs w:val="14"/>
                      </w:rPr>
                    </w:pPr>
                    <w:r>
                      <w:rPr>
                        <w:sz w:val="14"/>
                        <w:szCs w:val="14"/>
                      </w:rPr>
                      <w:t>2,518,873,750.00</w:t>
                    </w:r>
                  </w:p>
                </w:tc>
                <w:tc>
                  <w:tcPr>
                    <w:tcW w:w="687" w:type="pct"/>
                    <w:vAlign w:val="center"/>
                  </w:tcPr>
                  <w:p>
                    <w:pPr>
                      <w:jc w:val="right"/>
                      <w:rPr>
                        <w:sz w:val="14"/>
                        <w:szCs w:val="14"/>
                      </w:rPr>
                    </w:pPr>
                    <w:r>
                      <w:rPr>
                        <w:sz w:val="14"/>
                        <w:szCs w:val="14"/>
                      </w:rPr>
                      <w:t>7,017,852,074.36</w:t>
                    </w:r>
                  </w:p>
                </w:tc>
                <w:tc>
                  <w:tcPr>
                    <w:tcW w:w="693" w:type="pct"/>
                    <w:vAlign w:val="center"/>
                  </w:tcPr>
                  <w:p>
                    <w:pPr>
                      <w:jc w:val="right"/>
                      <w:rPr>
                        <w:sz w:val="14"/>
                        <w:szCs w:val="14"/>
                      </w:rPr>
                    </w:pPr>
                    <w:r>
                      <w:rPr>
                        <w:sz w:val="14"/>
                        <w:szCs w:val="14"/>
                      </w:rPr>
                      <w:t>25,284,221,428.04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9ce2d31f4fd34371930cec7fd79a4318"/>
                    <w:id w:val="1541784351"/>
                    <w:lock w:val="sdtLocked"/>
                  </w:sdtPr>
                  <w:sdtContent>
                    <w:tc>
                      <w:tcPr>
                        <w:tcW w:w="1073" w:type="pct"/>
                      </w:tcPr>
                      <w:p>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707,806,585.71</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rFonts w:hint="eastAsia"/>
                        <w:sz w:val="14"/>
                        <w:szCs w:val="14"/>
                      </w:rPr>
                      <w:t>-</w:t>
                    </w:r>
                    <w:r>
                      <w:rPr>
                        <w:sz w:val="14"/>
                        <w:szCs w:val="14"/>
                      </w:rPr>
                      <w:t>768,901,594.58</w:t>
                    </w:r>
                  </w:p>
                </w:tc>
                <w:tc>
                  <w:tcPr>
                    <w:tcW w:w="693" w:type="pct"/>
                    <w:vAlign w:val="center"/>
                  </w:tcPr>
                  <w:p>
                    <w:pPr>
                      <w:jc w:val="right"/>
                      <w:rPr>
                        <w:sz w:val="14"/>
                        <w:szCs w:val="14"/>
                      </w:rPr>
                    </w:pPr>
                    <w:r>
                      <w:rPr>
                        <w:rFonts w:hint="eastAsia"/>
                        <w:sz w:val="14"/>
                        <w:szCs w:val="14"/>
                      </w:rPr>
                      <w:t>-</w:t>
                    </w:r>
                    <w:r>
                      <w:rPr>
                        <w:sz w:val="14"/>
                        <w:szCs w:val="14"/>
                      </w:rPr>
                      <w:t>61,095,008.87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8e61c9577cd8495fb0815773685b00bb"/>
                    <w:id w:val="-625166739"/>
                    <w:lock w:val="sdtLocked"/>
                  </w:sdtPr>
                  <w:sdtContent>
                    <w:tc>
                      <w:tcPr>
                        <w:tcW w:w="1073" w:type="pct"/>
                      </w:tcPr>
                      <w:p>
                        <w:pPr>
                          <w:rPr>
                            <w:sz w:val="18"/>
                            <w:szCs w:val="18"/>
                          </w:rPr>
                        </w:pPr>
                        <w:r>
                          <w:rPr>
                            <w:rFonts w:hint="eastAsia"/>
                            <w:sz w:val="18"/>
                            <w:szCs w:val="18"/>
                          </w:rPr>
                          <w:t>（一）综合收益总额</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707,806,585.71</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1,548,462,255.42</w:t>
                    </w:r>
                  </w:p>
                </w:tc>
                <w:tc>
                  <w:tcPr>
                    <w:tcW w:w="693" w:type="pct"/>
                    <w:vAlign w:val="center"/>
                  </w:tcPr>
                  <w:p>
                    <w:pPr>
                      <w:jc w:val="right"/>
                      <w:rPr>
                        <w:sz w:val="14"/>
                        <w:szCs w:val="14"/>
                      </w:rPr>
                    </w:pPr>
                    <w:r>
                      <w:rPr>
                        <w:sz w:val="14"/>
                        <w:szCs w:val="14"/>
                      </w:rPr>
                      <w:t>2,256,268,841.13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e11fbdac72bf4f84a5635701204e5724"/>
                    <w:id w:val="-943914259"/>
                    <w:lock w:val="sdtLocked"/>
                  </w:sdtPr>
                  <w:sdtContent>
                    <w:tc>
                      <w:tcPr>
                        <w:tcW w:w="1073" w:type="pct"/>
                      </w:tcPr>
                      <w:p>
                        <w:pPr>
                          <w:rPr>
                            <w:sz w:val="18"/>
                            <w:szCs w:val="18"/>
                          </w:rPr>
                        </w:pPr>
                        <w:r>
                          <w:rPr>
                            <w:sz w:val="18"/>
                            <w:szCs w:val="18"/>
                          </w:rPr>
                          <w:t>（</w:t>
                        </w:r>
                        <w:r>
                          <w:rPr>
                            <w:rFonts w:hint="eastAsia"/>
                            <w:sz w:val="18"/>
                            <w:szCs w:val="18"/>
                          </w:rPr>
                          <w:t>二</w:t>
                        </w:r>
                        <w:r>
                          <w:rPr>
                            <w:sz w:val="18"/>
                            <w:szCs w:val="18"/>
                          </w:rPr>
                          <w:t>）所有者投入和减少资本</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7b195f652f0542a9b8fb6e62990feb42"/>
                    <w:id w:val="-1895116044"/>
                    <w:lock w:val="sdtLocked"/>
                  </w:sdtPr>
                  <w:sdtContent>
                    <w:tc>
                      <w:tcPr>
                        <w:tcW w:w="1073" w:type="pct"/>
                      </w:tcPr>
                      <w:p>
                        <w:pPr>
                          <w:rPr>
                            <w:sz w:val="18"/>
                            <w:szCs w:val="18"/>
                          </w:rPr>
                        </w:pPr>
                        <w:r>
                          <w:rPr>
                            <w:rFonts w:hint="eastAsia"/>
                            <w:sz w:val="18"/>
                            <w:szCs w:val="18"/>
                          </w:rPr>
                          <w:t>1．所有者投入的普通股</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4873337789fc42b5ae8485de96f3dad3"/>
                    <w:id w:val="932473053"/>
                    <w:lock w:val="sdtLocked"/>
                  </w:sdtPr>
                  <w:sdtContent>
                    <w:tc>
                      <w:tcPr>
                        <w:tcW w:w="1073" w:type="pct"/>
                      </w:tcPr>
                      <w:p>
                        <w:pPr>
                          <w:rPr>
                            <w:sz w:val="18"/>
                            <w:szCs w:val="18"/>
                          </w:rPr>
                        </w:pPr>
                        <w:r>
                          <w:rPr>
                            <w:rFonts w:hint="eastAsia"/>
                            <w:sz w:val="18"/>
                            <w:szCs w:val="18"/>
                          </w:rPr>
                          <w:t>2．其他权益工具持有者投入资本</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83c73c5580c0412189f697f05780f9af"/>
                    <w:id w:val="1235975285"/>
                    <w:lock w:val="sdtLocked"/>
                  </w:sdtPr>
                  <w:sdtContent>
                    <w:tc>
                      <w:tcPr>
                        <w:tcW w:w="1073" w:type="pct"/>
                      </w:tcPr>
                      <w:p>
                        <w:pPr>
                          <w:rPr>
                            <w:sz w:val="18"/>
                            <w:szCs w:val="18"/>
                          </w:rPr>
                        </w:pPr>
                        <w:r>
                          <w:rPr>
                            <w:rFonts w:hint="eastAsia"/>
                            <w:sz w:val="18"/>
                            <w:szCs w:val="18"/>
                          </w:rPr>
                          <w:t>3</w:t>
                        </w:r>
                        <w:r>
                          <w:rPr>
                            <w:sz w:val="18"/>
                            <w:szCs w:val="18"/>
                          </w:rPr>
                          <w:t>．股份支付计入所有者权益的金额</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b328cbc349734354ae3aacf675414174"/>
                    <w:id w:val="-417798421"/>
                    <w:lock w:val="sdtLocked"/>
                  </w:sdtPr>
                  <w:sdtContent>
                    <w:tc>
                      <w:tcPr>
                        <w:tcW w:w="1073" w:type="pct"/>
                      </w:tcPr>
                      <w:p>
                        <w:pPr>
                          <w:rPr>
                            <w:sz w:val="18"/>
                            <w:szCs w:val="18"/>
                          </w:rPr>
                        </w:pPr>
                        <w:r>
                          <w:rPr>
                            <w:rFonts w:hint="eastAsia"/>
                            <w:sz w:val="18"/>
                            <w:szCs w:val="18"/>
                          </w:rPr>
                          <w:t>4</w:t>
                        </w:r>
                        <w:r>
                          <w:rPr>
                            <w:sz w:val="18"/>
                            <w:szCs w:val="18"/>
                          </w:rPr>
                          <w:t>．其他</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9773183e97be44a1a360188937e7fe10"/>
                    <w:id w:val="1058518126"/>
                    <w:lock w:val="sdtLocked"/>
                  </w:sdtPr>
                  <w:sdtContent>
                    <w:tc>
                      <w:tcPr>
                        <w:tcW w:w="1073" w:type="pct"/>
                      </w:tcPr>
                      <w:p>
                        <w:pPr>
                          <w:rPr>
                            <w:sz w:val="18"/>
                            <w:szCs w:val="18"/>
                          </w:rPr>
                        </w:pPr>
                        <w:r>
                          <w:rPr>
                            <w:sz w:val="18"/>
                            <w:szCs w:val="18"/>
                          </w:rPr>
                          <w:t>（</w:t>
                        </w:r>
                        <w:r>
                          <w:rPr>
                            <w:rFonts w:hint="eastAsia"/>
                            <w:sz w:val="18"/>
                            <w:szCs w:val="18"/>
                          </w:rPr>
                          <w:t>三</w:t>
                        </w:r>
                        <w:r>
                          <w:rPr>
                            <w:sz w:val="18"/>
                            <w:szCs w:val="18"/>
                          </w:rPr>
                          <w:t>）利润分配</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-2,317,363,850.00</w:t>
                    </w:r>
                  </w:p>
                </w:tc>
                <w:tc>
                  <w:tcPr>
                    <w:tcW w:w="693" w:type="pct"/>
                    <w:vAlign w:val="center"/>
                  </w:tcPr>
                  <w:p>
                    <w:pPr>
                      <w:jc w:val="right"/>
                      <w:rPr>
                        <w:sz w:val="14"/>
                        <w:szCs w:val="14"/>
                      </w:rPr>
                    </w:pPr>
                    <w:r>
                      <w:rPr>
                        <w:sz w:val="14"/>
                        <w:szCs w:val="14"/>
                      </w:rPr>
                      <w:t>-2,317,363,850.00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49d633deae854098a44173514bb3a7b3"/>
                    <w:id w:val="951904374"/>
                    <w:lock w:val="sdtLocked"/>
                  </w:sdtPr>
                  <w:sdtContent>
                    <w:tc>
                      <w:tcPr>
                        <w:tcW w:w="1073" w:type="pct"/>
                      </w:tcPr>
                      <w:p>
                        <w:pPr>
                          <w:rPr>
                            <w:sz w:val="18"/>
                            <w:szCs w:val="18"/>
                          </w:rPr>
                        </w:pPr>
                        <w:r>
                          <w:rPr>
                            <w:sz w:val="18"/>
                            <w:szCs w:val="18"/>
                          </w:rPr>
                          <w:t>1．提取盈余公积</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97bd41fffab4497fb1be0b345aef17bd"/>
                    <w:id w:val="1377972254"/>
                    <w:lock w:val="sdtLocked"/>
                  </w:sdtPr>
                  <w:sdtContent>
                    <w:tc>
                      <w:tcPr>
                        <w:tcW w:w="1073" w:type="pct"/>
                      </w:tcPr>
                      <w:p>
                        <w:pPr>
                          <w:rPr>
                            <w:sz w:val="18"/>
                            <w:szCs w:val="18"/>
                          </w:rPr>
                        </w:pPr>
                        <w:r>
                          <w:rPr>
                            <w:rFonts w:hint="eastAsia"/>
                            <w:sz w:val="18"/>
                            <w:szCs w:val="18"/>
                          </w:rPr>
                          <w:t>2</w:t>
                        </w:r>
                        <w:r>
                          <w:rPr>
                            <w:sz w:val="18"/>
                            <w:szCs w:val="18"/>
                          </w:rPr>
                          <w:t>．对所有者（或股东）的分配</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-2,317,363,850.00</w:t>
                    </w:r>
                  </w:p>
                </w:tc>
                <w:tc>
                  <w:tcPr>
                    <w:tcW w:w="693" w:type="pct"/>
                    <w:vAlign w:val="center"/>
                  </w:tcPr>
                  <w:p>
                    <w:pPr>
                      <w:jc w:val="right"/>
                      <w:rPr>
                        <w:sz w:val="14"/>
                        <w:szCs w:val="14"/>
                      </w:rPr>
                    </w:pPr>
                    <w:r>
                      <w:rPr>
                        <w:sz w:val="14"/>
                        <w:szCs w:val="14"/>
                      </w:rPr>
                      <w:t>-2,317,363,850.00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a5c6789730e84b389ee95f39091419a8"/>
                    <w:id w:val="809211421"/>
                    <w:lock w:val="sdtLocked"/>
                  </w:sdtPr>
                  <w:sdtContent>
                    <w:tc>
                      <w:tcPr>
                        <w:tcW w:w="1073" w:type="pct"/>
                      </w:tcPr>
                      <w:p>
                        <w:pPr>
                          <w:rPr>
                            <w:sz w:val="18"/>
                            <w:szCs w:val="18"/>
                          </w:rPr>
                        </w:pPr>
                        <w:r>
                          <w:rPr>
                            <w:rFonts w:hint="eastAsia"/>
                            <w:sz w:val="18"/>
                            <w:szCs w:val="18"/>
                          </w:rPr>
                          <w:t>3</w:t>
                        </w:r>
                        <w:r>
                          <w:rPr>
                            <w:sz w:val="18"/>
                            <w:szCs w:val="18"/>
                          </w:rPr>
                          <w:t>．其他</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9c529a92f12642ed93c3ac5d7c5ef52b"/>
                    <w:id w:val="941416253"/>
                    <w:lock w:val="sdtLocked"/>
                  </w:sdtPr>
                  <w:sdtContent>
                    <w:tc>
                      <w:tcPr>
                        <w:tcW w:w="1073" w:type="pct"/>
                      </w:tcPr>
                      <w:p>
                        <w:pPr>
                          <w:rPr>
                            <w:sz w:val="18"/>
                            <w:szCs w:val="18"/>
                          </w:rPr>
                        </w:pPr>
                        <w:r>
                          <w:rPr>
                            <w:sz w:val="18"/>
                            <w:szCs w:val="18"/>
                          </w:rPr>
                          <w:t>（</w:t>
                        </w:r>
                        <w:r>
                          <w:rPr>
                            <w:rFonts w:hint="eastAsia"/>
                            <w:sz w:val="18"/>
                            <w:szCs w:val="18"/>
                          </w:rPr>
                          <w:t>四</w:t>
                        </w:r>
                        <w:r>
                          <w:rPr>
                            <w:sz w:val="18"/>
                            <w:szCs w:val="18"/>
                          </w:rPr>
                          <w:t>）所有者权益内部结转</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084a56709ef243f89e8f0aead886c10d"/>
                    <w:id w:val="-2099167836"/>
                    <w:lock w:val="sdtLocked"/>
                  </w:sdtPr>
                  <w:sdtContent>
                    <w:tc>
                      <w:tcPr>
                        <w:tcW w:w="1073" w:type="pct"/>
                      </w:tcPr>
                      <w:p>
                        <w:pPr>
                          <w:rPr>
                            <w:sz w:val="18"/>
                            <w:szCs w:val="18"/>
                          </w:rPr>
                        </w:pPr>
                        <w:r>
                          <w:rPr>
                            <w:sz w:val="18"/>
                            <w:szCs w:val="18"/>
                          </w:rPr>
                          <w:t>1．资本公积转增资本（或股本）</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22df50d156334ad9a740cc6d62e17f0b"/>
                    <w:id w:val="523824741"/>
                    <w:lock w:val="sdtLocked"/>
                  </w:sdtPr>
                  <w:sdtContent>
                    <w:tc>
                      <w:tcPr>
                        <w:tcW w:w="1073" w:type="pct"/>
                      </w:tcPr>
                      <w:p>
                        <w:pPr>
                          <w:rPr>
                            <w:sz w:val="18"/>
                            <w:szCs w:val="18"/>
                          </w:rPr>
                        </w:pPr>
                        <w:r>
                          <w:rPr>
                            <w:sz w:val="18"/>
                            <w:szCs w:val="18"/>
                          </w:rPr>
                          <w:t>2．盈余公积转增资本（或股本）</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4846580862224d1a9e17a9af1fe14d07"/>
                    <w:id w:val="406573597"/>
                    <w:lock w:val="sdtLocked"/>
                  </w:sdtPr>
                  <w:sdtContent>
                    <w:tc>
                      <w:tcPr>
                        <w:tcW w:w="1073" w:type="pct"/>
                      </w:tcPr>
                      <w:p>
                        <w:pPr>
                          <w:rPr>
                            <w:sz w:val="18"/>
                            <w:szCs w:val="18"/>
                          </w:rPr>
                        </w:pPr>
                        <w:r>
                          <w:rPr>
                            <w:sz w:val="18"/>
                            <w:szCs w:val="18"/>
                          </w:rPr>
                          <w:t>3．盈余公积弥补亏损</w:t>
                        </w:r>
                      </w:p>
                    </w:tc>
                  </w:sdtContent>
                </w:sdt>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tc>
                  <w:tcPr>
                    <w:tcW w:w="1073" w:type="pct"/>
                  </w:tcPr>
                  <w:sdt>
                    <w:sdtPr>
                      <w:rPr>
                        <w:sz w:val="18"/>
                        <w:szCs w:val="18"/>
                      </w:rPr>
                      <w:tag w:val="_PLD_a2566358e2dc4d0b9e534ee13a2b1a26"/>
                      <w:id w:val="432249498"/>
                      <w:lock w:val="sdtLocked"/>
                    </w:sdtPr>
                    <w:sdtEndPr>
                      <w:rPr>
                        <w:sz w:val="18"/>
                        <w:szCs w:val="18"/>
                      </w:rPr>
                    </w:sdtEndPr>
                    <w:sdtContent>
                      <w:p>
                        <w:r>
                          <w:rPr>
                            <w:sz w:val="18"/>
                            <w:szCs w:val="18"/>
                          </w:rPr>
                          <w:t>4．设定受益计划变动额结转留存收益</w:t>
                        </w:r>
                      </w:p>
                    </w:sdtContent>
                  </w:sdt>
                </w:tc>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tc>
                  <w:tcPr>
                    <w:tcW w:w="1073" w:type="pct"/>
                  </w:tcPr>
                  <w:sdt>
                    <w:sdtPr>
                      <w:rPr>
                        <w:sz w:val="18"/>
                        <w:szCs w:val="18"/>
                      </w:rPr>
                      <w:tag w:val="_PLD_659907ea90ce4ac18323403c6e02efd1"/>
                      <w:id w:val="1433631861"/>
                      <w:lock w:val="sdtLocked"/>
                    </w:sdtPr>
                    <w:sdtEndPr>
                      <w:rPr>
                        <w:sz w:val="18"/>
                        <w:szCs w:val="18"/>
                      </w:rPr>
                    </w:sdtEndPr>
                    <w:sdtContent>
                      <w:p>
                        <w:pPr>
                          <w:rPr>
                            <w:sz w:val="18"/>
                            <w:szCs w:val="18"/>
                          </w:rPr>
                        </w:pPr>
                        <w:r>
                          <w:rPr>
                            <w:sz w:val="18"/>
                            <w:szCs w:val="18"/>
                          </w:rPr>
                          <w:t>5．其他综合收益结转留存收益</w:t>
                        </w:r>
                      </w:p>
                    </w:sdtContent>
                  </w:sdt>
                </w:tc>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tc>
                  <w:tcPr>
                    <w:tcW w:w="1073" w:type="pct"/>
                  </w:tcPr>
                  <w:sdt>
                    <w:sdtPr>
                      <w:rPr>
                        <w:sz w:val="18"/>
                        <w:szCs w:val="18"/>
                      </w:rPr>
                      <w:tag w:val="_PLD_811577c623d04471a27af10d35119258"/>
                      <w:id w:val="-279580833"/>
                      <w:lock w:val="sdtLocked"/>
                    </w:sdtPr>
                    <w:sdtEndPr>
                      <w:rPr>
                        <w:sz w:val="18"/>
                        <w:szCs w:val="18"/>
                      </w:rPr>
                    </w:sdtEndPr>
                    <w:sdtContent>
                      <w:p>
                        <w:r>
                          <w:rPr>
                            <w:sz w:val="18"/>
                            <w:szCs w:val="18"/>
                          </w:rPr>
                          <w:t>6．其他</w:t>
                        </w:r>
                      </w:p>
                    </w:sdtContent>
                  </w:sdt>
                </w:tc>
                <w:tc>
                  <w:tcPr>
                    <w:tcW w:w="630" w:type="pct"/>
                    <w:tcBorders>
                      <w:right w:val="single" w:color="auto" w:sz="4" w:space="0"/>
                    </w:tcBorders>
                    <w:vAlign w:val="center"/>
                  </w:tcPr>
                  <w:p>
                    <w:pPr>
                      <w:jc w:val="right"/>
                      <w:rPr>
                        <w:sz w:val="14"/>
                        <w:szCs w:val="14"/>
                      </w:rPr>
                    </w:pPr>
                    <w:r>
                      <w:rPr>
                        <w:sz w:val="14"/>
                        <w:szCs w:val="14"/>
                      </w:rPr>
                      <w:t>-</w:t>
                    </w:r>
                  </w:p>
                </w:tc>
                <w:tc>
                  <w:tcPr>
                    <w:tcW w:w="536"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91" w:type="pct"/>
                    <w:vAlign w:val="center"/>
                  </w:tcPr>
                  <w:p>
                    <w:pPr>
                      <w:jc w:val="right"/>
                      <w:rPr>
                        <w:sz w:val="14"/>
                        <w:szCs w:val="14"/>
                      </w:rPr>
                    </w:pPr>
                    <w:r>
                      <w:rPr>
                        <w:sz w:val="14"/>
                        <w:szCs w:val="14"/>
                      </w:rPr>
                      <w:t>-</w:t>
                    </w:r>
                  </w:p>
                </w:tc>
                <w:tc>
                  <w:tcPr>
                    <w:tcW w:w="687" w:type="pct"/>
                    <w:vAlign w:val="center"/>
                  </w:tcPr>
                  <w:p>
                    <w:pPr>
                      <w:jc w:val="right"/>
                      <w:rPr>
                        <w:sz w:val="14"/>
                        <w:szCs w:val="14"/>
                      </w:rPr>
                    </w:pPr>
                    <w:r>
                      <w:rPr>
                        <w:sz w:val="14"/>
                        <w:szCs w:val="14"/>
                      </w:rPr>
                      <w:t>-</w:t>
                    </w:r>
                  </w:p>
                </w:tc>
                <w:tc>
                  <w:tcPr>
                    <w:tcW w:w="693" w:type="pct"/>
                    <w:vAlign w:val="center"/>
                  </w:tcPr>
                  <w:p>
                    <w:pPr>
                      <w:jc w:val="right"/>
                      <w:rPr>
                        <w:sz w:val="14"/>
                        <w:szCs w:val="14"/>
                      </w:rPr>
                    </w:pPr>
                    <w:r>
                      <w:rPr>
                        <w:sz w:val="14"/>
                        <w:szCs w:val="1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 w:hRule="atLeast"/>
                </w:trPr>
                <w:sdt>
                  <w:sdtPr>
                    <w:tag w:val="_PLD_0009c8b4e5ca4d7083f8b2619f6a4584"/>
                    <w:id w:val="-1965112901"/>
                    <w:lock w:val="sdtLocked"/>
                  </w:sdtPr>
                  <w:sdtContent>
                    <w:tc>
                      <w:tcPr>
                        <w:tcW w:w="1073" w:type="pct"/>
                      </w:tcPr>
                      <w:p>
                        <w:pPr>
                          <w:rPr>
                            <w:sz w:val="18"/>
                            <w:szCs w:val="18"/>
                          </w:rPr>
                        </w:pPr>
                        <w:r>
                          <w:rPr>
                            <w:sz w:val="18"/>
                            <w:szCs w:val="18"/>
                          </w:rPr>
                          <w:t>四、本期期末余额</w:t>
                        </w:r>
                      </w:p>
                    </w:tc>
                  </w:sdtContent>
                </w:sdt>
                <w:tc>
                  <w:tcPr>
                    <w:tcW w:w="630" w:type="pct"/>
                    <w:tcBorders>
                      <w:right w:val="single" w:color="auto" w:sz="4" w:space="0"/>
                    </w:tcBorders>
                    <w:vAlign w:val="center"/>
                  </w:tcPr>
                  <w:p>
                    <w:pPr>
                      <w:jc w:val="right"/>
                      <w:rPr>
                        <w:sz w:val="14"/>
                        <w:szCs w:val="14"/>
                      </w:rPr>
                    </w:pPr>
                    <w:r>
                      <w:rPr>
                        <w:sz w:val="14"/>
                        <w:szCs w:val="14"/>
                      </w:rPr>
                      <w:t>5,037,747,500.00</w:t>
                    </w:r>
                  </w:p>
                </w:tc>
                <w:tc>
                  <w:tcPr>
                    <w:tcW w:w="536" w:type="pct"/>
                    <w:vAlign w:val="center"/>
                  </w:tcPr>
                  <w:p>
                    <w:pPr>
                      <w:jc w:val="right"/>
                      <w:rPr>
                        <w:sz w:val="14"/>
                        <w:szCs w:val="14"/>
                      </w:rPr>
                    </w:pPr>
                    <w:r>
                      <w:rPr>
                        <w:sz w:val="14"/>
                        <w:szCs w:val="14"/>
                      </w:rPr>
                      <w:t>10,372,950,811.58</w:t>
                    </w:r>
                  </w:p>
                </w:tc>
                <w:tc>
                  <w:tcPr>
                    <w:tcW w:w="691" w:type="pct"/>
                    <w:vAlign w:val="center"/>
                  </w:tcPr>
                  <w:p>
                    <w:pPr>
                      <w:jc w:val="right"/>
                      <w:rPr>
                        <w:sz w:val="14"/>
                        <w:szCs w:val="14"/>
                      </w:rPr>
                    </w:pPr>
                    <w:r>
                      <w:rPr>
                        <w:sz w:val="14"/>
                        <w:szCs w:val="14"/>
                      </w:rPr>
                      <w:t>1,044,603,877.81</w:t>
                    </w:r>
                  </w:p>
                </w:tc>
                <w:tc>
                  <w:tcPr>
                    <w:tcW w:w="691" w:type="pct"/>
                    <w:vAlign w:val="center"/>
                  </w:tcPr>
                  <w:p>
                    <w:pPr>
                      <w:jc w:val="right"/>
                      <w:rPr>
                        <w:sz w:val="14"/>
                        <w:szCs w:val="14"/>
                      </w:rPr>
                    </w:pPr>
                    <w:r>
                      <w:rPr>
                        <w:sz w:val="14"/>
                        <w:szCs w:val="14"/>
                      </w:rPr>
                      <w:t>2,518,873,750.00</w:t>
                    </w:r>
                  </w:p>
                </w:tc>
                <w:tc>
                  <w:tcPr>
                    <w:tcW w:w="687" w:type="pct"/>
                    <w:vAlign w:val="center"/>
                  </w:tcPr>
                  <w:p>
                    <w:pPr>
                      <w:jc w:val="right"/>
                      <w:rPr>
                        <w:sz w:val="14"/>
                        <w:szCs w:val="14"/>
                      </w:rPr>
                    </w:pPr>
                    <w:r>
                      <w:rPr>
                        <w:sz w:val="14"/>
                        <w:szCs w:val="14"/>
                      </w:rPr>
                      <w:t>6,248,950,479.78</w:t>
                    </w:r>
                  </w:p>
                </w:tc>
                <w:tc>
                  <w:tcPr>
                    <w:tcW w:w="693" w:type="pct"/>
                    <w:vAlign w:val="center"/>
                  </w:tcPr>
                  <w:p>
                    <w:pPr>
                      <w:jc w:val="right"/>
                      <w:rPr>
                        <w:sz w:val="14"/>
                        <w:szCs w:val="14"/>
                      </w:rPr>
                    </w:pPr>
                    <w:r>
                      <w:rPr>
                        <w:sz w:val="14"/>
                        <w:szCs w:val="14"/>
                      </w:rPr>
                      <w:t>25,223,126,419.17</w:t>
                    </w:r>
                  </w:p>
                </w:tc>
              </w:tr>
              <w:bookmarkEnd w:id="109"/>
            </w:tbl>
            <w:p>
              <w:pPr>
                <w:snapToGrid w:val="0"/>
                <w:spacing w:line="240" w:lineRule="atLeast"/>
                <w:rPr>
                  <w:b/>
                  <w:bCs/>
                  <w:color w:val="FF0000"/>
                </w:rPr>
              </w:pPr>
              <w:r>
                <w:t>公司负责人</w:t>
              </w:r>
              <w:r>
                <w:rPr>
                  <w:rFonts w:hint="eastAsia"/>
                </w:rPr>
                <w:t>：</w:t>
              </w:r>
              <w:sdt>
                <w:sdtPr>
                  <w:rPr>
                    <w:rFonts w:hint="eastAsia"/>
                  </w:rPr>
                  <w:alias w:val="公司负责人"/>
                  <w:tag w:val="_GBC_6042a2c12168484781348969a4da3e4c"/>
                  <w:id w:val="2067524137"/>
                  <w:lock w:val="sdtLocked"/>
                  <w:placeholder>
                    <w:docPart w:val="GBC22222222222222222222222222222"/>
                  </w:placeholder>
                  <w:dataBinding w:prefixMappings="xmlns:clcid-mr='clcid-mr'" w:xpath="/*/clcid-mr:GongSiFuZeRenXingMing[not(@periodRef)]" w:storeItemID="{89EBAB94-44A0-46A2-B712-30D997D04A6D}"/>
                  <w:text/>
                </w:sdtPr>
                <w:sdtEndPr>
                  <w:rPr>
                    <w:rFonts w:hint="eastAsia"/>
                  </w:rPr>
                </w:sdtEndPr>
                <w:sdtContent>
                  <w:r>
                    <w:rPr>
                      <w:rFonts w:hint="eastAsia"/>
                    </w:rPr>
                    <w:t>陈云江</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1730839470"/>
                  <w:lock w:val="sdtLocked"/>
                  <w:placeholder>
                    <w:docPart w:val="GBC22222222222222222222222222222"/>
                  </w:placeholder>
                  <w:dataBinding w:prefixMappings="xmlns:clcid-mr='clcid-mr'" w:xpath="/*/clcid-mr:ZhuGuanKuaiJiGongZuoFuZeRenXingMing[not(@periodRef)]" w:storeItemID="{89EBAB94-44A0-46A2-B712-30D997D04A6D}"/>
                  <w:text/>
                </w:sdtPr>
                <w:sdtEndPr>
                  <w:rPr>
                    <w:rFonts w:hint="eastAsia"/>
                  </w:rPr>
                </w:sdtEndPr>
                <w:sdtContent>
                  <w:r>
                    <w:rPr>
                      <w:rFonts w:hint="eastAsia"/>
                    </w:rPr>
                    <w:t>陈晋佳</w:t>
                  </w:r>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1231619379"/>
                  <w:lock w:val="sdtLocked"/>
                  <w:placeholder>
                    <w:docPart w:val="GBC22222222222222222222222222222"/>
                  </w:placeholder>
                  <w:dataBinding w:prefixMappings="xmlns:clcid-mr='clcid-mr'" w:xpath="/*/clcid-mr:KuaiJiJiGouFuZeRenXingMing[not(@periodRef)]" w:storeItemID="{89EBAB94-44A0-46A2-B712-30D997D04A6D}"/>
                  <w:text/>
                </w:sdtPr>
                <w:sdtEndPr>
                  <w:rPr>
                    <w:rFonts w:hint="eastAsia"/>
                  </w:rPr>
                </w:sdtEndPr>
                <w:sdtContent>
                  <w:r>
                    <w:rPr>
                      <w:rFonts w:hint="eastAsia"/>
                    </w:rPr>
                    <w:t>姚群芳</w:t>
                  </w:r>
                </w:sdtContent>
              </w:sdt>
            </w:p>
          </w:sdtContent>
        </w:sdt>
        <w:p>
          <w:pPr>
            <w:rPr>
              <w:color w:val="FF0000"/>
            </w:rPr>
          </w:pPr>
        </w:p>
      </w:sdtContent>
    </w:sdt>
    <w:p>
      <w:pPr>
        <w:snapToGrid w:val="0"/>
        <w:spacing w:line="240" w:lineRule="atLeast"/>
        <w:sectPr>
          <w:pgSz w:w="16838" w:h="11906" w:orient="landscape"/>
          <w:pgMar w:top="1797" w:right="1525" w:bottom="1276" w:left="1440" w:header="851" w:footer="992" w:gutter="0"/>
          <w:cols w:space="425" w:num="1"/>
          <w:docGrid w:linePitch="312" w:charSpace="0"/>
        </w:sectPr>
      </w:pPr>
    </w:p>
    <w:sdt>
      <w:sdtPr>
        <w:rPr>
          <w:rFonts w:ascii="宋体" w:hAnsi="宋体" w:cs="宋体"/>
          <w:b w:val="0"/>
          <w:bCs w:val="0"/>
          <w:kern w:val="0"/>
          <w:szCs w:val="24"/>
        </w:rPr>
        <w:alias w:val="模块:公司基本情况"/>
        <w:tag w:val="_GBC_c49d72d4b04e4ead97addb731e9b6458"/>
        <w:id w:val="-2112810643"/>
        <w:lock w:val="sdtLocked"/>
        <w:placeholder>
          <w:docPart w:val="GBC22222222222222222222222222222"/>
        </w:placeholder>
      </w:sdtPr>
      <w:sdtEndPr>
        <w:rPr>
          <w:rFonts w:hint="eastAsia" w:ascii="宋体" w:hAnsi="宋体" w:cs="Times New Roman"/>
          <w:b w:val="0"/>
          <w:bCs w:val="0"/>
          <w:kern w:val="2"/>
          <w:szCs w:val="21"/>
        </w:rPr>
      </w:sdtEndPr>
      <w:sdtContent>
        <w:p>
          <w:pPr>
            <w:pStyle w:val="3"/>
            <w:numPr>
              <w:ilvl w:val="0"/>
              <w:numId w:val="38"/>
            </w:numPr>
            <w:ind w:left="420" w:hanging="420"/>
            <w:rPr>
              <w:rFonts w:ascii="宋体" w:hAnsi="宋体"/>
            </w:rPr>
          </w:pPr>
          <w:r>
            <w:rPr>
              <w:rFonts w:ascii="宋体" w:hAnsi="宋体"/>
            </w:rPr>
            <w:t>公司基本情况</w:t>
          </w:r>
        </w:p>
        <w:p>
          <w:pPr>
            <w:pStyle w:val="4"/>
            <w:numPr>
              <w:ilvl w:val="0"/>
              <w:numId w:val="39"/>
            </w:numPr>
            <w:rPr>
              <w:rFonts w:ascii="宋体" w:hAnsi="宋体"/>
            </w:rPr>
          </w:pPr>
          <w:r>
            <w:rPr>
              <w:rFonts w:hint="eastAsia" w:ascii="宋体" w:hAnsi="宋体"/>
            </w:rPr>
            <w:t>公司概况</w:t>
          </w:r>
        </w:p>
        <w:sdt>
          <w:sdtPr>
            <w:alias w:val="是否适用：公司概况[双击切换]"/>
            <w:tag w:val="_GBC_2e5fe5b3ed964f468989da49e4242039"/>
            <w:id w:val="-185263880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1828017406"/>
            <w:lock w:val="sdtLocked"/>
            <w:placeholder>
              <w:docPart w:val="GBC22222222222222222222222222222"/>
            </w:placeholder>
          </w:sdtPr>
          <w:sdtContent>
            <w:p>
              <w:pPr>
                <w:pStyle w:val="114"/>
              </w:pPr>
              <w:r>
                <w:rPr>
                  <w:rFonts w:hint="eastAsia"/>
                </w:rPr>
                <w:t>江苏宁沪高速公路股份有限公司</w:t>
              </w:r>
              <w:r>
                <w:t xml:space="preserve"> (以下简称“本公司”) 是一家于1992年8月1日在江苏省南京市注册成立的股份有限公司，总部位于江苏省南京市。本公司的母公司和最终控股公司均为江苏交通控股有限公司 (“交通控股”)。</w:t>
              </w:r>
            </w:p>
            <w:p>
              <w:pPr>
                <w:pStyle w:val="114"/>
              </w:pPr>
            </w:p>
            <w:p>
              <w:pPr>
                <w:pStyle w:val="114"/>
              </w:pPr>
              <w:r>
                <w:rPr>
                  <w:rFonts w:hint="eastAsia"/>
                </w:rPr>
                <w:t>本公司及其子公司（以下简称“本集团”）</w:t>
              </w:r>
              <w:r>
                <w:t xml:space="preserve"> 的主要从事沪宁高速公路江苏段 (“沪宁高速”) 及其他江苏省境内公路的建设及经营管理，并发展公路沿线的客运和其他服务。本公司子公司的相关信息参见附注</w:t>
              </w:r>
              <w:r>
                <w:rPr>
                  <w:rFonts w:hint="eastAsia"/>
                </w:rPr>
                <w:t>九</w:t>
              </w:r>
              <w:r>
                <w:t>。</w:t>
              </w:r>
            </w:p>
            <w:p>
              <w:pPr>
                <w:pStyle w:val="114"/>
              </w:pPr>
            </w:p>
            <w:p>
              <w:pPr>
                <w:pStyle w:val="114"/>
              </w:pPr>
              <w:r>
                <w:rPr>
                  <w:rFonts w:hint="eastAsia"/>
                </w:rPr>
                <w:t>本报告期内，本集团新增子公司的情况参见附注八。</w:t>
              </w:r>
            </w:p>
          </w:sdtContent>
        </w:sdt>
        <w:p>
          <w:pPr>
            <w:pStyle w:val="114"/>
          </w:pPr>
        </w:p>
        <w:p>
          <w:pPr>
            <w:pStyle w:val="4"/>
            <w:numPr>
              <w:ilvl w:val="0"/>
              <w:numId w:val="39"/>
            </w:numPr>
            <w:rPr>
              <w:rFonts w:ascii="宋体" w:hAnsi="宋体"/>
              <w:szCs w:val="21"/>
            </w:rPr>
          </w:pPr>
          <w:r>
            <w:rPr>
              <w:rFonts w:hint="eastAsia" w:ascii="宋体" w:hAnsi="宋体"/>
              <w:szCs w:val="21"/>
            </w:rPr>
            <w:t>合并财务</w:t>
          </w:r>
          <w:r>
            <w:rPr>
              <w:rFonts w:hint="eastAsia" w:ascii="宋体" w:hAnsi="宋体"/>
            </w:rPr>
            <w:t>报表</w:t>
          </w:r>
          <w:r>
            <w:rPr>
              <w:rFonts w:hint="eastAsia" w:ascii="宋体" w:hAnsi="宋体"/>
              <w:szCs w:val="21"/>
            </w:rPr>
            <w:t>范围</w:t>
          </w:r>
        </w:p>
        <w:sdt>
          <w:sdtPr>
            <w:alias w:val="是否适用：合并财务报表范围[双击切换]"/>
            <w:tag w:val="_GBC_ea2f3ec3b347465c8c563d4599124150"/>
            <w:id w:val="-54174658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本年度合并财务报表范围"/>
            <w:tag w:val="_GBC_696c121eead146fba6371fa5b371b2fc"/>
            <w:id w:val="1168990784"/>
            <w:lock w:val="sdtLocked"/>
            <w:placeholder>
              <w:docPart w:val="GBC22222222222222222222222222222"/>
            </w:placeholder>
          </w:sdtPr>
          <w:sdtContent>
            <w:p>
              <w:pPr>
                <w:pStyle w:val="114"/>
              </w:pPr>
              <w:r>
                <w:rPr>
                  <w:rFonts w:hint="eastAsia"/>
                </w:rPr>
                <w:t>合并财务报表的合并范围以控制为基础确认，本公司子公司的相关信息参见附注九。</w:t>
              </w:r>
            </w:p>
          </w:sdtContent>
        </w:sdt>
      </w:sdtContent>
    </w:sdt>
    <w:p>
      <w:pPr>
        <w:pStyle w:val="114"/>
      </w:pPr>
    </w:p>
    <w:p>
      <w:pPr>
        <w:pStyle w:val="3"/>
        <w:numPr>
          <w:ilvl w:val="0"/>
          <w:numId w:val="38"/>
        </w:numPr>
        <w:ind w:left="422" w:hanging="422"/>
        <w:rPr>
          <w:rFonts w:ascii="宋体" w:hAnsi="宋体"/>
        </w:rPr>
      </w:pPr>
      <w:r>
        <w:rPr>
          <w:rFonts w:hint="eastAsia" w:ascii="宋体" w:hAnsi="宋体"/>
        </w:rPr>
        <w:t>财务报表的编制基础</w:t>
      </w:r>
    </w:p>
    <w:sdt>
      <w:sdtPr>
        <w:rPr>
          <w:rFonts w:ascii="宋体" w:hAnsi="宋体" w:cs="宋体"/>
          <w:b w:val="0"/>
          <w:bCs w:val="0"/>
          <w:kern w:val="0"/>
          <w:szCs w:val="22"/>
        </w:rPr>
        <w:alias w:val="模块:财务报表的编制基础"/>
        <w:tag w:val="_GBC_6d12949d3695402592266a78137dcfb5"/>
        <w:id w:val="1323467615"/>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0"/>
            </w:numPr>
            <w:rPr>
              <w:rFonts w:ascii="宋体" w:hAnsi="宋体"/>
            </w:rPr>
          </w:pPr>
          <w:r>
            <w:rPr>
              <w:rFonts w:ascii="宋体" w:hAnsi="宋体"/>
            </w:rPr>
            <w:t>编制基础</w:t>
          </w:r>
        </w:p>
        <w:sdt>
          <w:sdtPr>
            <w:rPr>
              <w:rFonts w:hint="eastAsia"/>
            </w:rPr>
            <w:alias w:val="财务报表的编制基础"/>
            <w:tag w:val="_GBC_1dc2375ed7ab49628f5badf2d5006405"/>
            <w:id w:val="-1072503240"/>
            <w:lock w:val="sdtLocked"/>
            <w:placeholder>
              <w:docPart w:val="GBC22222222222222222222222222222"/>
            </w:placeholder>
          </w:sdtPr>
          <w:sdtEndPr>
            <w:rPr>
              <w:rFonts w:hint="eastAsia"/>
            </w:rPr>
          </w:sdtEndPr>
          <w:sdtContent>
            <w:p>
              <w:pPr>
                <w:pStyle w:val="114"/>
              </w:pPr>
              <w:r>
                <w:t>本公司财务报表以持续经营为编制基础。</w:t>
              </w:r>
            </w:p>
          </w:sdtContent>
        </w:sdt>
      </w:sdtContent>
    </w:sdt>
    <w:p>
      <w:pPr>
        <w:pStyle w:val="114"/>
      </w:pPr>
    </w:p>
    <w:sdt>
      <w:sdtPr>
        <w:rPr>
          <w:rFonts w:hint="eastAsia" w:ascii="宋体" w:hAnsi="宋体" w:cs="宋体"/>
          <w:b w:val="0"/>
          <w:bCs w:val="0"/>
          <w:kern w:val="0"/>
          <w:szCs w:val="22"/>
        </w:rPr>
        <w:alias w:val="模块:持续经营"/>
        <w:tag w:val="_GBC_69ae6baeacb44e8fa17b0b984abbf6ab"/>
        <w:id w:val="-1809162748"/>
        <w:lock w:val="sdtLocked"/>
        <w:placeholder>
          <w:docPart w:val="GBC22222222222222222222222222222"/>
        </w:placeholder>
      </w:sdtPr>
      <w:sdtEndPr>
        <w:rPr>
          <w:rFonts w:hint="eastAsia" w:cs="Times New Roman" w:asciiTheme="minorEastAsia" w:hAnsiTheme="minorEastAsia" w:eastAsiaTheme="minorEastAsia"/>
          <w:b w:val="0"/>
          <w:bCs w:val="0"/>
          <w:kern w:val="2"/>
          <w:szCs w:val="21"/>
        </w:rPr>
      </w:sdtEndPr>
      <w:sdtContent>
        <w:p>
          <w:pPr>
            <w:pStyle w:val="4"/>
            <w:numPr>
              <w:ilvl w:val="0"/>
              <w:numId w:val="40"/>
            </w:numPr>
            <w:rPr>
              <w:rFonts w:ascii="宋体" w:hAnsi="宋体"/>
            </w:rPr>
          </w:pPr>
          <w:r>
            <w:rPr>
              <w:rFonts w:hint="eastAsia" w:ascii="宋体" w:hAnsi="宋体"/>
            </w:rPr>
            <w:t>持续经营</w:t>
          </w:r>
        </w:p>
        <w:sdt>
          <w:sdtPr>
            <w:alias w:val="是否适用：持续经营[双击切换]"/>
            <w:tag w:val="_GBC_7a7bd82392314f508ef1adfe80947192"/>
            <w:id w:val="99792560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1760052985"/>
            <w:lock w:val="sdtLocked"/>
            <w:placeholder>
              <w:docPart w:val="GBC22222222222222222222222222222"/>
            </w:placeholder>
          </w:sdtPr>
          <w:sdtEndPr>
            <w:rPr>
              <w:rFonts w:asciiTheme="minorEastAsia" w:hAnsiTheme="minorEastAsia" w:eastAsiaTheme="minorEastAsia"/>
            </w:rPr>
          </w:sdtEndPr>
          <w:sdtContent>
            <w:p>
              <w:pPr>
                <w:rPr>
                  <w:rFonts w:asciiTheme="minorEastAsia" w:hAnsiTheme="minorEastAsia" w:eastAsiaTheme="minorEastAsia"/>
                </w:rPr>
              </w:pPr>
              <w:r>
                <w:rPr>
                  <w:rFonts w:hint="eastAsia" w:cs="Arial" w:asciiTheme="minorEastAsia" w:hAnsiTheme="minorEastAsia" w:eastAsiaTheme="minorEastAsia"/>
                  <w:color w:val="000000" w:themeColor="text1"/>
                  <w14:textFill>
                    <w14:solidFill>
                      <w14:schemeClr w14:val="tx1"/>
                    </w14:solidFill>
                  </w14:textFill>
                </w:rPr>
                <w:t>截至</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日止，本集团流动负债合计金额超过流动资产合计金额人民币</w:t>
              </w:r>
              <w:r>
                <w:rPr>
                  <w:rFonts w:hint="eastAsia" w:cs="Arial" w:asciiTheme="minorEastAsia" w:hAnsiTheme="minorEastAsia" w:eastAsiaTheme="minorEastAsia"/>
                  <w:color w:val="0000FF"/>
                  <w:sz w:val="18"/>
                  <w:szCs w:val="18"/>
                </w:rPr>
                <w:t xml:space="preserve">              </w:t>
              </w:r>
              <w:r>
                <w:rPr>
                  <w:rFonts w:cs="Arial" w:asciiTheme="minorEastAsia" w:hAnsiTheme="minorEastAsia" w:eastAsiaTheme="minorEastAsia"/>
                  <w:color w:val="000000" w:themeColor="text1"/>
                  <w14:textFill>
                    <w14:solidFill>
                      <w14:schemeClr w14:val="tx1"/>
                    </w14:solidFill>
                  </w14:textFill>
                </w:rPr>
                <w:t>4,663,364,910.96</w:t>
              </w:r>
              <w:r>
                <w:rPr>
                  <w:rFonts w:hint="eastAsia" w:cs="Arial" w:asciiTheme="minorEastAsia" w:hAnsiTheme="minorEastAsia" w:eastAsiaTheme="minorEastAsia"/>
                  <w:color w:val="000000" w:themeColor="text1"/>
                  <w14:textFill>
                    <w14:solidFill>
                      <w14:schemeClr w14:val="tx1"/>
                    </w14:solidFill>
                  </w14:textFill>
                </w:rPr>
                <w:t>元。于</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日，本集团与银行已签署授信合同尚未使用的授信期限为一年以上的借款额度不低于人民币</w:t>
              </w:r>
              <w:r>
                <w:rPr>
                  <w:rFonts w:cs="Arial" w:asciiTheme="minorEastAsia" w:hAnsiTheme="minorEastAsia" w:eastAsiaTheme="minorEastAsia"/>
                  <w:color w:val="000000" w:themeColor="text1"/>
                  <w14:textFill>
                    <w14:solidFill>
                      <w14:schemeClr w14:val="tx1"/>
                    </w14:solidFill>
                  </w14:textFill>
                </w:rPr>
                <w:t>10,000,000,000.00</w:t>
              </w:r>
              <w:r>
                <w:rPr>
                  <w:rFonts w:hint="eastAsia" w:cs="Arial" w:asciiTheme="minorEastAsia" w:hAnsiTheme="minorEastAsia" w:eastAsiaTheme="minorEastAsia"/>
                  <w:color w:val="000000" w:themeColor="text1"/>
                  <w14:textFill>
                    <w14:solidFill>
                      <w14:schemeClr w14:val="tx1"/>
                    </w14:solidFill>
                  </w14:textFill>
                </w:rPr>
                <w:t>元，本集团已在中国银行间市场交易商协会注册但尚未发行的有效期限为一年以上的超短期融资券的额度为人民币</w:t>
              </w:r>
              <w:r>
                <w:rPr>
                  <w:rFonts w:cs="Arial" w:asciiTheme="minorEastAsia" w:hAnsiTheme="minorEastAsia" w:eastAsiaTheme="minorEastAsia"/>
                  <w:color w:val="000000" w:themeColor="text1"/>
                  <w14:textFill>
                    <w14:solidFill>
                      <w14:schemeClr w14:val="tx1"/>
                    </w14:solidFill>
                  </w14:textFill>
                </w:rPr>
                <w:t>6,150,000,000.00</w:t>
              </w:r>
              <w:r>
                <w:rPr>
                  <w:rFonts w:hint="eastAsia" w:cs="Arial" w:asciiTheme="minorEastAsia" w:hAnsiTheme="minorEastAsia" w:eastAsiaTheme="minorEastAsia"/>
                  <w:color w:val="000000" w:themeColor="text1"/>
                  <w14:textFill>
                    <w14:solidFill>
                      <w14:schemeClr w14:val="tx1"/>
                    </w14:solidFill>
                  </w14:textFill>
                </w:rPr>
                <w:t>元，本集团已在中国银行间市场交易商协会注册但尚未发行的有效期限为一年以上的中期票据的额度为人民币</w:t>
              </w:r>
              <w:r>
                <w:rPr>
                  <w:rFonts w:cs="Arial" w:asciiTheme="minorEastAsia" w:hAnsiTheme="minorEastAsia" w:eastAsiaTheme="minorEastAsia"/>
                  <w:color w:val="000000" w:themeColor="text1"/>
                  <w14:textFill>
                    <w14:solidFill>
                      <w14:schemeClr w14:val="tx1"/>
                    </w14:solidFill>
                  </w14:textFill>
                </w:rPr>
                <w:t>4,500,000,000.00</w:t>
              </w:r>
              <w:r>
                <w:rPr>
                  <w:rFonts w:hint="eastAsia" w:cs="Arial" w:asciiTheme="minorEastAsia" w:hAnsiTheme="minorEastAsia" w:eastAsiaTheme="minorEastAsia"/>
                  <w:color w:val="000000" w:themeColor="text1"/>
                  <w14:textFill>
                    <w14:solidFill>
                      <w14:schemeClr w14:val="tx1"/>
                    </w14:solidFill>
                  </w14:textFill>
                </w:rPr>
                <w:t>元，本集团已在中国证券监督管理委员会注册但尚未发行的有效期限为一年以上的绿色公司债券的额度为人民币</w:t>
              </w:r>
              <w:r>
                <w:rPr>
                  <w:rFonts w:cs="Arial" w:asciiTheme="minorEastAsia" w:hAnsiTheme="minorEastAsia" w:eastAsiaTheme="minorEastAsia"/>
                  <w:color w:val="000000" w:themeColor="text1"/>
                  <w14:textFill>
                    <w14:solidFill>
                      <w14:schemeClr w14:val="tx1"/>
                    </w14:solidFill>
                  </w14:textFill>
                </w:rPr>
                <w:t>1,000,000,000.00</w:t>
              </w:r>
              <w:r>
                <w:rPr>
                  <w:rFonts w:hint="eastAsia" w:cs="Arial" w:asciiTheme="minorEastAsia" w:hAnsiTheme="minorEastAsia" w:eastAsiaTheme="minorEastAsia"/>
                  <w:color w:val="000000" w:themeColor="text1"/>
                  <w14:textFill>
                    <w14:solidFill>
                      <w14:schemeClr w14:val="tx1"/>
                    </w14:solidFill>
                  </w14:textFill>
                </w:rPr>
                <w:t>元。本公司管理层认为通过以上信贷额度可以维持本集团的继续经营，因此本财务报表系在持续经营假设的基础上编制。</w:t>
              </w:r>
            </w:p>
          </w:sdtContent>
        </w:sdt>
      </w:sdtContent>
    </w:sdt>
    <w:p>
      <w:pPr>
        <w:pStyle w:val="114"/>
      </w:pPr>
    </w:p>
    <w:p>
      <w:pPr>
        <w:pStyle w:val="3"/>
        <w:numPr>
          <w:ilvl w:val="0"/>
          <w:numId w:val="38"/>
        </w:numPr>
        <w:ind w:left="422" w:hanging="422"/>
        <w:rPr>
          <w:rFonts w:ascii="宋体" w:hAnsi="宋体"/>
        </w:rPr>
      </w:pPr>
      <w:r>
        <w:rPr>
          <w:rFonts w:hint="eastAsia" w:ascii="宋体" w:hAnsi="宋体"/>
        </w:rPr>
        <w:t>重</w:t>
      </w:r>
      <w:r>
        <w:rPr>
          <w:rFonts w:ascii="宋体" w:hAnsi="宋体"/>
        </w:rPr>
        <w:t>要会计政策</w:t>
      </w:r>
      <w:r>
        <w:rPr>
          <w:rFonts w:hint="eastAsia" w:ascii="宋体" w:hAnsi="宋体"/>
        </w:rPr>
        <w:t>及</w:t>
      </w:r>
      <w:r>
        <w:rPr>
          <w:rFonts w:ascii="宋体" w:hAnsi="宋体"/>
        </w:rPr>
        <w:t>会计估计</w:t>
      </w:r>
    </w:p>
    <w:sdt>
      <w:sdtPr>
        <w:alias w:val="模块:具体会计政策和会计估计提示"/>
        <w:tag w:val="_GBC_03d97fea34d045cb980749ccc6860a5a"/>
        <w:id w:val="271526922"/>
        <w:lock w:val="sdtLocked"/>
        <w:placeholder>
          <w:docPart w:val="GBC22222222222222222222222222222"/>
        </w:placeholder>
      </w:sdtPr>
      <w:sdtContent>
        <w:p>
          <w:pPr>
            <w:pStyle w:val="114"/>
          </w:pPr>
          <w:r>
            <w:rPr>
              <w:rFonts w:hint="eastAsia"/>
            </w:rPr>
            <w:t>具体会计政策和会计估计提示：</w:t>
          </w:r>
        </w:p>
        <w:sdt>
          <w:sdtPr>
            <w:alias w:val="是否适用：具体会计政策和会计估计提示[双击切换]"/>
            <w:tag w:val="_GBC_77c62823e3884e1fbfb236cea1f9f425"/>
            <w:id w:val="38761745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875273870"/>
            <w:lock w:val="sdtLocked"/>
            <w:placeholder>
              <w:docPart w:val="GBC22222222222222222222222222222"/>
            </w:placeholder>
          </w:sdtPr>
          <w:sdtContent>
            <w:p>
              <w:pPr>
                <w:pStyle w:val="114"/>
              </w:pPr>
              <w:r>
                <w:rPr>
                  <w:rFonts w:hint="eastAsia"/>
                </w:rPr>
                <w:t>本集团主要经营业务为收费公路运营，故高速公路特许经营权摊销的会计政策是根据高速公路行业经营特点制定的，具体参见相关附注五、</w:t>
              </w:r>
              <w:r>
                <w:t>29。</w:t>
              </w:r>
            </w:p>
          </w:sdtContent>
        </w:sdt>
      </w:sdtContent>
    </w:sdt>
    <w:p>
      <w:pPr>
        <w:pStyle w:val="114"/>
      </w:pPr>
    </w:p>
    <w:sdt>
      <w:sdtPr>
        <w:rPr>
          <w:rFonts w:ascii="宋体" w:hAnsi="宋体" w:cs="宋体"/>
          <w:b w:val="0"/>
          <w:bCs w:val="0"/>
          <w:kern w:val="0"/>
          <w:szCs w:val="22"/>
        </w:rPr>
        <w:alias w:val="模块:遵循企业会计准则的声明"/>
        <w:tag w:val="_GBC_a0afbb5b3a444bce84ee78a2a282cb28"/>
        <w:id w:val="1883835738"/>
        <w:lock w:val="sdtLocked"/>
        <w:placeholder>
          <w:docPart w:val="GBC22222222222222222222222222222"/>
        </w:placeholder>
      </w:sdtPr>
      <w:sdtEndPr>
        <w:rPr>
          <w:rFonts w:hint="eastAsia" w:cs="Times New Roman" w:asciiTheme="minorEastAsia" w:hAnsiTheme="minorEastAsia" w:eastAsiaTheme="minorEastAsia"/>
          <w:b w:val="0"/>
          <w:bCs w:val="0"/>
          <w:kern w:val="2"/>
          <w:szCs w:val="21"/>
        </w:rPr>
      </w:sdtEndPr>
      <w:sdtContent>
        <w:p>
          <w:pPr>
            <w:pStyle w:val="4"/>
            <w:numPr>
              <w:ilvl w:val="0"/>
              <w:numId w:val="41"/>
            </w:numPr>
            <w:rPr>
              <w:rFonts w:ascii="宋体" w:hAnsi="宋体"/>
            </w:rPr>
          </w:pPr>
          <w:r>
            <w:rPr>
              <w:rFonts w:ascii="宋体" w:hAnsi="宋体"/>
            </w:rPr>
            <w:t>遵循企业会计准则的声明</w:t>
          </w:r>
        </w:p>
        <w:sdt>
          <w:sdtPr>
            <w:rPr>
              <w:rFonts w:hint="eastAsia" w:asciiTheme="minorEastAsia" w:hAnsiTheme="minorEastAsia" w:eastAsiaTheme="minorEastAsia"/>
            </w:rPr>
            <w:alias w:val="会计准则和会计制度"/>
            <w:tag w:val="_GBC_a350b889163a4ef3bb500c021e6a6b47"/>
            <w:id w:val="-698857746"/>
            <w:lock w:val="sdtLocked"/>
            <w:placeholder>
              <w:docPart w:val="GBC22222222222222222222222222222"/>
            </w:placeholder>
          </w:sdtPr>
          <w:sdtEndPr>
            <w:rPr>
              <w:rFonts w:hint="eastAsia" w:asciiTheme="minorEastAsia" w:hAnsiTheme="minorEastAsia" w:eastAsiaTheme="minorEastAsia"/>
            </w:rPr>
          </w:sdtEndPr>
          <w:sdtContent>
            <w:p>
              <w:pPr>
                <w:overflowPunct w:val="0"/>
                <w:adjustRightInd w:val="0"/>
                <w:snapToGrid w:val="0"/>
                <w:jc w:val="both"/>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iCs/>
                  <w:color w:val="000000" w:themeColor="text1"/>
                  <w14:textFill>
                    <w14:solidFill>
                      <w14:schemeClr w14:val="tx1"/>
                    </w14:solidFill>
                  </w14:textFill>
                </w:rPr>
                <w:t>本财务报表符合财政部颁布的</w:t>
              </w:r>
              <w:r>
                <w:rPr>
                  <w:rFonts w:hint="eastAsia" w:cs="Arial" w:asciiTheme="minorEastAsia" w:hAnsiTheme="minorEastAsia" w:eastAsiaTheme="minorEastAsia"/>
                  <w:iCs/>
                  <w:color w:val="000000" w:themeColor="text1"/>
                  <w:kern w:val="2"/>
                  <w14:textFill>
                    <w14:solidFill>
                      <w14:schemeClr w14:val="tx1"/>
                    </w14:solidFill>
                  </w14:textFill>
                </w:rPr>
                <w:t>企业会计准则</w:t>
              </w:r>
              <w:r>
                <w:rPr>
                  <w:rFonts w:hint="eastAsia" w:cs="Arial" w:asciiTheme="minorEastAsia" w:hAnsiTheme="minorEastAsia" w:eastAsiaTheme="minorEastAsia"/>
                  <w:iCs/>
                  <w:color w:val="000000" w:themeColor="text1"/>
                  <w14:textFill>
                    <w14:solidFill>
                      <w14:schemeClr w14:val="tx1"/>
                    </w14:solidFill>
                  </w14:textFill>
                </w:rPr>
                <w:t>的要求，真实、完整地反映了本公司</w:t>
              </w:r>
              <w:r>
                <w:rPr>
                  <w:rFonts w:cs="Arial" w:asciiTheme="minorEastAsia" w:hAnsiTheme="minorEastAsia" w:eastAsiaTheme="minorEastAsia"/>
                  <w:iCs/>
                  <w:color w:val="000000" w:themeColor="text1"/>
                  <w:kern w:val="2"/>
                  <w14:textFill>
                    <w14:solidFill>
                      <w14:schemeClr w14:val="tx1"/>
                    </w14:solidFill>
                  </w14:textFill>
                </w:rPr>
                <w:t>2023</w:t>
              </w:r>
              <w:r>
                <w:rPr>
                  <w:rFonts w:hint="eastAsia" w:cs="Arial" w:asciiTheme="minorEastAsia" w:hAnsiTheme="minorEastAsia" w:eastAsiaTheme="minorEastAsia"/>
                  <w:iCs/>
                  <w:color w:val="000000" w:themeColor="text1"/>
                  <w:kern w:val="2"/>
                  <w14:textFill>
                    <w14:solidFill>
                      <w14:schemeClr w14:val="tx1"/>
                    </w14:solidFill>
                  </w14:textFill>
                </w:rPr>
                <w:t>年</w:t>
              </w:r>
              <w:r>
                <w:rPr>
                  <w:rFonts w:cs="Arial" w:asciiTheme="minorEastAsia" w:hAnsiTheme="minorEastAsia" w:eastAsiaTheme="minorEastAsia"/>
                  <w:iCs/>
                  <w:color w:val="000000" w:themeColor="text1"/>
                  <w:kern w:val="2"/>
                  <w14:textFill>
                    <w14:solidFill>
                      <w14:schemeClr w14:val="tx1"/>
                    </w14:solidFill>
                  </w14:textFill>
                </w:rPr>
                <w:t>6</w:t>
              </w:r>
              <w:r>
                <w:rPr>
                  <w:rFonts w:hint="eastAsia" w:cs="Arial" w:asciiTheme="minorEastAsia" w:hAnsiTheme="minorEastAsia" w:eastAsiaTheme="minorEastAsia"/>
                  <w:iCs/>
                  <w:color w:val="000000" w:themeColor="text1"/>
                  <w:kern w:val="2"/>
                  <w14:textFill>
                    <w14:solidFill>
                      <w14:schemeClr w14:val="tx1"/>
                    </w14:solidFill>
                  </w14:textFill>
                </w:rPr>
                <w:t>月</w:t>
              </w:r>
              <w:r>
                <w:rPr>
                  <w:rFonts w:cs="Arial" w:asciiTheme="minorEastAsia" w:hAnsiTheme="minorEastAsia" w:eastAsiaTheme="minorEastAsia"/>
                  <w:iCs/>
                  <w:color w:val="000000" w:themeColor="text1"/>
                  <w:kern w:val="2"/>
                  <w14:textFill>
                    <w14:solidFill>
                      <w14:schemeClr w14:val="tx1"/>
                    </w14:solidFill>
                  </w14:textFill>
                </w:rPr>
                <w:t>30</w:t>
              </w:r>
              <w:r>
                <w:rPr>
                  <w:rFonts w:hint="eastAsia" w:cs="Arial" w:asciiTheme="minorEastAsia" w:hAnsiTheme="minorEastAsia" w:eastAsiaTheme="minorEastAsia"/>
                  <w:iCs/>
                  <w:color w:val="000000" w:themeColor="text1"/>
                  <w:kern w:val="2"/>
                  <w14:textFill>
                    <w14:solidFill>
                      <w14:schemeClr w14:val="tx1"/>
                    </w14:solidFill>
                  </w14:textFill>
                </w:rPr>
                <w:t>日</w:t>
              </w:r>
              <w:r>
                <w:rPr>
                  <w:rFonts w:hint="eastAsia" w:cs="Arial" w:asciiTheme="minorEastAsia" w:hAnsiTheme="minorEastAsia" w:eastAsiaTheme="minorEastAsia"/>
                  <w:iCs/>
                  <w:color w:val="000000" w:themeColor="text1"/>
                  <w14:textFill>
                    <w14:solidFill>
                      <w14:schemeClr w14:val="tx1"/>
                    </w14:solidFill>
                  </w14:textFill>
                </w:rPr>
                <w:t>的</w:t>
              </w:r>
              <w:r>
                <w:rPr>
                  <w:rFonts w:hint="eastAsia" w:cs="Arial" w:asciiTheme="minorEastAsia" w:hAnsiTheme="minorEastAsia" w:eastAsiaTheme="minorEastAsia"/>
                  <w:color w:val="000000" w:themeColor="text1"/>
                  <w14:textFill>
                    <w14:solidFill>
                      <w14:schemeClr w14:val="tx1"/>
                    </w14:solidFill>
                  </w14:textFill>
                </w:rPr>
                <w:t>合并财务状况和财务状况、</w:t>
              </w:r>
              <w:r>
                <w:rPr>
                  <w:rFonts w:cs="Arial" w:asciiTheme="minorEastAsia" w:hAnsiTheme="minorEastAsia" w:eastAsiaTheme="minorEastAsia"/>
                  <w:color w:val="000000" w:themeColor="text1"/>
                  <w:kern w:val="2"/>
                  <w14:textFill>
                    <w14:solidFill>
                      <w14:schemeClr w14:val="tx1"/>
                    </w14:solidFill>
                  </w14:textFill>
                </w:rPr>
                <w:t>2023</w:t>
              </w:r>
              <w:r>
                <w:rPr>
                  <w:rFonts w:hint="eastAsia" w:cs="Arial" w:asciiTheme="minorEastAsia" w:hAnsiTheme="minorEastAsia" w:eastAsiaTheme="minorEastAsia"/>
                  <w:color w:val="000000" w:themeColor="text1"/>
                  <w:kern w:val="2"/>
                  <w14:textFill>
                    <w14:solidFill>
                      <w14:schemeClr w14:val="tx1"/>
                    </w14:solidFill>
                  </w14:textFill>
                </w:rPr>
                <w:t>年上半年度的</w:t>
              </w:r>
              <w:r>
                <w:rPr>
                  <w:rFonts w:hint="eastAsia" w:cs="Arial" w:asciiTheme="minorEastAsia" w:hAnsiTheme="minorEastAsia" w:eastAsiaTheme="minorEastAsia"/>
                  <w:color w:val="000000" w:themeColor="text1"/>
                  <w14:textFill>
                    <w14:solidFill>
                      <w14:schemeClr w14:val="tx1"/>
                    </w14:solidFill>
                  </w14:textFill>
                </w:rPr>
                <w:t>合并经营成果和经营成果及合并现金流量和现金流量。</w:t>
              </w:r>
            </w:p>
            <w:p>
              <w:pPr>
                <w:overflowPunct w:val="0"/>
                <w:adjustRightInd w:val="0"/>
                <w:snapToGrid w:val="0"/>
                <w:jc w:val="both"/>
                <w:rPr>
                  <w:rFonts w:cs="Arial" w:asciiTheme="minorEastAsia" w:hAnsiTheme="minorEastAsia" w:eastAsiaTheme="minorEastAsia"/>
                  <w:color w:val="000000" w:themeColor="text1"/>
                  <w14:textFill>
                    <w14:solidFill>
                      <w14:schemeClr w14:val="tx1"/>
                    </w14:solidFill>
                  </w14:textFill>
                </w:rPr>
              </w:pPr>
            </w:p>
            <w:p>
              <w:pPr>
                <w:overflowPunct w:val="0"/>
                <w:adjustRightInd w:val="0"/>
                <w:snapToGrid w:val="0"/>
                <w:jc w:val="both"/>
                <w:rPr>
                  <w:rFonts w:cs="Arial" w:asciiTheme="minorEastAsia" w:hAnsiTheme="minorEastAsia" w:eastAsiaTheme="minorEastAsia"/>
                  <w:iCs/>
                  <w:color w:val="000000" w:themeColor="text1"/>
                  <w14:textFill>
                    <w14:solidFill>
                      <w14:schemeClr w14:val="tx1"/>
                    </w14:solidFill>
                  </w14:textFill>
                </w:rPr>
              </w:pPr>
              <w:r>
                <w:rPr>
                  <w:rFonts w:hint="eastAsia" w:cs="Arial" w:asciiTheme="minorEastAsia" w:hAnsiTheme="minorEastAsia" w:eastAsiaTheme="minorEastAsia"/>
                  <w:iCs/>
                  <w:color w:val="000000" w:themeColor="text1"/>
                  <w14:textFill>
                    <w14:solidFill>
                      <w14:schemeClr w14:val="tx1"/>
                    </w14:solidFill>
                  </w14:textFill>
                </w:rPr>
                <w:t>本公司的财务报表同时符合中国证券监督管理委员会（以下简称“证监会”）</w:t>
              </w:r>
              <w:r>
                <w:rPr>
                  <w:rFonts w:cs="Arial" w:asciiTheme="minorEastAsia" w:hAnsiTheme="minorEastAsia" w:eastAsiaTheme="minorEastAsia"/>
                  <w:iCs/>
                  <w:color w:val="000000" w:themeColor="text1"/>
                  <w14:textFill>
                    <w14:solidFill>
                      <w14:schemeClr w14:val="tx1"/>
                    </w14:solidFill>
                  </w14:textFill>
                </w:rPr>
                <w:t>2014</w:t>
              </w:r>
              <w:r>
                <w:rPr>
                  <w:rFonts w:hint="eastAsia" w:cs="Arial" w:asciiTheme="minorEastAsia" w:hAnsiTheme="minorEastAsia" w:eastAsiaTheme="minorEastAsia"/>
                  <w:iCs/>
                  <w:color w:val="000000" w:themeColor="text1"/>
                  <w14:textFill>
                    <w14:solidFill>
                      <w14:schemeClr w14:val="tx1"/>
                    </w14:solidFill>
                  </w14:textFill>
                </w:rPr>
                <w:t>年修订的《公开发行证券的公司信息披露编报规则第</w:t>
              </w:r>
              <w:r>
                <w:rPr>
                  <w:rFonts w:cs="Arial" w:asciiTheme="minorEastAsia" w:hAnsiTheme="minorEastAsia" w:eastAsiaTheme="minorEastAsia"/>
                  <w:iCs/>
                  <w:color w:val="000000" w:themeColor="text1"/>
                  <w14:textFill>
                    <w14:solidFill>
                      <w14:schemeClr w14:val="tx1"/>
                    </w14:solidFill>
                  </w14:textFill>
                </w:rPr>
                <w:t>15</w:t>
              </w:r>
              <w:r>
                <w:rPr>
                  <w:rFonts w:hint="eastAsia" w:cs="Arial" w:asciiTheme="minorEastAsia" w:hAnsiTheme="minorEastAsia" w:eastAsiaTheme="minorEastAsia"/>
                  <w:iCs/>
                  <w:color w:val="000000" w:themeColor="text1"/>
                  <w14:textFill>
                    <w14:solidFill>
                      <w14:schemeClr w14:val="tx1"/>
                    </w14:solidFill>
                  </w14:textFill>
                </w:rPr>
                <w:t>号——财务报告的一般规定》有关财务报表及其附注的披露要求。此外，本财务报表还包括按照香港《公司条例》和联交所《上市规则》所要求之相关披露。</w:t>
              </w:r>
            </w:p>
            <w:p>
              <w:pPr>
                <w:rPr>
                  <w:rFonts w:asciiTheme="minorEastAsia" w:hAnsiTheme="minorEastAsia" w:eastAsiaTheme="minorEastAsia"/>
                </w:rPr>
              </w:pPr>
            </w:p>
          </w:sdtContent>
        </w:sdt>
      </w:sdtContent>
    </w:sdt>
    <w:p>
      <w:pPr>
        <w:pStyle w:val="114"/>
      </w:pPr>
    </w:p>
    <w:sdt>
      <w:sdtPr>
        <w:rPr>
          <w:rFonts w:ascii="宋体" w:hAnsi="宋体" w:cs="宋体"/>
          <w:b w:val="0"/>
          <w:bCs w:val="0"/>
          <w:kern w:val="0"/>
          <w:szCs w:val="24"/>
        </w:rPr>
        <w:alias w:val="模块:会计期间"/>
        <w:tag w:val="_GBC_2d7f332501c8461ea731797db5588ee5"/>
        <w:id w:val="-172636878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会计期间</w:t>
          </w:r>
        </w:p>
        <w:sdt>
          <w:sdtPr>
            <w:rPr>
              <w:rFonts w:hint="eastAsia"/>
            </w:rPr>
            <w:alias w:val="会计年度"/>
            <w:tag w:val="_GBC_fc896fba50b143f8a06984831f5d5600"/>
            <w:id w:val="-2006504706"/>
            <w:lock w:val="sdtLocked"/>
            <w:placeholder>
              <w:docPart w:val="GBC22222222222222222222222222222"/>
            </w:placeholder>
          </w:sdtPr>
          <w:sdtEndPr>
            <w:rPr>
              <w:rFonts w:hint="eastAsia"/>
            </w:rPr>
          </w:sdtEndPr>
          <w:sdtContent>
            <w:p>
              <w:pPr>
                <w:pStyle w:val="114"/>
              </w:pPr>
              <w:r>
                <w:t>本公司会计年度自公历1月1日起至12月31日止。</w:t>
              </w:r>
            </w:p>
          </w:sdtContent>
        </w:sdt>
      </w:sdtContent>
    </w:sdt>
    <w:p>
      <w:pPr>
        <w:pStyle w:val="114"/>
      </w:pPr>
    </w:p>
    <w:sdt>
      <w:sdtPr>
        <w:rPr>
          <w:rFonts w:hint="eastAsia" w:ascii="宋体" w:hAnsi="宋体" w:cs="宋体"/>
          <w:b w:val="0"/>
          <w:bCs w:val="0"/>
          <w:kern w:val="0"/>
          <w:szCs w:val="22"/>
        </w:rPr>
        <w:alias w:val="模块:营业周期"/>
        <w:tag w:val="_GBC_b045784ca7904d52a060134ffec0d88c"/>
        <w:id w:val="1653099554"/>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hint="eastAsia" w:ascii="宋体" w:hAnsi="宋体"/>
            </w:rPr>
            <w:t>营业周期</w:t>
          </w:r>
        </w:p>
        <w:sdt>
          <w:sdtPr>
            <w:alias w:val="是否适用：营业周期[双击切换]"/>
            <w:tag w:val="_GBC_1668f7f497234cf886206b57711c4c87"/>
            <w:id w:val="207500475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营业周期"/>
            <w:tag w:val="_GBC_e145e43187d9463889884f48e9e0b234"/>
            <w:id w:val="359399177"/>
            <w:lock w:val="sdtLocked"/>
            <w:placeholder>
              <w:docPart w:val="GBC22222222222222222222222222222"/>
            </w:placeholder>
          </w:sdtPr>
          <w:sdtContent>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本公司将从购买用于加工的资产起至实现现金或现金等价物的期间作为正常营业周期。除房地产行业外，本集团以</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个月作为一个营业周期，并以其作为资产和负债的流动性划分标准。房地产行业的营业周期从房产开发至销售变现，具体周期根据开发项目情况确定，以营业周期作为资产和负债的流动性划分标准，该营业周期通常大于</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个月。</w:t>
              </w:r>
            </w:p>
            <w:p>
              <w:pPr>
                <w:pStyle w:val="114"/>
              </w:pPr>
            </w:p>
          </w:sdtContent>
        </w:sdt>
      </w:sdtContent>
    </w:sdt>
    <w:p>
      <w:pPr>
        <w:pStyle w:val="114"/>
      </w:pPr>
    </w:p>
    <w:sdt>
      <w:sdtPr>
        <w:rPr>
          <w:rFonts w:ascii="宋体" w:hAnsi="宋体" w:cs="宋体"/>
          <w:b w:val="0"/>
          <w:bCs w:val="0"/>
          <w:kern w:val="0"/>
          <w:szCs w:val="22"/>
        </w:rPr>
        <w:alias w:val="模块:记账本位币"/>
        <w:tag w:val="_GBC_13b1061968754e20bebf2099281ed54f"/>
        <w:id w:val="-1389557007"/>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记账本位币</w:t>
          </w:r>
        </w:p>
        <w:sdt>
          <w:sdtPr>
            <w:rPr>
              <w:rFonts w:hint="eastAsia"/>
            </w:rPr>
            <w:alias w:val="记账本位币"/>
            <w:tag w:val="_GBC_3749a2357eba44e8b968cb41cda75ff1"/>
            <w:id w:val="431477508"/>
            <w:lock w:val="sdtLocked"/>
            <w:placeholder>
              <w:docPart w:val="GBC22222222222222222222222222222"/>
            </w:placeholder>
          </w:sdtPr>
          <w:sdtEndPr>
            <w:rPr>
              <w:rFonts w:hint="eastAsia"/>
            </w:rPr>
          </w:sdtEndPr>
          <w:sdtContent>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本公司的记账本位币为人民币，编制财务报表采用的货币为人民币。本公司及子公司选定记账本位币的依据是主要业务收支的计价和结算币种。</w:t>
              </w:r>
            </w:p>
            <w:p>
              <w:pPr>
                <w:pStyle w:val="114"/>
              </w:pPr>
            </w:p>
          </w:sdtContent>
        </w:sdt>
        <w:p>
          <w:pPr>
            <w:pStyle w:val="114"/>
          </w:pPr>
        </w:p>
      </w:sdtContent>
    </w:sdt>
    <w:sdt>
      <w:sdtPr>
        <w:rPr>
          <w:rFonts w:ascii="宋体" w:hAnsi="宋体" w:cs="宋体"/>
          <w:b w:val="0"/>
          <w:bCs w:val="0"/>
          <w:kern w:val="0"/>
          <w:szCs w:val="22"/>
        </w:rPr>
        <w:alias w:val="模块:同一控制下和非同一控制下企业合并的会计处理方法"/>
        <w:tag w:val="_GBC_f44e1e76b2a3457ea36bc088adcbb4c3"/>
        <w:id w:val="-1061091691"/>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同一控制下和非同一控制下企业合并的会计处理方法</w:t>
          </w:r>
        </w:p>
        <w:sdt>
          <w:sdtPr>
            <w:rPr>
              <w:rFonts w:hint="eastAsia"/>
            </w:rPr>
            <w:alias w:val="是否适用：同一控制下和非同一控制下企业合并的会计处理方法[双击切换]"/>
            <w:tag w:val="_GBC_15953b39483a4ce1a5c96869e4a0ae9c"/>
            <w:id w:val="22326176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Theme="minorEastAsia" w:hAnsiTheme="minorEastAsia" w:eastAsiaTheme="minorEastAsia"/>
            </w:rPr>
            <w:alias w:val="同一控制下和非同一控制下企业合并的会计处理方法"/>
            <w:tag w:val="_GBC_ef4b9a8d4ac34f45a0f61a23267bcbb8"/>
            <w:id w:val="1448041412"/>
            <w:lock w:val="sdtLocked"/>
            <w:placeholder>
              <w:docPart w:val="GBC22222222222222222222222222222"/>
            </w:placeholder>
          </w:sdtPr>
          <w:sdtEndPr>
            <w:rPr>
              <w:rFonts w:hint="eastAsia" w:ascii="宋体" w:hAnsi="宋体" w:eastAsia="宋体"/>
            </w:rPr>
          </w:sdtEndPr>
          <w:sdtContent>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bookmarkStart w:id="110" w:name="_Toc53670855"/>
              <w:r>
                <w:rPr>
                  <w:rFonts w:hint="eastAsia" w:cs="Arial" w:asciiTheme="minorEastAsia" w:hAnsiTheme="minorEastAsia" w:eastAsiaTheme="minorEastAsia"/>
                  <w:color w:val="000000" w:themeColor="text1"/>
                  <w:kern w:val="2"/>
                  <w14:textFill>
                    <w14:solidFill>
                      <w14:schemeClr w14:val="tx1"/>
                    </w14:solidFill>
                  </w14:textFill>
                </w:rPr>
                <w:t>本集团取得对另一个或多个企业</w:t>
              </w:r>
              <w:r>
                <w:rPr>
                  <w:rFonts w:cs="Arial" w:asciiTheme="minorEastAsia" w:hAnsiTheme="minorEastAsia" w:eastAsiaTheme="minorEastAsia"/>
                  <w:color w:val="000000" w:themeColor="text1"/>
                  <w:kern w:val="2"/>
                  <w14:textFill>
                    <w14:solidFill>
                      <w14:schemeClr w14:val="tx1"/>
                    </w14:solidFill>
                  </w14:textFill>
                </w:rPr>
                <w:t xml:space="preserve"> (</w:t>
              </w:r>
              <w:r>
                <w:rPr>
                  <w:rFonts w:hint="eastAsia" w:cs="Arial" w:asciiTheme="minorEastAsia" w:hAnsiTheme="minorEastAsia" w:eastAsiaTheme="minorEastAsia"/>
                  <w:color w:val="000000" w:themeColor="text1"/>
                  <w:kern w:val="2"/>
                  <w14:textFill>
                    <w14:solidFill>
                      <w14:schemeClr w14:val="tx1"/>
                    </w14:solidFill>
                  </w14:textFill>
                </w:rPr>
                <w:t>或一组资产或净资产</w:t>
              </w:r>
              <w:r>
                <w:rPr>
                  <w:rFonts w:cs="Arial" w:asciiTheme="minorEastAsia" w:hAnsiTheme="minorEastAsia" w:eastAsiaTheme="minorEastAsia"/>
                  <w:color w:val="000000" w:themeColor="text1"/>
                  <w:kern w:val="2"/>
                  <w14:textFill>
                    <w14:solidFill>
                      <w14:schemeClr w14:val="tx1"/>
                    </w14:solidFill>
                  </w14:textFill>
                </w:rPr>
                <w:t xml:space="preserve">) </w:t>
              </w:r>
              <w:bookmarkEnd w:id="110"/>
              <w:r>
                <w:rPr>
                  <w:rFonts w:hint="eastAsia" w:cs="Arial" w:asciiTheme="minorEastAsia" w:hAnsiTheme="minorEastAsia" w:eastAsiaTheme="minorEastAsia"/>
                  <w:color w:val="000000" w:themeColor="text1"/>
                  <w:kern w:val="2"/>
                  <w14:textFill>
                    <w14:solidFill>
                      <w14:schemeClr w14:val="tx1"/>
                    </w14:solidFill>
                  </w14:textFill>
                </w:rPr>
                <w:t>的控制权且其构成业务的，该交易或事项构成企业合并。企业合并分为同一控制下的企业合并和非同一控制下的企业合并。</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bookmarkStart w:id="111" w:name="_Toc53670856"/>
              <w:r>
                <w:rPr>
                  <w:rFonts w:hint="eastAsia" w:cs="Arial" w:asciiTheme="minorEastAsia" w:hAnsiTheme="minorEastAsia" w:eastAsiaTheme="minorEastAsia"/>
                  <w:color w:val="000000" w:themeColor="text1"/>
                  <w:kern w:val="2"/>
                  <w14:textFill>
                    <w14:solidFill>
                      <w14:schemeClr w14:val="tx1"/>
                    </w14:solidFill>
                  </w14:textFill>
                </w:rPr>
                <w:t>对于非同一控制下的交易，购买方在判断取得的资产组合等是否构成一项业务时，将考虑是否选择采用“集中度测试”的简化判断方式。</w:t>
              </w:r>
              <w:bookmarkEnd w:id="111"/>
              <w:r>
                <w:rPr>
                  <w:rFonts w:hint="eastAsia" w:cs="Arial" w:asciiTheme="minorEastAsia" w:hAnsiTheme="minorEastAsia" w:eastAsiaTheme="minorEastAsia"/>
                  <w:color w:val="000000" w:themeColor="text1"/>
                  <w:kern w:val="2"/>
                  <w14:textFill>
                    <w14:solidFill>
                      <w14:schemeClr w14:val="tx1"/>
                    </w14:solidFill>
                  </w14:textFill>
                </w:rPr>
                <w:t>如果该组合通过集中度测试，则判断为不构成业务。如果该组合未通过集中度测试，仍应按照业务条件进行判断。</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当本集团取得了不构成业务的一组资产或净资产时，应将购买成本按购买日所取得各项可辨认资产、负债的相对公允价值基础进行分配，不按照以下企业合并的会计处理方法进行处理。</w:t>
              </w:r>
            </w:p>
            <w:p>
              <w:pPr>
                <w:overflowPunct w:val="0"/>
                <w:adjustRightInd w:val="0"/>
                <w:snapToGrid w:val="0"/>
                <w:rPr>
                  <w:rFonts w:cs="Arial" w:asciiTheme="minorEastAsia" w:hAnsiTheme="minorEastAsia" w:eastAsiaTheme="minorEastAsia"/>
                  <w:color w:val="000000" w:themeColor="text1"/>
                  <w:kern w:val="2"/>
                  <w14:textFill>
                    <w14:solidFill>
                      <w14:schemeClr w14:val="tx1"/>
                    </w14:solidFill>
                  </w14:textFill>
                </w:rPr>
              </w:pPr>
            </w:p>
            <w:p>
              <w:pPr>
                <w:tabs>
                  <w:tab w:val="left" w:pos="566"/>
                </w:tabs>
                <w:overflowPunct w:val="0"/>
                <w:adjustRightInd w:val="0"/>
                <w:snapToGrid w:val="0"/>
                <w:ind w:hanging="851"/>
                <w:jc w:val="both"/>
                <w:rPr>
                  <w:rFonts w:cs="Arial" w:asciiTheme="minorEastAsia" w:hAnsiTheme="minorEastAsia" w:eastAsiaTheme="minorEastAsia"/>
                  <w:color w:val="000000" w:themeColor="text1"/>
                  <w:kern w:val="2"/>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 xml:space="preserve">        (1</w:t>
              </w:r>
              <w:r>
                <w:rPr>
                  <w:rFonts w:hint="eastAsia" w:cs="Arial" w:asciiTheme="minorEastAsia" w:hAnsiTheme="minorEastAsia" w:eastAsiaTheme="minorEastAsia"/>
                  <w:color w:val="000000" w:themeColor="text1"/>
                  <w:kern w:val="2"/>
                  <w14:textFill>
                    <w14:solidFill>
                      <w14:schemeClr w14:val="tx1"/>
                    </w14:solidFill>
                  </w14:textFill>
                </w:rPr>
                <w:t>) 同一控制下的企业合并</w:t>
              </w:r>
            </w:p>
            <w:p>
              <w:pPr>
                <w:overflowPunct w:val="0"/>
                <w:adjustRightInd w:val="0"/>
                <w:snapToGrid w:val="0"/>
                <w:ind w:left="720"/>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参与合并的企业在合并前后均受同一方或相同的多方最终控制且该控制并非暂时性的，为同一控制下的企业合并。合并方在企业合并中取得的资产和负债，按照合并日在最终控制方合并财务报表中的账面价值计量。取得的净资产账面价值与支付的合并对价账面价值</w:t>
              </w:r>
              <w:r>
                <w:rPr>
                  <w:rFonts w:cs="Arial" w:asciiTheme="minorEastAsia" w:hAnsiTheme="minorEastAsia" w:eastAsiaTheme="minorEastAsia"/>
                  <w:color w:val="000000" w:themeColor="text1"/>
                  <w:kern w:val="2"/>
                  <w14:textFill>
                    <w14:solidFill>
                      <w14:schemeClr w14:val="tx1"/>
                    </w14:solidFill>
                  </w14:textFill>
                </w:rPr>
                <w:t xml:space="preserve"> (</w:t>
              </w:r>
              <w:r>
                <w:rPr>
                  <w:rFonts w:hint="eastAsia" w:cs="Arial" w:asciiTheme="minorEastAsia" w:hAnsiTheme="minorEastAsia" w:eastAsiaTheme="minorEastAsia"/>
                  <w:color w:val="000000" w:themeColor="text1"/>
                  <w:kern w:val="2"/>
                  <w14:textFill>
                    <w14:solidFill>
                      <w14:schemeClr w14:val="tx1"/>
                    </w14:solidFill>
                  </w14:textFill>
                </w:rPr>
                <w:t>或发行股份面值总额</w:t>
              </w:r>
              <w:r>
                <w:rPr>
                  <w:rFonts w:cs="Arial" w:asciiTheme="minorEastAsia" w:hAnsiTheme="minorEastAsia" w:eastAsiaTheme="minorEastAsia"/>
                  <w:color w:val="000000" w:themeColor="text1"/>
                  <w:kern w:val="2"/>
                  <w14:textFill>
                    <w14:solidFill>
                      <w14:schemeClr w14:val="tx1"/>
                    </w14:solidFill>
                  </w14:textFill>
                </w:rPr>
                <w:t xml:space="preserve">) </w:t>
              </w:r>
              <w:r>
                <w:rPr>
                  <w:rFonts w:hint="eastAsia" w:cs="Arial" w:asciiTheme="minorEastAsia" w:hAnsiTheme="minorEastAsia" w:eastAsiaTheme="minorEastAsia"/>
                  <w:color w:val="000000" w:themeColor="text1"/>
                  <w:kern w:val="2"/>
                  <w14:textFill>
                    <w14:solidFill>
                      <w14:schemeClr w14:val="tx1"/>
                    </w14:solidFill>
                  </w14:textFill>
                </w:rPr>
                <w:t>的差额，调整资本公积中的股本溢价；资本公积中的股本溢价不足冲减的，调整留存收益。为进行企业合并发生的直接相关费用，于发生时计入当期损益。合并日为合并方实际取得对被合并方控制权的日期。</w:t>
              </w:r>
            </w:p>
            <w:p>
              <w:pPr>
                <w:rPr>
                  <w:rFonts w:cs="Arial" w:asciiTheme="minorEastAsia" w:hAnsiTheme="minorEastAsia" w:eastAsiaTheme="minorEastAsia"/>
                  <w:color w:val="000000" w:themeColor="text1"/>
                  <w:kern w:val="2"/>
                  <w14:textFill>
                    <w14:solidFill>
                      <w14:schemeClr w14:val="tx1"/>
                    </w14:solidFill>
                  </w14:textFill>
                </w:rPr>
              </w:pPr>
            </w:p>
            <w:p>
              <w:pPr>
                <w:tabs>
                  <w:tab w:val="left" w:pos="851"/>
                </w:tabs>
                <w:overflowPunct w:val="0"/>
                <w:adjustRightInd w:val="0"/>
                <w:snapToGrid w:val="0"/>
                <w:ind w:hanging="851"/>
                <w:jc w:val="both"/>
                <w:rPr>
                  <w:rFonts w:cs="Arial" w:asciiTheme="minorEastAsia" w:hAnsiTheme="minorEastAsia" w:eastAsiaTheme="minorEastAsia"/>
                  <w:color w:val="000000" w:themeColor="text1"/>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 xml:space="preserve">        (2</w:t>
              </w:r>
              <w:r>
                <w:rPr>
                  <w:rFonts w:hint="eastAsia" w:cs="Arial" w:asciiTheme="minorEastAsia" w:hAnsiTheme="minorEastAsia" w:eastAsiaTheme="minorEastAsia"/>
                  <w:color w:val="000000" w:themeColor="text1"/>
                  <w:kern w:val="2"/>
                  <w14:textFill>
                    <w14:solidFill>
                      <w14:schemeClr w14:val="tx1"/>
                    </w14:solidFill>
                  </w14:textFill>
                </w:rPr>
                <w:t>）</w:t>
              </w:r>
              <w:r>
                <w:rPr>
                  <w:rFonts w:hint="eastAsia" w:cs="Arial" w:asciiTheme="minorEastAsia" w:hAnsiTheme="minorEastAsia" w:eastAsiaTheme="minorEastAsia"/>
                  <w:color w:val="000000" w:themeColor="text1"/>
                  <w14:textFill>
                    <w14:solidFill>
                      <w14:schemeClr w14:val="tx1"/>
                    </w14:solidFill>
                  </w14:textFill>
                </w:rPr>
                <w:t>非同一控制下的企业合并</w:t>
              </w:r>
            </w:p>
            <w:p>
              <w:pPr>
                <w:overflowPunct w:val="0"/>
                <w:adjustRightInd w:val="0"/>
                <w:snapToGrid w:val="0"/>
                <w:ind w:left="720"/>
                <w:rPr>
                  <w:rFonts w:cs="Arial" w:asciiTheme="minorEastAsia" w:hAnsiTheme="minorEastAsia" w:eastAsiaTheme="minorEastAsia"/>
                  <w:color w:val="000000" w:themeColor="text1"/>
                  <w:kern w:val="2"/>
                  <w:u w:val="single"/>
                  <w14:textFill>
                    <w14:solidFill>
                      <w14:schemeClr w14:val="tx1"/>
                    </w14:solidFill>
                  </w14:textFill>
                </w:rPr>
              </w:pPr>
            </w:p>
            <w:p>
              <w:pPr>
                <w:overflowPunct w:val="0"/>
                <w:adjustRightInd w:val="0"/>
                <w:snapToGrid w:val="0"/>
                <w:jc w:val="both"/>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参与合并的各方在合并前后不受同一方或相同的多方最终控制的，为非同一控制下的企业合并。本集团作为购买方，为取得被购买方控制权而付出的资产</w:t>
              </w:r>
              <w:r>
                <w:rPr>
                  <w:rFonts w:cs="Arial" w:asciiTheme="minorEastAsia" w:hAnsiTheme="minorEastAsia" w:eastAsiaTheme="minorEastAsia"/>
                  <w:color w:val="000000" w:themeColor="text1"/>
                  <w14:textFill>
                    <w14:solidFill>
                      <w14:schemeClr w14:val="tx1"/>
                    </w14:solidFill>
                  </w14:textFill>
                </w:rPr>
                <w:t xml:space="preserve"> (</w:t>
              </w:r>
              <w:r>
                <w:rPr>
                  <w:rFonts w:hint="eastAsia" w:cs="Arial" w:asciiTheme="minorEastAsia" w:hAnsiTheme="minorEastAsia" w:eastAsiaTheme="minorEastAsia"/>
                  <w:color w:val="000000" w:themeColor="text1"/>
                  <w14:textFill>
                    <w14:solidFill>
                      <w14:schemeClr w14:val="tx1"/>
                    </w14:solidFill>
                  </w14:textFill>
                </w:rPr>
                <w:t>包括购买日之前所持有的被购买方的股权</w:t>
              </w:r>
              <w:r>
                <w:rPr>
                  <w:rFonts w:cs="Arial" w:asciiTheme="minorEastAsia" w:hAnsiTheme="minorEastAsia" w:eastAsiaTheme="minorEastAsia"/>
                  <w:color w:val="000000" w:themeColor="text1"/>
                  <w14:textFill>
                    <w14:solidFill>
                      <w14:schemeClr w14:val="tx1"/>
                    </w14:solidFill>
                  </w14:textFill>
                </w:rPr>
                <w:t xml:space="preserve">) </w:t>
              </w:r>
              <w:r>
                <w:rPr>
                  <w:rFonts w:hint="eastAsia" w:cs="Arial" w:asciiTheme="minorEastAsia" w:hAnsiTheme="minorEastAsia" w:eastAsiaTheme="minorEastAsia"/>
                  <w:color w:val="000000" w:themeColor="text1"/>
                  <w14:textFill>
                    <w14:solidFill>
                      <w14:schemeClr w14:val="tx1"/>
                    </w14:solidFill>
                  </w14:textFill>
                </w:rPr>
                <w:t>、发生或承担的负债以及发行的权益性证券在购买日的公允价值之和，减去合并中取得的被购买方可辨认净资产</w:t>
              </w:r>
              <w:r>
                <w:rPr>
                  <w:rFonts w:hint="eastAsia" w:cs="Arial" w:asciiTheme="minorEastAsia" w:hAnsiTheme="minorEastAsia" w:eastAsiaTheme="minorEastAsia"/>
                  <w:color w:val="000000" w:themeColor="text1"/>
                  <w:kern w:val="2"/>
                  <w14:textFill>
                    <w14:solidFill>
                      <w14:schemeClr w14:val="tx1"/>
                    </w14:solidFill>
                  </w14:textFill>
                </w:rPr>
                <w:t>于购买日</w:t>
              </w:r>
              <w:r>
                <w:rPr>
                  <w:rFonts w:hint="eastAsia" w:cs="Arial" w:asciiTheme="minorEastAsia" w:hAnsiTheme="minorEastAsia" w:eastAsiaTheme="minorEastAsia"/>
                  <w:color w:val="000000" w:themeColor="text1"/>
                  <w14:textFill>
                    <w14:solidFill>
                      <w14:schemeClr w14:val="tx1"/>
                    </w14:solidFill>
                  </w14:textFill>
                </w:rPr>
                <w:t>公允价值份额的差额，如为正数则确认为商誉；如为负数则计入当期损益。本集团将作为合并对价发行的权益性证券或债务性证券的交易费用，计入权益性证券或债务性证券的初始确认金额。本集团为进行企业合并发生的其他各项直接费用计入当期损益。付出资产的公允价值与其账面价值的差额，计入当期损益。</w:t>
              </w:r>
              <w:r>
                <w:rPr>
                  <w:rFonts w:hint="eastAsia" w:cs="Arial" w:asciiTheme="minorEastAsia" w:hAnsiTheme="minorEastAsia" w:eastAsiaTheme="minorEastAsia"/>
                  <w:color w:val="000000" w:themeColor="text1"/>
                  <w:kern w:val="2"/>
                  <w14:textFill>
                    <w14:solidFill>
                      <w14:schemeClr w14:val="tx1"/>
                    </w14:solidFill>
                  </w14:textFill>
                </w:rPr>
                <w:t>本集团在购买日按公允价值确认所取得的被购买方符合确认条件的各项可辨认资产、负债及或有负债。</w:t>
              </w:r>
              <w:r>
                <w:rPr>
                  <w:rFonts w:hint="eastAsia" w:cs="Arial" w:asciiTheme="minorEastAsia" w:hAnsiTheme="minorEastAsia" w:eastAsiaTheme="minorEastAsia"/>
                  <w:color w:val="000000" w:themeColor="text1"/>
                  <w14:textFill>
                    <w14:solidFill>
                      <w14:schemeClr w14:val="tx1"/>
                    </w14:solidFill>
                  </w14:textFill>
                </w:rPr>
                <w:t>购买日是指购买方实际取得对被购买方控制权的日期。</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rPr>
                  <w:rFonts w:cs="Arial" w:asciiTheme="minorEastAsia" w:hAnsiTheme="minorEastAsia" w:eastAsiaTheme="minorEastAsia"/>
                  <w:color w:val="000000" w:themeColor="text1"/>
                  <w:lang w:val="zh-CN"/>
                  <w14:textFill>
                    <w14:solidFill>
                      <w14:schemeClr w14:val="tx1"/>
                    </w14:solidFill>
                  </w14:textFill>
                </w:rPr>
              </w:pPr>
              <w:r>
                <w:rPr>
                  <w:rFonts w:hint="eastAsia" w:cs="Arial" w:asciiTheme="minorEastAsia" w:hAnsiTheme="minorEastAsia" w:eastAsiaTheme="minorEastAsia"/>
                  <w:color w:val="000000" w:themeColor="text1"/>
                  <w:lang w:val="zh-CN"/>
                  <w14:textFill>
                    <w14:solidFill>
                      <w14:schemeClr w14:val="tx1"/>
                    </w14:solidFill>
                  </w14:textFill>
                </w:rPr>
                <w:t>通过多次交易分步实现非同一控制企业合并时，对于购买日之前持有的被购买方的股权，本集团会按照该股权在购买日的公允价值进行重新计量，公允价值与其账面价值的差额计入当期投资收益或其他综合收益。购买日之前持有的被购买方的股权涉及的权益法核算下的以后可重分类进损益的其他综合收益及其他所有者权益变动</w:t>
              </w:r>
              <w:r>
                <w:rPr>
                  <w:rFonts w:cs="Arial" w:asciiTheme="minorEastAsia" w:hAnsiTheme="minorEastAsia" w:eastAsiaTheme="minorEastAsia"/>
                  <w:color w:val="000000" w:themeColor="text1"/>
                  <w:lang w:val="zh-CN"/>
                  <w14:textFill>
                    <w14:solidFill>
                      <w14:schemeClr w14:val="tx1"/>
                    </w14:solidFill>
                  </w14:textFill>
                </w:rPr>
                <w:t xml:space="preserve"> </w:t>
              </w:r>
              <w:r>
                <w:rPr>
                  <w:rFonts w:cs="Arial" w:asciiTheme="minorEastAsia" w:hAnsiTheme="minorEastAsia" w:eastAsiaTheme="minorEastAsia"/>
                  <w:color w:val="000000" w:themeColor="text1"/>
                  <w:kern w:val="2"/>
                  <w14:textFill>
                    <w14:solidFill>
                      <w14:schemeClr w14:val="tx1"/>
                    </w14:solidFill>
                  </w14:textFill>
                </w:rPr>
                <w:t>(</w:t>
              </w:r>
              <w:r>
                <w:rPr>
                  <w:rFonts w:hint="eastAsia" w:cs="Arial" w:asciiTheme="minorEastAsia" w:hAnsiTheme="minorEastAsia" w:eastAsiaTheme="minorEastAsia"/>
                  <w:color w:val="000000" w:themeColor="text1"/>
                  <w:kern w:val="2"/>
                  <w14:textFill>
                    <w14:solidFill>
                      <w14:schemeClr w14:val="tx1"/>
                    </w14:solidFill>
                  </w14:textFill>
                </w:rPr>
                <w:t>参见附注五、</w:t>
              </w:r>
              <w:r>
                <w:rPr>
                  <w:rFonts w:cs="Arial" w:asciiTheme="minorEastAsia" w:hAnsiTheme="minorEastAsia" w:eastAsiaTheme="minorEastAsia"/>
                  <w:color w:val="000000" w:themeColor="text1"/>
                  <w:kern w:val="2"/>
                  <w14:textFill>
                    <w14:solidFill>
                      <w14:schemeClr w14:val="tx1"/>
                    </w14:solidFill>
                  </w14:textFill>
                </w:rPr>
                <w:t xml:space="preserve">21(2)(b)) </w:t>
              </w:r>
              <w:r>
                <w:rPr>
                  <w:rFonts w:hint="eastAsia" w:cs="Arial" w:asciiTheme="minorEastAsia" w:hAnsiTheme="minorEastAsia" w:eastAsiaTheme="minorEastAsia"/>
                  <w:color w:val="000000" w:themeColor="text1"/>
                  <w:kern w:val="2"/>
                  <w:lang w:val="zh-CN"/>
                  <w14:textFill>
                    <w14:solidFill>
                      <w14:schemeClr w14:val="tx1"/>
                    </w14:solidFill>
                  </w14:textFill>
                </w:rPr>
                <w:t>于</w:t>
              </w:r>
              <w:r>
                <w:rPr>
                  <w:rFonts w:hint="eastAsia" w:cs="Arial" w:asciiTheme="minorEastAsia" w:hAnsiTheme="minorEastAsia" w:eastAsiaTheme="minorEastAsia"/>
                  <w:color w:val="000000" w:themeColor="text1"/>
                  <w:lang w:val="zh-CN"/>
                  <w14:textFill>
                    <w14:solidFill>
                      <w14:schemeClr w14:val="tx1"/>
                    </w14:solidFill>
                  </w14:textFill>
                </w:rPr>
                <w:t>购买日转入当期投资收益；购买日之前持有的被购买方的股权为</w:t>
              </w:r>
              <w:r>
                <w:rPr>
                  <w:rFonts w:hint="eastAsia" w:cs="Arial" w:asciiTheme="minorEastAsia" w:hAnsiTheme="minorEastAsia" w:eastAsiaTheme="minorEastAsia"/>
                  <w:color w:val="000000" w:themeColor="text1"/>
                  <w14:textFill>
                    <w14:solidFill>
                      <w14:schemeClr w14:val="tx1"/>
                    </w14:solidFill>
                  </w14:textFill>
                </w:rPr>
                <w:t>以公允价值计量且其变动计入其他综合收益的权益工具投资的，购买日之前确认的其他综合收益于购买日转入留存收益</w:t>
              </w:r>
              <w:r>
                <w:rPr>
                  <w:rFonts w:hint="eastAsia" w:cs="Arial" w:asciiTheme="minorEastAsia" w:hAnsiTheme="minorEastAsia" w:eastAsiaTheme="minorEastAsia"/>
                  <w:color w:val="000000" w:themeColor="text1"/>
                  <w:lang w:val="zh-CN"/>
                  <w14:textFill>
                    <w14:solidFill>
                      <w14:schemeClr w14:val="tx1"/>
                    </w14:solidFill>
                  </w14:textFill>
                </w:rPr>
                <w:t>。</w:t>
              </w:r>
            </w:p>
            <w:p>
              <w:pPr>
                <w:pStyle w:val="114"/>
              </w:pPr>
            </w:p>
          </w:sdtContent>
        </w:sdt>
      </w:sdtContent>
    </w:sdt>
    <w:p>
      <w:pPr>
        <w:pStyle w:val="114"/>
      </w:pPr>
    </w:p>
    <w:sdt>
      <w:sdtPr>
        <w:rPr>
          <w:rFonts w:ascii="宋体" w:hAnsi="宋体" w:cs="宋体"/>
          <w:b w:val="0"/>
          <w:bCs w:val="0"/>
          <w:kern w:val="0"/>
          <w:szCs w:val="24"/>
        </w:rPr>
        <w:alias w:val="模块:合并财务报表的编制方法"/>
        <w:tag w:val="_GBC_c23be25e527044f689b710dabd312b04"/>
        <w:id w:val="-584075246"/>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93660054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1501004864"/>
            <w:lock w:val="sdtLocked"/>
            <w:placeholder>
              <w:docPart w:val="GBC22222222222222222222222222222"/>
            </w:placeholder>
          </w:sdtPr>
          <w:sdtEndPr>
            <w:rPr>
              <w:rFonts w:hint="eastAsia"/>
            </w:rPr>
          </w:sdtEndPr>
          <w:sdtContent>
            <w:p>
              <w:pPr>
                <w:pStyle w:val="114"/>
              </w:pPr>
              <w:r>
                <w:t>(1)</w:t>
              </w:r>
              <w:r>
                <w:tab/>
              </w:r>
              <w:r>
                <w:t>总体原则</w:t>
              </w:r>
            </w:p>
            <w:p>
              <w:pPr>
                <w:pStyle w:val="114"/>
              </w:pPr>
            </w:p>
            <w:p>
              <w:pPr>
                <w:pStyle w:val="114"/>
              </w:pPr>
              <w:r>
                <w:rPr>
                  <w:rFonts w:hint="eastAsia"/>
                </w:rPr>
                <w:t>合并财务报表的合并范围以控制为基础予以确定，包括本公司及本公司控制的子公司。控制，是指本集团拥有对被投资方的权力，通过参与被投资方的相关活动而享有可变回报，并且有能力运用对被投资方的权力影响其回报金额。在判断本集团是否拥有对被投资方的权力时，本集团仅考虑与被投资方相关的实质性权利</w:t>
              </w:r>
              <w:r>
                <w:t xml:space="preserve"> (包括本集团自身所享有的及其他方所享有的实质性权利) 。子公司的财务状况、经营成果和现金流量由控制开始日起至控制结束日止包含于合并财务报表中。</w:t>
              </w:r>
            </w:p>
            <w:p>
              <w:pPr>
                <w:pStyle w:val="114"/>
              </w:pPr>
            </w:p>
            <w:p>
              <w:pPr>
                <w:pStyle w:val="114"/>
              </w:pPr>
              <w:r>
                <w:rPr>
                  <w:rFonts w:hint="eastAsia"/>
                </w:rPr>
                <w:t>子公司少数股东应占的权益、损益和综合收益总额分别在合并资产负债表的股东权益中和合并利润表的净利润及综合收益总额项目后单独列示。</w:t>
              </w:r>
            </w:p>
            <w:p>
              <w:pPr>
                <w:pStyle w:val="114"/>
              </w:pPr>
            </w:p>
            <w:p>
              <w:pPr>
                <w:pStyle w:val="114"/>
              </w:pPr>
              <w:r>
                <w:rPr>
                  <w:rFonts w:hint="eastAsia"/>
                </w:rPr>
                <w:t>如果子公司少数股东分担的当期亏损超过了少数股东在该子公司期初所有者权益中所享有的份额的，其余额仍冲减少数股东权益。</w:t>
              </w:r>
            </w:p>
            <w:p>
              <w:pPr>
                <w:pStyle w:val="114"/>
              </w:pPr>
            </w:p>
            <w:p>
              <w:pPr>
                <w:pStyle w:val="114"/>
              </w:pPr>
              <w:r>
                <w:rPr>
                  <w:rFonts w:hint="eastAsia"/>
                </w:rPr>
                <w:t>当子公司所采用的会计期间或会计政策与本公司不一致时，合并时已按照本公司的会计期间或会计政策对子公司财务报表进行必要的调整。合并时所有集团内部交易及余额，包括未实现内部交易损益均已抵销。集团内部交易发生的未实现损失，有证据表明该损失是相关资产减值损失的，则全额确认该损失。</w:t>
              </w:r>
            </w:p>
            <w:p>
              <w:pPr>
                <w:pStyle w:val="114"/>
              </w:pPr>
            </w:p>
            <w:p>
              <w:pPr>
                <w:pStyle w:val="114"/>
              </w:pPr>
              <w:r>
                <w:t>(2)</w:t>
              </w:r>
              <w:r>
                <w:tab/>
              </w:r>
              <w:r>
                <w:t>合并取得子公司</w:t>
              </w:r>
            </w:p>
            <w:p>
              <w:pPr>
                <w:pStyle w:val="114"/>
              </w:pPr>
            </w:p>
            <w:p>
              <w:pPr>
                <w:pStyle w:val="114"/>
              </w:pPr>
              <w:r>
                <w:rPr>
                  <w:rFonts w:hint="eastAsia"/>
                </w:rPr>
                <w:t>对于通过同一控制下企业合并取得的子公司，在编制合并当期财务报表时，以被合并子公司的各项资产、负债在最终控制方财务报表中的账面价值为基础，视同被合并子公司在本公司最终控制方对其开始实施控制时纳入本公司合并范围，并对合并财务报表的期初数以及前期比较报表进行相应调整。</w:t>
              </w:r>
            </w:p>
            <w:p>
              <w:pPr>
                <w:pStyle w:val="114"/>
              </w:pPr>
            </w:p>
            <w:p>
              <w:pPr>
                <w:pStyle w:val="114"/>
              </w:pPr>
              <w:r>
                <w:rPr>
                  <w:rFonts w:hint="eastAsia"/>
                </w:rPr>
                <w:t>对于通过非同一控制下企业合并取得的子公司，在编制合并当期财务报表时，以购买日确定的被购买子公司各项可辨认资产、负债的公允价值为基础自购买日起将被购买子公司纳入本公司合并范围。</w:t>
              </w:r>
            </w:p>
            <w:p>
              <w:pPr>
                <w:pStyle w:val="114"/>
              </w:pPr>
              <w:r>
                <w:t> </w:t>
              </w:r>
            </w:p>
            <w:p>
              <w:pPr>
                <w:pStyle w:val="114"/>
              </w:pPr>
            </w:p>
            <w:p>
              <w:pPr>
                <w:pStyle w:val="114"/>
              </w:pPr>
              <w:r>
                <w:t>(3)</w:t>
              </w:r>
              <w:r>
                <w:tab/>
              </w:r>
              <w:r>
                <w:t>处置子公司</w:t>
              </w:r>
            </w:p>
            <w:p>
              <w:pPr>
                <w:pStyle w:val="114"/>
              </w:pPr>
            </w:p>
            <w:p>
              <w:pPr>
                <w:pStyle w:val="114"/>
              </w:pPr>
              <w:r>
                <w:rPr>
                  <w:rFonts w:hint="eastAsia"/>
                </w:rPr>
                <w:t>本集团丧失对原有子公司控制权时，由此产生的任何处置收益或损失，计入丧失控制权当期的投资收益。</w:t>
              </w:r>
            </w:p>
            <w:p>
              <w:pPr>
                <w:pStyle w:val="114"/>
              </w:pPr>
            </w:p>
            <w:p>
              <w:pPr>
                <w:pStyle w:val="114"/>
              </w:pPr>
              <w:r>
                <w:rPr>
                  <w:rFonts w:hint="eastAsia"/>
                </w:rPr>
                <w:t>通过多次交易分步处置对子公司长期股权投资直至丧失控制权的，按下述原则判断是否为一揽子交易：</w:t>
              </w:r>
            </w:p>
            <w:p>
              <w:pPr>
                <w:pStyle w:val="114"/>
              </w:pPr>
            </w:p>
            <w:p>
              <w:pPr>
                <w:pStyle w:val="114"/>
              </w:pPr>
              <w:r>
                <w:t>-</w:t>
              </w:r>
              <w:r>
                <w:tab/>
              </w:r>
              <w:r>
                <w:t>这些交易是同时或者在考虑了彼此影响的情况下订立的；</w:t>
              </w:r>
            </w:p>
            <w:p>
              <w:pPr>
                <w:pStyle w:val="114"/>
              </w:pPr>
              <w:r>
                <w:t>-</w:t>
              </w:r>
              <w:r>
                <w:tab/>
              </w:r>
              <w:r>
                <w:t>这些交易整体才能达成一项完整的商业结果；</w:t>
              </w:r>
            </w:p>
            <w:p>
              <w:pPr>
                <w:pStyle w:val="114"/>
              </w:pPr>
              <w:r>
                <w:t>-</w:t>
              </w:r>
              <w:r>
                <w:tab/>
              </w:r>
              <w:r>
                <w:t>一项交易的发生取决于其他至少一项交易的发生；</w:t>
              </w:r>
            </w:p>
            <w:p>
              <w:pPr>
                <w:pStyle w:val="114"/>
              </w:pPr>
              <w:r>
                <w:t>-</w:t>
              </w:r>
              <w:r>
                <w:tab/>
              </w:r>
              <w:r>
                <w:t>一项交易单独考虑时是不经济的，但是和其他交易一并考虑时是经济的。</w:t>
              </w:r>
            </w:p>
            <w:p>
              <w:pPr>
                <w:pStyle w:val="114"/>
              </w:pPr>
            </w:p>
            <w:p>
              <w:pPr>
                <w:pStyle w:val="114"/>
              </w:pPr>
              <w:r>
                <w:rPr>
                  <w:rFonts w:hint="eastAsia"/>
                </w:rPr>
                <w:t>如果各项交易不属于一揽子交易的，则在丧失对子公司控制权以前的各项交易，按照不丧失控制权的情况下部分处置对子公司的股权投资的会计政策进行处理</w:t>
              </w:r>
              <w:r>
                <w:t xml:space="preserve"> (参见附注三、6(4)) 。</w:t>
              </w:r>
            </w:p>
            <w:p>
              <w:pPr>
                <w:pStyle w:val="114"/>
              </w:pPr>
            </w:p>
            <w:p>
              <w:pPr>
                <w:pStyle w:val="114"/>
              </w:pPr>
              <w:r>
                <w:rPr>
                  <w:rFonts w:hint="eastAsia"/>
                </w:rPr>
                <w:t>如果各项交易属于一揽子交易的，则将各项交易作为一项处置原有子公司并丧失控制权的交易进行处理，在丧失控制权之前每一次处置价款与处置投资对应的享有该子公司自购买日开始持续计算的净资产账面价值的份额之间的差额，在合并财务报表中计入其他综合收益，在丧失控制权时一并转入丧失控制权当期的损益。</w:t>
              </w:r>
            </w:p>
            <w:p>
              <w:pPr>
                <w:pStyle w:val="114"/>
              </w:pPr>
            </w:p>
            <w:p>
              <w:pPr>
                <w:pStyle w:val="114"/>
              </w:pPr>
              <w:r>
                <w:t>(4)</w:t>
              </w:r>
              <w:r>
                <w:tab/>
              </w:r>
              <w:r>
                <w:t>少数股东权益变动</w:t>
              </w:r>
            </w:p>
            <w:p>
              <w:pPr>
                <w:pStyle w:val="114"/>
              </w:pPr>
            </w:p>
            <w:p>
              <w:pPr>
                <w:pStyle w:val="114"/>
              </w:pPr>
              <w:r>
                <w:rPr>
                  <w:rFonts w:hint="eastAsia"/>
                </w:rPr>
                <w:t>本公司因购买少数股权新取得的长期股权投资成本与按照新增持股比例计算应享有子公司的净资产份额之间的差额，以及在不丧失控制权的情况下因部分处置对子公司的股权投资而取得的处置价款与处置长期股权投资相对应享有子公司净资产的差额，均调整合并资产负债表中的资本公积</w:t>
              </w:r>
              <w:r>
                <w:t xml:space="preserve"> (股本溢价)，资本公积 (股本溢价) 不足冲减的，调整留存收益。</w:t>
              </w:r>
            </w:p>
          </w:sdtContent>
        </w:sdt>
      </w:sdtContent>
    </w:sdt>
    <w:p>
      <w:pPr>
        <w:pStyle w:val="114"/>
      </w:pPr>
    </w:p>
    <w:sdt>
      <w:sdtPr>
        <w:rPr>
          <w:rFonts w:hint="eastAsia" w:ascii="宋体" w:hAnsi="宋体" w:cs="宋体"/>
          <w:b w:val="0"/>
          <w:bCs w:val="0"/>
          <w:kern w:val="0"/>
          <w:szCs w:val="21"/>
        </w:rPr>
        <w:alias w:val="模块:合营安排分类及共同经营会计处理方法"/>
        <w:tag w:val="_GBC_a6643877dd0341e39dee12c064dc6fdc"/>
        <w:id w:val="-1553609471"/>
        <w:lock w:val="sdtLocked"/>
        <w:placeholder>
          <w:docPart w:val="GBC22222222222222222222222222222"/>
        </w:placeholder>
      </w:sdtPr>
      <w:sdtEndPr>
        <w:rPr>
          <w:rFonts w:hint="eastAsia" w:ascii="宋体" w:hAnsi="宋体" w:cs="宋体"/>
          <w:b/>
          <w:bCs/>
          <w:kern w:val="0"/>
          <w:szCs w:val="21"/>
        </w:rPr>
      </w:sdtEndPr>
      <w:sdtContent>
        <w:p>
          <w:pPr>
            <w:pStyle w:val="4"/>
            <w:numPr>
              <w:ilvl w:val="0"/>
              <w:numId w:val="41"/>
            </w:numPr>
            <w:rPr>
              <w:rFonts w:ascii="宋体" w:hAnsi="宋体"/>
              <w:szCs w:val="21"/>
            </w:rPr>
          </w:pPr>
          <w:r>
            <w:rPr>
              <w:rFonts w:hint="eastAsia" w:ascii="宋体" w:hAnsi="宋体"/>
              <w:szCs w:val="21"/>
            </w:rPr>
            <w:t>合营安排</w:t>
          </w:r>
          <w:r>
            <w:rPr>
              <w:rFonts w:hint="eastAsia" w:ascii="宋体" w:hAnsi="宋体"/>
            </w:rPr>
            <w:t>分类</w:t>
          </w:r>
          <w:r>
            <w:rPr>
              <w:rFonts w:hint="eastAsia" w:ascii="宋体" w:hAnsi="宋体"/>
              <w:szCs w:val="21"/>
            </w:rPr>
            <w:t>及共同经营会计处理方法</w:t>
          </w:r>
        </w:p>
        <w:sdt>
          <w:sdtPr>
            <w:rPr>
              <w:rFonts w:hint="eastAsia"/>
            </w:rPr>
            <w:alias w:val="是否适用：合营安排分类及共同经营会计处理方法[双击切换]"/>
            <w:tag w:val="_GBC_f94c8519453541fe9de852d3064d61d5"/>
            <w:id w:val="-133572630"/>
            <w:lock w:val="sdtLocked"/>
            <w:placeholder>
              <w:docPart w:val="GBC22222222222222222222222222222"/>
            </w:placeholder>
          </w:sdtPr>
          <w:sdtEndPr>
            <w:rPr>
              <w:rFonts w:hint="eastAsia"/>
            </w:rPr>
          </w:sdtEndPr>
          <w:sdtContent>
            <w:p>
              <w:pPr>
                <w:rPr>
                  <w:b/>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4"/>
        </w:rPr>
        <w:alias w:val="模块:现金及现金等价物的确定标准"/>
        <w:tag w:val="_GBC_9f2dfe6521c4434b9ad3e7bb1a8a52b7"/>
        <w:id w:val="-1265148532"/>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126321735"/>
            <w:lock w:val="sdtLocked"/>
            <w:placeholder>
              <w:docPart w:val="GBC22222222222222222222222222222"/>
            </w:placeholder>
          </w:sdtPr>
          <w:sdtEndPr>
            <w:rPr>
              <w:rFonts w:hint="eastAsia"/>
            </w:rPr>
          </w:sdtEndPr>
          <w:sdtContent>
            <w:p>
              <w:pPr>
                <w:pStyle w:val="114"/>
              </w:pPr>
              <w:r>
                <w:rPr>
                  <w:rFonts w:hint="eastAsia"/>
                </w:rPr>
                <w:t>现金和现金等价物包括库存现金、可以随时用于支付的存款以及持有期限短、流动性强、易于转换为已知金额现金、价值变动风险很小的投资。</w:t>
              </w:r>
            </w:p>
          </w:sdtContent>
        </w:sdt>
      </w:sdtContent>
    </w:sdt>
    <w:p>
      <w:pPr>
        <w:pStyle w:val="114"/>
      </w:pPr>
    </w:p>
    <w:sdt>
      <w:sdtPr>
        <w:rPr>
          <w:rFonts w:ascii="宋体" w:hAnsi="宋体" w:cs="宋体"/>
          <w:b w:val="0"/>
          <w:bCs w:val="0"/>
          <w:kern w:val="0"/>
          <w:szCs w:val="22"/>
        </w:rPr>
        <w:alias w:val="模块:外币业务和外币报表折算"/>
        <w:tag w:val="_GBC_cff1e1487c3242a8a1be0ce9c2b7a554"/>
        <w:id w:val="-401369230"/>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60160770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外币业务核算方法"/>
            <w:tag w:val="_GBC_1703fe5fc56b42a8972c0906a4ac6d6b"/>
            <w:id w:val="-1380769245"/>
            <w:lock w:val="sdtLocked"/>
            <w:placeholder>
              <w:docPart w:val="GBC22222222222222222222222222222"/>
            </w:placeholder>
          </w:sdtPr>
          <w:sdtEndPr>
            <w:rPr>
              <w:rFonts w:hint="eastAsia"/>
            </w:rPr>
          </w:sdtEndPr>
          <w:sdtContent>
            <w:p>
              <w:pPr>
                <w:pStyle w:val="114"/>
              </w:pPr>
              <w:r>
                <w:rPr>
                  <w:rFonts w:hint="eastAsia"/>
                </w:rPr>
                <w:t>本集团收到投资者以外币投入资本时按当日即期汇率折合为人民币，其他外币交易在初始确认时按交易发生日的即期汇率折合为人民币。</w:t>
              </w:r>
            </w:p>
            <w:p>
              <w:pPr>
                <w:pStyle w:val="114"/>
              </w:pPr>
            </w:p>
            <w:p>
              <w:pPr>
                <w:pStyle w:val="114"/>
              </w:pPr>
              <w:r>
                <w:rPr>
                  <w:rFonts w:hint="eastAsia"/>
                </w:rPr>
                <w:t>于资产负债表日，外币货币性项目采用该日的即期汇率折算。除与购建符合资本化条件资产有关的专门借款本金和利息的汇兑差额</w:t>
              </w:r>
              <w:r>
                <w:t xml:space="preserve"> (参见附注</w:t>
              </w:r>
              <w:r>
                <w:rPr>
                  <w:rFonts w:hint="eastAsia"/>
                </w:rPr>
                <w:t>五</w:t>
              </w:r>
              <w:r>
                <w:t>、25) 外，其他汇兑差额计入当期损益。以历史成本计量的外币非货币性项目，仍采用交易发生日的即期汇率折算。以公允价值计量的外币非货币性项目，采用公允价值确定日的即期汇率折算，由此产生的汇兑差额，属于以公允价值计量且其变动计入其他综合收益的权益工具投资的差额，计入其他综合收益；其他差额计入当期损益。</w:t>
              </w:r>
            </w:p>
            <w:p>
              <w:pPr>
                <w:pStyle w:val="114"/>
              </w:pPr>
            </w:p>
            <w:p>
              <w:pPr>
                <w:pStyle w:val="114"/>
              </w:pPr>
              <w:r>
                <w:rPr>
                  <w:rFonts w:hint="eastAsia"/>
                </w:rPr>
                <w:t>对境外经营的财务报表进行折算时，资产负债表中的资产和负债项目，采用资产负债表日的即期汇率折算，股东权益项目中除未分配利润及其他综合收益中的外币财务报表折算差额项目外，其他项目采用发生时的即期汇率折算。利润表中的收入和费用项目，采用交易发生日的即期汇率折算。按照上述折算产生的外币财务报表折算差额，在其他综合收益中列示。处置境外经营时，相关的外币财务报表折算差额自其他综合收益转入处置当期损益。</w:t>
              </w:r>
            </w:p>
          </w:sdtContent>
        </w:sdt>
        <w:p>
          <w:pPr>
            <w:pStyle w:val="114"/>
          </w:pPr>
        </w:p>
      </w:sdtContent>
    </w:sdt>
    <w:sdt>
      <w:sdtPr>
        <w:rPr>
          <w:rFonts w:ascii="宋体" w:hAnsi="宋体" w:cs="宋体"/>
          <w:b w:val="0"/>
          <w:bCs w:val="0"/>
          <w:kern w:val="0"/>
          <w:szCs w:val="24"/>
        </w:rPr>
        <w:alias w:val="模块:金融工具"/>
        <w:tag w:val="_GBC_4b3a058b038b41689d379e6a2726a904"/>
        <w:id w:val="-2186449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1315918422"/>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53479568"/>
            <w:lock w:val="sdtLocked"/>
            <w:placeholder>
              <w:docPart w:val="GBC22222222222222222222222222222"/>
            </w:placeholder>
          </w:sdtPr>
          <w:sdtEndPr>
            <w:rPr>
              <w:rFonts w:hint="eastAsia"/>
            </w:rPr>
          </w:sdtEndPr>
          <w:sdtContent>
            <w:p>
              <w:pPr>
                <w:pStyle w:val="114"/>
              </w:pPr>
              <w:r>
                <w:rPr>
                  <w:rFonts w:hint="eastAsia"/>
                </w:rPr>
                <w:t>本集团的金融工具包括货币资金、除长期股权投资</w:t>
              </w:r>
              <w:r>
                <w:t xml:space="preserve"> (参见附注</w:t>
              </w:r>
              <w:r>
                <w:rPr>
                  <w:rFonts w:hint="eastAsia"/>
                </w:rPr>
                <w:t>五</w:t>
              </w:r>
              <w:r>
                <w:t>、21) 以外的股权投资、应收款项、应付款项、借款、应付债券及股本等。</w:t>
              </w:r>
            </w:p>
            <w:p>
              <w:pPr>
                <w:pStyle w:val="114"/>
              </w:pPr>
            </w:p>
            <w:p>
              <w:pPr>
                <w:pStyle w:val="114"/>
              </w:pPr>
              <w:r>
                <w:t>(1)</w:t>
              </w:r>
              <w:r>
                <w:tab/>
              </w:r>
              <w:r>
                <w:t>金融资产及金融负债的确认和初始计量</w:t>
              </w:r>
            </w:p>
            <w:p>
              <w:pPr>
                <w:pStyle w:val="114"/>
              </w:pPr>
            </w:p>
            <w:p>
              <w:pPr>
                <w:pStyle w:val="114"/>
              </w:pPr>
              <w:r>
                <w:rPr>
                  <w:rFonts w:hint="eastAsia"/>
                </w:rPr>
                <w:t>金融资产和金融负债在本集团成为相关金融工具合同条款的一方时，于资产负债表内确认。</w:t>
              </w:r>
            </w:p>
            <w:p>
              <w:pPr>
                <w:pStyle w:val="114"/>
              </w:pPr>
            </w:p>
            <w:p>
              <w:pPr>
                <w:pStyle w:val="114"/>
              </w:pPr>
              <w:r>
                <w:rPr>
                  <w:rFonts w:hint="eastAsia"/>
                </w:rPr>
                <w:t>在初始确认时，金融资产及金融负债以公允价值计量。对于以公允价值计量且其变动计入当期损益的金融资产或金融负债，相关交易费用直接计入当期损益；对于其他类别的金融资产或金融负债，相关交易费用计入初始确认金额。对于未包含重大融资成分或不考虑不超过一年的合同中的融资成分的应收账款，本集团按照根据附注五、</w:t>
              </w:r>
              <w:r>
                <w:t>38的会计政策确定的交易价格进行初始计量。</w:t>
              </w:r>
            </w:p>
            <w:p>
              <w:pPr>
                <w:pStyle w:val="114"/>
              </w:pPr>
              <w:r>
                <w:t> </w:t>
              </w:r>
            </w:p>
            <w:p>
              <w:pPr>
                <w:pStyle w:val="114"/>
              </w:pPr>
            </w:p>
            <w:p>
              <w:pPr>
                <w:pStyle w:val="114"/>
              </w:pPr>
              <w:r>
                <w:t>(2)</w:t>
              </w:r>
              <w:r>
                <w:tab/>
              </w:r>
              <w:r>
                <w:t>金融资产的分类和后续计量</w:t>
              </w:r>
            </w:p>
            <w:p>
              <w:pPr>
                <w:pStyle w:val="114"/>
              </w:pPr>
            </w:p>
            <w:p>
              <w:pPr>
                <w:pStyle w:val="114"/>
              </w:pPr>
              <w:r>
                <w:t>(a)</w:t>
              </w:r>
              <w:r>
                <w:tab/>
              </w:r>
              <w:r>
                <w:t>本集团金融资产的分类</w:t>
              </w:r>
            </w:p>
            <w:p>
              <w:pPr>
                <w:pStyle w:val="114"/>
              </w:pPr>
            </w:p>
            <w:p>
              <w:pPr>
                <w:pStyle w:val="114"/>
              </w:pPr>
              <w:r>
                <w:rPr>
                  <w:rFonts w:hint="eastAsia"/>
                </w:rPr>
                <w:t>本集团通常根据管理金融资产的业务模式和金融资产的合同现金流量特征，在初始确认时将金融资产分为不同类别：以摊余成本计量的金融资产、以公允价值计量且其变动计入其他综合收益的金融资产及以公允价值计量且其变动计入当期损益的金融资产。</w:t>
              </w:r>
            </w:p>
            <w:p>
              <w:pPr>
                <w:pStyle w:val="114"/>
              </w:pPr>
            </w:p>
            <w:p>
              <w:pPr>
                <w:pStyle w:val="114"/>
              </w:pPr>
              <w:r>
                <w:rPr>
                  <w:rFonts w:hint="eastAsia"/>
                </w:rPr>
                <w:t>除非本集团改变管理金融资产的业务模式，在此情形下，所有受影响的相关金融资产在业务模式发生变更后的首个报告期间的第一天进行重分类，否则金融资产在初始确认后不得进行重分类。</w:t>
              </w:r>
            </w:p>
            <w:p>
              <w:pPr>
                <w:pStyle w:val="114"/>
              </w:pPr>
            </w:p>
            <w:p>
              <w:pPr>
                <w:pStyle w:val="114"/>
              </w:pPr>
              <w:r>
                <w:rPr>
                  <w:rFonts w:hint="eastAsia"/>
                </w:rPr>
                <w:t>本集团将同时符合下列条件且未被指定为以公允价值计量且其变动计入当期损益的金融资产，分类为以摊余成本计量的金融资产：</w:t>
              </w:r>
            </w:p>
            <w:p>
              <w:pPr>
                <w:pStyle w:val="114"/>
              </w:pPr>
            </w:p>
            <w:p>
              <w:pPr>
                <w:pStyle w:val="114"/>
              </w:pPr>
              <w:r>
                <w:t>-</w:t>
              </w:r>
              <w:r>
                <w:tab/>
              </w:r>
              <w:r>
                <w:t>本集团管理该金融资产的业务模式是以收取合同现金流量为目标；</w:t>
              </w:r>
            </w:p>
            <w:p>
              <w:pPr>
                <w:pStyle w:val="114"/>
              </w:pPr>
              <w:r>
                <w:t>-</w:t>
              </w:r>
              <w:r>
                <w:tab/>
              </w:r>
              <w:r>
                <w:t>该金融资产的合同条款规定，在特定日期产生的现金流量，仅为对本金和以未偿付本金金额为基础的利息的支付。</w:t>
              </w:r>
            </w:p>
            <w:p>
              <w:pPr>
                <w:pStyle w:val="114"/>
              </w:pPr>
            </w:p>
            <w:p>
              <w:pPr>
                <w:pStyle w:val="114"/>
              </w:pPr>
              <w:r>
                <w:rPr>
                  <w:rFonts w:hint="eastAsia"/>
                </w:rPr>
                <w:t>本集团将同时符合下列条件且未被指定为以公允价值计量且其变动计入当期损益的金融资产，分类为以公允价值计量且其变动计入其他综合收益的金融资产：</w:t>
              </w:r>
            </w:p>
            <w:p>
              <w:pPr>
                <w:pStyle w:val="114"/>
              </w:pPr>
            </w:p>
            <w:p>
              <w:pPr>
                <w:pStyle w:val="114"/>
              </w:pPr>
              <w:r>
                <w:t>-</w:t>
              </w:r>
              <w:r>
                <w:tab/>
              </w:r>
              <w:r>
                <w:t>本集团管理该金融资产的业务模式既以收取合同现金流量为目标又以出售该金融资产为目标；</w:t>
              </w:r>
            </w:p>
            <w:p>
              <w:pPr>
                <w:pStyle w:val="114"/>
              </w:pPr>
              <w:r>
                <w:t>-</w:t>
              </w:r>
              <w:r>
                <w:tab/>
              </w:r>
              <w:r>
                <w:t>该金融资产的合同条款规定，在特定日期产生的现金流量，仅为对本金和以未偿付本金金额为基础的利息的支付。</w:t>
              </w:r>
            </w:p>
            <w:p>
              <w:pPr>
                <w:pStyle w:val="114"/>
              </w:pPr>
            </w:p>
            <w:p>
              <w:pPr>
                <w:pStyle w:val="114"/>
              </w:pPr>
              <w:r>
                <w:rPr>
                  <w:rFonts w:hint="eastAsia"/>
                </w:rPr>
                <w:t>对于非交易性权益工具投资，本集团可在初始确认时将其不可撤销地指定为以公允价值计量且其变动计入其他综合收益的金融资产。该指定在单项投资的基础上作出，且相关投资从发行者的角度符合权益工具的定义。</w:t>
              </w:r>
            </w:p>
            <w:p>
              <w:pPr>
                <w:pStyle w:val="114"/>
              </w:pPr>
            </w:p>
            <w:p>
              <w:pPr>
                <w:pStyle w:val="114"/>
              </w:pPr>
              <w:r>
                <w:rPr>
                  <w:rFonts w:hint="eastAsia"/>
                </w:rPr>
                <w:t>除上述以摊余成本计量和以公允价值计量且其变动计入其他综合收益的金融资产外，本集团将其余所有的金融资产分类为以公允价值计量且其变动计入当期损益的金融资产。在初始确认时，如果能够消除或显着减少会计错配，本集团可以将本应以摊余成本计量或以公允价值计量且其变动计入其他综合收益的金融资产不可撤销地指定为以公允价值计量且其变动计入当期损益的金融资产。</w:t>
              </w:r>
            </w:p>
            <w:p>
              <w:pPr>
                <w:pStyle w:val="114"/>
              </w:pPr>
            </w:p>
            <w:p>
              <w:pPr>
                <w:pStyle w:val="114"/>
              </w:pPr>
              <w:r>
                <w:rPr>
                  <w:rFonts w:hint="eastAsia"/>
                </w:rPr>
                <w:t>管理金融资产的业务模式，是指本集团如何管理金融资产以产生现金流量。业务模式决定本集团所管理金融资产现金流量的来源是收取合同现金流量、出售金融资产还是两者兼有。本集团以客观事实为依据、以关键管理人员决定的对金融资产进行管理的特定业务目标为基础，确定管理金融资产的业务模式。</w:t>
              </w:r>
            </w:p>
            <w:p>
              <w:pPr>
                <w:pStyle w:val="114"/>
              </w:pPr>
            </w:p>
            <w:p>
              <w:pPr>
                <w:pStyle w:val="114"/>
              </w:pPr>
              <w:r>
                <w:rPr>
                  <w:rFonts w:hint="eastAsia"/>
                </w:rPr>
                <w:t>本集团对金融资产的合同现金流量特征进行评估，以确定相关金融资产在特定日期产生的合同现金流量是否仅为对本金和以未偿付本金金额为基础的利息的支付。其中，本金是指金融资产在初始确认时的公允价值；利息包括对货币时间价值、与特定时期未偿付本金金额相关的信用风险、以及其他基本借贷风险、成本和利润的对价。此外，本集团对可能导致金融资产合同现金流量的时间分布或金额发生变更的合同条款进行评估，以确定其是否满足上述合同现金流量特征的要求。</w:t>
              </w:r>
            </w:p>
            <w:p>
              <w:pPr>
                <w:pStyle w:val="114"/>
              </w:pPr>
            </w:p>
            <w:p>
              <w:pPr>
                <w:pStyle w:val="114"/>
              </w:pPr>
              <w:r>
                <w:t>(b)</w:t>
              </w:r>
              <w:r>
                <w:tab/>
              </w:r>
              <w:r>
                <w:t>本集团金融资产的后续计量</w:t>
              </w:r>
            </w:p>
            <w:p>
              <w:pPr>
                <w:pStyle w:val="114"/>
              </w:pPr>
            </w:p>
            <w:p>
              <w:pPr>
                <w:pStyle w:val="114"/>
              </w:pPr>
              <w:r>
                <w:t>-</w:t>
              </w:r>
              <w:r>
                <w:tab/>
              </w:r>
              <w:r>
                <w:t>以公允价值计量且其变动计入当期损益的金融资产</w:t>
              </w:r>
            </w:p>
            <w:p>
              <w:pPr>
                <w:pStyle w:val="114"/>
              </w:pPr>
            </w:p>
            <w:p>
              <w:pPr>
                <w:pStyle w:val="114"/>
              </w:pPr>
              <w:r>
                <w:rPr>
                  <w:rFonts w:hint="eastAsia"/>
                </w:rPr>
                <w:t>初始确认后，对于该类金融资产以公允价值进行后续计量，产生的利得或损失</w:t>
              </w:r>
              <w:r>
                <w:t xml:space="preserve"> (包括利息和股利收入) 计入当期损益，除非该金融资产属于套期关系的一部分。</w:t>
              </w:r>
            </w:p>
            <w:p>
              <w:pPr>
                <w:pStyle w:val="114"/>
              </w:pPr>
            </w:p>
            <w:p>
              <w:pPr>
                <w:pStyle w:val="114"/>
              </w:pPr>
              <w:r>
                <w:t>-</w:t>
              </w:r>
              <w:r>
                <w:tab/>
              </w:r>
              <w:r>
                <w:t>以摊余成本计量的金融资产</w:t>
              </w:r>
            </w:p>
            <w:p>
              <w:pPr>
                <w:pStyle w:val="114"/>
              </w:pPr>
            </w:p>
            <w:p>
              <w:pPr>
                <w:pStyle w:val="114"/>
              </w:pPr>
              <w:r>
                <w:rPr>
                  <w:rFonts w:hint="eastAsia"/>
                </w:rPr>
                <w:t>初始确认后，对于该类金融资产采用实际利率法以摊余成本计量。以摊余成本计量且不属于任何套期关系的一部分的金融资产所产生的利得或损失，在终止确认、重分类、按照实际利率法摊销或确认减值时，计入当期损益。</w:t>
              </w:r>
            </w:p>
            <w:p>
              <w:pPr>
                <w:pStyle w:val="114"/>
              </w:pPr>
            </w:p>
            <w:p>
              <w:pPr>
                <w:pStyle w:val="114"/>
              </w:pPr>
              <w:r>
                <w:t>-</w:t>
              </w:r>
              <w:r>
                <w:tab/>
              </w:r>
              <w:r>
                <w:t>以公允价值计量且其变动计入其他综合收益的权益工具投资</w:t>
              </w:r>
            </w:p>
            <w:p>
              <w:pPr>
                <w:pStyle w:val="114"/>
              </w:pPr>
            </w:p>
            <w:p>
              <w:pPr>
                <w:pStyle w:val="114"/>
              </w:pPr>
              <w:r>
                <w:rPr>
                  <w:rFonts w:hint="eastAsia"/>
                </w:rPr>
                <w:t>初始确认后，对于该类金融资产以公允价值进行后续计量。股利收入计入损益，其他利得或损失计入其他综合收益。终止确认时，将之前计入其他综合收益的累计利得或损失从其他综合收益中转出，计入留存收益。</w:t>
              </w:r>
            </w:p>
            <w:p>
              <w:pPr>
                <w:pStyle w:val="114"/>
              </w:pPr>
              <w:r>
                <w:t> </w:t>
              </w:r>
            </w:p>
            <w:p>
              <w:pPr>
                <w:pStyle w:val="114"/>
              </w:pPr>
            </w:p>
            <w:p>
              <w:pPr>
                <w:pStyle w:val="114"/>
              </w:pPr>
              <w:r>
                <w:t>(3)</w:t>
              </w:r>
              <w:r>
                <w:tab/>
              </w:r>
              <w:r>
                <w:t>金融负债的分类和后续计量</w:t>
              </w:r>
            </w:p>
            <w:p>
              <w:pPr>
                <w:pStyle w:val="114"/>
              </w:pPr>
            </w:p>
            <w:p>
              <w:pPr>
                <w:pStyle w:val="114"/>
              </w:pPr>
              <w:r>
                <w:rPr>
                  <w:rFonts w:hint="eastAsia"/>
                </w:rPr>
                <w:t>本集团将金融负债分类为以公允价值计量且其变动计入当期损益的金融负债、财务担保负债及以摊余成本计量的金融负债。</w:t>
              </w:r>
            </w:p>
            <w:p>
              <w:pPr>
                <w:pStyle w:val="114"/>
              </w:pPr>
            </w:p>
            <w:p>
              <w:pPr>
                <w:pStyle w:val="114"/>
              </w:pPr>
              <w:r>
                <w:t>-</w:t>
              </w:r>
              <w:r>
                <w:tab/>
              </w:r>
              <w:r>
                <w:t>以公允价值计量且其变动计入当期损益的金融负债</w:t>
              </w:r>
            </w:p>
            <w:p>
              <w:pPr>
                <w:pStyle w:val="114"/>
              </w:pPr>
            </w:p>
            <w:p>
              <w:pPr>
                <w:pStyle w:val="114"/>
              </w:pPr>
              <w:r>
                <w:rPr>
                  <w:rFonts w:hint="eastAsia"/>
                </w:rPr>
                <w:t>该类金融负债包括交易性金融负债</w:t>
              </w:r>
              <w:r>
                <w:t xml:space="preserve"> (含属于金融负债的衍生工具) 和指定为以公允价值计量且其变动计入当期损益的金融负债。</w:t>
              </w:r>
            </w:p>
            <w:p>
              <w:pPr>
                <w:pStyle w:val="114"/>
              </w:pPr>
            </w:p>
            <w:p>
              <w:pPr>
                <w:pStyle w:val="114"/>
              </w:pPr>
              <w:r>
                <w:rPr>
                  <w:rFonts w:hint="eastAsia"/>
                </w:rPr>
                <w:t>初始确认后，对于该类金融负债以公允价值进行后续计量，除与套期会计有关外，产生的利得或损失</w:t>
              </w:r>
              <w:r>
                <w:t xml:space="preserve"> (包括利息费用) 计入当期损益。</w:t>
              </w:r>
            </w:p>
            <w:p>
              <w:pPr>
                <w:pStyle w:val="114"/>
              </w:pPr>
            </w:p>
            <w:p>
              <w:pPr>
                <w:pStyle w:val="114"/>
              </w:pPr>
              <w:r>
                <w:t>-</w:t>
              </w:r>
              <w:r>
                <w:tab/>
              </w:r>
              <w:r>
                <w:t>财务担保负债</w:t>
              </w:r>
            </w:p>
            <w:p>
              <w:pPr>
                <w:pStyle w:val="114"/>
              </w:pPr>
            </w:p>
            <w:p>
              <w:pPr>
                <w:pStyle w:val="114"/>
              </w:pPr>
              <w:r>
                <w:rPr>
                  <w:rFonts w:hint="eastAsia"/>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依据收入准则相关规定所确定的累计摊销额后的余额孰高进行计量。</w:t>
              </w:r>
            </w:p>
            <w:p>
              <w:pPr>
                <w:pStyle w:val="114"/>
              </w:pPr>
            </w:p>
            <w:p>
              <w:pPr>
                <w:pStyle w:val="114"/>
              </w:pPr>
              <w:r>
                <w:t>-</w:t>
              </w:r>
              <w:r>
                <w:tab/>
              </w:r>
              <w:r>
                <w:t>以摊余成本计量的金融负债</w:t>
              </w:r>
            </w:p>
            <w:p>
              <w:pPr>
                <w:pStyle w:val="114"/>
              </w:pPr>
            </w:p>
            <w:p>
              <w:pPr>
                <w:pStyle w:val="114"/>
              </w:pPr>
              <w:r>
                <w:rPr>
                  <w:rFonts w:hint="eastAsia"/>
                </w:rPr>
                <w:t>初始确认后，对于该类金融负债采用实际利率法以摊余成本计量。</w:t>
              </w:r>
            </w:p>
            <w:p>
              <w:pPr>
                <w:pStyle w:val="114"/>
              </w:pPr>
            </w:p>
            <w:p>
              <w:pPr>
                <w:pStyle w:val="114"/>
              </w:pPr>
              <w:r>
                <w:t>(4)</w:t>
              </w:r>
              <w:r>
                <w:tab/>
              </w:r>
              <w:r>
                <w:t>抵销</w:t>
              </w:r>
            </w:p>
            <w:p>
              <w:pPr>
                <w:pStyle w:val="114"/>
              </w:pPr>
            </w:p>
            <w:p>
              <w:pPr>
                <w:pStyle w:val="114"/>
              </w:pPr>
              <w:r>
                <w:rPr>
                  <w:rFonts w:hint="eastAsia"/>
                </w:rPr>
                <w:t>金融资产和金融负债在资产负债表内分别列示，没有相互抵销。但是，同时满足下列条件的，以相互抵销后的净额在资产负债表内列示：</w:t>
              </w:r>
            </w:p>
            <w:p>
              <w:pPr>
                <w:pStyle w:val="114"/>
              </w:pPr>
            </w:p>
            <w:p>
              <w:pPr>
                <w:pStyle w:val="114"/>
              </w:pPr>
              <w:r>
                <w:t>-</w:t>
              </w:r>
              <w:r>
                <w:tab/>
              </w:r>
              <w:r>
                <w:t>本集团具有抵销已确认金额的法定权利，且该种法定权利是当前可执行的；</w:t>
              </w:r>
            </w:p>
            <w:p>
              <w:pPr>
                <w:pStyle w:val="114"/>
              </w:pPr>
              <w:r>
                <w:t>-</w:t>
              </w:r>
              <w:r>
                <w:tab/>
              </w:r>
              <w:r>
                <w:t>本集团计划以净额结算，或同时变现该金融资产和清偿该金融负债。</w:t>
              </w:r>
            </w:p>
            <w:p>
              <w:pPr>
                <w:pStyle w:val="114"/>
              </w:pPr>
              <w:r>
                <w:t> </w:t>
              </w:r>
            </w:p>
            <w:p>
              <w:pPr>
                <w:pStyle w:val="114"/>
              </w:pPr>
            </w:p>
            <w:p>
              <w:pPr>
                <w:pStyle w:val="114"/>
              </w:pPr>
              <w:r>
                <w:t>(5)</w:t>
              </w:r>
              <w:r>
                <w:tab/>
              </w:r>
              <w:r>
                <w:t>金融资产和金融负债的终止确认</w:t>
              </w:r>
            </w:p>
            <w:p>
              <w:pPr>
                <w:pStyle w:val="114"/>
              </w:pPr>
            </w:p>
            <w:p>
              <w:pPr>
                <w:pStyle w:val="114"/>
              </w:pPr>
              <w:r>
                <w:rPr>
                  <w:rFonts w:hint="eastAsia"/>
                </w:rPr>
                <w:t>满足下列条件之一时，本集团终止确认该金融资产：</w:t>
              </w:r>
            </w:p>
            <w:p>
              <w:pPr>
                <w:pStyle w:val="114"/>
              </w:pPr>
            </w:p>
            <w:p>
              <w:pPr>
                <w:pStyle w:val="114"/>
              </w:pPr>
              <w:r>
                <w:t>-</w:t>
              </w:r>
              <w:r>
                <w:tab/>
              </w:r>
              <w:r>
                <w:t>收取该金融资产现金流量的合同权利终止；</w:t>
              </w:r>
            </w:p>
            <w:p>
              <w:pPr>
                <w:pStyle w:val="114"/>
              </w:pPr>
              <w:r>
                <w:t>-</w:t>
              </w:r>
              <w:r>
                <w:tab/>
              </w:r>
              <w:r>
                <w:t>该金融资产已转移，且本集团将金融资产所有权上几乎所有的风险和报酬转移给转入方；</w:t>
              </w:r>
            </w:p>
            <w:p>
              <w:pPr>
                <w:pStyle w:val="114"/>
              </w:pPr>
              <w:r>
                <w:t>-</w:t>
              </w:r>
              <w:r>
                <w:tab/>
              </w:r>
              <w:r>
                <w:t>该金融资产已转移，虽然本集团既没有转移也没有保留金融资产所有权上几乎所有的风险和报酬，但是未保留对该金融资产的控制。</w:t>
              </w:r>
            </w:p>
            <w:p>
              <w:pPr>
                <w:pStyle w:val="114"/>
              </w:pPr>
            </w:p>
            <w:p>
              <w:pPr>
                <w:pStyle w:val="114"/>
              </w:pPr>
              <w:r>
                <w:rPr>
                  <w:rFonts w:hint="eastAsia"/>
                </w:rPr>
                <w:t>金融资产转移整体满足终止确认条件的，本集团将下列两项金额的差额计入当期损益：</w:t>
              </w:r>
            </w:p>
            <w:p>
              <w:pPr>
                <w:pStyle w:val="114"/>
              </w:pPr>
            </w:p>
            <w:p>
              <w:pPr>
                <w:pStyle w:val="114"/>
              </w:pPr>
              <w:r>
                <w:t>-</w:t>
              </w:r>
              <w:r>
                <w:tab/>
              </w:r>
              <w:r>
                <w:t>被转移金融资产在终止确认日的账面价值；</w:t>
              </w:r>
            </w:p>
            <w:p>
              <w:pPr>
                <w:pStyle w:val="114"/>
              </w:pPr>
              <w:r>
                <w:t>-</w:t>
              </w:r>
              <w:r>
                <w:tab/>
              </w:r>
              <w:r>
                <w:t>因转移金融资产而收到的对价，与原直接计入其他综合收益的公允价值变动累计额中对应终止确认部分的金额 (涉及转移的金融资产为以公允价值计量且其变动计入其他综合收益的债权投资) 之和。</w:t>
              </w:r>
            </w:p>
            <w:p>
              <w:pPr>
                <w:pStyle w:val="114"/>
              </w:pPr>
            </w:p>
            <w:p>
              <w:pPr>
                <w:pStyle w:val="114"/>
              </w:pPr>
              <w:r>
                <w:rPr>
                  <w:rFonts w:hint="eastAsia"/>
                </w:rPr>
                <w:t>金融负债</w:t>
              </w:r>
              <w:r>
                <w:t xml:space="preserve"> (或其一部分) 的现时义务已经解除的，本集团终止确认该金融负债 (或该部分金融负债) 。</w:t>
              </w:r>
            </w:p>
            <w:p>
              <w:pPr>
                <w:pStyle w:val="114"/>
              </w:pPr>
            </w:p>
            <w:p>
              <w:pPr>
                <w:pStyle w:val="114"/>
              </w:pPr>
              <w:r>
                <w:t>(6)</w:t>
              </w:r>
              <w:r>
                <w:tab/>
              </w:r>
              <w:r>
                <w:t>减值</w:t>
              </w:r>
            </w:p>
            <w:p>
              <w:pPr>
                <w:pStyle w:val="114"/>
              </w:pPr>
            </w:p>
            <w:p>
              <w:pPr>
                <w:pStyle w:val="114"/>
              </w:pPr>
              <w:r>
                <w:rPr>
                  <w:rFonts w:hint="eastAsia"/>
                </w:rPr>
                <w:t>本集团以预期信用损失为基础，对下列项目进行减值会计处理并确认损失准备：</w:t>
              </w:r>
            </w:p>
            <w:p>
              <w:pPr>
                <w:pStyle w:val="114"/>
              </w:pPr>
            </w:p>
            <w:p>
              <w:pPr>
                <w:pStyle w:val="114"/>
              </w:pPr>
              <w:r>
                <w:t>-</w:t>
              </w:r>
              <w:r>
                <w:tab/>
              </w:r>
              <w:r>
                <w:t>以摊余成本计量的金融资产；</w:t>
              </w:r>
            </w:p>
            <w:p>
              <w:pPr>
                <w:pStyle w:val="114"/>
              </w:pPr>
              <w:r>
                <w:t>-</w:t>
              </w:r>
              <w:r>
                <w:tab/>
              </w:r>
              <w:r>
                <w:t>合同资产</w:t>
              </w:r>
            </w:p>
            <w:p>
              <w:pPr>
                <w:pStyle w:val="114"/>
              </w:pPr>
              <w:r>
                <w:t>-</w:t>
              </w:r>
              <w:r>
                <w:tab/>
              </w:r>
              <w:r>
                <w:t>租赁应收款。</w:t>
              </w:r>
            </w:p>
            <w:p>
              <w:pPr>
                <w:pStyle w:val="114"/>
              </w:pPr>
            </w:p>
            <w:p>
              <w:pPr>
                <w:pStyle w:val="114"/>
              </w:pPr>
              <w:r>
                <w:rPr>
                  <w:rFonts w:hint="eastAsia"/>
                </w:rPr>
                <w:t>本集团持有的其他以公允价值计量的金融资产不适用预期信用损失模型，包括以公允价值计量且其变动计入当期损益的权益工具投资，指定为以公允价值计量且其变动计入其他综合收益的权益工具投资。</w:t>
              </w:r>
            </w:p>
            <w:p>
              <w:pPr>
                <w:pStyle w:val="114"/>
              </w:pPr>
            </w:p>
            <w:p>
              <w:pPr>
                <w:pStyle w:val="114"/>
              </w:pPr>
              <w:r>
                <w:t xml:space="preserve"> </w:t>
              </w:r>
            </w:p>
            <w:p>
              <w:pPr>
                <w:pStyle w:val="114"/>
              </w:pPr>
              <w:r>
                <w:rPr>
                  <w:rFonts w:hint="eastAsia"/>
                </w:rPr>
                <w:t>预期信用损失的计量</w:t>
              </w:r>
            </w:p>
            <w:p>
              <w:pPr>
                <w:pStyle w:val="114"/>
              </w:pPr>
            </w:p>
            <w:p>
              <w:pPr>
                <w:pStyle w:val="114"/>
              </w:pPr>
              <w:r>
                <w:rPr>
                  <w:rFonts w:hint="eastAsia"/>
                </w:rPr>
                <w:t>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pPr>
                <w:pStyle w:val="114"/>
              </w:pPr>
            </w:p>
            <w:p>
              <w:pPr>
                <w:pStyle w:val="114"/>
              </w:pPr>
              <w:r>
                <w:rPr>
                  <w:rFonts w:hint="eastAsia"/>
                </w:rPr>
                <w:t>在计量预期信用损失时，本集团需考虑的最长期限为企业面临信用风险的最长合同期限</w:t>
              </w:r>
              <w:r>
                <w:t xml:space="preserve"> (包括考虑续约选择权) 。</w:t>
              </w:r>
            </w:p>
            <w:p>
              <w:pPr>
                <w:pStyle w:val="114"/>
              </w:pPr>
            </w:p>
            <w:p>
              <w:pPr>
                <w:pStyle w:val="114"/>
              </w:pPr>
              <w:r>
                <w:rPr>
                  <w:rFonts w:hint="eastAsia"/>
                </w:rPr>
                <w:t>整个存续期预期信用损失，是指因金融工具整个预计存续期内所有可能发生的违约事件而导致的预期信用损失。</w:t>
              </w:r>
            </w:p>
            <w:p>
              <w:pPr>
                <w:pStyle w:val="114"/>
              </w:pPr>
            </w:p>
            <w:p>
              <w:pPr>
                <w:pStyle w:val="114"/>
              </w:pPr>
              <w:r>
                <w:rPr>
                  <w:rFonts w:hint="eastAsia"/>
                </w:rPr>
                <w:t>未来</w:t>
              </w:r>
              <w:r>
                <w:t>12个月内预期信用损失，是指因资产负债表日后12个月内 (若金融工具的预计存续期少于12个月，则为预计存续期) 可能发生的金融工具违约事件而导致的预期信用损失，是整个存续期预期信用损失的一部分。</w:t>
              </w:r>
            </w:p>
            <w:p>
              <w:pPr>
                <w:pStyle w:val="114"/>
              </w:pPr>
            </w:p>
            <w:p>
              <w:pPr>
                <w:pStyle w:val="114"/>
              </w:pPr>
              <w:r>
                <w:rPr>
                  <w:rFonts w:hint="eastAsia"/>
                </w:rPr>
                <w:t>对于应收账款和租赁应收款，本集团始终按照相当于整个存续期内预期信用损失的金额计量其损失准备。本集团基于历史信用损失经验、使用准备矩阵计算上述金融资产的预期信用损失，相关历史经验根据资产负债表日借款人的特定因素、以及对当前状况和未来经济状况预测的评估进行调整。</w:t>
              </w:r>
            </w:p>
            <w:p>
              <w:pPr>
                <w:pStyle w:val="114"/>
              </w:pPr>
            </w:p>
            <w:p>
              <w:pPr>
                <w:pStyle w:val="114"/>
              </w:pPr>
              <w:r>
                <w:rPr>
                  <w:rFonts w:hint="eastAsia"/>
                </w:rPr>
                <w:t>除应收账款和租赁应收款外，本集团对满足下列情形的金融工具按照相当于未来</w:t>
              </w:r>
              <w:r>
                <w:t>12个月内预期信用损失的金额计量其损失准备，对其他金融工具按照相当于整个存续期内预期信用损失的金额计量其损失准备：</w:t>
              </w:r>
            </w:p>
            <w:p>
              <w:pPr>
                <w:pStyle w:val="114"/>
              </w:pPr>
            </w:p>
            <w:p>
              <w:pPr>
                <w:pStyle w:val="114"/>
              </w:pPr>
              <w:r>
                <w:t>-</w:t>
              </w:r>
              <w:r>
                <w:tab/>
              </w:r>
              <w:r>
                <w:t>该金融工具在资产负债表日只具有较低的信用风险；或</w:t>
              </w:r>
            </w:p>
            <w:p>
              <w:pPr>
                <w:pStyle w:val="114"/>
              </w:pPr>
              <w:r>
                <w:t>-</w:t>
              </w:r>
              <w:r>
                <w:tab/>
              </w:r>
              <w:r>
                <w:t>该金融工具的信用风险自初始确认后并未显着增加。</w:t>
              </w:r>
            </w:p>
            <w:p>
              <w:pPr>
                <w:pStyle w:val="114"/>
              </w:pPr>
            </w:p>
            <w:p>
              <w:pPr>
                <w:pStyle w:val="114"/>
              </w:pPr>
              <w:r>
                <w:rPr>
                  <w:rFonts w:hint="eastAsia"/>
                </w:rPr>
                <w:t>具有较低的信用风险</w:t>
              </w:r>
            </w:p>
            <w:p>
              <w:pPr>
                <w:pStyle w:val="114"/>
              </w:pPr>
            </w:p>
            <w:p>
              <w:pPr>
                <w:pStyle w:val="114"/>
              </w:pPr>
              <w:r>
                <w:rPr>
                  <w:rFonts w:hint="eastAsia"/>
                </w:rPr>
                <w:t>如果金融工具的违约风险较低，借款人在短期内履行其合同现金流量义务的能力很强，并且即便较长时期内经济形势和经营环境存在不利变化但未必一定降低借款人履行其合同现金流量义务的能力，该金融工具被视为具有较低的信用风险。</w:t>
              </w:r>
            </w:p>
            <w:p>
              <w:pPr>
                <w:pStyle w:val="114"/>
              </w:pPr>
            </w:p>
            <w:p>
              <w:pPr>
                <w:pStyle w:val="114"/>
              </w:pPr>
              <w:r>
                <w:rPr>
                  <w:rFonts w:hint="eastAsia"/>
                </w:rPr>
                <w:t>信用风险显着增加</w:t>
              </w:r>
            </w:p>
            <w:p>
              <w:pPr>
                <w:pStyle w:val="114"/>
              </w:pPr>
            </w:p>
            <w:p>
              <w:pPr>
                <w:pStyle w:val="114"/>
              </w:pPr>
              <w:r>
                <w:rPr>
                  <w:rFonts w:hint="eastAsia"/>
                </w:rPr>
                <w:t>本集团通过比较金融工具在资产负债表日发生违约的风险与在初始确认日发生违约的风险，以确定金融工具预计存续期内发生违约风险的相对变化，以评估金融工具的信用风险自初始确认后是否已显着增加。</w:t>
              </w:r>
            </w:p>
            <w:p>
              <w:pPr>
                <w:pStyle w:val="114"/>
              </w:pPr>
              <w:r>
                <w:t> </w:t>
              </w:r>
            </w:p>
            <w:p>
              <w:pPr>
                <w:pStyle w:val="114"/>
              </w:pPr>
              <w:r>
                <w:rPr>
                  <w:rFonts w:hint="eastAsia"/>
                </w:rPr>
                <w:t>在确定信用风险自初始确认后是否显着增加时，本集团考虑无须付出不必要的额外成本或努力即可获得的合理且有依据的信息，包括前瞻性信息。本集团考虑的信息包括：</w:t>
              </w:r>
            </w:p>
            <w:p>
              <w:pPr>
                <w:pStyle w:val="114"/>
              </w:pPr>
            </w:p>
            <w:p>
              <w:pPr>
                <w:pStyle w:val="114"/>
              </w:pPr>
              <w:r>
                <w:t>-</w:t>
              </w:r>
              <w:r>
                <w:tab/>
              </w:r>
              <w:r>
                <w:t>债务人未能按合同到期日支付本金和利息的情况；</w:t>
              </w:r>
            </w:p>
            <w:p>
              <w:pPr>
                <w:pStyle w:val="114"/>
              </w:pPr>
              <w:r>
                <w:t>-</w:t>
              </w:r>
              <w:r>
                <w:tab/>
              </w:r>
              <w:r>
                <w:t xml:space="preserve">已发生的或预期的金融工具的外部或内部信用评级 (如有) 的严重恶化； </w:t>
              </w:r>
            </w:p>
            <w:p>
              <w:pPr>
                <w:pStyle w:val="114"/>
              </w:pPr>
              <w:r>
                <w:t>-</w:t>
              </w:r>
              <w:r>
                <w:tab/>
              </w:r>
              <w:r>
                <w:t>已发生的或预期的债务人经营成果的严重恶化；</w:t>
              </w:r>
            </w:p>
            <w:p>
              <w:pPr>
                <w:pStyle w:val="114"/>
              </w:pPr>
              <w:r>
                <w:t>-</w:t>
              </w:r>
              <w:r>
                <w:tab/>
              </w:r>
              <w:r>
                <w:t>现存的或预期的技术、市场、经济或法律环境变化，并将对债务人对本集团的还款能力产生重大不利影响。</w:t>
              </w:r>
            </w:p>
            <w:p>
              <w:pPr>
                <w:pStyle w:val="114"/>
              </w:pPr>
            </w:p>
            <w:p>
              <w:pPr>
                <w:pStyle w:val="114"/>
              </w:pPr>
              <w:r>
                <w:rPr>
                  <w:rFonts w:hint="eastAsia"/>
                </w:rPr>
                <w:t>根据金融工具的性质，本集团以单项金融工具或金融工具组合为基础评估信用风险是否显着增加。以金融工具组合为基础进行评估时，本集团可基于共同信用风险特征对金融工具进行分类，例如逾期信息和信用风险评级。</w:t>
              </w:r>
            </w:p>
            <w:p>
              <w:pPr>
                <w:pStyle w:val="114"/>
              </w:pPr>
            </w:p>
            <w:p>
              <w:pPr>
                <w:pStyle w:val="114"/>
              </w:pPr>
              <w:r>
                <w:rPr>
                  <w:rFonts w:hint="eastAsia"/>
                </w:rPr>
                <w:t>已发生信用减值的金融资产</w:t>
              </w:r>
            </w:p>
            <w:p>
              <w:pPr>
                <w:pStyle w:val="114"/>
              </w:pPr>
            </w:p>
            <w:p>
              <w:pPr>
                <w:pStyle w:val="114"/>
              </w:pPr>
              <w:r>
                <w:rPr>
                  <w:rFonts w:hint="eastAsia"/>
                </w:rPr>
                <w:t>本集团在资产负债表日评估以摊余成本计量的金融资产和以公允价值计量且其变动计入其他综合收益的债权投资是否已发生信用减值。当对金融资产预期未来现金流量具有不利影响的一项或多项事件发生时，该金融资产成为已发生信用减值的金融资产。金融资产已发生信用减值的证据包括下列可观察信息：</w:t>
              </w:r>
            </w:p>
            <w:p>
              <w:pPr>
                <w:pStyle w:val="114"/>
              </w:pPr>
            </w:p>
            <w:p>
              <w:pPr>
                <w:pStyle w:val="114"/>
              </w:pPr>
              <w:r>
                <w:t>-</w:t>
              </w:r>
              <w:r>
                <w:tab/>
              </w:r>
              <w:r>
                <w:t>发行方或债务人发生重大财务困难；</w:t>
              </w:r>
            </w:p>
            <w:p>
              <w:pPr>
                <w:pStyle w:val="114"/>
              </w:pPr>
              <w:r>
                <w:t>-</w:t>
              </w:r>
              <w:r>
                <w:tab/>
              </w:r>
              <w:r>
                <w:t>债务人违反合同，如偿付利息或本金违约或逾期等；</w:t>
              </w:r>
            </w:p>
            <w:p>
              <w:pPr>
                <w:pStyle w:val="114"/>
              </w:pPr>
              <w:r>
                <w:t>-</w:t>
              </w:r>
              <w:r>
                <w:tab/>
              </w:r>
              <w:r>
                <w:t>本集团出于与债务人财务困难有关的经济或合同考虑，给予债务人在任何其他情况下都不会做出的让步；</w:t>
              </w:r>
            </w:p>
            <w:p>
              <w:pPr>
                <w:pStyle w:val="114"/>
              </w:pPr>
              <w:r>
                <w:t>-</w:t>
              </w:r>
              <w:r>
                <w:tab/>
              </w:r>
              <w:r>
                <w:t>债务人很可能破产或进行其他财务重组；</w:t>
              </w:r>
            </w:p>
            <w:p>
              <w:pPr>
                <w:pStyle w:val="114"/>
              </w:pPr>
              <w:r>
                <w:t>-</w:t>
              </w:r>
              <w:r>
                <w:tab/>
              </w:r>
              <w:r>
                <w:t>发行方或债务人财务困难导致该金融资产的活跃市场消失。</w:t>
              </w:r>
            </w:p>
            <w:p>
              <w:pPr>
                <w:pStyle w:val="114"/>
              </w:pPr>
            </w:p>
            <w:p>
              <w:pPr>
                <w:pStyle w:val="114"/>
              </w:pPr>
              <w:r>
                <w:rPr>
                  <w:rFonts w:hint="eastAsia"/>
                </w:rPr>
                <w:t>预期信用损失准备的列报</w:t>
              </w:r>
            </w:p>
            <w:p>
              <w:pPr>
                <w:pStyle w:val="114"/>
              </w:pPr>
            </w:p>
            <w:p>
              <w:pPr>
                <w:pStyle w:val="114"/>
              </w:pPr>
              <w:r>
                <w:rPr>
                  <w:rFonts w:hint="eastAsia"/>
                </w:rPr>
                <w:t>为反映金融工具的信用风险自初始确认后的变化，本集团在每个资产负债表日重新计量预期信用损失，由此形成的损失准备的增加或转回金额，应当作为减值损失或利得计入当期损益。对于以摊余成本计量的金融资产，损失准备抵减该金融资产在资产负债表中列示的账面价值；对于以公允价值计量且其变动计入其他综合收益的债权投资，本集团在其他综合收益中确认其损失准备，不抵减该金融资产的账面价值。</w:t>
              </w:r>
            </w:p>
            <w:p>
              <w:pPr>
                <w:pStyle w:val="114"/>
              </w:pPr>
            </w:p>
            <w:p>
              <w:pPr>
                <w:pStyle w:val="114"/>
              </w:pPr>
              <w:r>
                <w:t xml:space="preserve"> </w:t>
              </w:r>
            </w:p>
            <w:p>
              <w:pPr>
                <w:pStyle w:val="114"/>
              </w:pPr>
              <w:r>
                <w:rPr>
                  <w:rFonts w:hint="eastAsia"/>
                </w:rPr>
                <w:t>核销</w:t>
              </w:r>
            </w:p>
            <w:p>
              <w:pPr>
                <w:pStyle w:val="114"/>
              </w:pPr>
            </w:p>
            <w:p>
              <w:pPr>
                <w:pStyle w:val="114"/>
              </w:pPr>
              <w:r>
                <w:rPr>
                  <w:rFonts w:hint="eastAsia"/>
                </w:rPr>
                <w:t>如果本集团不再合理预期金融资产合同现金流量能够全部或部分收回，则直接减记该金融资产的账面余额。这种减记构成相关金融资产的终止确认。这种情况通常发生在本集团确定债务人没有资产或收入来源可产生足够的现金流量以偿还将被减记的金额。但是，被减记的金融资产仍可能受到本集团催收到期款项相关执行活动的影响。</w:t>
              </w:r>
            </w:p>
            <w:p>
              <w:pPr>
                <w:pStyle w:val="114"/>
              </w:pPr>
            </w:p>
            <w:p>
              <w:pPr>
                <w:pStyle w:val="114"/>
              </w:pPr>
              <w:r>
                <w:rPr>
                  <w:rFonts w:hint="eastAsia"/>
                </w:rPr>
                <w:t>已减记的金融资产以后又收回的，作为减值损失的转回计入收回当期的损益。</w:t>
              </w:r>
            </w:p>
            <w:p>
              <w:pPr>
                <w:pStyle w:val="114"/>
              </w:pPr>
            </w:p>
            <w:p>
              <w:pPr>
                <w:pStyle w:val="114"/>
              </w:pPr>
              <w:r>
                <w:t>(7）</w:t>
              </w:r>
              <w:r>
                <w:tab/>
              </w:r>
              <w:r>
                <w:t>权益工具</w:t>
              </w:r>
            </w:p>
            <w:p>
              <w:pPr>
                <w:pStyle w:val="114"/>
              </w:pPr>
            </w:p>
            <w:p>
              <w:pPr>
                <w:pStyle w:val="114"/>
              </w:pPr>
              <w:r>
                <w:rPr>
                  <w:rFonts w:hint="eastAsia"/>
                </w:rPr>
                <w:t>本公司发行权益工具收到的对价扣除交易费用后，计入股东权益。回购本公司权益工具支付的对价和交易费用，减少股东权益。</w:t>
              </w:r>
            </w:p>
          </w:sdtContent>
        </w:sdt>
      </w:sdtContent>
    </w:sdt>
    <w:p>
      <w:pPr>
        <w:pStyle w:val="114"/>
      </w:pPr>
    </w:p>
    <w:sdt>
      <w:sdtPr>
        <w:rPr>
          <w:rFonts w:hint="eastAsia" w:ascii="宋体" w:hAnsi="宋体" w:cs="宋体"/>
          <w:b w:val="0"/>
          <w:bCs w:val="0"/>
          <w:kern w:val="0"/>
          <w:szCs w:val="21"/>
        </w:rPr>
        <w:alias w:val="模块:应收票据应收票据的预期信用损失的确定方法及会计处理方法"/>
        <w:tag w:val="_SEC_fe6dfe1a730f4d3183b25ca057cb8f6a"/>
        <w:id w:val="-791589404"/>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r>
            <w:rPr>
              <w:rFonts w:hint="eastAsia" w:ascii="宋体" w:hAnsi="宋体"/>
              <w:szCs w:val="21"/>
            </w:rPr>
            <w:t>应收票据</w:t>
          </w:r>
        </w:p>
        <w:p>
          <w:pPr>
            <w:pStyle w:val="5"/>
            <w:rPr>
              <w:rFonts w:ascii="宋体" w:hAnsi="宋体"/>
            </w:rPr>
          </w:pPr>
          <w:r>
            <w:rPr>
              <w:rFonts w:hint="eastAsia" w:ascii="宋体" w:hAnsi="宋体"/>
            </w:rPr>
            <w:t>应收票据的预期信用损失的确定方法及会计处理方法</w:t>
          </w:r>
        </w:p>
        <w:sdt>
          <w:sdtPr>
            <w:alias w:val="是否适用：应收票据的预期信用损失的确定方法及会计处理方法[双击切换]"/>
            <w:tag w:val="_GBC_ba8bc88e72f44e2da5528a3b21ae6dd5"/>
            <w:id w:val="-7475032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应收账款应收账款的预期信用损失的确定方法及会计处理方法"/>
        <w:tag w:val="_SEC_6a9a70c8b5914d5d85ea9b8f86eb6ec8"/>
        <w:id w:val="236827945"/>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r>
            <w:rPr>
              <w:rFonts w:hint="eastAsia" w:ascii="宋体" w:hAnsi="宋体"/>
              <w:szCs w:val="21"/>
            </w:rPr>
            <w:t>应收账款</w:t>
          </w:r>
        </w:p>
        <w:p>
          <w:pPr>
            <w:pStyle w:val="5"/>
            <w:rPr>
              <w:rFonts w:ascii="宋体" w:hAnsi="宋体"/>
              <w:szCs w:val="21"/>
            </w:rPr>
          </w:pPr>
          <w:r>
            <w:rPr>
              <w:rFonts w:hint="eastAsia" w:ascii="宋体" w:hAnsi="宋体"/>
              <w:szCs w:val="21"/>
            </w:rPr>
            <w:t>应收账款的预期信用损失的确定方法及会计处理方法</w:t>
          </w:r>
        </w:p>
        <w:sdt>
          <w:sdtPr>
            <w:alias w:val="是否适用：应收账款的预期信用损失的确定方法及会计处理方法[双击切换]"/>
            <w:tag w:val="_GBC_85321f727b7446de9dc351948c740baa"/>
            <w:id w:val="19542844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应收款项融资"/>
        <w:tag w:val="_SEC_6779da9334294ce2a6d1ffc1b4a6e588"/>
        <w:id w:val="1899711593"/>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rPr>
          </w:pPr>
          <w:r>
            <w:rPr>
              <w:rFonts w:hint="eastAsia" w:ascii="宋体" w:hAnsi="宋体"/>
            </w:rPr>
            <w:t>应收款项融资</w:t>
          </w:r>
        </w:p>
        <w:sdt>
          <w:sdtPr>
            <w:alias w:val="是否适用：应收款项融资_重要会计政策和估计[双击切换]"/>
            <w:tag w:val="_GBC_02210df6587d4e47b6149386c3665a46"/>
            <w:id w:val="950435323"/>
            <w:lock w:val="sdtLocked"/>
            <w:placeholder>
              <w:docPart w:val="GBC22222222222222222222222222222"/>
            </w:placeholder>
          </w:sdtPr>
          <w:sdtContent>
            <w:p>
              <w:pPr>
                <w:pStyle w:val="114"/>
              </w:pPr>
              <w:bookmarkStart w:id="112" w:name="_Hlk1167562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12"/>
    <w:p>
      <w:pPr>
        <w:pStyle w:val="114"/>
      </w:pPr>
    </w:p>
    <w:sdt>
      <w:sdtPr>
        <w:rPr>
          <w:rFonts w:hint="eastAsia" w:ascii="宋体" w:hAnsi="宋体" w:cs="宋体"/>
          <w:b w:val="0"/>
          <w:bCs w:val="0"/>
          <w:kern w:val="0"/>
          <w:szCs w:val="24"/>
        </w:rPr>
        <w:alias w:val="模块:其他应收款"/>
        <w:tag w:val="_SEC_225822c587b74cc6b807038a0533c4e3"/>
        <w:id w:val="57585916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bookmarkStart w:id="113" w:name="_Hlk10465124"/>
          <w:r>
            <w:rPr>
              <w:rFonts w:hint="eastAsia" w:ascii="宋体" w:hAnsi="宋体"/>
            </w:rPr>
            <w:t>其他应收款</w:t>
          </w:r>
        </w:p>
        <w:p>
          <w:pPr>
            <w:pStyle w:val="5"/>
            <w:rPr>
              <w:rFonts w:ascii="宋体" w:hAnsi="宋体"/>
            </w:rPr>
          </w:pPr>
          <w:r>
            <w:rPr>
              <w:rFonts w:hint="eastAsia" w:ascii="宋体" w:hAnsi="宋体"/>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120624570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13"/>
    <w:sdt>
      <w:sdtPr>
        <w:rPr>
          <w:rFonts w:ascii="宋体" w:hAnsi="宋体" w:cstheme="minorBidi"/>
          <w:b w:val="0"/>
          <w:bCs w:val="0"/>
          <w:kern w:val="0"/>
          <w:szCs w:val="22"/>
        </w:rPr>
        <w:alias w:val="模块:存货"/>
        <w:tag w:val="_GBC_b0f90fdf6c7749dbb9bd3cde55d5c0c3"/>
        <w:id w:val="-1563103464"/>
        <w:lock w:val="sdtLocked"/>
        <w:placeholder>
          <w:docPart w:val="GBC22222222222222222222222222222"/>
        </w:placeholder>
      </w:sdtPr>
      <w:sdtEndPr>
        <w:rPr>
          <w:rFonts w:ascii="宋体" w:hAnsi="宋体" w:cs="Times New Roman"/>
          <w:b w:val="0"/>
          <w:bCs w:val="0"/>
          <w:kern w:val="0"/>
          <w:szCs w:val="21"/>
        </w:rPr>
      </w:sdtEndPr>
      <w:sdtContent>
        <w:p>
          <w:pPr>
            <w:pStyle w:val="4"/>
            <w:numPr>
              <w:ilvl w:val="0"/>
              <w:numId w:val="41"/>
            </w:numPr>
            <w:rPr>
              <w:rFonts w:ascii="宋体" w:hAnsi="宋体"/>
            </w:rPr>
          </w:pPr>
          <w:r>
            <w:rPr>
              <w:rFonts w:ascii="宋体" w:hAnsi="宋体"/>
            </w:rPr>
            <w:t>存货</w:t>
          </w:r>
        </w:p>
        <w:sdt>
          <w:sdtPr>
            <w:alias w:val="是否适用：存货_重要会计政策和估计[双击切换]"/>
            <w:tag w:val="_GBC_5c493df9664440ecbc3f3fa5d917221a"/>
            <w:id w:val="68973030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核算方法"/>
            <w:tag w:val="_GBC_553fb8cba06d4979b05ae3dabe788fa6"/>
            <w:id w:val="1749145645"/>
            <w:lock w:val="sdtLocked"/>
            <w:placeholder>
              <w:docPart w:val="GBC22222222222222222222222222222"/>
            </w:placeholder>
          </w:sdtPr>
          <w:sdtContent>
            <w:p>
              <w:pPr>
                <w:pStyle w:val="114"/>
              </w:pPr>
              <w:r>
                <w:t>(1）</w:t>
              </w:r>
              <w:r>
                <w:tab/>
              </w:r>
              <w:r>
                <w:t>存货的分类和成本</w:t>
              </w:r>
            </w:p>
            <w:p>
              <w:pPr>
                <w:pStyle w:val="114"/>
              </w:pPr>
            </w:p>
            <w:p>
              <w:pPr>
                <w:pStyle w:val="114"/>
              </w:pPr>
              <w:r>
                <w:rPr>
                  <w:rFonts w:hint="eastAsia"/>
                </w:rPr>
                <w:t>本集团的存货主要包括用于维修及保养高速公路的材料物资、用于销售的油品、房地产开发成本及房地产开发产品等。</w:t>
              </w:r>
            </w:p>
            <w:p>
              <w:pPr>
                <w:pStyle w:val="114"/>
              </w:pPr>
            </w:p>
            <w:p>
              <w:pPr>
                <w:pStyle w:val="114"/>
              </w:pPr>
              <w:r>
                <w:rPr>
                  <w:rFonts w:hint="eastAsia"/>
                </w:rPr>
                <w:t>存货按成本进行初始计量。房地产开发产品的成本包括土地出让金、基础配套设施支出、建筑安装工程支出、开发项目完工之前所发生的借款费用及开发过程中的其他相关费用。其他存货成本包括采购成本、加工成本和其他使存货达到目前场所和使用状态所发生的支出。</w:t>
              </w:r>
            </w:p>
            <w:p>
              <w:pPr>
                <w:pStyle w:val="114"/>
              </w:pPr>
            </w:p>
            <w:p>
              <w:pPr>
                <w:pStyle w:val="114"/>
              </w:pPr>
              <w:r>
                <w:t>(2）</w:t>
              </w:r>
              <w:r>
                <w:tab/>
              </w:r>
              <w:r>
                <w:t>发出存货的计价方法</w:t>
              </w:r>
            </w:p>
            <w:p>
              <w:pPr>
                <w:pStyle w:val="114"/>
              </w:pPr>
            </w:p>
            <w:p>
              <w:pPr>
                <w:pStyle w:val="114"/>
              </w:pPr>
              <w:r>
                <w:rPr>
                  <w:rFonts w:hint="eastAsia"/>
                </w:rPr>
                <w:t>存货发出时，房地产开发产品采用个别计价法确定其实际成本。其他存货采用先进先出法确定其实际成本。</w:t>
              </w:r>
            </w:p>
            <w:p>
              <w:pPr>
                <w:pStyle w:val="114"/>
              </w:pPr>
            </w:p>
            <w:p>
              <w:pPr>
                <w:pStyle w:val="114"/>
              </w:pPr>
              <w:r>
                <w:t>(3）</w:t>
              </w:r>
              <w:r>
                <w:tab/>
              </w:r>
              <w:r>
                <w:t>存货可变现净值的确定依据及存货跌价准备的计提方法</w:t>
              </w:r>
            </w:p>
            <w:p>
              <w:pPr>
                <w:pStyle w:val="114"/>
              </w:pPr>
            </w:p>
            <w:p>
              <w:pPr>
                <w:pStyle w:val="114"/>
              </w:pPr>
              <w:r>
                <w:rPr>
                  <w:rFonts w:hint="eastAsia"/>
                </w:rPr>
                <w:t>资产负债表日，存货按照成本与可变现净值孰低计量。</w:t>
              </w:r>
            </w:p>
            <w:p>
              <w:pPr>
                <w:pStyle w:val="114"/>
              </w:pPr>
            </w:p>
            <w:p>
              <w:pPr>
                <w:pStyle w:val="114"/>
              </w:pPr>
              <w:r>
                <w:rPr>
                  <w:rFonts w:hint="eastAsia"/>
                </w:rPr>
                <w:t>可变现净值，是指在日常活动中，存货的估计售价减去至完工时估计将要发生的成本、估计的销售费用以及相关税费后的金额。存货跌价准备按单项存货成本高于其可变现净值的差额计提。</w:t>
              </w:r>
            </w:p>
            <w:p>
              <w:pPr>
                <w:pStyle w:val="114"/>
              </w:pPr>
            </w:p>
            <w:p>
              <w:pPr>
                <w:pStyle w:val="114"/>
              </w:pPr>
              <w:r>
                <w:t>(4）</w:t>
              </w:r>
              <w:r>
                <w:tab/>
              </w:r>
              <w:r>
                <w:t>存货的盘存制度</w:t>
              </w:r>
            </w:p>
            <w:p>
              <w:pPr>
                <w:pStyle w:val="114"/>
              </w:pPr>
            </w:p>
            <w:p>
              <w:pPr>
                <w:rPr>
                  <w:rFonts w:cs="Times New Roman"/>
                </w:rPr>
              </w:pPr>
              <w:r>
                <w:rPr>
                  <w:rFonts w:hint="eastAsia"/>
                </w:rPr>
                <w:t>本集团存货的盘存制度为永续盘存制。</w:t>
              </w:r>
            </w:p>
          </w:sdtContent>
        </w:sdt>
      </w:sdtContent>
    </w:sdt>
    <w:p>
      <w:pPr>
        <w:rPr>
          <w:rFonts w:cs="Times New Roman"/>
        </w:rPr>
      </w:pPr>
    </w:p>
    <w:sdt>
      <w:sdtPr>
        <w:rPr>
          <w:rFonts w:hint="eastAsia" w:ascii="宋体" w:hAnsi="宋体" w:cs="宋体"/>
          <w:b w:val="0"/>
          <w:bCs w:val="0"/>
          <w:kern w:val="0"/>
          <w:szCs w:val="21"/>
        </w:rPr>
        <w:alias w:val="模块:合同资产"/>
        <w:tag w:val="_SEC_c8278ca8e95a4a1fb97258ed9c2842ff"/>
        <w:id w:val="-1261834879"/>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bookmarkStart w:id="114" w:name="_Hlk10465202"/>
          <w:r>
            <w:rPr>
              <w:rFonts w:hint="eastAsia" w:ascii="宋体" w:hAnsi="宋体"/>
              <w:szCs w:val="21"/>
            </w:rPr>
            <w:t>合同资产</w:t>
          </w:r>
        </w:p>
        <w:p>
          <w:pPr>
            <w:pStyle w:val="5"/>
            <w:numPr>
              <w:ilvl w:val="0"/>
              <w:numId w:val="42"/>
            </w:numPr>
            <w:rPr>
              <w:rFonts w:ascii="宋体" w:hAnsi="宋体"/>
              <w:szCs w:val="21"/>
            </w:rPr>
          </w:pPr>
          <w:r>
            <w:rPr>
              <w:rFonts w:hint="eastAsia" w:ascii="宋体" w:hAnsi="宋体"/>
              <w:szCs w:val="21"/>
            </w:rPr>
            <w:t>合同资产的确认方法及标准</w:t>
          </w:r>
        </w:p>
        <w:sdt>
          <w:sdtPr>
            <w:alias w:val="是否适用：合同资产的确定方法、摊销方法和减值测试方法[双击切换]"/>
            <w:tag w:val="_GBC_9daae386f9a94543beb70aace93dc36d"/>
            <w:id w:val="-79097833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14"/>
    <w:sdt>
      <w:sdtPr>
        <w:rPr>
          <w:rFonts w:hint="eastAsia" w:ascii="宋体" w:hAnsi="宋体" w:cs="宋体"/>
          <w:b w:val="0"/>
          <w:bCs w:val="0"/>
          <w:kern w:val="0"/>
          <w:szCs w:val="21"/>
        </w:rPr>
        <w:alias w:val="模块:合同资产预期信用损失的确定方法及会计处理方法"/>
        <w:tag w:val="_SEC_c2bb2c97fdb4423db069686155694c4c"/>
        <w:id w:val="-204373514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42"/>
            </w:numPr>
            <w:rPr>
              <w:rFonts w:ascii="宋体" w:hAnsi="宋体"/>
              <w:szCs w:val="21"/>
            </w:rPr>
          </w:pPr>
          <w:bookmarkStart w:id="115" w:name="_Hlk10465245"/>
          <w:bookmarkStart w:id="116" w:name="_Hlk10465255"/>
          <w:r>
            <w:rPr>
              <w:rFonts w:hint="eastAsia" w:ascii="宋体" w:hAnsi="宋体"/>
              <w:szCs w:val="21"/>
            </w:rPr>
            <w:t>合同资产预期信用损失的确定方法及会计处理方法</w:t>
          </w:r>
          <w:bookmarkEnd w:id="115"/>
        </w:p>
        <w:sdt>
          <w:sdtPr>
            <w:alias w:val="是否适用：合同资产预期信用损失的确定方法及会计处理方法[双击切换]"/>
            <w:tag w:val="_GBC_c1227cf6e2f0432a85c32b611a40fa7f"/>
            <w:id w:val="-55878568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16"/>
    <w:sdt>
      <w:sdtPr>
        <w:rPr>
          <w:rFonts w:hint="eastAsia" w:ascii="宋体" w:hAnsi="宋体" w:cs="宋体"/>
          <w:b w:val="0"/>
          <w:bCs w:val="0"/>
          <w:kern w:val="0"/>
          <w:szCs w:val="21"/>
        </w:rPr>
        <w:alias w:val="模块:划分为持有待售资产"/>
        <w:tag w:val="_GBC_a1a86a762feb43c3bed478ce8a19ae7c"/>
        <w:id w:val="195235521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szCs w:val="21"/>
            </w:rPr>
          </w:pPr>
          <w:bookmarkStart w:id="117" w:name="_Hlk10465310"/>
          <w:r>
            <w:rPr>
              <w:rFonts w:hint="eastAsia" w:ascii="宋体" w:hAnsi="宋体"/>
            </w:rPr>
            <w:t>持有</w:t>
          </w:r>
          <w:r>
            <w:rPr>
              <w:rFonts w:hint="eastAsia" w:ascii="宋体" w:hAnsi="宋体"/>
              <w:szCs w:val="21"/>
            </w:rPr>
            <w:t>待售资产</w:t>
          </w:r>
        </w:p>
        <w:sdt>
          <w:sdtPr>
            <w:rPr>
              <w:rFonts w:hint="eastAsia"/>
            </w:rPr>
            <w:alias w:val="是否适用：划分为持有待售资产_重要会计政策和估计[双击切换]"/>
            <w:tag w:val="_GBC_7d21fae1fb15414bac10a5567ebb7aca"/>
            <w:id w:val="204285624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债权投资"/>
        <w:tag w:val="_SEC_64972cc74e5349aa855fec98c6609582"/>
        <w:id w:val="1176147973"/>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r>
            <w:rPr>
              <w:rFonts w:hint="eastAsia" w:ascii="宋体" w:hAnsi="宋体"/>
              <w:szCs w:val="21"/>
            </w:rPr>
            <w:t>债权投资</w:t>
          </w:r>
        </w:p>
        <w:p>
          <w:pPr>
            <w:pStyle w:val="5"/>
            <w:rPr>
              <w:rFonts w:ascii="宋体" w:hAnsi="宋体"/>
            </w:rPr>
          </w:pPr>
          <w:r>
            <w:rPr>
              <w:rFonts w:hint="eastAsia" w:ascii="宋体" w:hAnsi="宋体"/>
            </w:rPr>
            <w:t>债权投资预期信用损失的确定方法及会计处理方法</w:t>
          </w:r>
        </w:p>
        <w:sdt>
          <w:sdtPr>
            <w:alias w:val="是否适用：债权投资预期信用损失的确定方法及会计处理方法[双击切换]"/>
            <w:tag w:val="_GBC_acf0a46e8a8248e9a7f548194ba5ca2d"/>
            <w:id w:val="-53188071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17"/>
    <w:sdt>
      <w:sdtPr>
        <w:rPr>
          <w:rFonts w:hint="eastAsia" w:ascii="宋体" w:hAnsi="宋体" w:cs="宋体"/>
          <w:b w:val="0"/>
          <w:bCs w:val="0"/>
          <w:kern w:val="0"/>
          <w:szCs w:val="21"/>
        </w:rPr>
        <w:alias w:val="模块:其他债权投资"/>
        <w:tag w:val="_SEC_41586dd479b54f07aeed675230b384c8"/>
        <w:id w:val="-151441939"/>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bookmarkStart w:id="118" w:name="_Hlk10465347"/>
          <w:r>
            <w:rPr>
              <w:rFonts w:hint="eastAsia" w:ascii="宋体" w:hAnsi="宋体"/>
              <w:szCs w:val="21"/>
            </w:rPr>
            <w:t>其他债权投资</w:t>
          </w:r>
        </w:p>
        <w:p>
          <w:pPr>
            <w:pStyle w:val="5"/>
            <w:rPr>
              <w:rFonts w:ascii="宋体" w:hAnsi="宋体"/>
            </w:rPr>
          </w:pPr>
          <w:r>
            <w:rPr>
              <w:rFonts w:hint="eastAsia" w:ascii="宋体" w:hAnsi="宋体"/>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1619409305"/>
            <w:lock w:val="sdtLocked"/>
            <w:placeholder>
              <w:docPart w:val="GBC22222222222222222222222222222"/>
            </w:placeholder>
          </w:sdtPr>
          <w:sdtContent>
            <w:p>
              <w:pPr>
                <w:pStyle w:val="114"/>
                <w:rPr>
                  <w:rFonts w:cs="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18"/>
    <w:sdt>
      <w:sdtPr>
        <w:rPr>
          <w:rFonts w:hint="eastAsia" w:ascii="宋体" w:hAnsi="宋体" w:cs="宋体"/>
          <w:b w:val="0"/>
          <w:bCs w:val="0"/>
          <w:kern w:val="0"/>
          <w:szCs w:val="21"/>
        </w:rPr>
        <w:alias w:val="模块:长期应收款"/>
        <w:tag w:val="_SEC_ef0b5e87e2254c638e2a6672bcd1eac8"/>
        <w:id w:val="-1456867168"/>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szCs w:val="21"/>
            </w:rPr>
          </w:pPr>
          <w:bookmarkStart w:id="119" w:name="_Hlk10465393"/>
          <w:r>
            <w:rPr>
              <w:rFonts w:hint="eastAsia" w:ascii="宋体" w:hAnsi="宋体"/>
              <w:szCs w:val="21"/>
            </w:rPr>
            <w:t>长期应收款</w:t>
          </w:r>
        </w:p>
        <w:p>
          <w:pPr>
            <w:pStyle w:val="5"/>
            <w:rPr>
              <w:rFonts w:ascii="宋体" w:hAnsi="宋体"/>
            </w:rPr>
          </w:pPr>
          <w:r>
            <w:rPr>
              <w:rFonts w:hint="eastAsia" w:ascii="宋体" w:hAnsi="宋体"/>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68070619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19"/>
    <w:sdt>
      <w:sdtPr>
        <w:rPr>
          <w:rFonts w:ascii="宋体" w:hAnsi="宋体" w:cstheme="minorBidi"/>
          <w:b w:val="0"/>
          <w:bCs w:val="0"/>
          <w:kern w:val="0"/>
          <w:szCs w:val="22"/>
        </w:rPr>
        <w:alias w:val="模块:长期股权投资"/>
        <w:tag w:val="_GBC_d82c12cf13554acd90dfb7880244798c"/>
        <w:id w:val="-2073891197"/>
        <w:lock w:val="sdtLocked"/>
        <w:placeholder>
          <w:docPart w:val="GBC22222222222222222222222222222"/>
        </w:placeholder>
      </w:sdtPr>
      <w:sdtEndPr>
        <w:rPr>
          <w:rFonts w:ascii="宋体" w:hAnsi="宋体" w:cs="Times New Roman"/>
          <w:b w:val="0"/>
          <w:bCs w:val="0"/>
          <w:kern w:val="0"/>
          <w:szCs w:val="21"/>
        </w:rPr>
      </w:sdtEndPr>
      <w:sdtContent>
        <w:p>
          <w:pPr>
            <w:pStyle w:val="4"/>
            <w:numPr>
              <w:ilvl w:val="0"/>
              <w:numId w:val="41"/>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188061603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股权投资的核算方法"/>
            <w:tag w:val="_GBC_3e77074cd50946b1bccdff9bc1c9556f"/>
            <w:id w:val="-1224445128"/>
            <w:lock w:val="sdtLocked"/>
            <w:placeholder>
              <w:docPart w:val="GBC22222222222222222222222222222"/>
            </w:placeholder>
          </w:sdtPr>
          <w:sdtContent>
            <w:p>
              <w:pPr>
                <w:pStyle w:val="114"/>
              </w:pPr>
              <w:r>
                <w:t>(1)</w:t>
              </w:r>
              <w:r>
                <w:tab/>
              </w:r>
              <w:r>
                <w:t>长期股权投资投资成本确定</w:t>
              </w:r>
            </w:p>
            <w:p>
              <w:pPr>
                <w:pStyle w:val="114"/>
              </w:pPr>
            </w:p>
            <w:p>
              <w:pPr>
                <w:pStyle w:val="114"/>
              </w:pPr>
              <w:r>
                <w:t>(a)</w:t>
              </w:r>
              <w:r>
                <w:tab/>
              </w:r>
              <w:r>
                <w:t>通过企业合并形成的长期股权投资</w:t>
              </w:r>
            </w:p>
            <w:p>
              <w:pPr>
                <w:pStyle w:val="114"/>
              </w:pPr>
            </w:p>
            <w:p>
              <w:pPr>
                <w:pStyle w:val="114"/>
              </w:pPr>
              <w:r>
                <w:t>-</w:t>
              </w:r>
              <w:r>
                <w:tab/>
              </w:r>
              <w:r>
                <w:t>对于同一控制下的企业合并形成的对子公司的长期股权投资，本公司按照合并日取得的被合并方所有者权益在最终控制方合并财务报表中的账面价值的份额作为长期股权投资的初始投资成本。长期股权投资初始投资成本与支付对价账面价值之间的差额，调整资本公积中的股本溢价；资本公积中的股本溢价不足冲减时，调整留存收益。通过非一揽子的多次交易分步实现的同一控制下企业合并形成的对子公司的长期股权投资，本公司按上述原则确认的长期股权投资的初始投资成本与达到合并前的长期股权投资账面价值加上合并日进一步取得股份新支付对价的账面价值之和的差</w:t>
              </w:r>
              <w:r>
                <w:rPr>
                  <w:rFonts w:hint="eastAsia"/>
                </w:rPr>
                <w:t>额，调整资本公积中的股本溢价，资本公积中的股本溢价不足冲减时，调整留存收益。</w:t>
              </w:r>
            </w:p>
            <w:p>
              <w:pPr>
                <w:pStyle w:val="114"/>
              </w:pPr>
            </w:p>
            <w:p>
              <w:pPr>
                <w:pStyle w:val="114"/>
              </w:pPr>
              <w:r>
                <w:t>-</w:t>
              </w:r>
              <w:r>
                <w:tab/>
              </w:r>
              <w:r>
                <w:t>对于非同一控制下企业合并形成的对子公司的长期股权投资，本公司按照购买日取得对被购买方的控制权而付出的资产、发生或承担的负债以及发行的权益性证券的公允价值，作为该投资的初始投资成本。通过非一揽子的多次交易分步实现的非同一控制下企业合并形成的对子公司的长期股权投资，其初始投资成本为本公司购买日之前所持被购买方的股权投资的账面价值与购买日新增投资成本之和。</w:t>
              </w:r>
            </w:p>
            <w:p>
              <w:pPr>
                <w:pStyle w:val="114"/>
              </w:pPr>
            </w:p>
            <w:p>
              <w:pPr>
                <w:pStyle w:val="114"/>
              </w:pPr>
              <w:r>
                <w:t>(b)</w:t>
              </w:r>
              <w:r>
                <w:tab/>
              </w:r>
              <w:r>
                <w:t>其他方式取得的长期股权投资</w:t>
              </w:r>
            </w:p>
            <w:p>
              <w:pPr>
                <w:pStyle w:val="114"/>
              </w:pPr>
            </w:p>
            <w:p>
              <w:pPr>
                <w:pStyle w:val="114"/>
              </w:pPr>
              <w:r>
                <w:t>-</w:t>
              </w:r>
              <w:r>
                <w:tab/>
              </w:r>
              <w:r>
                <w:t>对于通过企业合并以外的其他方式取得的长期股权投资，在初始确认时，对于以支付现金取得的长期股权投资，本集团按照实际支付的购买价款作为初始投资成本；对于发行权益性证券取得的长期股权投资，本集团按照发行权益性证券的公允价值作为初始投资成本。</w:t>
              </w:r>
            </w:p>
            <w:p>
              <w:pPr>
                <w:pStyle w:val="114"/>
              </w:pPr>
            </w:p>
            <w:p>
              <w:pPr>
                <w:pStyle w:val="114"/>
              </w:pPr>
              <w:r>
                <w:t xml:space="preserve"> </w:t>
              </w:r>
            </w:p>
            <w:p>
              <w:pPr>
                <w:pStyle w:val="114"/>
              </w:pPr>
              <w:r>
                <w:t>(2)</w:t>
              </w:r>
              <w:r>
                <w:tab/>
              </w:r>
              <w:r>
                <w:t>长期股权投资后续计量及损益确认方法</w:t>
              </w:r>
            </w:p>
            <w:p>
              <w:pPr>
                <w:pStyle w:val="114"/>
              </w:pPr>
            </w:p>
            <w:p>
              <w:pPr>
                <w:pStyle w:val="114"/>
              </w:pPr>
              <w:r>
                <w:t>(a)</w:t>
              </w:r>
              <w:r>
                <w:tab/>
              </w:r>
              <w:r>
                <w:t>对子公司的投资</w:t>
              </w:r>
            </w:p>
            <w:p>
              <w:pPr>
                <w:pStyle w:val="114"/>
              </w:pPr>
            </w:p>
            <w:p>
              <w:pPr>
                <w:pStyle w:val="114"/>
              </w:pPr>
              <w:r>
                <w:rPr>
                  <w:rFonts w:hint="eastAsia"/>
                </w:rPr>
                <w:t>在本公司个别财务报表中，本公司采用成本法对子公司的长期股权投资进行后续计量，除非投资符合持有待售的条件。对被投资单位宣告分派的现金股利或利润由本公司享有的部分确认为当期投资收益，但取得投资时实际支付的价款或对价中包含的已宣告但尚未发放的现金股利或利润除外。</w:t>
              </w:r>
            </w:p>
            <w:p>
              <w:pPr>
                <w:pStyle w:val="114"/>
              </w:pPr>
            </w:p>
            <w:p>
              <w:pPr>
                <w:pStyle w:val="114"/>
              </w:pPr>
              <w:r>
                <w:rPr>
                  <w:rFonts w:hint="eastAsia"/>
                </w:rPr>
                <w:t>对子公司的投资按照成本减去减值准备后在资产负债表内列示。</w:t>
              </w:r>
            </w:p>
            <w:p>
              <w:pPr>
                <w:pStyle w:val="114"/>
              </w:pPr>
            </w:p>
            <w:p>
              <w:pPr>
                <w:pStyle w:val="114"/>
              </w:pPr>
              <w:r>
                <w:rPr>
                  <w:rFonts w:hint="eastAsia"/>
                </w:rPr>
                <w:t>对子公司投资的减值测试方法及减值准备计提方法参见附注五、</w:t>
              </w:r>
              <w:r>
                <w:t>30。</w:t>
              </w:r>
            </w:p>
            <w:p>
              <w:pPr>
                <w:pStyle w:val="114"/>
              </w:pPr>
            </w:p>
            <w:p>
              <w:pPr>
                <w:pStyle w:val="114"/>
              </w:pPr>
              <w:r>
                <w:rPr>
                  <w:rFonts w:hint="eastAsia"/>
                </w:rPr>
                <w:t>在本集团合并财务报表中，对子公司按附注五、</w:t>
              </w:r>
              <w:r>
                <w:t>6进行处理。</w:t>
              </w:r>
            </w:p>
            <w:p>
              <w:pPr>
                <w:pStyle w:val="114"/>
              </w:pPr>
            </w:p>
            <w:p>
              <w:pPr>
                <w:pStyle w:val="114"/>
              </w:pPr>
              <w:r>
                <w:t>(b)</w:t>
              </w:r>
              <w:r>
                <w:tab/>
              </w:r>
              <w:r>
                <w:t>对合营企业和联营企业的投资</w:t>
              </w:r>
            </w:p>
            <w:p>
              <w:pPr>
                <w:pStyle w:val="114"/>
              </w:pPr>
            </w:p>
            <w:p>
              <w:pPr>
                <w:pStyle w:val="114"/>
              </w:pPr>
              <w:r>
                <w:rPr>
                  <w:rFonts w:hint="eastAsia"/>
                </w:rPr>
                <w:t>合营企业指本集团与其他合营方共同控制</w:t>
              </w:r>
              <w:r>
                <w:t xml:space="preserve"> (参见附注</w:t>
              </w:r>
              <w:r>
                <w:rPr>
                  <w:rFonts w:hint="eastAsia"/>
                </w:rPr>
                <w:t>五</w:t>
              </w:r>
              <w:r>
                <w:t>、21(3)) 且仅对其净资产享有权利的一项安排。</w:t>
              </w:r>
            </w:p>
            <w:p>
              <w:pPr>
                <w:pStyle w:val="114"/>
              </w:pPr>
            </w:p>
            <w:p>
              <w:pPr>
                <w:pStyle w:val="114"/>
              </w:pPr>
              <w:r>
                <w:rPr>
                  <w:rFonts w:hint="eastAsia"/>
                </w:rPr>
                <w:t>联营企业指本集团能够对其施加重大影响</w:t>
              </w:r>
              <w:r>
                <w:t xml:space="preserve"> (参见附注</w:t>
              </w:r>
              <w:r>
                <w:rPr>
                  <w:rFonts w:hint="eastAsia"/>
                </w:rPr>
                <w:t>五</w:t>
              </w:r>
              <w:r>
                <w:t>、21(3)) 的企业。</w:t>
              </w:r>
            </w:p>
            <w:p>
              <w:pPr>
                <w:pStyle w:val="114"/>
              </w:pPr>
            </w:p>
            <w:p>
              <w:pPr>
                <w:pStyle w:val="114"/>
              </w:pPr>
              <w:r>
                <w:rPr>
                  <w:rFonts w:hint="eastAsia"/>
                </w:rPr>
                <w:t>后续计量时，对合营企业和联营企业的长期股权投资采用权益法核算，除非投资符合持有待售的条件。</w:t>
              </w:r>
            </w:p>
            <w:p>
              <w:pPr>
                <w:pStyle w:val="114"/>
              </w:pPr>
            </w:p>
            <w:p>
              <w:pPr>
                <w:pStyle w:val="114"/>
              </w:pPr>
              <w:r>
                <w:rPr>
                  <w:rFonts w:hint="eastAsia"/>
                </w:rPr>
                <w:t>本集团在采用权益法核算时的具体会计处理包括：</w:t>
              </w:r>
            </w:p>
            <w:p>
              <w:pPr>
                <w:pStyle w:val="114"/>
              </w:pPr>
            </w:p>
            <w:p>
              <w:pPr>
                <w:pStyle w:val="114"/>
              </w:pPr>
              <w:r>
                <w:t>-</w:t>
              </w:r>
              <w:r>
                <w:tab/>
              </w:r>
              <w:r>
                <w:t>对于长期股权投资的初始投资成本大于投资时应享有被投资单位可辨认净资产公允价值份额的，以前者作为长期股权投资的成本；对于长期股权投资的初始投资成本小于投资时应享有被投资单位可辨认净资产公允价值份额的，以后者作为长期股权投资的成本，长期股权投资的成本与初始投资成本的差额计入当期损益。</w:t>
              </w:r>
            </w:p>
            <w:p>
              <w:pPr>
                <w:pStyle w:val="114"/>
              </w:pPr>
            </w:p>
            <w:p>
              <w:pPr>
                <w:pStyle w:val="114"/>
              </w:pPr>
              <w:r>
                <w:t>-</w:t>
              </w:r>
              <w:r>
                <w:tab/>
              </w:r>
              <w:r>
                <w:t xml:space="preserve">取得对合营企业和联营企业投资后，本集团按照应享有或应分担的被投资单位实现的净损益和其他综合收益的份额，分别确认投资损益和其他综合收益并调整长期股权投资的账面价值；按照被投资单位宣告分派的利润或现金股利计算应分得的部分，相应减少长期股权投资的账面价值。对合营企业或联营企业除净损益、其他综合收益和利润分配以外所有者权益的其他变动 (以下简称“其他所有者权益变动”)，本集团按照应享有或应分担的份额计入股东权益，并同时调整长期股权投资的账面价值。 </w:t>
              </w:r>
            </w:p>
            <w:p>
              <w:pPr>
                <w:pStyle w:val="114"/>
              </w:pPr>
            </w:p>
            <w:p>
              <w:pPr>
                <w:pStyle w:val="114"/>
              </w:pPr>
              <w:r>
                <w:t>-</w:t>
              </w:r>
              <w:r>
                <w:tab/>
              </w:r>
              <w:r>
                <w:t>在计算应享有或应分担的被投资单位实现的净损益、其他综合收益及其他所有者权益变动的份额时，本集团以取得投资时被投资单位可辨认净资产公允价值为基础，按照本集团的会计政策或会计期间进行必要调整后确认投资收益和其他综合收益等。本集团与联营企业及合营企业之间内部交易产生的未实现损益按照应享有的比例计算归属于本集团的部分，在权益法核算时予以抵销。内部交易产生的未实现损失，有证据表明该损失是相关资产减值损失的，则全额确认该损失。</w:t>
              </w:r>
            </w:p>
            <w:p>
              <w:pPr>
                <w:pStyle w:val="114"/>
              </w:pPr>
            </w:p>
            <w:p>
              <w:pPr>
                <w:pStyle w:val="114"/>
              </w:pPr>
              <w:r>
                <w:t>-</w:t>
              </w:r>
              <w:r>
                <w:tab/>
              </w:r>
              <w:r>
                <w:t>本集团对合营企业或联营企业发生的净亏损，除本集团负有承担额外损失义务外，以长期股权投资的账面价值以及其他实质上构成对合营企业或联营企业净投资的长期权益减记至零为限。合营企业或联营企业以后实现净利润的，本集团在收益分享额弥补未确认的亏损分担额后，恢复确认收益分享额。</w:t>
              </w:r>
            </w:p>
            <w:p>
              <w:pPr>
                <w:pStyle w:val="114"/>
              </w:pPr>
            </w:p>
            <w:p>
              <w:pPr>
                <w:pStyle w:val="114"/>
              </w:pPr>
              <w:r>
                <w:rPr>
                  <w:rFonts w:hint="eastAsia"/>
                </w:rPr>
                <w:t>本集团对合营企业和联营企业投资的减值测试方法及减值准备计提方法参见附注三、</w:t>
              </w:r>
              <w:r>
                <w:t>18。</w:t>
              </w:r>
            </w:p>
            <w:p>
              <w:pPr>
                <w:pStyle w:val="114"/>
              </w:pPr>
            </w:p>
            <w:p>
              <w:pPr>
                <w:pStyle w:val="114"/>
              </w:pPr>
              <w:r>
                <w:t>(3)</w:t>
              </w:r>
              <w:r>
                <w:tab/>
              </w:r>
              <w:r>
                <w:t>确定对被投资单位具有共同控制、重大影响的判断标准</w:t>
              </w:r>
            </w:p>
            <w:p>
              <w:pPr>
                <w:pStyle w:val="114"/>
              </w:pPr>
            </w:p>
            <w:p>
              <w:pPr>
                <w:pStyle w:val="114"/>
              </w:pPr>
              <w:r>
                <w:rPr>
                  <w:rFonts w:hint="eastAsia"/>
                </w:rPr>
                <w:t>共同控制指按照相关约定对某项安排所共有的控制，并且该安排的相关活动</w:t>
              </w:r>
              <w:r>
                <w:t xml:space="preserve"> (即对安排的回报产生重大影响的活动) 必须经过分享控制权的参与方一致同意后才能决策。</w:t>
              </w:r>
            </w:p>
            <w:p>
              <w:pPr>
                <w:pStyle w:val="114"/>
              </w:pPr>
            </w:p>
            <w:p>
              <w:pPr>
                <w:pStyle w:val="114"/>
              </w:pPr>
              <w:r>
                <w:rPr>
                  <w:rFonts w:hint="eastAsia"/>
                </w:rPr>
                <w:t>本集团在判断对被投资单位是否存在共同控制时，通常考虑下述事项：</w:t>
              </w:r>
            </w:p>
            <w:p>
              <w:pPr>
                <w:pStyle w:val="114"/>
              </w:pPr>
            </w:p>
            <w:p>
              <w:pPr>
                <w:pStyle w:val="114"/>
              </w:pPr>
              <w:r>
                <w:t>-</w:t>
              </w:r>
              <w:r>
                <w:tab/>
              </w:r>
              <w:r>
                <w:t>是否任何一个参与方均不能单独控制被投资单位的相关活动；</w:t>
              </w:r>
            </w:p>
            <w:p>
              <w:pPr>
                <w:pStyle w:val="114"/>
              </w:pPr>
              <w:r>
                <w:t>-</w:t>
              </w:r>
              <w:r>
                <w:tab/>
              </w:r>
              <w:r>
                <w:t>涉及被投资单位相关活动的决策是否需要分享控制权参与方一致同意。</w:t>
              </w:r>
            </w:p>
            <w:p>
              <w:pPr>
                <w:pStyle w:val="114"/>
              </w:pPr>
            </w:p>
            <w:p>
              <w:pPr>
                <w:pStyle w:val="114"/>
              </w:pPr>
              <w:r>
                <w:rPr>
                  <w:rFonts w:hint="eastAsia"/>
                </w:rPr>
                <w:t>重大影响指本集团对被投资单位的财务和经营政策有参与决策的权力，但并不能够控制或者与其他方一起共同控制这些政策的制定。</w:t>
              </w:r>
            </w:p>
          </w:sdtContent>
        </w:sdt>
      </w:sdtContent>
    </w:sdt>
    <w:p>
      <w:pPr>
        <w:pStyle w:val="114"/>
      </w:pPr>
    </w:p>
    <w:p>
      <w:pPr>
        <w:pStyle w:val="4"/>
        <w:numPr>
          <w:ilvl w:val="0"/>
          <w:numId w:val="41"/>
        </w:numPr>
        <w:rPr>
          <w:rFonts w:ascii="宋体" w:hAnsi="宋体"/>
        </w:rPr>
      </w:pPr>
      <w:r>
        <w:rPr>
          <w:rFonts w:ascii="宋体" w:hAnsi="宋体"/>
        </w:rPr>
        <w:t>投资性房地产</w:t>
      </w:r>
    </w:p>
    <w:sdt>
      <w:sdtPr>
        <w:rPr>
          <w:rFonts w:hint="eastAsia" w:ascii="宋体" w:hAnsi="宋体" w:cs="宋体"/>
          <w:b w:val="0"/>
          <w:bCs w:val="0"/>
          <w:kern w:val="0"/>
          <w:szCs w:val="24"/>
        </w:rPr>
        <w:alias w:val="选项模块:成本计量模式"/>
        <w:tag w:val="_GBC_20b1c487c1e348188269523d7d980194"/>
        <w:id w:val="1431853883"/>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43"/>
            </w:numPr>
            <w:rPr>
              <w:rFonts w:ascii="宋体" w:hAnsi="宋体"/>
            </w:rPr>
          </w:pPr>
          <w:r>
            <w:rPr>
              <w:rFonts w:hint="eastAsia" w:ascii="宋体" w:hAnsi="宋体" w:cs="宋体"/>
              <w:kern w:val="0"/>
              <w:szCs w:val="24"/>
            </w:rPr>
            <w:t>如果</w:t>
          </w:r>
          <w:r>
            <w:rPr>
              <w:rFonts w:hint="eastAsia" w:ascii="宋体" w:hAnsi="宋体"/>
            </w:rPr>
            <w:t>采用成本计量模式的</w:t>
          </w:r>
        </w:p>
        <w:p>
          <w:pPr>
            <w:pStyle w:val="36"/>
            <w:rPr>
              <w:rFonts w:ascii="宋体" w:hAnsi="宋体"/>
              <w:b w:val="0"/>
              <w:szCs w:val="21"/>
            </w:rPr>
          </w:pPr>
          <w:r>
            <w:rPr>
              <w:rFonts w:hint="eastAsia" w:ascii="宋体" w:hAnsi="宋体"/>
              <w:b w:val="0"/>
              <w:szCs w:val="21"/>
            </w:rPr>
            <w:t>折旧或摊销方法</w:t>
          </w:r>
        </w:p>
        <w:sdt>
          <w:sdtPr>
            <w:alias w:val="采用成本计量模式的折旧或摊销方法"/>
            <w:tag w:val="_GBC_5b2898357289426780691d99ea19aa67"/>
            <w:id w:val="-1873452134"/>
            <w:lock w:val="sdtLocked"/>
            <w:placeholder>
              <w:docPart w:val="GBC22222222222222222222222222222"/>
            </w:placeholder>
          </w:sdtPr>
          <w:sdtContent>
            <w:p>
              <w:pPr>
                <w:pStyle w:val="114"/>
              </w:pPr>
              <w:r>
                <w:rPr>
                  <w:rFonts w:hint="eastAsia"/>
                </w:rPr>
                <w:t>本集团将持有的为赚取租金或资本增值，或两者兼有的房地产划分为投资性房地产。本集团采用成本模式计量投资性房地产，即以成本减累计折旧、摊销及减值准备后在资产负债表内列示。本集团将投资性房地产的成本扣除预计净残值和累计减值准备后在使用寿命内按年限平均法计提折旧或进行摊销，除非投资性房地产符合持有待售的条件。减值测试方法及减值准备计提方法参见附注五、</w:t>
              </w:r>
              <w:r>
                <w:t>30。</w:t>
              </w:r>
            </w:p>
            <w:p>
              <w:pPr>
                <w:pStyle w:val="114"/>
              </w:pPr>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2180"/>
                <w:gridCol w:w="218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项目</w:t>
                    </w:r>
                  </w:p>
                </w:tc>
                <w:tc>
                  <w:tcPr>
                    <w:tcW w:w="2180" w:type="dxa"/>
                  </w:tcPr>
                  <w:p>
                    <w:pPr>
                      <w:pStyle w:val="114"/>
                      <w:widowControl w:val="0"/>
                      <w:jc w:val="both"/>
                      <w:rPr>
                        <w:rFonts w:ascii="Times New Roman" w:hAnsi="Times New Roman"/>
                      </w:rPr>
                    </w:pPr>
                    <w:r>
                      <w:rPr>
                        <w:rFonts w:ascii="Times New Roman" w:hAnsi="Times New Roman"/>
                      </w:rPr>
                      <w:t>使用寿命 (年)</w:t>
                    </w:r>
                  </w:p>
                </w:tc>
                <w:tc>
                  <w:tcPr>
                    <w:tcW w:w="2180" w:type="dxa"/>
                  </w:tcPr>
                  <w:p>
                    <w:pPr>
                      <w:pStyle w:val="114"/>
                      <w:widowControl w:val="0"/>
                      <w:jc w:val="both"/>
                      <w:rPr>
                        <w:rFonts w:ascii="Times New Roman" w:hAnsi="Times New Roman"/>
                      </w:rPr>
                    </w:pPr>
                    <w:r>
                      <w:rPr>
                        <w:rFonts w:ascii="Times New Roman" w:hAnsi="Times New Roman"/>
                      </w:rPr>
                      <w:t>残值率 (%)</w:t>
                    </w:r>
                  </w:p>
                </w:tc>
                <w:tc>
                  <w:tcPr>
                    <w:tcW w:w="2180" w:type="dxa"/>
                  </w:tcPr>
                  <w:p>
                    <w:pPr>
                      <w:pStyle w:val="114"/>
                      <w:widowControl w:val="0"/>
                      <w:jc w:val="both"/>
                      <w:rPr>
                        <w:rFonts w:ascii="Times New Roman" w:hAnsi="Times New Roman"/>
                      </w:rPr>
                    </w:pPr>
                    <w:r>
                      <w:rPr>
                        <w:rFonts w:ascii="Times New Roman" w:hAnsi="Times New Roman"/>
                      </w:rPr>
                      <w:t>年折旧率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房屋建筑物</w:t>
                    </w:r>
                  </w:p>
                </w:tc>
                <w:tc>
                  <w:tcPr>
                    <w:tcW w:w="2180" w:type="dxa"/>
                  </w:tcPr>
                  <w:p>
                    <w:pPr>
                      <w:pStyle w:val="114"/>
                      <w:widowControl w:val="0"/>
                      <w:jc w:val="both"/>
                      <w:rPr>
                        <w:rFonts w:ascii="Times New Roman" w:hAnsi="Times New Roman"/>
                      </w:rPr>
                    </w:pPr>
                    <w:r>
                      <w:rPr>
                        <w:rFonts w:ascii="Times New Roman" w:hAnsi="Times New Roman"/>
                      </w:rPr>
                      <w:t>30</w:t>
                    </w:r>
                  </w:p>
                </w:tc>
                <w:tc>
                  <w:tcPr>
                    <w:tcW w:w="2180" w:type="dxa"/>
                  </w:tcPr>
                  <w:p>
                    <w:pPr>
                      <w:pStyle w:val="114"/>
                      <w:widowControl w:val="0"/>
                      <w:jc w:val="both"/>
                      <w:rPr>
                        <w:rFonts w:ascii="Times New Roman" w:hAnsi="Times New Roman"/>
                      </w:rPr>
                    </w:pPr>
                    <w:r>
                      <w:rPr>
                        <w:rFonts w:ascii="Times New Roman" w:hAnsi="Times New Roman"/>
                      </w:rPr>
                      <w:t>3</w:t>
                    </w:r>
                  </w:p>
                </w:tc>
                <w:tc>
                  <w:tcPr>
                    <w:tcW w:w="2180" w:type="dxa"/>
                  </w:tcPr>
                  <w:p>
                    <w:pPr>
                      <w:pStyle w:val="114"/>
                      <w:widowControl w:val="0"/>
                      <w:jc w:val="both"/>
                      <w:rPr>
                        <w:rFonts w:ascii="Times New Roman" w:hAnsi="Times New Roman"/>
                      </w:rPr>
                    </w:pPr>
                    <w:r>
                      <w:rPr>
                        <w:rFonts w:ascii="Times New Roman" w:hAnsi="Times New Roman"/>
                      </w:rPr>
                      <w:t>3.2</w:t>
                    </w:r>
                  </w:p>
                </w:tc>
              </w:tr>
            </w:tbl>
            <w:p>
              <w:pPr>
                <w:pStyle w:val="114"/>
              </w:pPr>
            </w:p>
          </w:sdtContent>
        </w:sdt>
      </w:sdtContent>
    </w:sdt>
    <w:p>
      <w:pPr>
        <w:pStyle w:val="114"/>
      </w:pPr>
    </w:p>
    <w:p>
      <w:pPr>
        <w:pStyle w:val="114"/>
      </w:pPr>
    </w:p>
    <w:p>
      <w:pPr>
        <w:pStyle w:val="4"/>
        <w:numPr>
          <w:ilvl w:val="0"/>
          <w:numId w:val="41"/>
        </w:numPr>
        <w:rPr>
          <w:rFonts w:ascii="宋体" w:hAnsi="宋体"/>
        </w:rPr>
      </w:pPr>
      <w:r>
        <w:rPr>
          <w:rFonts w:ascii="宋体" w:hAnsi="宋体"/>
        </w:rPr>
        <w:t>固定资产</w:t>
      </w:r>
    </w:p>
    <w:sdt>
      <w:sdtPr>
        <w:rPr>
          <w:rFonts w:ascii="宋体" w:hAnsi="宋体" w:cs="宋体"/>
          <w:b w:val="0"/>
          <w:bCs w:val="0"/>
          <w:kern w:val="0"/>
          <w:szCs w:val="24"/>
        </w:rPr>
        <w:alias w:val="模块:固定资产确认条件"/>
        <w:tag w:val="_GBC_662771796da549e1b2a02fb7d497f077"/>
        <w:id w:val="-1793581469"/>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44"/>
            </w:numPr>
            <w:rPr>
              <w:rFonts w:ascii="宋体" w:hAnsi="宋体"/>
            </w:rPr>
          </w:pPr>
          <w:r>
            <w:rPr>
              <w:rFonts w:hint="eastAsia" w:ascii="宋体" w:hAnsi="宋体"/>
            </w:rPr>
            <w:t>确认条件</w:t>
          </w:r>
        </w:p>
        <w:sdt>
          <w:sdtPr>
            <w:alias w:val="是否适用：固定资产确认条件[双击切换]"/>
            <w:tag w:val="_GBC_45cce032cd1f43bfad18a80dd94e9cc4"/>
            <w:id w:val="131344502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rPr>
            <w:alias w:val="固定资产确认条件"/>
            <w:tag w:val="_GBC_3044d53470b143fa9477fa34b85d4ec5"/>
            <w:id w:val="-1085987685"/>
            <w:lock w:val="sdtLocked"/>
            <w:placeholder>
              <w:docPart w:val="GBC22222222222222222222222222222"/>
            </w:placeholder>
          </w:sdtPr>
          <w:sdtEndPr>
            <w:rPr>
              <w:b/>
              <w:bCs/>
            </w:rPr>
          </w:sdtEndPr>
          <w:sdtContent>
            <w:p>
              <w:pPr>
                <w:rPr>
                  <w:bCs/>
                </w:rPr>
              </w:pPr>
              <w:r>
                <w:rPr>
                  <w:bCs/>
                </w:rPr>
                <w:t>(1)</w:t>
              </w:r>
              <w:r>
                <w:rPr>
                  <w:bCs/>
                </w:rPr>
                <w:tab/>
              </w:r>
              <w:r>
                <w:rPr>
                  <w:bCs/>
                </w:rPr>
                <w:t>固定资产确认条件</w:t>
              </w:r>
            </w:p>
            <w:p>
              <w:pPr>
                <w:rPr>
                  <w:bCs/>
                </w:rPr>
              </w:pPr>
            </w:p>
            <w:p>
              <w:pPr>
                <w:rPr>
                  <w:bCs/>
                </w:rPr>
              </w:pPr>
              <w:r>
                <w:rPr>
                  <w:rFonts w:hint="eastAsia"/>
                  <w:bCs/>
                </w:rPr>
                <w:t>固定资产指本集团为提供劳务、出租或经营管理而持有的，使用寿命超过一个会计年度的有形资产。</w:t>
              </w:r>
            </w:p>
            <w:p>
              <w:pPr>
                <w:rPr>
                  <w:bCs/>
                </w:rPr>
              </w:pPr>
            </w:p>
            <w:p>
              <w:pPr>
                <w:rPr>
                  <w:bCs/>
                </w:rPr>
              </w:pPr>
              <w:r>
                <w:rPr>
                  <w:rFonts w:hint="eastAsia"/>
                  <w:bCs/>
                </w:rPr>
                <w:t>外购固定资产的初始成本包括购买价款、相关税费以及使该资产达到预定可使用状态前所发生的可归属于该项资产的支出。自行建造固定资产按附注三、</w:t>
              </w:r>
              <w:r>
                <w:rPr>
                  <w:bCs/>
                </w:rPr>
                <w:t>14确定初始成本。</w:t>
              </w:r>
            </w:p>
            <w:p>
              <w:pPr>
                <w:rPr>
                  <w:bCs/>
                </w:rPr>
              </w:pPr>
            </w:p>
            <w:p>
              <w:pPr>
                <w:rPr>
                  <w:bCs/>
                </w:rPr>
              </w:pPr>
              <w:r>
                <w:rPr>
                  <w:rFonts w:hint="eastAsia"/>
                  <w:bCs/>
                </w:rPr>
                <w:t>对于构成固定资产的各组成部分，如果各自具有不同使用寿命或者以不同方式为本集团提供经济利益，适用不同折旧率或折旧方法的，本集团分别将各组成部分确认为单项固定资产。</w:t>
              </w:r>
            </w:p>
            <w:p>
              <w:pPr>
                <w:rPr>
                  <w:bCs/>
                </w:rPr>
              </w:pPr>
            </w:p>
            <w:p>
              <w:pPr>
                <w:rPr>
                  <w:bCs/>
                </w:rPr>
              </w:pPr>
              <w:r>
                <w:rPr>
                  <w:rFonts w:hint="eastAsia"/>
                  <w:bCs/>
                </w:rPr>
                <w:t>对于固定资产的后续支出，包括与更换固定资产某组成部分相关的支出，在与支出相关的经济利益很可能流入本集团时资本化计入固定资产成本，同时将被替换部分的账面价值扣除；与固定资产日常维护相关的支出在发生时计入当期损益。</w:t>
              </w:r>
            </w:p>
            <w:p>
              <w:pPr>
                <w:rPr>
                  <w:bCs/>
                </w:rPr>
              </w:pPr>
            </w:p>
            <w:p>
              <w:pPr>
                <w:rPr>
                  <w:bCs/>
                </w:rPr>
              </w:pPr>
              <w:r>
                <w:rPr>
                  <w:rFonts w:hint="eastAsia"/>
                  <w:bCs/>
                </w:rPr>
                <w:t>固定资产以成本减累计折旧及减值准备后在资产负债表内列示。</w:t>
              </w:r>
            </w:p>
          </w:sdtContent>
        </w:sdt>
      </w:sdtContent>
    </w:sdt>
    <w:p>
      <w:pPr>
        <w:pStyle w:val="114"/>
      </w:pPr>
    </w:p>
    <w:sdt>
      <w:sdtPr>
        <w:rPr>
          <w:rFonts w:ascii="宋体" w:hAnsi="宋体" w:cstheme="minorBidi"/>
          <w:b w:val="0"/>
          <w:bCs w:val="0"/>
          <w:kern w:val="0"/>
          <w:szCs w:val="22"/>
        </w:rPr>
        <w:alias w:val="模块:固定资产折旧方法"/>
        <w:tag w:val="_GBC_7c749a57d4094b3386978c34c3487e2a"/>
        <w:id w:val="-134259651"/>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44"/>
            </w:numPr>
            <w:rPr>
              <w:rFonts w:ascii="宋体" w:hAnsi="宋体"/>
            </w:rPr>
          </w:pPr>
          <w:r>
            <w:rPr>
              <w:rFonts w:ascii="宋体" w:hAnsi="宋体"/>
            </w:rPr>
            <w:t>折旧方法</w:t>
          </w:r>
        </w:p>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pPr>
            <w:rPr>
              <w:bCs/>
            </w:rPr>
          </w:pPr>
          <w:r>
            <w:rPr>
              <w:rFonts w:hint="eastAsia"/>
              <w:bCs/>
            </w:rPr>
            <w:t>本集团将固定资产的成本扣除预计净残值和累计减值准备后在其使用寿命内按年限平均法计提折旧，除非固定资产符合持有待售的条件。</w:t>
          </w:r>
        </w:p>
        <w:p>
          <w:pPr>
            <w:rPr>
              <w:bCs/>
            </w:rPr>
          </w:pPr>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6"/>
            <w:gridCol w:w="1982"/>
            <w:gridCol w:w="197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hint="eastAsia" w:ascii="Times New Roman" w:hAnsi="Times New Roman"/>
                    <w:b/>
                    <w:bCs/>
                  </w:rPr>
                  <w:t>类别</w:t>
                </w:r>
                <w:r>
                  <w:rPr>
                    <w:rFonts w:ascii="Times New Roman" w:hAnsi="Times New Roman"/>
                    <w:b/>
                    <w:bCs/>
                  </w:rPr>
                  <w:t xml:space="preserve"> </w:t>
                </w:r>
              </w:p>
            </w:tc>
            <w:tc>
              <w:tcPr>
                <w:tcW w:w="1982" w:type="dxa"/>
              </w:tcPr>
              <w:p>
                <w:pPr>
                  <w:widowControl w:val="0"/>
                  <w:jc w:val="both"/>
                  <w:rPr>
                    <w:rFonts w:ascii="Times New Roman" w:hAnsi="Times New Roman"/>
                    <w:b/>
                    <w:bCs/>
                  </w:rPr>
                </w:pPr>
                <w:r>
                  <w:rPr>
                    <w:rFonts w:hint="eastAsia" w:ascii="Times New Roman" w:hAnsi="Times New Roman"/>
                    <w:b/>
                    <w:bCs/>
                  </w:rPr>
                  <w:t>折旧年限（年）</w:t>
                </w:r>
              </w:p>
            </w:tc>
            <w:tc>
              <w:tcPr>
                <w:tcW w:w="1978" w:type="dxa"/>
              </w:tcPr>
              <w:p>
                <w:pPr>
                  <w:widowControl w:val="0"/>
                  <w:jc w:val="both"/>
                  <w:rPr>
                    <w:rFonts w:ascii="Times New Roman" w:hAnsi="Times New Roman"/>
                    <w:b/>
                    <w:bCs/>
                  </w:rPr>
                </w:pPr>
                <w:r>
                  <w:rPr>
                    <w:rFonts w:hint="eastAsia" w:ascii="Times New Roman" w:hAnsi="Times New Roman"/>
                    <w:b/>
                    <w:bCs/>
                  </w:rPr>
                  <w:t>残值率</w:t>
                </w:r>
              </w:p>
            </w:tc>
            <w:tc>
              <w:tcPr>
                <w:tcW w:w="1984" w:type="dxa"/>
              </w:tcPr>
              <w:p>
                <w:pPr>
                  <w:widowControl w:val="0"/>
                  <w:jc w:val="both"/>
                  <w:rPr>
                    <w:rFonts w:ascii="Times New Roman" w:hAnsi="Times New Roman"/>
                    <w:b/>
                    <w:bCs/>
                  </w:rPr>
                </w:pPr>
                <w:r>
                  <w:rPr>
                    <w:rFonts w:hint="eastAsia" w:ascii="Times New Roman" w:hAnsi="Times New Roman"/>
                    <w:b/>
                    <w:bCs/>
                  </w:rPr>
                  <w:t>年折旧率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Cs/>
                  </w:rPr>
                </w:pPr>
                <w:r>
                  <w:rPr>
                    <w:rFonts w:hint="eastAsia" w:ascii="Times New Roman" w:hAnsi="Times New Roman"/>
                    <w:bCs/>
                  </w:rPr>
                  <w:t>房屋及建筑物</w:t>
                </w:r>
              </w:p>
            </w:tc>
            <w:tc>
              <w:tcPr>
                <w:tcW w:w="1982" w:type="dxa"/>
              </w:tcPr>
              <w:p>
                <w:pPr>
                  <w:widowControl w:val="0"/>
                  <w:jc w:val="both"/>
                  <w:rPr>
                    <w:rFonts w:ascii="Times New Roman" w:hAnsi="Times New Roman"/>
                  </w:rPr>
                </w:pPr>
                <w:r>
                  <w:rPr>
                    <w:rFonts w:ascii="Times New Roman" w:hAnsi="Times New Roman"/>
                  </w:rPr>
                  <w:t>10-30</w:t>
                </w:r>
              </w:p>
            </w:tc>
            <w:tc>
              <w:tcPr>
                <w:tcW w:w="1978" w:type="dxa"/>
              </w:tcPr>
              <w:p>
                <w:pPr>
                  <w:widowControl w:val="0"/>
                  <w:jc w:val="both"/>
                  <w:rPr>
                    <w:rFonts w:ascii="Times New Roman" w:hAnsi="Times New Roman"/>
                  </w:rPr>
                </w:pPr>
                <w:r>
                  <w:rPr>
                    <w:rFonts w:ascii="Times New Roman" w:hAnsi="Times New Roman"/>
                  </w:rPr>
                  <w:t>0</w:t>
                </w:r>
              </w:p>
            </w:tc>
            <w:tc>
              <w:tcPr>
                <w:tcW w:w="1984" w:type="dxa"/>
              </w:tcPr>
              <w:p>
                <w:pPr>
                  <w:widowControl w:val="0"/>
                  <w:jc w:val="both"/>
                  <w:rPr>
                    <w:rFonts w:ascii="Times New Roman" w:hAnsi="Times New Roman"/>
                  </w:rPr>
                </w:pPr>
                <w:r>
                  <w:rPr>
                    <w:rFonts w:ascii="Times New Roman" w:hAnsi="Times New Roman"/>
                  </w:rPr>
                  <w:t>3.3-10.0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安全设施</w:t>
                </w:r>
              </w:p>
            </w:tc>
            <w:tc>
              <w:tcPr>
                <w:tcW w:w="1982" w:type="dxa"/>
              </w:tcPr>
              <w:p>
                <w:pPr>
                  <w:widowControl w:val="0"/>
                  <w:jc w:val="both"/>
                  <w:rPr>
                    <w:rFonts w:ascii="Times New Roman" w:hAnsi="Times New Roman"/>
                    <w:b/>
                    <w:bCs/>
                  </w:rPr>
                </w:pPr>
                <w:r>
                  <w:rPr>
                    <w:rFonts w:ascii="Times New Roman" w:hAnsi="Times New Roman"/>
                  </w:rPr>
                  <w:t>10</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通讯及监控设施</w:t>
                </w:r>
              </w:p>
            </w:tc>
            <w:tc>
              <w:tcPr>
                <w:tcW w:w="1982" w:type="dxa"/>
              </w:tcPr>
              <w:p>
                <w:pPr>
                  <w:widowControl w:val="0"/>
                  <w:jc w:val="both"/>
                  <w:rPr>
                    <w:rFonts w:ascii="Times New Roman" w:hAnsi="Times New Roman"/>
                    <w:b/>
                    <w:bCs/>
                  </w:rPr>
                </w:pPr>
                <w:r>
                  <w:rPr>
                    <w:rFonts w:ascii="Times New Roman" w:hAnsi="Times New Roman"/>
                  </w:rPr>
                  <w:t>8</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收费及附属设施</w:t>
                </w:r>
              </w:p>
            </w:tc>
            <w:tc>
              <w:tcPr>
                <w:tcW w:w="1982" w:type="dxa"/>
              </w:tcPr>
              <w:p>
                <w:pPr>
                  <w:widowControl w:val="0"/>
                  <w:jc w:val="both"/>
                  <w:rPr>
                    <w:rFonts w:ascii="Times New Roman" w:hAnsi="Times New Roman"/>
                    <w:b/>
                    <w:bCs/>
                  </w:rPr>
                </w:pPr>
                <w:r>
                  <w:rPr>
                    <w:rFonts w:ascii="Times New Roman" w:hAnsi="Times New Roman"/>
                  </w:rPr>
                  <w:t>8</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机器设备</w:t>
                </w:r>
              </w:p>
            </w:tc>
            <w:tc>
              <w:tcPr>
                <w:tcW w:w="1982" w:type="dxa"/>
              </w:tcPr>
              <w:p>
                <w:pPr>
                  <w:widowControl w:val="0"/>
                  <w:jc w:val="both"/>
                  <w:rPr>
                    <w:rFonts w:ascii="Times New Roman" w:hAnsi="Times New Roman"/>
                    <w:b/>
                    <w:bCs/>
                  </w:rPr>
                </w:pPr>
                <w:r>
                  <w:rPr>
                    <w:rFonts w:ascii="Times New Roman" w:hAnsi="Times New Roman"/>
                  </w:rPr>
                  <w:t>9-33</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2.9-10.8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电子设备</w:t>
                </w:r>
              </w:p>
            </w:tc>
            <w:tc>
              <w:tcPr>
                <w:tcW w:w="1982" w:type="dxa"/>
              </w:tcPr>
              <w:p>
                <w:pPr>
                  <w:widowControl w:val="0"/>
                  <w:jc w:val="both"/>
                  <w:rPr>
                    <w:rFonts w:ascii="Times New Roman" w:hAnsi="Times New Roman"/>
                    <w:b/>
                    <w:bCs/>
                  </w:rPr>
                </w:pPr>
                <w:r>
                  <w:rPr>
                    <w:rFonts w:ascii="Times New Roman" w:hAnsi="Times New Roman"/>
                  </w:rPr>
                  <w:t>5</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运输工具</w:t>
                </w:r>
              </w:p>
            </w:tc>
            <w:tc>
              <w:tcPr>
                <w:tcW w:w="1982" w:type="dxa"/>
              </w:tcPr>
              <w:p>
                <w:pPr>
                  <w:widowControl w:val="0"/>
                  <w:jc w:val="both"/>
                  <w:rPr>
                    <w:rFonts w:ascii="Times New Roman" w:hAnsi="Times New Roman"/>
                    <w:b/>
                    <w:bCs/>
                  </w:rPr>
                </w:pPr>
                <w:r>
                  <w:rPr>
                    <w:rFonts w:ascii="Times New Roman" w:hAnsi="Times New Roman"/>
                  </w:rPr>
                  <w:t>8</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tcPr>
              <w:p>
                <w:pPr>
                  <w:widowControl w:val="0"/>
                  <w:jc w:val="both"/>
                  <w:rPr>
                    <w:rFonts w:ascii="Times New Roman" w:hAnsi="Times New Roman"/>
                    <w:b/>
                    <w:bCs/>
                  </w:rPr>
                </w:pPr>
                <w:r>
                  <w:rPr>
                    <w:rFonts w:ascii="Times New Roman" w:hAnsi="Times New Roman"/>
                  </w:rPr>
                  <w:t>家具及其他</w:t>
                </w:r>
              </w:p>
            </w:tc>
            <w:tc>
              <w:tcPr>
                <w:tcW w:w="1982" w:type="dxa"/>
              </w:tcPr>
              <w:p>
                <w:pPr>
                  <w:widowControl w:val="0"/>
                  <w:jc w:val="both"/>
                  <w:rPr>
                    <w:rFonts w:ascii="Times New Roman" w:hAnsi="Times New Roman"/>
                    <w:b/>
                    <w:bCs/>
                  </w:rPr>
                </w:pPr>
                <w:r>
                  <w:rPr>
                    <w:rFonts w:ascii="Times New Roman" w:hAnsi="Times New Roman"/>
                  </w:rPr>
                  <w:t>5</w:t>
                </w:r>
              </w:p>
            </w:tc>
            <w:tc>
              <w:tcPr>
                <w:tcW w:w="1978" w:type="dxa"/>
              </w:tcPr>
              <w:p>
                <w:pPr>
                  <w:widowControl w:val="0"/>
                  <w:jc w:val="both"/>
                  <w:rPr>
                    <w:rFonts w:ascii="Times New Roman" w:hAnsi="Times New Roman"/>
                    <w:b/>
                    <w:bCs/>
                  </w:rPr>
                </w:pPr>
                <w:r>
                  <w:rPr>
                    <w:rFonts w:ascii="Times New Roman" w:hAnsi="Times New Roman"/>
                  </w:rPr>
                  <w:t>3</w:t>
                </w:r>
              </w:p>
            </w:tc>
            <w:tc>
              <w:tcPr>
                <w:tcW w:w="1984" w:type="dxa"/>
              </w:tcPr>
              <w:p>
                <w:pPr>
                  <w:widowControl w:val="0"/>
                  <w:jc w:val="both"/>
                  <w:rPr>
                    <w:rFonts w:ascii="Times New Roman" w:hAnsi="Times New Roman"/>
                    <w:b/>
                    <w:bCs/>
                  </w:rPr>
                </w:pPr>
                <w:r>
                  <w:rPr>
                    <w:rFonts w:ascii="Times New Roman" w:hAnsi="Times New Roman"/>
                  </w:rPr>
                  <w:t>19.4</w:t>
                </w:r>
              </w:p>
            </w:tc>
          </w:tr>
        </w:tbl>
        <w:p>
          <w:pPr>
            <w:pStyle w:val="114"/>
          </w:pPr>
          <w:r>
            <w:rPr>
              <w:rFonts w:hint="eastAsia"/>
            </w:rPr>
            <w:t>本集团至少在每年年度终了对固定资产的使用寿命、预计净残值和折旧方法进行复核。</w:t>
          </w:r>
        </w:p>
        <w:p>
          <w:pPr>
            <w:pStyle w:val="114"/>
          </w:pPr>
        </w:p>
        <w:p>
          <w:pPr>
            <w:pStyle w:val="114"/>
          </w:pPr>
          <w:r>
            <w:t xml:space="preserve"> </w:t>
          </w:r>
        </w:p>
        <w:p>
          <w:pPr>
            <w:pStyle w:val="114"/>
          </w:pPr>
          <w:r>
            <w:t>(3)</w:t>
          </w:r>
          <w:r>
            <w:tab/>
          </w:r>
          <w:r>
            <w:t>减值测试方法及减值准备计提方法参见附注</w:t>
          </w:r>
          <w:r>
            <w:rPr>
              <w:rFonts w:hint="eastAsia"/>
            </w:rPr>
            <w:t>五</w:t>
          </w:r>
          <w:r>
            <w:t>、30。</w:t>
          </w:r>
        </w:p>
        <w:p>
          <w:pPr>
            <w:pStyle w:val="114"/>
          </w:pPr>
        </w:p>
        <w:p>
          <w:pPr>
            <w:pStyle w:val="114"/>
          </w:pPr>
          <w:r>
            <w:t>(4)</w:t>
          </w:r>
          <w:r>
            <w:tab/>
          </w:r>
          <w:r>
            <w:t>固定资产处置</w:t>
          </w:r>
        </w:p>
        <w:p>
          <w:pPr>
            <w:pStyle w:val="114"/>
          </w:pPr>
        </w:p>
        <w:p>
          <w:pPr>
            <w:pStyle w:val="114"/>
          </w:pPr>
          <w:r>
            <w:rPr>
              <w:rFonts w:hint="eastAsia"/>
            </w:rPr>
            <w:t>固定资产满足下述条件之一时，本集团会予以终止确认。</w:t>
          </w:r>
        </w:p>
        <w:p>
          <w:pPr>
            <w:pStyle w:val="114"/>
          </w:pPr>
        </w:p>
        <w:p>
          <w:pPr>
            <w:pStyle w:val="114"/>
          </w:pPr>
          <w:r>
            <w:t>-</w:t>
          </w:r>
          <w:r>
            <w:tab/>
          </w:r>
          <w:r>
            <w:t>固定资产处于处置状态；</w:t>
          </w:r>
        </w:p>
        <w:p>
          <w:pPr>
            <w:pStyle w:val="114"/>
          </w:pPr>
          <w:r>
            <w:t>-</w:t>
          </w:r>
          <w:r>
            <w:tab/>
          </w:r>
          <w:r>
            <w:t>该固定资产预期通过使用或处置不能产生经济利益。</w:t>
          </w:r>
        </w:p>
        <w:p>
          <w:pPr>
            <w:pStyle w:val="114"/>
          </w:pPr>
        </w:p>
        <w:p>
          <w:pPr>
            <w:pStyle w:val="114"/>
          </w:pPr>
          <w:r>
            <w:rPr>
              <w:rFonts w:hint="eastAsia"/>
            </w:rPr>
            <w:t>报废或处置固定资产项目所产生的损益为处置所得款项净额与项目账面金额之间的差额，并于报废或处置日在损益中确认。</w:t>
          </w:r>
        </w:p>
      </w:sdtContent>
    </w:sdt>
    <w:sdt>
      <w:sdtPr>
        <w:rPr>
          <w:rFonts w:ascii="宋体" w:hAnsi="宋体" w:cs="宋体"/>
          <w:b w:val="0"/>
          <w:bCs w:val="0"/>
          <w:kern w:val="0"/>
          <w:szCs w:val="22"/>
        </w:rPr>
        <w:alias w:val="模块:固定资产计价和折旧方法及减值准备的计提方法"/>
        <w:tag w:val="_GBC_a1560089c32f441f92e145c3cdc25289"/>
        <w:id w:val="1866630812"/>
        <w:lock w:val="sdtLocked"/>
        <w:placeholder>
          <w:docPart w:val="GBC22222222222222222222222222222"/>
        </w:placeholder>
      </w:sdtPr>
      <w:sdtEndPr>
        <w:rPr>
          <w:rFonts w:hint="eastAsia" w:ascii="宋体" w:hAnsi="宋体" w:cs="Times New Roman"/>
          <w:b w:val="0"/>
          <w:bCs w:val="0"/>
          <w:kern w:val="2"/>
          <w:szCs w:val="21"/>
        </w:rPr>
      </w:sdtEndPr>
      <w:sdtContent>
        <w:p>
          <w:pPr>
            <w:pStyle w:val="5"/>
            <w:numPr>
              <w:ilvl w:val="0"/>
              <w:numId w:val="44"/>
            </w:numPr>
            <w:rPr>
              <w:rFonts w:ascii="宋体" w:hAnsi="宋体"/>
              <w:szCs w:val="21"/>
            </w:rPr>
          </w:pPr>
          <w:r>
            <w:rPr>
              <w:rFonts w:hint="eastAsia" w:ascii="宋体" w:hAnsi="宋体"/>
              <w:szCs w:val="21"/>
            </w:rPr>
            <w:t>融资租入固定资产的认定依据、计价和折旧方法</w:t>
          </w:r>
        </w:p>
        <w:sdt>
          <w:sdtPr>
            <w:alias w:val="是否适用：融资租入固定资产的认定依据、计价和折旧方法[双击切换]"/>
            <w:tag w:val="_GBC_16fcfe6546324a2bb6bf5a46c9363b25"/>
            <w:id w:val="-29121063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4"/>
        </w:rPr>
        <w:alias w:val="模块:在建工程会计处理方法"/>
        <w:tag w:val="_GBC_3eb5f960df3e47f0a4bf3af0bc67ca96"/>
        <w:id w:val="91791112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在建工程</w:t>
          </w:r>
        </w:p>
        <w:p>
          <w:pPr>
            <w:pStyle w:val="114"/>
          </w:pPr>
          <w:sdt>
            <w:sdtPr>
              <w:rPr>
                <w:rFonts w:hint="eastAsia"/>
              </w:rPr>
              <w:alias w:val="是否适用：在建工程_重要会计政策和估计[双击切换]"/>
              <w:tag w:val="_GBC_d9803b41f65e4a7fbebb412a259d9bf9"/>
              <w:id w:val="2109155992"/>
              <w:lock w:val="sd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rPr>
            <w:alias w:val="在建工程核算方法"/>
            <w:tag w:val="_GBC_ed79f983df814c58add61776fe84c76e"/>
            <w:id w:val="1382052842"/>
            <w:lock w:val="sdtLocked"/>
            <w:placeholder>
              <w:docPart w:val="GBC22222222222222222222222222222"/>
            </w:placeholder>
          </w:sdtPr>
          <w:sdtEndPr>
            <w:rPr>
              <w:rFonts w:hint="eastAsia"/>
            </w:rPr>
          </w:sdtEndPr>
          <w:sdtContent>
            <w:p>
              <w:pPr>
                <w:pStyle w:val="114"/>
              </w:pPr>
              <w:r>
                <w:rPr>
                  <w:rFonts w:hint="eastAsia"/>
                </w:rPr>
                <w:t>自行建造的固定资产的成本包括工程用物资、直接人工、符合资本化条件的借款费用</w:t>
              </w:r>
              <w:r>
                <w:t xml:space="preserve"> (参见附注</w:t>
              </w:r>
              <w:r>
                <w:rPr>
                  <w:rFonts w:hint="eastAsia"/>
                </w:rPr>
                <w:t>五</w:t>
              </w:r>
              <w:r>
                <w:t>、25) 和使该项资产达到预定可使用状态前所发生的必要支出。</w:t>
              </w:r>
            </w:p>
            <w:p>
              <w:pPr>
                <w:pStyle w:val="114"/>
              </w:pPr>
            </w:p>
            <w:p>
              <w:pPr>
                <w:pStyle w:val="114"/>
              </w:pPr>
              <w:r>
                <w:rPr>
                  <w:rFonts w:hint="eastAsia"/>
                </w:rPr>
                <w:t>自行建造的固定资产于达到预定可使用状态时转入固定资产，此前列于在建工程，且不计提折旧。</w:t>
              </w:r>
            </w:p>
            <w:p>
              <w:pPr>
                <w:pStyle w:val="114"/>
              </w:pPr>
            </w:p>
            <w:p>
              <w:pPr>
                <w:pStyle w:val="114"/>
              </w:pPr>
              <w:r>
                <w:rPr>
                  <w:rFonts w:hint="eastAsia"/>
                </w:rPr>
                <w:t>在建工程以成本减减值准备</w:t>
              </w:r>
              <w:r>
                <w:t xml:space="preserve"> (参见附注</w:t>
              </w:r>
              <w:r>
                <w:rPr>
                  <w:rFonts w:hint="eastAsia"/>
                </w:rPr>
                <w:t>五</w:t>
              </w:r>
              <w:r>
                <w:t>、30) 在资产负债表内列示。</w:t>
              </w:r>
            </w:p>
          </w:sdtContent>
        </w:sdt>
        <w:p>
          <w:pPr>
            <w:pStyle w:val="114"/>
          </w:pPr>
        </w:p>
      </w:sdtContent>
    </w:sdt>
    <w:sdt>
      <w:sdtPr>
        <w:rPr>
          <w:rFonts w:ascii="宋体" w:hAnsi="宋体" w:cs="宋体"/>
          <w:b w:val="0"/>
          <w:bCs w:val="0"/>
          <w:kern w:val="0"/>
          <w:szCs w:val="22"/>
        </w:rPr>
        <w:alias w:val="模块:借款费用会计处理方法"/>
        <w:tag w:val="_GBC_e3e4d07ea08d4589a9293563ea655b42"/>
        <w:id w:val="584183118"/>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101110517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借款费用的会计处理方法"/>
            <w:tag w:val="_GBC_2101c32d32c64f39a8b8fcd2b72dbb0a"/>
            <w:id w:val="367274213"/>
            <w:lock w:val="sdtLocked"/>
            <w:placeholder>
              <w:docPart w:val="GBC22222222222222222222222222222"/>
            </w:placeholder>
          </w:sdtPr>
          <w:sdtEndPr>
            <w:rPr>
              <w:rFonts w:hint="eastAsia"/>
            </w:rPr>
          </w:sdtEndPr>
          <w:sdtContent>
            <w:p>
              <w:pPr>
                <w:pStyle w:val="114"/>
              </w:pPr>
              <w:r>
                <w:rPr>
                  <w:rFonts w:hint="eastAsia"/>
                </w:rPr>
                <w:t>本集团发生的可直接归属于符合资本化条件的资产的购建或者生产的借款费用，予以资本化并计入相关资产的成本，其他借款费用均于发生当期确认为财务费用。</w:t>
              </w:r>
            </w:p>
            <w:p>
              <w:pPr>
                <w:pStyle w:val="114"/>
              </w:pPr>
            </w:p>
            <w:p>
              <w:pPr>
                <w:pStyle w:val="114"/>
              </w:pPr>
              <w:r>
                <w:rPr>
                  <w:rFonts w:hint="eastAsia"/>
                </w:rPr>
                <w:t>在资本化期间内，本集团按照下列方法确定每一会计期间的利息资本化金额</w:t>
              </w:r>
              <w:r>
                <w:t xml:space="preserve"> (包括折价或溢价的摊销)：</w:t>
              </w:r>
            </w:p>
            <w:p>
              <w:pPr>
                <w:pStyle w:val="114"/>
              </w:pPr>
            </w:p>
            <w:p>
              <w:pPr>
                <w:pStyle w:val="114"/>
              </w:pPr>
              <w:r>
                <w:t>-</w:t>
              </w:r>
              <w:r>
                <w:tab/>
              </w:r>
              <w:r>
                <w:t>对于为购建或者生产符合资本化条件的资产而借入的专门借款，本集团以专门借款按实际利率计算的当期利息费用，减去将尚未动用的借款资金存入银行取得的利息收入或进行暂时性投资取得的投资收益后的金额确定专门借款应予资本化的利息金额。</w:t>
              </w:r>
            </w:p>
            <w:p>
              <w:pPr>
                <w:pStyle w:val="114"/>
              </w:pPr>
            </w:p>
            <w:p>
              <w:pPr>
                <w:pStyle w:val="114"/>
              </w:pPr>
              <w:r>
                <w:t>-</w:t>
              </w:r>
              <w:r>
                <w:tab/>
              </w:r>
              <w:r>
                <w:t>对于为购建或者生产符合资本化条件的资产而占用的一般借款，本集团根据累计资产支出超过专门借款部分的资产支出的加权平均数乘以所占用一般借款的资本化率，计算确定一般借款应予资本化的利息金额。资本化率是根据一般借款加权平均的实际利率计算确定。</w:t>
              </w:r>
            </w:p>
            <w:p>
              <w:pPr>
                <w:pStyle w:val="114"/>
              </w:pPr>
            </w:p>
            <w:p>
              <w:pPr>
                <w:pStyle w:val="114"/>
              </w:pPr>
              <w:r>
                <w:rPr>
                  <w:rFonts w:hint="eastAsia"/>
                </w:rPr>
                <w:t>本集团确定借款的实际利率时，是将借款在预期存续期间或适用的更短期间内的未来现金流量，折现为该借款初始确认时确定的金额所使用的利率。</w:t>
              </w:r>
            </w:p>
            <w:p>
              <w:pPr>
                <w:pStyle w:val="114"/>
              </w:pPr>
            </w:p>
            <w:p>
              <w:pPr>
                <w:pStyle w:val="114"/>
              </w:pPr>
              <w:r>
                <w:rPr>
                  <w:rFonts w:hint="eastAsia"/>
                </w:rPr>
                <w:t>在资本化期间内，外币专门借款本金及其利息的汇兑差额，予以资本化，计入符合资本化条件的资产的成本。而除外币专门借款之外的其他外币借款本金及其利息所产生的汇兑差额作为财务费用，计入当期损益。</w:t>
              </w:r>
            </w:p>
            <w:p>
              <w:pPr>
                <w:pStyle w:val="114"/>
              </w:pPr>
            </w:p>
            <w:p>
              <w:pPr>
                <w:pStyle w:val="114"/>
              </w:pPr>
              <w:r>
                <w:rPr>
                  <w:rFonts w:hint="eastAsia"/>
                </w:rPr>
                <w:t>资本化期间是指本集团从借款费用开始资本化时点到停止资本化时点的期间，借款费用暂停资本化的期间不包括在内。当资本支出和借款费用已经发生及为使资产达到预定可使用或可销售状态所必要的购建或生产活动已经开始时，借款费用开始资本化。当购建或者生产符合资本化条件的资产达到预定可使用或者可销售状态时，借款费用停止资本化。对于符合资本化条件的资产在购建或者生产过程中发生非正常中断、且中断时间连续超过</w:t>
              </w:r>
              <w:r>
                <w:t>3个月的，本集团暂停借款费用的资本化。</w:t>
              </w:r>
            </w:p>
          </w:sdtContent>
        </w:sdt>
        <w:p>
          <w:pPr>
            <w:pStyle w:val="114"/>
          </w:pPr>
        </w:p>
      </w:sdtContent>
    </w:sdt>
    <w:sdt>
      <w:sdtPr>
        <w:rPr>
          <w:rFonts w:ascii="宋体" w:hAnsi="宋体" w:cs="宋体"/>
          <w:b w:val="0"/>
          <w:bCs w:val="0"/>
          <w:kern w:val="0"/>
          <w:szCs w:val="22"/>
        </w:rPr>
        <w:alias w:val="模块:生物资产会计处理方法"/>
        <w:tag w:val="_GBC_0b83f813710f436286429917c8c39567"/>
        <w:id w:val="-1857882859"/>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758796823"/>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ascii="宋体" w:hAnsi="宋体" w:cs="宋体"/>
          <w:b w:val="0"/>
          <w:bCs w:val="0"/>
          <w:kern w:val="0"/>
          <w:szCs w:val="22"/>
        </w:rPr>
        <w:alias w:val="模块:油气资产会计处理方法"/>
        <w:tag w:val="_GBC_ed738d1d51d04aad8efd3fb3e88bf021"/>
        <w:id w:val="-1965486346"/>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181710067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kern w:val="2"/>
            </w:rPr>
          </w:pPr>
        </w:p>
      </w:sdtContent>
    </w:sdt>
    <w:sdt>
      <w:sdtPr>
        <w:rPr>
          <w:rFonts w:hint="eastAsia" w:ascii="宋体" w:hAnsi="宋体" w:cs="宋体"/>
          <w:b w:val="0"/>
          <w:bCs w:val="0"/>
          <w:kern w:val="0"/>
          <w:szCs w:val="21"/>
        </w:rPr>
        <w:alias w:val="模块:使用权资产"/>
        <w:tag w:val="_SEC_90a021f24056469493c41c33bb5760c5"/>
        <w:id w:val="254716215"/>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r>
            <w:rPr>
              <w:rFonts w:hint="eastAsia" w:ascii="宋体" w:hAnsi="宋体"/>
              <w:szCs w:val="21"/>
            </w:rPr>
            <w:t>使用权资产</w:t>
          </w:r>
        </w:p>
        <w:sdt>
          <w:sdtPr>
            <w:alias w:val="是否适用：使用权资产_重要会计政策和估计[双击切换]"/>
            <w:tag w:val="_GBC_bbd2545b6bca43cea34e43a28caeae1a"/>
            <w:id w:val="1048494749"/>
            <w:lock w:val="sdtLocked"/>
            <w:placeholder>
              <w:docPart w:val="GBC22222222222222222222222222222"/>
            </w:placeholder>
          </w:sdtPr>
          <w:sdtContent>
            <w:p>
              <w:pPr>
                <w:pStyle w:val="114"/>
              </w:pPr>
              <w:bookmarkStart w:id="120" w:name="_Hlk116758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使用权资产的核算方法"/>
            <w:tag w:val="_GBC_3bb46fd024784bf2b06e4f7d7b903751"/>
            <w:id w:val="1578934509"/>
            <w:lock w:val="sdtLocked"/>
            <w:placeholder>
              <w:docPart w:val="GBC22222222222222222222222222222"/>
            </w:placeholder>
          </w:sdtPr>
          <w:sdtContent>
            <w:p>
              <w:pPr>
                <w:pStyle w:val="114"/>
              </w:pPr>
              <w:r>
                <w:rPr>
                  <w:rFonts w:hint="eastAsia"/>
                </w:rPr>
                <w:t>参见附注五、</w:t>
              </w:r>
              <w:r>
                <w:t>42</w:t>
              </w:r>
            </w:p>
          </w:sdtContent>
        </w:sdt>
      </w:sdtContent>
    </w:sdt>
    <w:bookmarkEnd w:id="120"/>
    <w:p>
      <w:pPr>
        <w:pStyle w:val="114"/>
      </w:pPr>
    </w:p>
    <w:sdt>
      <w:sdtPr>
        <w:rPr>
          <w:rFonts w:ascii="宋体" w:hAnsi="宋体" w:cs="宋体"/>
          <w:b w:val="0"/>
          <w:bCs w:val="0"/>
          <w:kern w:val="0"/>
          <w:szCs w:val="22"/>
        </w:rPr>
        <w:alias w:val="模块:无形资产会计处理方法"/>
        <w:tag w:val="_GBC_0a8b293ff9e94173b2e385f4ef2a8c89"/>
        <w:id w:val="-346937260"/>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无形资产</w:t>
          </w:r>
        </w:p>
        <w:p>
          <w:pPr>
            <w:pStyle w:val="5"/>
            <w:numPr>
              <w:ilvl w:val="3"/>
              <w:numId w:val="45"/>
            </w:numPr>
            <w:tabs>
              <w:tab w:val="left" w:pos="448"/>
            </w:tabs>
            <w:rPr>
              <w:rFonts w:ascii="宋体" w:hAnsi="宋体"/>
            </w:rPr>
          </w:pPr>
          <w:r>
            <w:rPr>
              <w:rFonts w:hint="eastAsia" w:ascii="宋体" w:hAnsi="宋体"/>
            </w:rPr>
            <w:t>计价方法、使用寿命、减值测试</w:t>
          </w:r>
        </w:p>
        <w:sdt>
          <w:sdtPr>
            <w:rPr>
              <w:rFonts w:hint="eastAsia"/>
            </w:rPr>
            <w:alias w:val="是否适用：无形资产计价方法、使用寿命、减值测试[双击切换]"/>
            <w:tag w:val="_GBC_a82698fb1ffd4e75b46a9c35938b4cf4"/>
            <w:id w:val="3463015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计价方法、使用寿命、减值测试"/>
            <w:tag w:val="_GBC_a9e64b18f452482eb6674ec605618dcc"/>
            <w:id w:val="-1974128863"/>
            <w:lock w:val="sdtLocked"/>
            <w:placeholder>
              <w:docPart w:val="GBC22222222222222222222222222222"/>
            </w:placeholder>
          </w:sdtPr>
          <w:sdtContent>
            <w:p>
              <w:pPr>
                <w:pStyle w:val="114"/>
              </w:pPr>
              <w:r>
                <w:rPr>
                  <w:rFonts w:hint="eastAsia"/>
                </w:rPr>
                <w:t>无形资产以成本减累计摊销</w:t>
              </w:r>
              <w:r>
                <w:t xml:space="preserve"> (仅限于使用寿命有限的无形资产) 及减值准备（参见附注</w:t>
              </w:r>
              <w:r>
                <w:rPr>
                  <w:rFonts w:hint="eastAsia"/>
                </w:rPr>
                <w:t>五</w:t>
              </w:r>
              <w:r>
                <w:t>、30）后在资产负债表内列示。除公路经营权外，使用寿命有限的无形资产自可供使用时起，对其原值减去预计净残值和已计提的减值准备累计金额在其预计使用寿命内采用直线法摊销，除非该无形资产符合持有待售的条件。当本集团有权利对公路使用者收取费用（作为服务特许权中提供建造服务的对价），该权利作为无形资产，并以公允价值予以初始确认。公路经营权按历史成本扣减摊销和减值准备后列示。该公路经营权按车流量法摊销，以当月实际车流量占当月实际车流量和预</w:t>
              </w:r>
              <w:r>
                <w:rPr>
                  <w:rFonts w:hint="eastAsia"/>
                </w:rPr>
                <w:t>计未来剩余交通流量之和的比例计算当月摊销金额。当实际交通流量与预估总交通流量产生重大差异时，本集团将重新预估总交通流量并计提摊销。</w:t>
              </w:r>
            </w:p>
            <w:p>
              <w:pPr>
                <w:pStyle w:val="114"/>
              </w:pPr>
            </w:p>
            <w:p>
              <w:pPr>
                <w:pStyle w:val="114"/>
              </w:pPr>
              <w:r>
                <w:rPr>
                  <w:rFonts w:hint="eastAsia"/>
                </w:rPr>
                <w:t>各项无形资产的摊销年限为：</w:t>
              </w:r>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2180"/>
                <w:gridCol w:w="218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项目</w:t>
                    </w:r>
                  </w:p>
                </w:tc>
                <w:tc>
                  <w:tcPr>
                    <w:tcW w:w="2180" w:type="dxa"/>
                  </w:tcPr>
                  <w:p>
                    <w:pPr>
                      <w:pStyle w:val="114"/>
                      <w:widowControl w:val="0"/>
                      <w:jc w:val="both"/>
                      <w:rPr>
                        <w:rFonts w:ascii="Times New Roman" w:hAnsi="Times New Roman"/>
                      </w:rPr>
                    </w:pPr>
                    <w:r>
                      <w:rPr>
                        <w:rFonts w:ascii="Times New Roman" w:hAnsi="Times New Roman"/>
                      </w:rPr>
                      <w:t>摊销方法</w:t>
                    </w:r>
                  </w:p>
                </w:tc>
                <w:tc>
                  <w:tcPr>
                    <w:tcW w:w="2180" w:type="dxa"/>
                  </w:tcPr>
                  <w:p>
                    <w:pPr>
                      <w:pStyle w:val="114"/>
                      <w:widowControl w:val="0"/>
                      <w:jc w:val="both"/>
                      <w:rPr>
                        <w:rFonts w:ascii="Times New Roman" w:hAnsi="Times New Roman"/>
                      </w:rPr>
                    </w:pPr>
                    <w:r>
                      <w:rPr>
                        <w:rFonts w:ascii="Times New Roman" w:hAnsi="Times New Roman"/>
                      </w:rPr>
                      <w:t>摊销年限 (年)</w:t>
                    </w:r>
                  </w:p>
                </w:tc>
                <w:tc>
                  <w:tcPr>
                    <w:tcW w:w="2180" w:type="dxa"/>
                  </w:tcPr>
                  <w:p>
                    <w:pPr>
                      <w:pStyle w:val="114"/>
                      <w:widowControl w:val="0"/>
                      <w:jc w:val="both"/>
                      <w:rPr>
                        <w:rFonts w:ascii="Times New Roman" w:hAnsi="Times New Roman"/>
                      </w:rPr>
                    </w:pPr>
                    <w:r>
                      <w:rPr>
                        <w:rFonts w:ascii="Times New Roman" w:hAnsi="Times New Roman"/>
                      </w:rPr>
                      <w:t>残值率(%)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土地使用权</w:t>
                    </w:r>
                  </w:p>
                </w:tc>
                <w:tc>
                  <w:tcPr>
                    <w:tcW w:w="2180" w:type="dxa"/>
                  </w:tcPr>
                  <w:p>
                    <w:pPr>
                      <w:pStyle w:val="114"/>
                      <w:widowControl w:val="0"/>
                      <w:jc w:val="both"/>
                      <w:rPr>
                        <w:rFonts w:ascii="Times New Roman" w:hAnsi="Times New Roman"/>
                      </w:rPr>
                    </w:pPr>
                    <w:r>
                      <w:rPr>
                        <w:rFonts w:ascii="Times New Roman" w:hAnsi="Times New Roman"/>
                      </w:rPr>
                      <w:t>直线法</w:t>
                    </w:r>
                  </w:p>
                </w:tc>
                <w:tc>
                  <w:tcPr>
                    <w:tcW w:w="2180" w:type="dxa"/>
                  </w:tcPr>
                  <w:p>
                    <w:pPr>
                      <w:pStyle w:val="114"/>
                      <w:widowControl w:val="0"/>
                      <w:jc w:val="both"/>
                      <w:rPr>
                        <w:rFonts w:ascii="Times New Roman" w:hAnsi="Times New Roman"/>
                      </w:rPr>
                    </w:pPr>
                    <w:r>
                      <w:rPr>
                        <w:rFonts w:ascii="Times New Roman" w:hAnsi="Times New Roman"/>
                      </w:rPr>
                      <w:t>22-30</w:t>
                    </w:r>
                  </w:p>
                </w:tc>
                <w:tc>
                  <w:tcPr>
                    <w:tcW w:w="2180" w:type="dxa"/>
                  </w:tcPr>
                  <w:p>
                    <w:pPr>
                      <w:pStyle w:val="114"/>
                      <w:widowControl w:val="0"/>
                      <w:jc w:val="both"/>
                      <w:rPr>
                        <w:rFonts w:ascii="Times New Roman" w:hAnsi="Times New Roman"/>
                      </w:rPr>
                    </w:pPr>
                    <w:r>
                      <w:rPr>
                        <w:rFonts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公路经营权</w:t>
                    </w:r>
                  </w:p>
                </w:tc>
                <w:tc>
                  <w:tcPr>
                    <w:tcW w:w="2180" w:type="dxa"/>
                  </w:tcPr>
                  <w:p>
                    <w:pPr>
                      <w:pStyle w:val="114"/>
                      <w:widowControl w:val="0"/>
                      <w:jc w:val="both"/>
                      <w:rPr>
                        <w:rFonts w:ascii="Times New Roman" w:hAnsi="Times New Roman"/>
                      </w:rPr>
                    </w:pPr>
                    <w:r>
                      <w:rPr>
                        <w:rFonts w:ascii="Times New Roman" w:hAnsi="Times New Roman"/>
                      </w:rPr>
                      <w:t>交通流量法</w:t>
                    </w:r>
                  </w:p>
                </w:tc>
                <w:tc>
                  <w:tcPr>
                    <w:tcW w:w="2180" w:type="dxa"/>
                  </w:tcPr>
                  <w:p>
                    <w:pPr>
                      <w:pStyle w:val="114"/>
                      <w:widowControl w:val="0"/>
                      <w:jc w:val="both"/>
                      <w:rPr>
                        <w:rFonts w:ascii="Times New Roman" w:hAnsi="Times New Roman"/>
                      </w:rPr>
                    </w:pPr>
                    <w:r>
                      <w:rPr>
                        <w:rFonts w:ascii="Times New Roman" w:hAnsi="Times New Roman"/>
                      </w:rPr>
                      <w:t>25-35</w:t>
                    </w:r>
                  </w:p>
                </w:tc>
                <w:tc>
                  <w:tcPr>
                    <w:tcW w:w="2180" w:type="dxa"/>
                  </w:tcPr>
                  <w:p>
                    <w:pPr>
                      <w:pStyle w:val="114"/>
                      <w:widowControl w:val="0"/>
                      <w:jc w:val="both"/>
                      <w:rPr>
                        <w:rFonts w:ascii="Times New Roman" w:hAnsi="Times New Roman"/>
                      </w:rPr>
                    </w:pPr>
                    <w:r>
                      <w:rPr>
                        <w:rFonts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海域使用权</w:t>
                    </w:r>
                  </w:p>
                </w:tc>
                <w:tc>
                  <w:tcPr>
                    <w:tcW w:w="2180" w:type="dxa"/>
                  </w:tcPr>
                  <w:p>
                    <w:pPr>
                      <w:pStyle w:val="114"/>
                      <w:widowControl w:val="0"/>
                      <w:jc w:val="both"/>
                      <w:rPr>
                        <w:rFonts w:ascii="Times New Roman" w:hAnsi="Times New Roman"/>
                      </w:rPr>
                    </w:pPr>
                    <w:r>
                      <w:rPr>
                        <w:rFonts w:ascii="Times New Roman" w:hAnsi="Times New Roman"/>
                      </w:rPr>
                      <w:t>直线法</w:t>
                    </w:r>
                  </w:p>
                </w:tc>
                <w:tc>
                  <w:tcPr>
                    <w:tcW w:w="2180" w:type="dxa"/>
                  </w:tcPr>
                  <w:p>
                    <w:pPr>
                      <w:pStyle w:val="114"/>
                      <w:widowControl w:val="0"/>
                      <w:jc w:val="both"/>
                      <w:rPr>
                        <w:rFonts w:ascii="Times New Roman" w:hAnsi="Times New Roman"/>
                      </w:rPr>
                    </w:pPr>
                    <w:r>
                      <w:rPr>
                        <w:rFonts w:ascii="Times New Roman" w:hAnsi="Times New Roman"/>
                      </w:rPr>
                      <w:t>28</w:t>
                    </w:r>
                  </w:p>
                </w:tc>
                <w:tc>
                  <w:tcPr>
                    <w:tcW w:w="2180" w:type="dxa"/>
                  </w:tcPr>
                  <w:p>
                    <w:pPr>
                      <w:pStyle w:val="114"/>
                      <w:widowControl w:val="0"/>
                      <w:jc w:val="both"/>
                      <w:rPr>
                        <w:rFonts w:ascii="Times New Roman" w:hAnsi="Times New Roman"/>
                      </w:rPr>
                    </w:pPr>
                    <w:r>
                      <w:rPr>
                        <w:rFonts w:ascii="Times New Roman" w:hAnsi="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tcPr>
                  <w:p>
                    <w:pPr>
                      <w:pStyle w:val="114"/>
                      <w:widowControl w:val="0"/>
                      <w:jc w:val="both"/>
                      <w:rPr>
                        <w:rFonts w:ascii="Times New Roman" w:hAnsi="Times New Roman"/>
                      </w:rPr>
                    </w:pPr>
                    <w:r>
                      <w:rPr>
                        <w:rFonts w:ascii="Times New Roman" w:hAnsi="Times New Roman"/>
                      </w:rPr>
                      <w:t>软件</w:t>
                    </w:r>
                  </w:p>
                </w:tc>
                <w:tc>
                  <w:tcPr>
                    <w:tcW w:w="2180" w:type="dxa"/>
                  </w:tcPr>
                  <w:p>
                    <w:pPr>
                      <w:pStyle w:val="114"/>
                      <w:widowControl w:val="0"/>
                      <w:jc w:val="both"/>
                      <w:rPr>
                        <w:rFonts w:ascii="Times New Roman" w:hAnsi="Times New Roman"/>
                      </w:rPr>
                    </w:pPr>
                    <w:r>
                      <w:rPr>
                        <w:rFonts w:ascii="Times New Roman" w:hAnsi="Times New Roman"/>
                      </w:rPr>
                      <w:t>直线法</w:t>
                    </w:r>
                  </w:p>
                </w:tc>
                <w:tc>
                  <w:tcPr>
                    <w:tcW w:w="2180" w:type="dxa"/>
                  </w:tcPr>
                  <w:p>
                    <w:pPr>
                      <w:pStyle w:val="114"/>
                      <w:widowControl w:val="0"/>
                      <w:jc w:val="both"/>
                      <w:rPr>
                        <w:rFonts w:ascii="Times New Roman" w:hAnsi="Times New Roman"/>
                      </w:rPr>
                    </w:pPr>
                    <w:r>
                      <w:rPr>
                        <w:rFonts w:ascii="Times New Roman" w:hAnsi="Times New Roman"/>
                      </w:rPr>
                      <w:t>5</w:t>
                    </w:r>
                  </w:p>
                </w:tc>
                <w:tc>
                  <w:tcPr>
                    <w:tcW w:w="2180" w:type="dxa"/>
                  </w:tcPr>
                  <w:p>
                    <w:pPr>
                      <w:pStyle w:val="114"/>
                      <w:widowControl w:val="0"/>
                      <w:jc w:val="both"/>
                      <w:rPr>
                        <w:rFonts w:ascii="Times New Roman" w:hAnsi="Times New Roman"/>
                      </w:rPr>
                    </w:pPr>
                    <w:r>
                      <w:rPr>
                        <w:rFonts w:ascii="Times New Roman" w:hAnsi="Times New Roman"/>
                      </w:rPr>
                      <w:t>0</w:t>
                    </w:r>
                  </w:p>
                </w:tc>
              </w:tr>
            </w:tbl>
            <w:p>
              <w:pPr>
                <w:pStyle w:val="114"/>
              </w:pPr>
              <w:r>
                <w:rPr>
                  <w:rFonts w:hint="eastAsia"/>
                </w:rPr>
                <w:t>本集团至少在每年年度终了对使用寿命有限的无形资产的使用寿命及摊销方法进行复核。</w:t>
              </w:r>
            </w:p>
            <w:p>
              <w:pPr>
                <w:pStyle w:val="114"/>
              </w:pPr>
            </w:p>
            <w:p>
              <w:pPr>
                <w:pStyle w:val="114"/>
              </w:pPr>
              <w:r>
                <w:rPr>
                  <w:rFonts w:hint="eastAsia"/>
                </w:rPr>
                <w:t>本集团将无法预见未来经济利益期限的无形资产视为使用寿命不确定的无形资产，并对这类无形资产不予摊销。本集团在每个会计期间对使用寿命不确定的无形资产的使用寿命进行复核。如果有证据表明无形资产的使用寿命是有限的，则估计其使用寿命，并按上述使用寿命有限的无形资产处理。</w:t>
              </w:r>
            </w:p>
          </w:sdtContent>
        </w:sdt>
        <w:p>
          <w:pPr>
            <w:pStyle w:val="114"/>
          </w:pPr>
        </w:p>
        <w:p>
          <w:pPr>
            <w:pStyle w:val="5"/>
            <w:numPr>
              <w:ilvl w:val="3"/>
              <w:numId w:val="45"/>
            </w:numPr>
            <w:tabs>
              <w:tab w:val="left" w:pos="448"/>
            </w:tabs>
            <w:rPr>
              <w:rFonts w:ascii="宋体" w:hAnsi="宋体"/>
            </w:rPr>
          </w:pPr>
          <w:r>
            <w:rPr>
              <w:rFonts w:hint="eastAsia" w:ascii="宋体" w:hAnsi="宋体"/>
            </w:rPr>
            <w:t>内部研究开发支出会计政策</w:t>
          </w:r>
        </w:p>
        <w:sdt>
          <w:sdtPr>
            <w:rPr>
              <w:rFonts w:hint="eastAsia"/>
            </w:rPr>
            <w:alias w:val="是否适用：无形资产内部研究开发支出会计政策[双击切换]"/>
            <w:tag w:val="_GBC_c3cef4c9f19749b8a53b7f49d3b7bac3"/>
            <w:id w:val="145358847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长期资产减值"/>
        <w:tag w:val="_SEC_c11b0580b6b040ca9dbb882b383dfc03"/>
        <w:id w:val="-180321721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szCs w:val="21"/>
            </w:rPr>
          </w:pPr>
          <w:bookmarkStart w:id="121" w:name="_Hlk44405424"/>
          <w:r>
            <w:rPr>
              <w:rFonts w:hint="eastAsia" w:ascii="宋体" w:hAnsi="宋体"/>
              <w:szCs w:val="21"/>
            </w:rPr>
            <w:t>长期资产减值</w:t>
          </w:r>
        </w:p>
        <w:sdt>
          <w:sdtPr>
            <w:rPr>
              <w:rFonts w:hint="eastAsia"/>
            </w:rPr>
            <w:alias w:val="是否适用：长期资产减值_重要会计政策和估计[双击切换]"/>
            <w:tag w:val="_GBC_d0feb744f96144ffa5335cd194c6cdf9"/>
            <w:id w:val="203429569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399899329"/>
            <w:lock w:val="sdtLocked"/>
            <w:placeholder>
              <w:docPart w:val="GBC22222222222222222222222222222"/>
            </w:placeholder>
          </w:sdtPr>
          <w:sdtEndPr>
            <w:rPr>
              <w:rFonts w:hint="eastAsia"/>
            </w:rPr>
          </w:sdtEndPr>
          <w:sdtContent>
            <w:p>
              <w:pPr>
                <w:pStyle w:val="114"/>
              </w:pPr>
              <w:r>
                <w:rPr>
                  <w:rFonts w:hint="eastAsia"/>
                </w:rPr>
                <w:t>本集团在资产负债表日根据内部及外部信息以确定下列资产是否存在减值的迹象，包括：</w:t>
              </w:r>
              <w:r>
                <w:t xml:space="preserve"> </w:t>
              </w:r>
            </w:p>
            <w:p>
              <w:pPr>
                <w:pStyle w:val="114"/>
              </w:pPr>
            </w:p>
            <w:p>
              <w:pPr>
                <w:pStyle w:val="114"/>
              </w:pPr>
            </w:p>
            <w:p>
              <w:pPr>
                <w:pStyle w:val="114"/>
              </w:pPr>
              <w:r>
                <w:t xml:space="preserve">- 固定资产 </w:t>
              </w:r>
            </w:p>
            <w:p>
              <w:pPr>
                <w:pStyle w:val="114"/>
              </w:pPr>
            </w:p>
            <w:p>
              <w:pPr>
                <w:pStyle w:val="114"/>
              </w:pPr>
              <w:r>
                <w:t xml:space="preserve">- 在建工程 </w:t>
              </w:r>
            </w:p>
            <w:p>
              <w:pPr>
                <w:pStyle w:val="114"/>
              </w:pPr>
            </w:p>
            <w:p>
              <w:pPr>
                <w:pStyle w:val="114"/>
              </w:pPr>
              <w:r>
                <w:t xml:space="preserve">- 使用权资产 </w:t>
              </w:r>
            </w:p>
            <w:p>
              <w:pPr>
                <w:pStyle w:val="114"/>
              </w:pPr>
            </w:p>
            <w:p>
              <w:pPr>
                <w:pStyle w:val="114"/>
              </w:pPr>
              <w:r>
                <w:t xml:space="preserve">- 无形资产 </w:t>
              </w:r>
            </w:p>
            <w:p>
              <w:pPr>
                <w:pStyle w:val="114"/>
              </w:pPr>
            </w:p>
            <w:p>
              <w:pPr>
                <w:pStyle w:val="114"/>
              </w:pPr>
              <w:r>
                <w:t xml:space="preserve">- 采用成本模式计量的投资性房地产 </w:t>
              </w:r>
            </w:p>
            <w:p>
              <w:pPr>
                <w:pStyle w:val="114"/>
              </w:pPr>
            </w:p>
            <w:p>
              <w:pPr>
                <w:pStyle w:val="114"/>
              </w:pPr>
              <w:r>
                <w:t xml:space="preserve">- 长期股权投资 </w:t>
              </w:r>
            </w:p>
            <w:p>
              <w:pPr>
                <w:pStyle w:val="114"/>
              </w:pPr>
            </w:p>
            <w:p>
              <w:pPr>
                <w:pStyle w:val="114"/>
              </w:pPr>
              <w:r>
                <w:t xml:space="preserve">- 长期待摊费用等 </w:t>
              </w:r>
            </w:p>
            <w:p>
              <w:pPr>
                <w:pStyle w:val="114"/>
              </w:pPr>
            </w:p>
            <w:p>
              <w:pPr>
                <w:pStyle w:val="114"/>
              </w:pPr>
            </w:p>
            <w:p>
              <w:pPr>
                <w:pStyle w:val="114"/>
              </w:pPr>
              <w:r>
                <w:rPr>
                  <w:rFonts w:hint="eastAsia"/>
                </w:rPr>
                <w:t>本集团对存在减值迹象的资产进行减值测试，估计资产的可收回金额。此外，无论是否存在减值迹象，本集团至少每年对尚未达到可使用状态的无形资产估计其可收回金额，于每年年度终了对商誉估计其可收回金额。本集团依据相关资产组或者资产组组合能够从企业合并的协同效应中的受益情况分摊商誉账面价值，并在此基础上进行商誉减值测试。</w:t>
              </w:r>
              <w:r>
                <w:t xml:space="preserve"> </w:t>
              </w:r>
            </w:p>
            <w:p>
              <w:pPr>
                <w:pStyle w:val="114"/>
              </w:pPr>
            </w:p>
            <w:p>
              <w:pPr>
                <w:pStyle w:val="114"/>
              </w:pPr>
              <w:r>
                <w:rPr>
                  <w:rFonts w:hint="eastAsia"/>
                </w:rPr>
                <w:t>可收回金额是指资产</w:t>
              </w:r>
              <w:r>
                <w:t xml:space="preserve">(或资产组、资产组组合，下同)的公允价值减去处置费用后的净额与资产预计未来现金流量的现值两者之间较高者。 </w:t>
              </w:r>
            </w:p>
            <w:p>
              <w:pPr>
                <w:pStyle w:val="114"/>
              </w:pPr>
            </w:p>
            <w:p>
              <w:pPr>
                <w:pStyle w:val="114"/>
              </w:pPr>
            </w:p>
            <w:p>
              <w:pPr>
                <w:pStyle w:val="114"/>
              </w:pPr>
              <w:r>
                <w:rPr>
                  <w:rFonts w:hint="eastAsia"/>
                </w:rPr>
                <w:t>资产组由创造现金流入相关的资产组成，是可以认定的最小资产组合，其产生的现金流入基本上独立于其他资产或者资产组。</w:t>
              </w:r>
              <w:r>
                <w:t xml:space="preserve"> </w:t>
              </w:r>
            </w:p>
            <w:p>
              <w:pPr>
                <w:pStyle w:val="114"/>
              </w:pPr>
              <w:r>
                <w:rPr>
                  <w:rFonts w:hint="eastAsia"/>
                </w:rPr>
                <w:t>资产预计未来现金流量的现值，按照资产在持续使用过程中和最终处置时所产生的预计未来现金流量，选择恰当的税前折现率对其进行折现后的金额加以确定。</w:t>
              </w:r>
              <w:r>
                <w:t xml:space="preserve"> </w:t>
              </w:r>
            </w:p>
            <w:p>
              <w:pPr>
                <w:pStyle w:val="114"/>
              </w:pPr>
            </w:p>
            <w:p>
              <w:pPr>
                <w:pStyle w:val="114"/>
              </w:pPr>
              <w:r>
                <w:rPr>
                  <w:rFonts w:hint="eastAsia"/>
                </w:rPr>
                <w:t>可收回金额的估计结果表明，资产的可收回金额低于其账面价值的，资产的账面价值会减记至可收回金额，减记的金额确认为资产减值损失，计入当期损益，同时计提相应的资产减值准备。与资产组或者资产组组合相关的减值损失，先抵减分摊至该资产组或者资产组组合中商誉的账面价值，再根据资产组或者资产组组合中除商誉之外的其他各项资产的账面价值所占比重，按比例抵减其他各项资产的账面价值，但抵减后的各资产的账面价值不得低于该资产的公允价值减去处置费用后的净额</w:t>
              </w:r>
              <w:r>
                <w:t xml:space="preserve">(如可确定的)、该资产预计未来现金流量的现值(如可确定的)和零三者之中最高者。 </w:t>
              </w:r>
            </w:p>
            <w:p>
              <w:pPr>
                <w:pStyle w:val="114"/>
              </w:pPr>
            </w:p>
            <w:p>
              <w:pPr>
                <w:pStyle w:val="114"/>
              </w:pPr>
              <w:r>
                <w:rPr>
                  <w:rFonts w:hint="eastAsia"/>
                </w:rPr>
                <w:t>资产减值损失一经确认，在以后会计期间不会转回。</w:t>
              </w:r>
            </w:p>
          </w:sdtContent>
        </w:sdt>
      </w:sdtContent>
    </w:sdt>
    <w:bookmarkEnd w:id="121"/>
    <w:p>
      <w:pPr>
        <w:pStyle w:val="114"/>
      </w:pPr>
    </w:p>
    <w:sdt>
      <w:sdtPr>
        <w:rPr>
          <w:rFonts w:hint="eastAsia" w:ascii="宋体" w:hAnsi="宋体" w:cs="宋体"/>
          <w:b w:val="0"/>
          <w:bCs w:val="0"/>
          <w:kern w:val="0"/>
          <w:szCs w:val="21"/>
        </w:rPr>
        <w:alias w:val="模块:长期待摊费用"/>
        <w:tag w:val="_SEC_716e5dd4aef549d9b8815a4e1474e63d"/>
        <w:id w:val="121693057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bookmarkStart w:id="122" w:name="_Hlk44405475"/>
          <w:r>
            <w:rPr>
              <w:rFonts w:ascii="宋体" w:hAnsi="宋体"/>
            </w:rPr>
            <w:t>长期待摊费用</w:t>
          </w:r>
        </w:p>
        <w:sdt>
          <w:sdtPr>
            <w:rPr>
              <w:rFonts w:hint="eastAsia"/>
            </w:rPr>
            <w:alias w:val="是否适用：长期待摊费用_重要会计政策和估计[双击切换]"/>
            <w:tag w:val="_GBC_75739ccc62204f0490525060b33e330f"/>
            <w:id w:val="-55546348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894588088"/>
            <w:lock w:val="sdtLocked"/>
            <w:placeholder>
              <w:docPart w:val="GBC22222222222222222222222222222"/>
            </w:placeholder>
          </w:sdtPr>
          <w:sdtEndPr>
            <w:rPr>
              <w:rFonts w:hint="eastAsia"/>
            </w:rPr>
          </w:sdtEndPr>
          <w:sdtContent>
            <w:p>
              <w:pPr>
                <w:rPr>
                  <w:rFonts w:cs="Times New Roman"/>
                  <w:kern w:val="2"/>
                </w:rPr>
              </w:pPr>
              <w:r>
                <w:rPr>
                  <w:rFonts w:hint="eastAsia"/>
                </w:rPr>
                <w:t>长期待摊费用为已经发生但应由本期和以后各期负担的分摊期限在一年以上的各项费用。长期待摊费用在预计受益期间分期平均摊销。</w:t>
              </w:r>
            </w:p>
          </w:sdtContent>
        </w:sdt>
        <w:p>
          <w:pPr>
            <w:pStyle w:val="114"/>
          </w:pPr>
        </w:p>
      </w:sdtContent>
    </w:sdt>
    <w:bookmarkEnd w:id="122"/>
    <w:sdt>
      <w:sdtPr>
        <w:rPr>
          <w:rFonts w:hint="eastAsia" w:ascii="宋体" w:hAnsi="宋体" w:cs="宋体"/>
          <w:b w:val="0"/>
          <w:bCs w:val="0"/>
          <w:kern w:val="0"/>
          <w:szCs w:val="21"/>
        </w:rPr>
        <w:alias w:val="模块:合同负债"/>
        <w:tag w:val="_SEC_2988762bdf3a48178e0180a615cb7705"/>
        <w:id w:val="1305743167"/>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szCs w:val="21"/>
            </w:rPr>
          </w:pPr>
          <w:bookmarkStart w:id="123" w:name="_Hlk10465482"/>
          <w:r>
            <w:rPr>
              <w:rFonts w:hint="eastAsia" w:ascii="宋体" w:hAnsi="宋体"/>
              <w:szCs w:val="21"/>
            </w:rPr>
            <w:t>合同负债</w:t>
          </w:r>
        </w:p>
        <w:p>
          <w:pPr>
            <w:pStyle w:val="5"/>
            <w:rPr>
              <w:rFonts w:ascii="宋体" w:hAnsi="宋体"/>
            </w:rPr>
          </w:pPr>
          <w:r>
            <w:rPr>
              <w:rFonts w:hint="eastAsia" w:ascii="宋体" w:hAnsi="宋体"/>
            </w:rPr>
            <w:t>合同负债的确认方法</w:t>
          </w:r>
        </w:p>
        <w:sdt>
          <w:sdtPr>
            <w:alias w:val="是否适用：合同负债的确定方法、摊销方法和减值测试方法[双击切换]"/>
            <w:tag w:val="_GBC_f210968f2ea04a338a3253827b172c25"/>
            <w:id w:val="-48092579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sdt>
            <w:sdtPr>
              <w:alias w:val="合同负债的确定方法、摊销方法和减值测试方法"/>
              <w:tag w:val="_GBC_adbfb902bae348178906cb42c1932267"/>
              <w:id w:val="-422728341"/>
              <w:lock w:val="sdtLocked"/>
              <w:placeholder>
                <w:docPart w:val="GBC22222222222222222222222222222"/>
              </w:placeholder>
            </w:sdtPr>
            <w:sdtContent>
              <w:r>
                <w:rPr>
                  <w:rFonts w:hint="eastAsia"/>
                </w:rPr>
                <w:t>参见附注五、</w:t>
              </w:r>
              <w:r>
                <w:t>38。</w:t>
              </w:r>
            </w:sdtContent>
          </w:sdt>
        </w:p>
        <w:p>
          <w:pPr>
            <w:pStyle w:val="114"/>
          </w:pPr>
        </w:p>
      </w:sdtContent>
    </w:sdt>
    <w:bookmarkEnd w:id="123"/>
    <w:sdt>
      <w:sdtPr>
        <w:rPr>
          <w:rFonts w:hint="eastAsia" w:ascii="宋体" w:hAnsi="宋体" w:cstheme="minorBidi"/>
          <w:b w:val="0"/>
          <w:bCs w:val="0"/>
          <w:kern w:val="0"/>
          <w:szCs w:val="22"/>
        </w:rPr>
        <w:alias w:val="模块:职工薪酬"/>
        <w:tag w:val="_GBC_8ec8855eb4d5447ab785e4bd4b0b73aa"/>
        <w:id w:val="-689683977"/>
        <w:lock w:val="sdtLocked"/>
        <w:placeholder>
          <w:docPart w:val="GBC22222222222222222222222222222"/>
        </w:placeholder>
      </w:sdtPr>
      <w:sdtEndPr>
        <w:rPr>
          <w:rFonts w:hint="eastAsia" w:ascii="宋体" w:hAnsi="宋体" w:cs="Times New Roman"/>
          <w:b w:val="0"/>
          <w:bCs w:val="0"/>
          <w:kern w:val="0"/>
          <w:szCs w:val="21"/>
        </w:rPr>
      </w:sdtEndPr>
      <w:sdtContent>
        <w:p>
          <w:pPr>
            <w:pStyle w:val="4"/>
            <w:numPr>
              <w:ilvl w:val="0"/>
              <w:numId w:val="41"/>
            </w:numPr>
            <w:rPr>
              <w:rFonts w:ascii="宋体" w:hAnsi="宋体"/>
            </w:rPr>
          </w:pPr>
          <w:r>
            <w:rPr>
              <w:rFonts w:hint="eastAsia" w:ascii="宋体" w:hAnsi="宋体"/>
            </w:rPr>
            <w:t>职工薪酬</w:t>
          </w:r>
        </w:p>
        <w:p>
          <w:pPr>
            <w:pStyle w:val="5"/>
            <w:numPr>
              <w:ilvl w:val="0"/>
              <w:numId w:val="46"/>
            </w:numPr>
            <w:rPr>
              <w:rFonts w:ascii="宋体" w:hAnsi="宋体"/>
            </w:rPr>
          </w:pPr>
          <w:r>
            <w:rPr>
              <w:rFonts w:hint="eastAsia" w:ascii="宋体" w:hAnsi="宋体"/>
            </w:rPr>
            <w:t>短期薪酬的会计处理方法</w:t>
          </w:r>
        </w:p>
        <w:sdt>
          <w:sdtPr>
            <w:alias w:val="是否适用：短期薪酬的会计处理方法[双击切换]"/>
            <w:tag w:val="_GBC_eefed2a465e349b6a35598930bd9541d"/>
            <w:id w:val="89153488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薪酬的会计处理方法"/>
            <w:tag w:val="_GBC_8fdf44b194ac45fb945d36b9896df796"/>
            <w:id w:val="1857150606"/>
            <w:lock w:val="sdtLocked"/>
            <w:placeholder>
              <w:docPart w:val="GBC22222222222222222222222222222"/>
            </w:placeholder>
          </w:sdtPr>
          <w:sdtContent>
            <w:p>
              <w:pPr>
                <w:pStyle w:val="114"/>
              </w:pPr>
              <w:r>
                <w:rPr>
                  <w:rFonts w:hint="eastAsia"/>
                </w:rPr>
                <w:t>本集团在职工提供服务的会计期间，将实际发生或按规定的基准和比例计提的职工工资、奖金、医疗保险费、工伤保险费和生育保险费等社会保险费和住房公积金，确认为负债，并计入当期损益或相关资产成本。</w:t>
              </w:r>
            </w:p>
          </w:sdtContent>
        </w:sdt>
        <w:p>
          <w:pPr>
            <w:pStyle w:val="114"/>
          </w:pPr>
        </w:p>
        <w:p>
          <w:pPr>
            <w:pStyle w:val="5"/>
            <w:numPr>
              <w:ilvl w:val="0"/>
              <w:numId w:val="46"/>
            </w:numPr>
            <w:rPr>
              <w:rFonts w:ascii="宋体" w:hAnsi="宋体"/>
            </w:rPr>
          </w:pPr>
          <w:r>
            <w:rPr>
              <w:rFonts w:hint="eastAsia" w:ascii="宋体" w:hAnsi="宋体"/>
            </w:rPr>
            <w:t>离职后福利的会计处理方法</w:t>
          </w:r>
        </w:p>
        <w:sdt>
          <w:sdtPr>
            <w:rPr>
              <w:rFonts w:hint="eastAsia"/>
            </w:rPr>
            <w:alias w:val="是否适用：离职后福利的会计处理方法[双击切换]"/>
            <w:tag w:val="_GBC_35bbae299fda438d9e595058bbecbcdc"/>
            <w:id w:val="171122368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离职后福利的会计处理方法"/>
            <w:tag w:val="_GBC_3b0bafa6ef784ba99c829e2f60cf828e"/>
            <w:id w:val="286327612"/>
            <w:lock w:val="sdtLocked"/>
            <w:placeholder>
              <w:docPart w:val="GBC22222222222222222222222222222"/>
            </w:placeholder>
          </w:sdtPr>
          <w:sdtContent>
            <w:p>
              <w:pPr>
                <w:pStyle w:val="114"/>
              </w:pPr>
              <w:r>
                <w:rPr>
                  <w:rFonts w:hint="eastAsia"/>
                </w:rPr>
                <w:t>本集团所参与的设定提存计划是按照中国有关法规要求，本集团职工参加的由政府机构设立管理的社会保障体系中的基本养老保险。基本养老保险的缴费金额按国家规定的基准和比例计算。本集团在职工提供服务的会计期间，将应缴存的金额确认为负债，并计入当期损益或相关资产成本。</w:t>
              </w:r>
            </w:p>
          </w:sdtContent>
        </w:sdt>
        <w:p>
          <w:pPr>
            <w:pStyle w:val="114"/>
          </w:pPr>
        </w:p>
        <w:p>
          <w:pPr>
            <w:pStyle w:val="5"/>
            <w:numPr>
              <w:ilvl w:val="0"/>
              <w:numId w:val="46"/>
            </w:numPr>
            <w:rPr>
              <w:rFonts w:ascii="宋体" w:hAnsi="宋体"/>
            </w:rPr>
          </w:pPr>
          <w:r>
            <w:rPr>
              <w:rFonts w:hint="eastAsia" w:ascii="宋体" w:hAnsi="宋体"/>
            </w:rPr>
            <w:t>辞退福利的会计处理方法</w:t>
          </w:r>
        </w:p>
        <w:sdt>
          <w:sdtPr>
            <w:rPr>
              <w:rFonts w:hint="eastAsia"/>
            </w:rPr>
            <w:alias w:val="是否适用：辞退福利的会计处理方法[双击切换]"/>
            <w:tag w:val="_GBC_b6be1c30b6144d54b0e20b3cb9d3a691"/>
            <w:id w:val="1293102859"/>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辞退福利的会计处理方法"/>
            <w:tag w:val="_GBC_a93705fb60b24bceb25c88a68ed87432"/>
            <w:id w:val="-64874227"/>
            <w:lock w:val="sdtLocked"/>
            <w:placeholder>
              <w:docPart w:val="GBC22222222222222222222222222222"/>
            </w:placeholder>
          </w:sdtPr>
          <w:sdtContent>
            <w:p>
              <w:pPr>
                <w:pStyle w:val="114"/>
              </w:pPr>
              <w:r>
                <w:rPr>
                  <w:rFonts w:hint="eastAsia"/>
                </w:rPr>
                <w:t>本集团在职工劳动合同到期之前解除与职工的劳动关系，或者为鼓励职工自愿接受裁减而提出给予补偿的建议，在下列两者孰早日，确认辞退福利产生的负债，同时计入当期损益：</w:t>
              </w:r>
              <w:r>
                <w:t xml:space="preserve"> </w:t>
              </w:r>
            </w:p>
            <w:p>
              <w:pPr>
                <w:pStyle w:val="114"/>
              </w:pPr>
            </w:p>
            <w:p>
              <w:pPr>
                <w:pStyle w:val="114"/>
              </w:pPr>
              <w:r>
                <w:t xml:space="preserve">- 本集团不能单方面撤回因解除劳动关系计划或裁减建议所提供的辞退福利时； </w:t>
              </w:r>
            </w:p>
            <w:p>
              <w:pPr>
                <w:pStyle w:val="114"/>
              </w:pPr>
            </w:p>
            <w:p>
              <w:pPr>
                <w:pStyle w:val="114"/>
              </w:pPr>
              <w:r>
                <w:t>- 本集团有详细、正式的涉及支付辞退福利的重组计划；并且，该重组计划已开始实施，或已向受其影响的各方通告了该计划的主要内容，从而使各方形成了对本集团将实施重组的合理预期时。</w:t>
              </w:r>
            </w:p>
          </w:sdtContent>
        </w:sdt>
        <w:p>
          <w:pPr>
            <w:pStyle w:val="114"/>
          </w:pPr>
        </w:p>
        <w:p>
          <w:pPr>
            <w:pStyle w:val="5"/>
            <w:numPr>
              <w:ilvl w:val="0"/>
              <w:numId w:val="46"/>
            </w:numPr>
            <w:rPr>
              <w:rFonts w:ascii="宋体" w:hAnsi="宋体"/>
            </w:rPr>
          </w:pPr>
          <w:r>
            <w:rPr>
              <w:rFonts w:hint="eastAsia" w:ascii="宋体" w:hAnsi="宋体"/>
            </w:rPr>
            <w:t>其他长期职工福利的会计处理方法</w:t>
          </w:r>
        </w:p>
        <w:sdt>
          <w:sdtPr>
            <w:rPr>
              <w:rFonts w:hint="eastAsia"/>
            </w:rPr>
            <w:alias w:val="是否适用：其他长期职工福利的会计处理方法[双击切换]"/>
            <w:tag w:val="_GBC_6650f3bc6a474b318e05b9d60314cb7f"/>
            <w:id w:val="1126052822"/>
            <w:lock w:val="sdtLocked"/>
            <w:placeholder>
              <w:docPart w:val="GBC22222222222222222222222222222"/>
            </w:placeholder>
          </w:sdtPr>
          <w:sdtEndPr>
            <w:rPr>
              <w:rFonts w:hint="eastAsia"/>
            </w:rPr>
          </w:sdtEndPr>
          <w:sdtContent>
            <w:p>
              <w:pPr>
                <w:rPr>
                  <w:rFonts w:cs="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租赁负债"/>
        <w:tag w:val="_SEC_d8e7208bcd04489eb6a8b588ac7c08d7"/>
        <w:id w:val="45299399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szCs w:val="21"/>
            </w:rPr>
          </w:pPr>
          <w:r>
            <w:rPr>
              <w:rFonts w:hint="eastAsia" w:ascii="宋体" w:hAnsi="宋体"/>
              <w:szCs w:val="21"/>
            </w:rPr>
            <w:t>租赁负债</w:t>
          </w:r>
        </w:p>
        <w:sdt>
          <w:sdtPr>
            <w:alias w:val="是否适用：租赁负债_重要会计政策和估计[双击切换]"/>
            <w:tag w:val="_GBC_34c8994db6c04aa0821b8100fc152679"/>
            <w:id w:val="1666541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729446869"/>
            <w:lock w:val="sdtLocked"/>
            <w:placeholder>
              <w:docPart w:val="GBC22222222222222222222222222222"/>
            </w:placeholder>
          </w:sdtPr>
          <w:sdtEndPr>
            <w:rPr>
              <w:rFonts w:hint="eastAsia"/>
            </w:rPr>
          </w:sdtEndPr>
          <w:sdtContent>
            <w:p>
              <w:pPr>
                <w:pStyle w:val="114"/>
              </w:pPr>
              <w:r>
                <w:rPr>
                  <w:rFonts w:hint="eastAsia"/>
                </w:rPr>
                <w:t>参见附注五、</w:t>
              </w:r>
              <w:r>
                <w:t>42</w:t>
              </w:r>
            </w:p>
          </w:sdtContent>
        </w:sdt>
      </w:sdtContent>
    </w:sdt>
    <w:p>
      <w:pPr>
        <w:pStyle w:val="114"/>
      </w:pPr>
    </w:p>
    <w:sdt>
      <w:sdtPr>
        <w:rPr>
          <w:rFonts w:ascii="宋体" w:hAnsi="宋体" w:cs="宋体"/>
          <w:b w:val="0"/>
          <w:bCs w:val="0"/>
          <w:kern w:val="0"/>
          <w:szCs w:val="24"/>
        </w:rPr>
        <w:alias w:val="模块:预计负债会计处理方法"/>
        <w:tag w:val="_GBC_b5b71a4d3cc1425c80f55e751e7e18c2"/>
        <w:id w:val="204348002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9386960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预计负债的核算方法"/>
            <w:tag w:val="_GBC_d6934772e41e485d9e00e349486f9d7e"/>
            <w:id w:val="533932857"/>
            <w:lock w:val="sdtLocked"/>
            <w:placeholder>
              <w:docPart w:val="GBC22222222222222222222222222222"/>
            </w:placeholder>
          </w:sdtPr>
          <w:sdtEndPr>
            <w:rPr>
              <w:rFonts w:hint="eastAsia"/>
            </w:rPr>
          </w:sdtEndPr>
          <w:sdtContent>
            <w:p>
              <w:pPr>
                <w:pStyle w:val="114"/>
              </w:pPr>
              <w:r>
                <w:rPr>
                  <w:rFonts w:hint="eastAsia"/>
                </w:rPr>
                <w:t>如果与或有事项相关的义务是本集团承担的现时义务，且该义务的履行很可能会导致经济利益流出本集团，以及有关金额能够可靠地计量，则本集团会确认预计负债。</w:t>
              </w:r>
              <w:r>
                <w:t xml:space="preserve"> </w:t>
              </w:r>
            </w:p>
            <w:p>
              <w:pPr>
                <w:pStyle w:val="114"/>
              </w:pPr>
            </w:p>
            <w:p>
              <w:pPr>
                <w:pStyle w:val="114"/>
              </w:pPr>
            </w:p>
            <w:p>
              <w:pPr>
                <w:pStyle w:val="114"/>
              </w:pPr>
              <w:r>
                <w:rPr>
                  <w:rFonts w:hint="eastAsia"/>
                </w:rPr>
                <w:t>预计负债按照履行相关现时义务所需支出的最佳估计数进行初始计量。对于货币时间价值影响重大的，预计负债以预计未来现金流量折现后的金额确定。在确定最佳估计数时，本集团综合考虑了与或有事项有关的风险、不确定性和货币时间价值等因素。所需支出存在一个连续范围，且该范围内各种结果发生的可能性相同的，最佳估计数按照该范围内的中间值确定；在其他情况下，最佳估计数分别下列情况处理：</w:t>
              </w:r>
              <w:r>
                <w:t xml:space="preserve"> </w:t>
              </w:r>
            </w:p>
            <w:p>
              <w:pPr>
                <w:pStyle w:val="114"/>
              </w:pPr>
            </w:p>
            <w:p>
              <w:pPr>
                <w:pStyle w:val="114"/>
              </w:pPr>
            </w:p>
            <w:p>
              <w:pPr>
                <w:pStyle w:val="114"/>
              </w:pPr>
              <w:r>
                <w:t xml:space="preserve">- 或有事项涉及单个项目的，按照最可能发生金额确定。 </w:t>
              </w:r>
            </w:p>
            <w:p>
              <w:pPr>
                <w:pStyle w:val="114"/>
              </w:pPr>
            </w:p>
            <w:p>
              <w:pPr>
                <w:pStyle w:val="114"/>
              </w:pPr>
              <w:r>
                <w:t xml:space="preserve">- 或有事项涉及多个项目的，按照各种可能结果及相关概率计算确定。 </w:t>
              </w:r>
            </w:p>
            <w:p>
              <w:pPr>
                <w:pStyle w:val="114"/>
              </w:pPr>
            </w:p>
            <w:p>
              <w:pPr>
                <w:pStyle w:val="114"/>
              </w:pPr>
            </w:p>
            <w:p>
              <w:pPr>
                <w:pStyle w:val="114"/>
              </w:pPr>
              <w:r>
                <w:rPr>
                  <w:rFonts w:hint="eastAsia"/>
                </w:rPr>
                <w:t>本集团在资产负债表日对预计负债的账面价值进行复核，并按照当前最佳估计数对该账面价值进行调整。</w:t>
              </w:r>
            </w:p>
          </w:sdtContent>
        </w:sdt>
      </w:sdtContent>
    </w:sdt>
    <w:p>
      <w:pPr>
        <w:pStyle w:val="114"/>
      </w:pPr>
    </w:p>
    <w:sdt>
      <w:sdtPr>
        <w:rPr>
          <w:rFonts w:hint="eastAsia" w:ascii="宋体" w:hAnsi="宋体" w:cstheme="minorBidi"/>
          <w:b w:val="0"/>
          <w:bCs w:val="0"/>
          <w:kern w:val="0"/>
          <w:szCs w:val="22"/>
        </w:rPr>
        <w:alias w:val="模块:股份支付"/>
        <w:tag w:val="_GBC_5300d3ce4b5f4c1690fe13bde0a610e3"/>
        <w:id w:val="-1372837969"/>
        <w:lock w:val="sdtLocked"/>
        <w:placeholder>
          <w:docPart w:val="GBC22222222222222222222222222222"/>
        </w:placeholder>
      </w:sdtPr>
      <w:sdtEndPr>
        <w:rPr>
          <w:rFonts w:hint="eastAsia" w:ascii="宋体" w:hAnsi="宋体" w:cs="Times New Roman"/>
          <w:b w:val="0"/>
          <w:bCs w:val="0"/>
          <w:kern w:val="0"/>
          <w:szCs w:val="21"/>
        </w:rPr>
      </w:sdtEndPr>
      <w:sdtContent>
        <w:p>
          <w:pPr>
            <w:pStyle w:val="4"/>
            <w:numPr>
              <w:ilvl w:val="0"/>
              <w:numId w:val="41"/>
            </w:numPr>
            <w:rPr>
              <w:rFonts w:ascii="宋体" w:hAnsi="宋体"/>
            </w:rPr>
          </w:pPr>
          <w:r>
            <w:rPr>
              <w:rFonts w:hint="eastAsia" w:ascii="宋体" w:hAnsi="宋体"/>
            </w:rPr>
            <w:t>股份支付</w:t>
          </w:r>
        </w:p>
        <w:sdt>
          <w:sdtPr>
            <w:rPr>
              <w:rFonts w:hint="eastAsia"/>
            </w:rPr>
            <w:alias w:val="是否适用：股份支付_重要会计政策和估计[双击切换]"/>
            <w:tag w:val="_GBC_cfe00a6b35f24950855f2412f34bcf7a"/>
            <w:id w:val="1379822192"/>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theme="minorBidi"/>
          <w:b w:val="0"/>
          <w:bCs w:val="0"/>
          <w:kern w:val="0"/>
          <w:szCs w:val="22"/>
        </w:rPr>
        <w:alias w:val="模块:优先股、永续债"/>
        <w:tag w:val="_GBC_d3c9524999e647d78f354bb216cfb1aa"/>
        <w:id w:val="470568023"/>
        <w:lock w:val="sdtLocked"/>
        <w:placeholder>
          <w:docPart w:val="GBC22222222222222222222222222222"/>
        </w:placeholder>
      </w:sdtPr>
      <w:sdtEndPr>
        <w:rPr>
          <w:rFonts w:hint="eastAsia" w:ascii="宋体" w:hAnsi="宋体" w:cs="Times New Roman"/>
          <w:b w:val="0"/>
          <w:bCs w:val="0"/>
          <w:kern w:val="0"/>
          <w:szCs w:val="21"/>
        </w:rPr>
      </w:sdtEndPr>
      <w:sdtContent>
        <w:p>
          <w:pPr>
            <w:pStyle w:val="4"/>
            <w:numPr>
              <w:ilvl w:val="0"/>
              <w:numId w:val="41"/>
            </w:numPr>
            <w:rPr>
              <w:rFonts w:ascii="宋体" w:hAnsi="宋体"/>
            </w:rPr>
          </w:pPr>
          <w:r>
            <w:rPr>
              <w:rFonts w:hint="eastAsia" w:ascii="宋体" w:hAnsi="宋体"/>
            </w:rPr>
            <w:t>优先股、永续债等其他金融工具</w:t>
          </w:r>
        </w:p>
        <w:sdt>
          <w:sdtPr>
            <w:rPr>
              <w:rFonts w:hint="eastAsia"/>
            </w:rPr>
            <w:alias w:val="是否适用：优先股、永续债等其他金融工具[双击切换]"/>
            <w:tag w:val="_GBC_34eb80e2168144958293aa1351780303"/>
            <w:id w:val="-1371375041"/>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2"/>
        </w:rPr>
        <w:alias w:val="模块:收入会计处理方法"/>
        <w:tag w:val="_GBC_19704df9fd714cad895419bf4903f70e"/>
        <w:id w:val="391934998"/>
        <w:lock w:val="sdtLocked"/>
        <w:placeholder>
          <w:docPart w:val="GBC22222222222222222222222222222"/>
        </w:placeholder>
      </w:sdtPr>
      <w:sdtEndPr>
        <w:rPr>
          <w:rFonts w:ascii="宋体" w:hAnsi="宋体" w:cs="宋体"/>
          <w:b/>
          <w:bCs/>
          <w:kern w:val="0"/>
          <w:szCs w:val="21"/>
        </w:rPr>
      </w:sdtEndPr>
      <w:sdtContent>
        <w:p>
          <w:pPr>
            <w:pStyle w:val="4"/>
            <w:numPr>
              <w:ilvl w:val="0"/>
              <w:numId w:val="41"/>
            </w:numPr>
            <w:rPr>
              <w:rFonts w:ascii="宋体" w:hAnsi="宋体"/>
            </w:rPr>
          </w:pPr>
          <w:bookmarkStart w:id="124" w:name="_Hlk10465559"/>
          <w:r>
            <w:rPr>
              <w:rFonts w:ascii="宋体" w:hAnsi="宋体"/>
            </w:rPr>
            <w:t>收入</w:t>
          </w:r>
        </w:p>
        <w:p>
          <w:pPr>
            <w:pStyle w:val="5"/>
            <w:numPr>
              <w:ilvl w:val="3"/>
              <w:numId w:val="47"/>
            </w:numPr>
            <w:ind w:left="426" w:hanging="426"/>
            <w:rPr>
              <w:rFonts w:ascii="宋体" w:hAnsi="宋体"/>
              <w:szCs w:val="21"/>
            </w:rPr>
          </w:pPr>
          <w:r>
            <w:rPr>
              <w:rFonts w:hint="eastAsia" w:ascii="宋体" w:hAnsi="宋体"/>
              <w:szCs w:val="21"/>
            </w:rPr>
            <w:t>收入确认和计量所采用的会计政策</w:t>
          </w:r>
        </w:p>
        <w:sdt>
          <w:sdtPr>
            <w:alias w:val="是否适用：收入确认和计量所采用的会计政策[双击切换]"/>
            <w:tag w:val="_GBC_b6eb71cc057645f3b05fb68d8273c681"/>
            <w:id w:val="-23987071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收入确认和计量所采用的会计政策"/>
            <w:tag w:val="_GBC_c9c2b3029c08405387c460d2d7eacc7d"/>
            <w:id w:val="851384541"/>
            <w:lock w:val="sdtLocked"/>
            <w:placeholder>
              <w:docPart w:val="GBC22222222222222222222222222222"/>
            </w:placeholder>
          </w:sdtPr>
          <w:sdtContent>
            <w:p>
              <w:pPr>
                <w:pStyle w:val="114"/>
              </w:pPr>
              <w:r>
                <w:rPr>
                  <w:rFonts w:hint="eastAsia"/>
                </w:rPr>
                <w:t>收入是本集团在日常活动中形成的、会导致股东权益增加且与股东投入资本无关的经济利益的总流入。</w:t>
              </w:r>
              <w:r>
                <w:t xml:space="preserve"> </w:t>
              </w:r>
            </w:p>
            <w:p>
              <w:pPr>
                <w:pStyle w:val="114"/>
              </w:pPr>
            </w:p>
            <w:p>
              <w:pPr>
                <w:pStyle w:val="114"/>
              </w:pPr>
              <w:r>
                <w:rPr>
                  <w:rFonts w:hint="eastAsia"/>
                </w:rPr>
                <w:t>本集团在履行了合同中的履约义务，即在客户取得相关商品或服务的控制权时，确认收入。</w:t>
              </w:r>
              <w:r>
                <w:t xml:space="preserve"> </w:t>
              </w:r>
            </w:p>
            <w:p>
              <w:pPr>
                <w:pStyle w:val="114"/>
              </w:pPr>
            </w:p>
            <w:p>
              <w:pPr>
                <w:pStyle w:val="114"/>
              </w:pPr>
              <w:r>
                <w:rPr>
                  <w:rFonts w:hint="eastAsia"/>
                </w:rPr>
                <w:t>合同中包含两项或多项履约义务的，本集团在合同开始日，按照各单项履约义务所承诺商品或服务的单独售价的相对比例，将交易价格分摊至各单项履约义务，按照分摊至各单项履约义务的交易价格计量收入。单独售价，是指本集团向客户单独销售商品或提供服务的价格。单独售价无法直接观察的，本集团综合考虑能够合理取得的全部相关信息，并最大限度地采用可观察的输入值估计单独售价。</w:t>
              </w:r>
              <w:r>
                <w:t xml:space="preserve"> </w:t>
              </w:r>
            </w:p>
            <w:p>
              <w:pPr>
                <w:pStyle w:val="114"/>
              </w:pPr>
            </w:p>
            <w:p>
              <w:pPr>
                <w:pStyle w:val="114"/>
              </w:pPr>
              <w:r>
                <w:rPr>
                  <w:rFonts w:hint="eastAsia"/>
                </w:rPr>
                <w:t>交易价格是本集团因向客户转让商品或服务而预期有权收取的对价金额，不包括代第三方收取的款项。本集团确认的交易价格不超过在相关不确定性消除时累计已确认收入极可能不会发生重大转回的金额。合同中存在重大融资成分的，本集团按照假定客户在取得商品或服务控制权时即以现金支付的应付金额确定交易价格。该交易价格与合同对价之间的差额，在合同期间内采用实际利率法摊销。</w:t>
              </w:r>
              <w:r>
                <w:t xml:space="preserve"> </w:t>
              </w:r>
            </w:p>
            <w:p>
              <w:pPr>
                <w:pStyle w:val="114"/>
              </w:pPr>
            </w:p>
            <w:p>
              <w:pPr>
                <w:pStyle w:val="114"/>
              </w:pPr>
              <w:r>
                <w:rPr>
                  <w:rFonts w:hint="eastAsia"/>
                </w:rPr>
                <w:t>满足下列条件之一时，本集团属于在某一时段内履行履约义务，否则，属于在某一时点履行履约义务：</w:t>
              </w:r>
              <w:r>
                <w:t xml:space="preserve"> </w:t>
              </w:r>
            </w:p>
            <w:p>
              <w:pPr>
                <w:pStyle w:val="114"/>
              </w:pPr>
            </w:p>
            <w:p>
              <w:pPr>
                <w:pStyle w:val="114"/>
              </w:pPr>
              <w:r>
                <w:t xml:space="preserve">- 客户在本集团履约的同时即取得并消耗本集团履约所带来的经济利益； </w:t>
              </w:r>
            </w:p>
            <w:p>
              <w:pPr>
                <w:pStyle w:val="114"/>
              </w:pPr>
            </w:p>
            <w:p>
              <w:pPr>
                <w:pStyle w:val="114"/>
              </w:pPr>
              <w:r>
                <w:t xml:space="preserve">- 客户能够控制本集团履约过程中在建的商品； </w:t>
              </w:r>
            </w:p>
            <w:p>
              <w:pPr>
                <w:pStyle w:val="114"/>
              </w:pPr>
            </w:p>
            <w:p>
              <w:pPr>
                <w:pStyle w:val="114"/>
              </w:pPr>
              <w:r>
                <w:t xml:space="preserve">- 本集团履约过程中所产出的商品具有不可替代用途，且本集团在整个合同期间内有权就累计至今已完成的履约部分收取款项。 </w:t>
              </w:r>
            </w:p>
            <w:p>
              <w:pPr>
                <w:pStyle w:val="114"/>
              </w:pPr>
            </w:p>
            <w:p>
              <w:pPr>
                <w:pStyle w:val="114"/>
              </w:pPr>
              <w:r>
                <w:rPr>
                  <w:rFonts w:hint="eastAsia"/>
                </w:rPr>
                <w:t>对于在某一时段内履行的履约义务，本集团在该段时间内按照履约进度确认收入。履约进度不能合理确定时，本集团已经发生的成本预计能够得到补偿的，按照已经发生的成本金额确认收入，直到履约进度能够合理确定为止。</w:t>
              </w:r>
              <w:r>
                <w:t xml:space="preserve"> </w:t>
              </w:r>
            </w:p>
            <w:p>
              <w:pPr>
                <w:pStyle w:val="114"/>
              </w:pPr>
            </w:p>
            <w:p>
              <w:pPr>
                <w:pStyle w:val="114"/>
              </w:pPr>
              <w:r>
                <w:rPr>
                  <w:rFonts w:hint="eastAsia"/>
                </w:rPr>
                <w:t>对于在某一时点履行的履约义务，本集团在客户取得相关商品或服务控制权时点确认收入。在判断客户是否已取得商品或服务控制权时，本集团会考虑下列迹象：</w:t>
              </w:r>
              <w:r>
                <w:t xml:space="preserve"> </w:t>
              </w:r>
            </w:p>
            <w:p>
              <w:pPr>
                <w:pStyle w:val="114"/>
              </w:pPr>
            </w:p>
            <w:p>
              <w:pPr>
                <w:pStyle w:val="114"/>
              </w:pPr>
              <w:r>
                <w:t xml:space="preserve">- 本集团就该商品或服务享有现时收款权利； </w:t>
              </w:r>
            </w:p>
            <w:p>
              <w:pPr>
                <w:pStyle w:val="114"/>
              </w:pPr>
            </w:p>
            <w:p>
              <w:pPr>
                <w:pStyle w:val="114"/>
              </w:pPr>
              <w:r>
                <w:t xml:space="preserve">- 本集团已将该商品的实物转移给客户； </w:t>
              </w:r>
            </w:p>
            <w:p>
              <w:pPr>
                <w:pStyle w:val="114"/>
              </w:pPr>
            </w:p>
            <w:p>
              <w:pPr>
                <w:pStyle w:val="114"/>
              </w:pPr>
              <w:r>
                <w:t xml:space="preserve">- 本集团已将该商品的法定所有权或所有权上的主要风险和报酬转移给客户； </w:t>
              </w:r>
            </w:p>
            <w:p>
              <w:pPr>
                <w:pStyle w:val="114"/>
              </w:pPr>
            </w:p>
            <w:p>
              <w:pPr>
                <w:pStyle w:val="114"/>
              </w:pPr>
              <w:r>
                <w:t xml:space="preserve">- 客户已接受该商品或服务等。 </w:t>
              </w:r>
            </w:p>
            <w:p>
              <w:pPr>
                <w:pStyle w:val="114"/>
              </w:pPr>
            </w:p>
            <w:p>
              <w:pPr>
                <w:pStyle w:val="114"/>
              </w:pPr>
              <w:r>
                <w:rPr>
                  <w:rFonts w:hint="eastAsia"/>
                </w:rPr>
                <w:t>本集团根据在向客户转让商品或服务前是否拥有对该商品或服务的控制权，来判断本集团从事交易时的身份是主要责任人还是代理人。本集团在向客户转让商品或服务前能够控制该商品或服务的，本集团为主要责任人，按照已收或应收对价总额确认收入；否则，本集团为代理人，按照预期有权收取的佣金或手续费的金额确认收入，该金额按照已收或应收对价总额扣除应支付给其他相关方的价款后的净额，或者按照既定的佣金金额或比例等确定。</w:t>
              </w:r>
              <w:r>
                <w:t xml:space="preserve"> </w:t>
              </w:r>
            </w:p>
            <w:p>
              <w:pPr>
                <w:pStyle w:val="114"/>
              </w:pPr>
            </w:p>
            <w:p>
              <w:pPr>
                <w:pStyle w:val="114"/>
              </w:pPr>
              <w:r>
                <w:rPr>
                  <w:rFonts w:hint="eastAsia"/>
                </w:rPr>
                <w:t>本集团拥有的、无条件</w:t>
              </w:r>
              <w:r>
                <w:t xml:space="preserve">(仅取决于时间流逝)向客户收取对价的权利作为应收款项列示。本集团已收或应收客户对价而应向客户转让商品或服务的义务作为合同负债列示。 </w:t>
              </w:r>
            </w:p>
            <w:p>
              <w:pPr>
                <w:pStyle w:val="114"/>
              </w:pPr>
            </w:p>
            <w:p>
              <w:pPr>
                <w:pStyle w:val="114"/>
              </w:pPr>
              <w:r>
                <w:rPr>
                  <w:rFonts w:hint="eastAsia"/>
                </w:rPr>
                <w:t>与本集团取得收入的主要活动相关的具体会计政策描述如下：</w:t>
              </w:r>
              <w:r>
                <w:t xml:space="preserve"> </w:t>
              </w:r>
            </w:p>
            <w:p>
              <w:pPr>
                <w:pStyle w:val="114"/>
              </w:pPr>
            </w:p>
            <w:p>
              <w:pPr>
                <w:pStyle w:val="114"/>
              </w:pPr>
              <w:r>
                <w:t xml:space="preserve">(1) 通行费收入 </w:t>
              </w:r>
            </w:p>
            <w:p>
              <w:pPr>
                <w:pStyle w:val="114"/>
              </w:pPr>
            </w:p>
            <w:p>
              <w:pPr>
                <w:pStyle w:val="114"/>
              </w:pPr>
              <w:r>
                <w:rPr>
                  <w:rFonts w:hint="eastAsia"/>
                </w:rPr>
                <w:t>通行费收入指经营收费公路的通行费收入，按照车辆通行时收取及应收的金额予以确认。</w:t>
              </w:r>
              <w:r>
                <w:t xml:space="preserve"> </w:t>
              </w:r>
            </w:p>
            <w:p>
              <w:pPr>
                <w:pStyle w:val="114"/>
              </w:pPr>
            </w:p>
            <w:p>
              <w:pPr>
                <w:pStyle w:val="114"/>
              </w:pPr>
              <w:r>
                <w:t xml:space="preserve">(2) 建造期收入 </w:t>
              </w:r>
            </w:p>
            <w:p>
              <w:pPr>
                <w:pStyle w:val="114"/>
              </w:pPr>
            </w:p>
            <w:p>
              <w:pPr>
                <w:pStyle w:val="114"/>
              </w:pPr>
              <w:r>
                <w:rPr>
                  <w:rFonts w:hint="eastAsia"/>
                </w:rPr>
                <w:t>对于</w:t>
              </w:r>
              <w:r>
                <w:t xml:space="preserve">PPP形式参与公共基础设施建设业务，本集团于项目建造阶段，按照收入准则确定本集团身份是主要责任人进行会计处理。对于PPP项目中实际提供的建造服务收入，属于在某一时段内履行的履约义务，并确认合同资产。本集团将相关PPP项目资产的对价金额或确认的建造收入金额确认为无形资产的部分，在相关建造期间确认的合同资产在资产负债表“无形资产”项目中列报。对于资产负债表日未完工的建造服务，本集团根据累计实际发生的成本占预计总成本的比例确定履约进度，并按照履约进度，在合同期内确认收入。 </w:t>
              </w:r>
            </w:p>
            <w:p>
              <w:pPr>
                <w:pStyle w:val="114"/>
              </w:pPr>
            </w:p>
            <w:p>
              <w:pPr>
                <w:pStyle w:val="114"/>
              </w:pPr>
              <w:r>
                <w:t xml:space="preserve">(3) 公路配套服务收入 </w:t>
              </w:r>
            </w:p>
            <w:p>
              <w:pPr>
                <w:pStyle w:val="114"/>
              </w:pPr>
            </w:p>
            <w:p>
              <w:pPr>
                <w:pStyle w:val="114"/>
              </w:pPr>
              <w:r>
                <w:rPr>
                  <w:rFonts w:hint="eastAsia"/>
                </w:rPr>
                <w:t>公路配套服务收入主要是油品销售收入，其中油品销售收入于油品控制权转移时确认。</w:t>
              </w:r>
              <w:r>
                <w:t xml:space="preserve"> </w:t>
              </w:r>
            </w:p>
            <w:p>
              <w:pPr>
                <w:pStyle w:val="114"/>
              </w:pPr>
            </w:p>
            <w:p>
              <w:pPr>
                <w:pStyle w:val="114"/>
              </w:pPr>
              <w:r>
                <w:t xml:space="preserve">(4) 房地产开发收入 </w:t>
              </w:r>
            </w:p>
            <w:p>
              <w:pPr>
                <w:pStyle w:val="114"/>
              </w:pPr>
            </w:p>
            <w:p>
              <w:pPr>
                <w:pStyle w:val="114"/>
              </w:pPr>
              <w:r>
                <w:rPr>
                  <w:rFonts w:hint="eastAsia"/>
                </w:rPr>
                <w:t>房地产开发收入于已竣工物业转让予客户的时间点确认，即客户获得已竣工物业的控制权而本集团拥有收取付款的现时权利及可能收取价款的时间点。</w:t>
              </w:r>
              <w:r>
                <w:t xml:space="preserve"> </w:t>
              </w:r>
            </w:p>
            <w:p>
              <w:pPr>
                <w:pStyle w:val="114"/>
              </w:pPr>
            </w:p>
            <w:p>
              <w:pPr>
                <w:pStyle w:val="114"/>
              </w:pPr>
              <w:r>
                <w:t>(5)</w:t>
              </w:r>
              <w:r>
                <w:tab/>
              </w:r>
              <w:r>
                <w:t>销售电力收入</w:t>
              </w:r>
            </w:p>
            <w:p>
              <w:pPr>
                <w:pStyle w:val="114"/>
              </w:pPr>
            </w:p>
            <w:p>
              <w:pPr>
                <w:pStyle w:val="114"/>
              </w:pPr>
              <w:r>
                <w:rPr>
                  <w:rFonts w:hint="eastAsia"/>
                </w:rPr>
                <w:t>电力收入于电力供应至电网公司或客户时确认，本集团根据经电力公司或客户确认的月度实际上网电量按合同上网电价（含国家电价补贴）确认电力收入。</w:t>
              </w:r>
            </w:p>
            <w:p>
              <w:pPr>
                <w:pStyle w:val="114"/>
              </w:pPr>
            </w:p>
            <w:p>
              <w:pPr>
                <w:pStyle w:val="114"/>
              </w:pPr>
              <w:r>
                <w:t xml:space="preserve">(6) 广告及其他收入 </w:t>
              </w:r>
            </w:p>
            <w:p>
              <w:pPr>
                <w:pStyle w:val="114"/>
              </w:pPr>
            </w:p>
            <w:p>
              <w:pPr>
                <w:pStyle w:val="114"/>
              </w:pPr>
              <w:r>
                <w:rPr>
                  <w:rFonts w:hint="eastAsia"/>
                </w:rPr>
                <w:t>广告及其他收入主要是广告经营收入，在提供服务后根据服务时间与价格在服务期内确认营业收入。</w:t>
              </w:r>
            </w:p>
          </w:sdtContent>
        </w:sdt>
        <w:p>
          <w:pPr>
            <w:pStyle w:val="114"/>
          </w:pPr>
        </w:p>
      </w:sdtContent>
    </w:sdt>
    <w:bookmarkEnd w:id="124"/>
    <w:sdt>
      <w:sdtPr>
        <w:rPr>
          <w:rFonts w:hint="eastAsia" w:ascii="宋体" w:hAnsi="宋体" w:cs="宋体"/>
          <w:b w:val="0"/>
          <w:bCs w:val="0"/>
          <w:kern w:val="0"/>
          <w:szCs w:val="21"/>
        </w:rPr>
        <w:alias w:val="模块:同类业务采用不同经营模式导致收入确认会计政策存在差异的情况"/>
        <w:tag w:val="_SEC_d90e7184f27046ff9caab68c045539c7"/>
        <w:id w:val="18379140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47"/>
            </w:numPr>
            <w:ind w:left="426" w:hanging="426"/>
            <w:rPr>
              <w:rFonts w:ascii="宋体" w:hAnsi="宋体"/>
              <w:szCs w:val="21"/>
            </w:rPr>
          </w:pPr>
          <w:bookmarkStart w:id="125" w:name="_Hlk10465594"/>
          <w:r>
            <w:rPr>
              <w:rFonts w:hint="eastAsia" w:ascii="宋体" w:hAnsi="宋体"/>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86174865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25"/>
    <w:sdt>
      <w:sdtPr>
        <w:rPr>
          <w:rFonts w:hint="eastAsia" w:ascii="宋体" w:hAnsi="宋体" w:cs="宋体"/>
          <w:b w:val="0"/>
          <w:bCs w:val="0"/>
          <w:kern w:val="0"/>
          <w:szCs w:val="21"/>
        </w:rPr>
        <w:alias w:val="模块:合同成本"/>
        <w:tag w:val="_SEC_1a8f2a657b9d471d80373f3b25cb1dfe"/>
        <w:id w:val="-1121831354"/>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41"/>
            </w:numPr>
            <w:rPr>
              <w:rFonts w:ascii="宋体" w:hAnsi="宋体"/>
              <w:szCs w:val="21"/>
            </w:rPr>
          </w:pPr>
          <w:bookmarkStart w:id="126" w:name="_Hlk10465679"/>
          <w:r>
            <w:rPr>
              <w:rFonts w:hint="eastAsia" w:ascii="宋体" w:hAnsi="宋体"/>
              <w:szCs w:val="21"/>
            </w:rPr>
            <w:t>合同成本</w:t>
          </w:r>
        </w:p>
        <w:sdt>
          <w:sdtPr>
            <w:alias w:val="是否适用：合同成本_重要会计政策和估计[双击切换]"/>
            <w:tag w:val="_GBC_d7752b20e4914f04bf87bad019929fe8"/>
            <w:id w:val="122364394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1813250520"/>
            <w:lock w:val="sdtLocked"/>
            <w:placeholder>
              <w:docPart w:val="GBC22222222222222222222222222222"/>
            </w:placeholder>
          </w:sdtPr>
          <w:sdtContent>
            <w:p>
              <w:pPr>
                <w:pStyle w:val="114"/>
              </w:pPr>
              <w:r>
                <w:rPr>
                  <w:rFonts w:hint="eastAsia"/>
                </w:rPr>
                <w:t>合同成本包括为取得合同发生的增量成本及合同履约成本。</w:t>
              </w:r>
              <w:r>
                <w:t xml:space="preserve"> </w:t>
              </w:r>
            </w:p>
            <w:p>
              <w:pPr>
                <w:pStyle w:val="114"/>
              </w:pPr>
            </w:p>
            <w:p>
              <w:pPr>
                <w:pStyle w:val="114"/>
              </w:pPr>
              <w:r>
                <w:rPr>
                  <w:rFonts w:hint="eastAsia"/>
                </w:rPr>
                <w:t>为取得合同发生的增量成本是指本集团不取得合同就不会发生的成本。该成本预期能够收回的，本集团将其作为合同取得成本确认为一项资产。本集团为取得合同发生的、除预期能够收回的增量成本之外的其他支出于发生时计入当期损益。</w:t>
              </w:r>
              <w:r>
                <w:t xml:space="preserve"> </w:t>
              </w:r>
            </w:p>
            <w:p>
              <w:pPr>
                <w:pStyle w:val="114"/>
              </w:pPr>
            </w:p>
            <w:p>
              <w:pPr>
                <w:pStyle w:val="114"/>
              </w:pPr>
              <w:r>
                <w:rPr>
                  <w:rFonts w:hint="eastAsia"/>
                </w:rPr>
                <w:t>为履行合同发生的成本，不属于存货等其他企业会计准则规范范围且同时满足下列条件的，本集团将其作为合同履约成本确认为一项资产：</w:t>
              </w:r>
              <w:r>
                <w:t xml:space="preserve"> </w:t>
              </w:r>
            </w:p>
            <w:p>
              <w:pPr>
                <w:pStyle w:val="114"/>
              </w:pPr>
            </w:p>
            <w:p>
              <w:pPr>
                <w:pStyle w:val="114"/>
              </w:pPr>
              <w:r>
                <w:t xml:space="preserve">- 该成本与一份当前或预期取得的合同直接相关，包括直接人工、直接材料、制造费用(或类似费用)、明确由客户承担的成本以及仅因该合同而发生的其他成本； </w:t>
              </w:r>
            </w:p>
            <w:p>
              <w:pPr>
                <w:pStyle w:val="114"/>
              </w:pPr>
            </w:p>
            <w:p>
              <w:pPr>
                <w:pStyle w:val="114"/>
              </w:pPr>
              <w:r>
                <w:t xml:space="preserve">- 该成本增加了本集团未来用于履行履约义务的资源； </w:t>
              </w:r>
            </w:p>
            <w:p>
              <w:pPr>
                <w:pStyle w:val="114"/>
              </w:pPr>
            </w:p>
            <w:p>
              <w:pPr>
                <w:pStyle w:val="114"/>
              </w:pPr>
              <w:r>
                <w:t xml:space="preserve">- 该成本预期能够收回。 </w:t>
              </w:r>
            </w:p>
            <w:p>
              <w:pPr>
                <w:pStyle w:val="114"/>
              </w:pPr>
            </w:p>
            <w:p>
              <w:pPr>
                <w:pStyle w:val="114"/>
              </w:pPr>
              <w:r>
                <w:rPr>
                  <w:rFonts w:hint="eastAsia"/>
                </w:rPr>
                <w:t>合同取得成本确认的资产和合同履约成本确认的资产</w:t>
              </w:r>
              <w:r>
                <w:t xml:space="preserve">(以下简称“与合同成本有关的资产”)采用与该资产相关的商品或服务收入确认相同的基础进行摊销，计入当期损益。合同取得成本确认的资产摊销期限不超过一年的，在发生时计入当期损益。 </w:t>
              </w:r>
            </w:p>
            <w:p>
              <w:pPr>
                <w:pStyle w:val="114"/>
              </w:pPr>
            </w:p>
            <w:p>
              <w:pPr>
                <w:pStyle w:val="114"/>
              </w:pPr>
              <w:r>
                <w:rPr>
                  <w:rFonts w:hint="eastAsia"/>
                </w:rPr>
                <w:t>当与合同成本有关的资产的账面价值高于下列两项的差额时，本集团对超出部分计提减值准备，并确认为资产减值损失：</w:t>
              </w:r>
              <w:r>
                <w:t xml:space="preserve"> </w:t>
              </w:r>
            </w:p>
            <w:p>
              <w:pPr>
                <w:pStyle w:val="114"/>
              </w:pPr>
            </w:p>
            <w:p>
              <w:pPr>
                <w:pStyle w:val="114"/>
              </w:pPr>
              <w:r>
                <w:t xml:space="preserve">- 本集团因转让与该资产相关的商品或服务预期能够取得的剩余对价； </w:t>
              </w:r>
            </w:p>
            <w:p>
              <w:pPr>
                <w:pStyle w:val="114"/>
              </w:pPr>
            </w:p>
            <w:p>
              <w:pPr>
                <w:pStyle w:val="114"/>
              </w:pPr>
              <w:r>
                <w:t>- 为转让该相关商品或服务估计将要发生的成本。</w:t>
              </w:r>
            </w:p>
          </w:sdtContent>
        </w:sdt>
        <w:p>
          <w:pPr>
            <w:pStyle w:val="114"/>
          </w:pPr>
        </w:p>
      </w:sdtContent>
    </w:sdt>
    <w:bookmarkEnd w:id="126"/>
    <w:sdt>
      <w:sdtPr>
        <w:rPr>
          <w:rFonts w:ascii="宋体" w:hAnsi="宋体" w:cs="宋体"/>
          <w:b w:val="0"/>
          <w:bCs w:val="0"/>
          <w:kern w:val="0"/>
          <w:szCs w:val="24"/>
        </w:rPr>
        <w:alias w:val="模块:政府补助会计处理方法"/>
        <w:tag w:val="_GBC_b03bd816e50b42ae97b660897ca33234"/>
        <w:id w:val="2103837781"/>
        <w:lock w:val="sdtLocked"/>
        <w:placeholder>
          <w:docPart w:val="GBC22222222222222222222222222222"/>
        </w:placeholder>
      </w:sdtPr>
      <w:sdtEndPr>
        <w:rPr>
          <w:rFonts w:ascii="宋体" w:hAnsi="宋体" w:cs="宋体"/>
          <w:b/>
          <w:bCs/>
          <w:kern w:val="0"/>
          <w:szCs w:val="21"/>
        </w:rPr>
      </w:sdtEndPr>
      <w:sdtContent>
        <w:p>
          <w:pPr>
            <w:pStyle w:val="4"/>
            <w:numPr>
              <w:ilvl w:val="0"/>
              <w:numId w:val="41"/>
            </w:numPr>
            <w:rPr>
              <w:rFonts w:ascii="宋体" w:hAnsi="宋体"/>
            </w:rPr>
          </w:pPr>
          <w:bookmarkStart w:id="127" w:name="_Hlk10465775"/>
          <w:r>
            <w:rPr>
              <w:rFonts w:ascii="宋体" w:hAnsi="宋体"/>
            </w:rPr>
            <w:t>政府补助</w:t>
          </w:r>
        </w:p>
        <w:sdt>
          <w:sdtPr>
            <w:alias w:val="是否适用：政府补助_重要会计政策和估计[双击切换]"/>
            <w:tag w:val="_GBC_09d5ec3540ea4d9a8e10c93326c490a0"/>
            <w:id w:val="188598455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319047892"/>
            <w:lock w:val="sdtLocked"/>
            <w:placeholder>
              <w:docPart w:val="GBC22222222222222222222222222222"/>
            </w:placeholder>
          </w:sdtPr>
          <w:sdtContent>
            <w:p>
              <w:pPr>
                <w:pStyle w:val="114"/>
              </w:pPr>
              <w:r>
                <w:rPr>
                  <w:rFonts w:hint="eastAsia"/>
                </w:rPr>
                <w:t>政府补助是本集团从政府无偿取得的货币性资产或非货币性资产，但不包括政府以投资者身份向本集团投入的资本。</w:t>
              </w:r>
              <w:r>
                <w:t xml:space="preserve"> </w:t>
              </w:r>
            </w:p>
            <w:p>
              <w:pPr>
                <w:pStyle w:val="114"/>
              </w:pPr>
            </w:p>
            <w:p>
              <w:pPr>
                <w:pStyle w:val="114"/>
              </w:pPr>
              <w:r>
                <w:rPr>
                  <w:rFonts w:hint="eastAsia"/>
                </w:rPr>
                <w:t>政府补助在能够满足政府补助所附条件，并能够收到时，予以确认。</w:t>
              </w:r>
              <w:r>
                <w:t xml:space="preserve"> </w:t>
              </w:r>
            </w:p>
            <w:p>
              <w:pPr>
                <w:pStyle w:val="114"/>
              </w:pPr>
            </w:p>
            <w:p>
              <w:pPr>
                <w:pStyle w:val="114"/>
              </w:pPr>
            </w:p>
            <w:p>
              <w:pPr>
                <w:pStyle w:val="114"/>
              </w:pPr>
              <w:r>
                <w:rPr>
                  <w:rFonts w:hint="eastAsia"/>
                </w:rPr>
                <w:t>政府补助为货币性资产的，按照收到或应收的金额计量。政府补助为非货币性资产的，按照公允价值计量。</w:t>
              </w:r>
              <w:r>
                <w:t xml:space="preserve"> </w:t>
              </w:r>
            </w:p>
            <w:p>
              <w:pPr>
                <w:pStyle w:val="114"/>
              </w:pPr>
            </w:p>
            <w:p>
              <w:pPr>
                <w:pStyle w:val="114"/>
              </w:pPr>
              <w:r>
                <w:rPr>
                  <w:rFonts w:hint="eastAsia"/>
                </w:rPr>
                <w:t>本集团取得的、用于购建或以其他方式形成长期资产的政府补助作为与资产相关的政府补助。本集团取得的与资产相关之外的其他政府补助作为与收益相关的政府补助。与资产相关的政府补助，</w:t>
              </w:r>
            </w:p>
            <w:p>
              <w:pPr>
                <w:pStyle w:val="114"/>
              </w:pPr>
            </w:p>
            <w:p>
              <w:pPr>
                <w:pStyle w:val="114"/>
              </w:pPr>
              <w:r>
                <w:rPr>
                  <w:rFonts w:hint="eastAsia"/>
                </w:rPr>
                <w:t>本集团将其确认为递延收益，并在相关资产使用寿命内按照合理、系统的方法分期计入其他收益或营业外收入。与收益相关的政府补助，如果用于补偿本集团以后期间的相关成本费用或损失的，本集团将其确认为递延收益，并在确认相关成本费用或损失的期间，计入其他收益或营业外收入。否则直接计入其他收益或营业外收入。</w:t>
              </w:r>
            </w:p>
          </w:sdtContent>
        </w:sdt>
      </w:sdtContent>
    </w:sdt>
    <w:bookmarkEnd w:id="127"/>
    <w:p>
      <w:pPr>
        <w:pStyle w:val="114"/>
      </w:pPr>
    </w:p>
    <w:sdt>
      <w:sdtPr>
        <w:rPr>
          <w:rFonts w:ascii="宋体" w:hAnsi="宋体" w:cs="宋体"/>
          <w:b w:val="0"/>
          <w:bCs w:val="0"/>
          <w:kern w:val="0"/>
          <w:szCs w:val="22"/>
        </w:rPr>
        <w:alias w:val="模块:递延所得税资产/递延所得税负债会计处理方法"/>
        <w:tag w:val="_GBC_01f1973e44f24cd99b90200f8205be13"/>
        <w:id w:val="-1355726550"/>
        <w:lock w:val="sdtLocked"/>
        <w:placeholder>
          <w:docPart w:val="GBC22222222222222222222222222222"/>
        </w:placeholder>
      </w:sdtPr>
      <w:sdtEndPr>
        <w:rPr>
          <w:rFonts w:hint="eastAsia" w:ascii="宋体" w:hAnsi="宋体" w:cs="Times New Roman"/>
          <w:b w:val="0"/>
          <w:bCs w:val="0"/>
          <w:kern w:val="2"/>
          <w:szCs w:val="21"/>
        </w:rPr>
      </w:sdtEndPr>
      <w:sdtContent>
        <w:p>
          <w:pPr>
            <w:pStyle w:val="4"/>
            <w:numPr>
              <w:ilvl w:val="0"/>
              <w:numId w:val="41"/>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200369410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所得税的会计处理方法"/>
            <w:tag w:val="_GBC_545dd84ed2b9458fa5e2b87aa1e1cc1c"/>
            <w:id w:val="950745742"/>
            <w:lock w:val="sdtLocked"/>
            <w:placeholder>
              <w:docPart w:val="GBC22222222222222222222222222222"/>
            </w:placeholder>
          </w:sdtPr>
          <w:sdtEndPr>
            <w:rPr>
              <w:rFonts w:hint="eastAsia"/>
            </w:rPr>
          </w:sdtEndPr>
          <w:sdtContent>
            <w:p>
              <w:pPr>
                <w:pStyle w:val="114"/>
              </w:pPr>
              <w:r>
                <w:rPr>
                  <w:rFonts w:hint="eastAsia"/>
                </w:rPr>
                <w:t>递延所得税资产与递延所得税负债分别根据可抵扣暂时性差异和应纳税暂时性差异确定。暂时性差异是指资产或负债的账面价值与其计税基础之间的差额，包括能够结转以后年度的可抵扣亏损和税款抵减。递延所得税资产的确认以很可能取得用来抵扣可抵扣暂时性差异的应纳税所得额为限。</w:t>
              </w:r>
              <w:r>
                <w:t xml:space="preserve"> </w:t>
              </w:r>
            </w:p>
            <w:p>
              <w:pPr>
                <w:pStyle w:val="114"/>
              </w:pPr>
            </w:p>
            <w:p>
              <w:pPr>
                <w:pStyle w:val="114"/>
              </w:pPr>
            </w:p>
            <w:p>
              <w:pPr>
                <w:pStyle w:val="114"/>
              </w:pPr>
              <w:r>
                <w:rPr>
                  <w:rFonts w:hint="eastAsia"/>
                </w:rPr>
                <w:t>如果不属于企业合并交易且交易发生时既不影响会计利润也不影响应纳税所得额</w:t>
              </w:r>
              <w:r>
                <w:t xml:space="preserve">(或可抵扣亏损)，则该项交易中产生的暂时性差异不会产生递延所得税。商誉的初始确认导致的暂时性差异也不产生相关的递延所得税。 </w:t>
              </w:r>
            </w:p>
            <w:p>
              <w:pPr>
                <w:pStyle w:val="114"/>
              </w:pPr>
            </w:p>
            <w:p>
              <w:pPr>
                <w:pStyle w:val="114"/>
              </w:pPr>
            </w:p>
            <w:p>
              <w:pPr>
                <w:pStyle w:val="114"/>
              </w:pPr>
              <w:r>
                <w:rPr>
                  <w:rFonts w:hint="eastAsia"/>
                </w:rPr>
                <w:t>资产负债表日，本集团根据递延所得税资产和负债的预期收回或结算方式，依据已颁布的税法规定，按照预期收回该资产或清偿该负债期间的适用税率计量该递延所得税资产和负债的账面金额。</w:t>
              </w:r>
              <w:r>
                <w:t xml:space="preserve"> </w:t>
              </w:r>
            </w:p>
            <w:p>
              <w:pPr>
                <w:pStyle w:val="114"/>
              </w:pPr>
            </w:p>
            <w:p>
              <w:pPr>
                <w:pStyle w:val="114"/>
              </w:pPr>
            </w:p>
            <w:p>
              <w:pPr>
                <w:pStyle w:val="114"/>
              </w:pPr>
              <w:r>
                <w:rPr>
                  <w:rFonts w:hint="eastAsia"/>
                </w:rPr>
                <w:t>资产负债表日，本集团对递延所得税资产的账面价值进行复核。如果未来期间很可能无法获得足够的应纳税所得额用以抵扣递延所得税资产的利益，则减记递延所得税资产的账面价值。在很可能获得足够的应纳税所得额时，减记的金额予以转回。</w:t>
              </w:r>
              <w:r>
                <w:t xml:space="preserve"> </w:t>
              </w:r>
            </w:p>
            <w:p>
              <w:pPr>
                <w:pStyle w:val="114"/>
              </w:pPr>
            </w:p>
            <w:p>
              <w:pPr>
                <w:pStyle w:val="114"/>
              </w:pPr>
            </w:p>
            <w:p>
              <w:pPr>
                <w:pStyle w:val="114"/>
              </w:pPr>
              <w:r>
                <w:rPr>
                  <w:rFonts w:hint="eastAsia"/>
                </w:rPr>
                <w:t>资产负债表日，递延所得税资产及递延所得税负债在同时满足以下条件时以抵销后的净额列示：</w:t>
              </w:r>
              <w:r>
                <w:t xml:space="preserve"> </w:t>
              </w:r>
            </w:p>
            <w:p>
              <w:pPr>
                <w:pStyle w:val="114"/>
              </w:pPr>
            </w:p>
            <w:p>
              <w:pPr>
                <w:pStyle w:val="114"/>
              </w:pPr>
            </w:p>
            <w:p>
              <w:pPr>
                <w:pStyle w:val="114"/>
              </w:pPr>
              <w:r>
                <w:t xml:space="preserve">- 纳税主体拥有以净额结算当期所得税资产及当期所得税负债的法定权利； </w:t>
              </w:r>
            </w:p>
            <w:p>
              <w:pPr>
                <w:pStyle w:val="114"/>
              </w:pPr>
            </w:p>
            <w:p>
              <w:pPr>
                <w:pStyle w:val="114"/>
              </w:pPr>
              <w:r>
                <w:t>- 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w:t>
              </w:r>
            </w:p>
          </w:sdtContent>
        </w:sdt>
      </w:sdtContent>
    </w:sdt>
    <w:p>
      <w:pPr>
        <w:pStyle w:val="114"/>
      </w:pPr>
    </w:p>
    <w:sdt>
      <w:sdtPr>
        <w:rPr>
          <w:rFonts w:ascii="宋体" w:hAnsi="宋体" w:cs="宋体"/>
          <w:b w:val="0"/>
          <w:bCs w:val="0"/>
          <w:kern w:val="0"/>
          <w:szCs w:val="24"/>
        </w:rPr>
        <w:alias w:val="模块:经营租赁、融资租赁会计处理方法"/>
        <w:tag w:val="_GBC_f9ff4c1b9d1748b8854889b1fd9b076c"/>
        <w:id w:val="-110796873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41"/>
            </w:numPr>
            <w:rPr>
              <w:rFonts w:ascii="宋体" w:hAnsi="宋体"/>
            </w:rPr>
          </w:pPr>
          <w:r>
            <w:rPr>
              <w:rFonts w:ascii="宋体" w:hAnsi="宋体"/>
            </w:rPr>
            <w:t>租赁</w:t>
          </w:r>
        </w:p>
        <w:p>
          <w:pPr>
            <w:pStyle w:val="118"/>
            <w:numPr>
              <w:ilvl w:val="3"/>
              <w:numId w:val="48"/>
            </w:numPr>
            <w:ind w:left="426" w:hanging="426"/>
            <w:rPr>
              <w:rFonts w:ascii="宋体" w:hAnsi="宋体"/>
            </w:rPr>
          </w:pPr>
          <w:r>
            <w:rPr>
              <w:rFonts w:hint="eastAsia" w:ascii="宋体" w:hAnsi="宋体"/>
            </w:rPr>
            <w:t>经营租赁的会计处理方法</w:t>
          </w:r>
        </w:p>
        <w:sdt>
          <w:sdtPr>
            <w:alias w:val="是否适用：经营租赁的会计处理方法[双击切换]"/>
            <w:tag w:val="_GBC_e2074b0f384d4bba80c32083627e5bdd"/>
            <w:id w:val="107047499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8"/>
            <w:numPr>
              <w:ilvl w:val="3"/>
              <w:numId w:val="48"/>
            </w:numPr>
            <w:ind w:left="426" w:hanging="426"/>
            <w:rPr>
              <w:rFonts w:ascii="宋体" w:hAnsi="宋体"/>
            </w:rPr>
          </w:pPr>
          <w:r>
            <w:rPr>
              <w:rFonts w:hint="eastAsia" w:ascii="宋体" w:hAnsi="宋体"/>
            </w:rPr>
            <w:t>融资租赁的会计处理方法</w:t>
          </w:r>
        </w:p>
        <w:sdt>
          <w:sdtPr>
            <w:rPr>
              <w:rFonts w:hint="eastAsia"/>
            </w:rPr>
            <w:alias w:val="是否适用：融资租赁的会计处理方法[双击切换]"/>
            <w:tag w:val="_GBC_e6743f781bfc4763acf7f9821c740304"/>
            <w:id w:val="-1871212884"/>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新租赁准则下租赁的确定方法及会计处理方法"/>
        <w:tag w:val="_SEC_8bc58354e42542c7bbad4c16498c3080"/>
        <w:id w:val="-1716810175"/>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48"/>
            </w:numPr>
            <w:ind w:left="426" w:hanging="426"/>
            <w:rPr>
              <w:rFonts w:ascii="宋体" w:hAnsi="宋体"/>
            </w:rPr>
          </w:pPr>
          <w:bookmarkStart w:id="128" w:name="_Hlk41484250"/>
          <w:bookmarkStart w:id="129" w:name="_Hlk23952334"/>
          <w:bookmarkEnd w:id="129"/>
          <w:r>
            <w:rPr>
              <w:rFonts w:hint="eastAsia" w:ascii="宋体" w:hAnsi="宋体"/>
            </w:rPr>
            <w:t>新租赁准则下租赁的确定方法及会计处理方法</w:t>
          </w:r>
        </w:p>
        <w:sdt>
          <w:sdtPr>
            <w:alias w:val="是否适用：新租赁准则下租赁的确定方法及会计处理方法[双击切换]"/>
            <w:tag w:val="_GBC_9214d33ec34c41b68ccb23415b029371"/>
            <w:id w:val="-90298539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536891857"/>
            <w:lock w:val="sdtLocked"/>
            <w:placeholder>
              <w:docPart w:val="GBC22222222222222222222222222222"/>
            </w:placeholder>
          </w:sdtPr>
          <w:sdtContent>
            <w:p>
              <w:pPr>
                <w:pStyle w:val="114"/>
              </w:pPr>
              <w:r>
                <w:rPr>
                  <w:rFonts w:hint="eastAsia"/>
                </w:rPr>
                <w:t>租赁，是指在一定期间内，出租人将资产的使用权让与承租人以获取对价的合同。</w:t>
              </w:r>
            </w:p>
            <w:p>
              <w:pPr>
                <w:pStyle w:val="114"/>
              </w:pPr>
            </w:p>
            <w:p>
              <w:pPr>
                <w:pStyle w:val="114"/>
              </w:pPr>
              <w:r>
                <w:rPr>
                  <w:rFonts w:hint="eastAsia"/>
                </w:rPr>
                <w:t>在合同开始日，本集团评估合同是否为租赁或者包含租赁。如果合同中一方让渡了在一定期间内控制一项或多项已识别资产使用的权利以换取对价，则该合同为租赁或者包含租赁。</w:t>
              </w:r>
            </w:p>
            <w:p>
              <w:pPr>
                <w:pStyle w:val="114"/>
              </w:pPr>
            </w:p>
            <w:p>
              <w:pPr>
                <w:pStyle w:val="114"/>
              </w:pPr>
              <w:r>
                <w:rPr>
                  <w:rFonts w:hint="eastAsia"/>
                </w:rPr>
                <w:t>为确定合同是否让渡了在一定期间内控制已识别资产使用的权利，本集团进行如下评估：</w:t>
              </w:r>
            </w:p>
            <w:p>
              <w:pPr>
                <w:pStyle w:val="114"/>
              </w:pPr>
              <w:r>
                <w:t>- 合同是否涉及已识别资产的使用。已识别资产可能由合同明确指定或在资产可供客户使用时隐性指定，并且该资产在物理上可区分，或者如果资产的某部分产能或其他部分在物理上不可区分但实质上代表了该资产的全部产能，从而使客户获得因使用该资产所产生的几乎全部经济利益。如果资产的供应方在整个使用期间拥有对该资产的实质性替换权，则该资产不属于已识别资产；</w:t>
              </w:r>
            </w:p>
            <w:p>
              <w:pPr>
                <w:pStyle w:val="114"/>
              </w:pPr>
              <w:r>
                <w:t>- 承租人是否有权获得在使用期间内因使用已识别资产所产生的几乎全部经济利益；</w:t>
              </w:r>
            </w:p>
            <w:p>
              <w:pPr>
                <w:pStyle w:val="114"/>
              </w:pPr>
              <w:r>
                <w:t>- 承租人是否有权在该使用期间主导已识别资产的使用。</w:t>
              </w:r>
            </w:p>
            <w:p>
              <w:pPr>
                <w:pStyle w:val="114"/>
              </w:pPr>
            </w:p>
            <w:p>
              <w:pPr>
                <w:pStyle w:val="114"/>
              </w:pPr>
              <w:r>
                <w:rPr>
                  <w:rFonts w:hint="eastAsia"/>
                </w:rPr>
                <w:t>合同中同时包含多项单独租赁的，承租人和出租人将合同予以分拆，并分别各项单独租赁进行会计处理。合同中同时包含租赁和非租赁部分的，承租人和出租人将租赁和非租赁部分进行分拆。在分拆合同包含的租赁和非租赁部分时，承租人按照各租赁部分单独价格及非租赁部分的单独价格之和的相对比例分摊合同对价。出租人按附注五、</w:t>
              </w:r>
              <w:r>
                <w:t>38所述会计政策中关于交易价格分摊的规定分摊合同对价。</w:t>
              </w:r>
            </w:p>
            <w:p>
              <w:pPr>
                <w:pStyle w:val="114"/>
              </w:pPr>
            </w:p>
            <w:p>
              <w:pPr>
                <w:pStyle w:val="114"/>
              </w:pPr>
              <w:r>
                <w:rPr>
                  <w:rFonts w:hint="eastAsia"/>
                </w:rPr>
                <w:t>（1）</w:t>
              </w:r>
              <w:r>
                <w:t>本集团作为承租人</w:t>
              </w:r>
            </w:p>
            <w:p>
              <w:pPr>
                <w:pStyle w:val="142"/>
                <w:ind w:left="1620" w:firstLine="0" w:firstLineChars="0"/>
              </w:pPr>
            </w:p>
            <w:p>
              <w:pPr>
                <w:pStyle w:val="114"/>
              </w:pPr>
              <w:r>
                <w:rPr>
                  <w:rFonts w:hint="eastAsia"/>
                </w:rPr>
                <w:t>在租赁期开始日，本集团对租赁确认使用权资产和租赁负债。使用权资产按照成本进行初始计量，包括租赁负债的初始计量金额、在租赁期开始日或之前支付的租赁付款额</w:t>
              </w:r>
              <w:r>
                <w:t xml:space="preserve"> (扣除已享受的租赁激励相关金额)，发生的初始直接费用以及为拆卸及移除租赁资产、复原租赁资产所在场地或将租赁资产恢复至租赁条款约定状态预计将发生的成本。</w:t>
              </w:r>
            </w:p>
            <w:p>
              <w:pPr>
                <w:pStyle w:val="114"/>
              </w:pPr>
            </w:p>
            <w:p>
              <w:pPr>
                <w:pStyle w:val="114"/>
              </w:pPr>
              <w:r>
                <w:rPr>
                  <w:rFonts w:hint="eastAsia"/>
                </w:rPr>
                <w:t>本集团使用直线法对使用权资产计提折旧。对能够合理确定租赁期届满时取得租赁资产所有权的，本集团在租赁资产剩余使用寿命内计提折旧。否则，租赁资产在租赁期与租赁资产剩余使用寿命两者孰短的期间内计提折旧。使用权资产按附注五、</w:t>
              </w:r>
              <w:r>
                <w:t>30所述的会计政策计提减值准备。</w:t>
              </w:r>
            </w:p>
            <w:p>
              <w:pPr>
                <w:pStyle w:val="114"/>
              </w:pPr>
            </w:p>
            <w:p>
              <w:pPr>
                <w:pStyle w:val="114"/>
              </w:pPr>
              <w:r>
                <w:rPr>
                  <w:rFonts w:hint="eastAsia"/>
                </w:rPr>
                <w:t>租赁负债按照租赁期开始日尚未支付的租赁付款额的现值进行初始计量，折现率为租赁内含利率。无法确定租赁内含利率的，采用本集团增量借款利率作为折现率。</w:t>
              </w:r>
            </w:p>
            <w:p>
              <w:pPr>
                <w:pStyle w:val="114"/>
              </w:pPr>
            </w:p>
            <w:p>
              <w:pPr>
                <w:pStyle w:val="114"/>
              </w:pPr>
              <w:r>
                <w:rPr>
                  <w:rFonts w:hint="eastAsia"/>
                </w:rPr>
                <w:t>本集团按照固定的周期性利率计算租赁负债在租赁期内各期间的利息费用，并计入当期损益或相关资产成本。未纳入租赁负债计量的可变租赁付款额在实际发生时计入当期损益或相关资产成本。</w:t>
              </w:r>
            </w:p>
            <w:p>
              <w:pPr>
                <w:pStyle w:val="114"/>
              </w:pPr>
            </w:p>
            <w:p>
              <w:pPr>
                <w:pStyle w:val="114"/>
              </w:pPr>
              <w:r>
                <w:t xml:space="preserve"> </w:t>
              </w:r>
              <w:r>
                <w:rPr>
                  <w:rFonts w:hint="eastAsia"/>
                </w:rPr>
                <w:t>租赁期开始日后，发生下列情形的，本集团按照变动后租赁付款额的现值重新计量租赁负债：</w:t>
              </w:r>
            </w:p>
            <w:p>
              <w:pPr>
                <w:pStyle w:val="114"/>
              </w:pPr>
            </w:p>
            <w:p>
              <w:pPr>
                <w:pStyle w:val="114"/>
              </w:pPr>
              <w:r>
                <w:t>- 根据担保余值预计的应付金额发生变动；</w:t>
              </w:r>
            </w:p>
            <w:p>
              <w:pPr>
                <w:pStyle w:val="114"/>
              </w:pPr>
            </w:p>
            <w:p>
              <w:pPr>
                <w:pStyle w:val="114"/>
              </w:pPr>
              <w:r>
                <w:t>- 用于确定租赁付款额的指数或比率发生变动；</w:t>
              </w:r>
            </w:p>
            <w:p>
              <w:pPr>
                <w:pStyle w:val="114"/>
              </w:pPr>
            </w:p>
            <w:p>
              <w:pPr>
                <w:pStyle w:val="114"/>
              </w:pPr>
              <w:r>
                <w:t>- 本集团对购买选择权、续租选择权或终止租赁选择权的评估结果发生变化，或续租选择权或终止租赁选择权的实际行使情况与原评估结果不一致。</w:t>
              </w:r>
            </w:p>
            <w:p>
              <w:pPr>
                <w:pStyle w:val="114"/>
              </w:pPr>
            </w:p>
            <w:p>
              <w:pPr>
                <w:pStyle w:val="114"/>
              </w:pPr>
              <w:r>
                <w:rPr>
                  <w:rFonts w:hint="eastAsia"/>
                </w:rPr>
                <w:t xml:space="preserve"> </w:t>
              </w:r>
              <w:r>
                <w:t xml:space="preserve"> </w:t>
              </w:r>
              <w:r>
                <w:rPr>
                  <w:rFonts w:hint="eastAsia"/>
                </w:rPr>
                <w:t>在对租赁负债进行重新计量时，本集团相应调整使用权资产的账面价值。使用权资产的账面价值已调减至零，但租赁负债仍需进一步调减的，本集团将剩余金额计入当期损益。</w:t>
              </w:r>
            </w:p>
            <w:p>
              <w:pPr>
                <w:pStyle w:val="114"/>
              </w:pPr>
            </w:p>
            <w:p>
              <w:pPr>
                <w:pStyle w:val="114"/>
              </w:pPr>
              <w:r>
                <w:rPr>
                  <w:rFonts w:hint="eastAsia"/>
                </w:rPr>
                <w:t>本集团已选择对短期租赁</w:t>
              </w:r>
              <w:r>
                <w:t xml:space="preserve"> (租赁期不超过12个月的租赁) 和低价值资产租赁不确认使用权资产和租赁负债，并将相关的租赁付款额在租赁期内各个期间按照直线法计入当期损益或相关资产成本。</w:t>
              </w:r>
            </w:p>
            <w:p>
              <w:pPr>
                <w:pStyle w:val="114"/>
              </w:pPr>
            </w:p>
            <w:p>
              <w:pPr>
                <w:pStyle w:val="114"/>
              </w:pPr>
              <w:r>
                <w:rPr>
                  <w:rFonts w:hint="eastAsia"/>
                </w:rPr>
                <w:t>（2）</w:t>
              </w:r>
              <w:r>
                <w:t>本集团作为出租人</w:t>
              </w:r>
            </w:p>
            <w:p>
              <w:pPr>
                <w:pStyle w:val="114"/>
              </w:pPr>
              <w:r>
                <w:rPr>
                  <w:rFonts w:hint="eastAsia"/>
                </w:rPr>
                <w:t xml:space="preserve"> </w:t>
              </w:r>
              <w:r>
                <w:t xml:space="preserve"> </w:t>
              </w:r>
            </w:p>
            <w:p>
              <w:pPr>
                <w:pStyle w:val="114"/>
              </w:pPr>
              <w:r>
                <w:rPr>
                  <w:rFonts w:hint="eastAsia"/>
                </w:rPr>
                <w:t>在租赁开始日，本集团将租赁分为融资租赁和经营租赁。融资租赁是指无论所有权最终是否转移但实质上转移了与租赁资产所有权有关的几乎全部风险和报酬的租赁。经营租赁是指除融资租赁以外的其他租赁。</w:t>
              </w:r>
            </w:p>
            <w:p>
              <w:pPr>
                <w:pStyle w:val="114"/>
              </w:pPr>
            </w:p>
            <w:p>
              <w:pPr>
                <w:pStyle w:val="114"/>
              </w:pPr>
              <w:r>
                <w:rPr>
                  <w:rFonts w:hint="eastAsia"/>
                </w:rPr>
                <w:t>本集团作为转租出租人时，基于原租赁产生的使用权资产，而不是原租赁的标的资产，对转租赁进行分类。如果原租赁为短期租赁且本集团选择对原租赁应用上述短期租赁的简化处理，本集团将该转租赁分类为经营租赁。</w:t>
              </w:r>
            </w:p>
            <w:p>
              <w:pPr>
                <w:pStyle w:val="114"/>
              </w:pPr>
            </w:p>
            <w:p>
              <w:pPr>
                <w:pStyle w:val="114"/>
              </w:pPr>
              <w:r>
                <w:rPr>
                  <w:rFonts w:hint="eastAsia"/>
                </w:rPr>
                <w:t>融资租赁下，在租赁期开始日，本集团对融资租赁确认应收融资租赁款，并终止确认融资租赁资产。本集团对应收融资租赁款进行初始计量时，将租赁投资净额作为应收融资租赁款的入账价值。租赁投资净额为未担保余值和租赁期开始日尚未收到的租赁收款额按照租赁内含利率折现的现值之和。</w:t>
              </w:r>
            </w:p>
            <w:p>
              <w:pPr>
                <w:pStyle w:val="114"/>
              </w:pPr>
            </w:p>
            <w:p>
              <w:pPr>
                <w:pStyle w:val="114"/>
              </w:pPr>
              <w:r>
                <w:rPr>
                  <w:rFonts w:hint="eastAsia"/>
                </w:rPr>
                <w:t>本集团按照固定的周期性利率计算并确认租赁期内各个期间的利息收入。应收融资租赁款的终止确认和减值按附注五、</w:t>
              </w:r>
              <w:r>
                <w:t>10所述的会计政策进行会计处理。未纳入租赁投资净额计量的可变租赁付款额在实际发生时计入当期损益。</w:t>
              </w:r>
            </w:p>
            <w:p>
              <w:pPr>
                <w:pStyle w:val="114"/>
              </w:pPr>
            </w:p>
            <w:p>
              <w:pPr>
                <w:rPr>
                  <w:color w:val="333399"/>
                </w:rPr>
              </w:pPr>
              <w:r>
                <w:rPr>
                  <w:rFonts w:hint="eastAsia"/>
                </w:rPr>
                <w:t>经营租赁的租赁收款额在租赁期内按直线法确认为租金收入。本集团将其发生的与经营租赁有关的初始直接费用予以资本化，在租赁期内按照与租金收入确认相同的基础进行分摊，分期计入当期损益。未计入租赁收款额的可变租赁付款额在实际发生时计入当期损益。</w:t>
              </w:r>
            </w:p>
          </w:sdtContent>
        </w:sdt>
        <w:p>
          <w:pPr>
            <w:pStyle w:val="114"/>
          </w:pPr>
        </w:p>
      </w:sdtContent>
    </w:sdt>
    <w:bookmarkEnd w:id="128"/>
    <w:p>
      <w:pPr>
        <w:pStyle w:val="114"/>
      </w:pPr>
    </w:p>
    <w:sdt>
      <w:sdtPr>
        <w:rPr>
          <w:rFonts w:hint="eastAsia" w:ascii="宋体" w:hAnsi="宋体" w:cstheme="minorBidi"/>
          <w:b w:val="0"/>
          <w:bCs w:val="0"/>
          <w:kern w:val="0"/>
          <w:szCs w:val="22"/>
        </w:rPr>
        <w:alias w:val="模块:其他重要的会计政策和会计估计"/>
        <w:tag w:val="_GBC_208440ea3a0f4676970b3672c3cdf96f"/>
        <w:id w:val="2020268865"/>
        <w:lock w:val="sdtLocked"/>
        <w:placeholder>
          <w:docPart w:val="GBC22222222222222222222222222222"/>
        </w:placeholder>
      </w:sdtPr>
      <w:sdtEndPr>
        <w:rPr>
          <w:rFonts w:hint="eastAsia" w:ascii="宋体" w:hAnsi="宋体" w:cs="Times New Roman"/>
          <w:b w:val="0"/>
          <w:bCs w:val="0"/>
          <w:kern w:val="0"/>
          <w:szCs w:val="21"/>
        </w:rPr>
      </w:sdtEndPr>
      <w:sdtContent>
        <w:p>
          <w:pPr>
            <w:pStyle w:val="4"/>
            <w:numPr>
              <w:ilvl w:val="0"/>
              <w:numId w:val="41"/>
            </w:numPr>
            <w:rPr>
              <w:rFonts w:ascii="宋体" w:hAnsi="宋体"/>
            </w:rPr>
          </w:pPr>
          <w:r>
            <w:rPr>
              <w:rFonts w:hint="eastAsia" w:ascii="宋体" w:hAnsi="宋体"/>
            </w:rPr>
            <w:t>其他重要的会计政策和会计估计</w:t>
          </w:r>
        </w:p>
        <w:sdt>
          <w:sdtPr>
            <w:alias w:val="是否适用：其他重要的会计政策和会计估计[双击切换]"/>
            <w:tag w:val="_GBC_b4281f4538de4623a036697d3903e1f8"/>
            <w:id w:val="-126954277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1994832924"/>
            <w:lock w:val="sdtLocked"/>
            <w:placeholder>
              <w:docPart w:val="GBC22222222222222222222222222222"/>
            </w:placeholder>
          </w:sdtPr>
          <w:sdtEndPr>
            <w:rPr>
              <w:rFonts w:hint="eastAsia"/>
            </w:rPr>
          </w:sdtEndPr>
          <w:sdtContent>
            <w:p>
              <w:pPr>
                <w:pStyle w:val="114"/>
              </w:pPr>
              <w:r>
                <w:rPr>
                  <w:rFonts w:hint="eastAsia"/>
                </w:rPr>
                <w:t>编制财务报表时，本集团管理层需要运用估计和假设，这些估计和假设会对会计政策的应用及资产、负债、收入及费用的金额产生影响。实际情况可能与这些估计不同。本集团管理层对估计涉及的关键假设和不确定因素的判断进行持续评估，会计估计变更的影响在变更当期和未来期间予以确认。</w:t>
              </w:r>
            </w:p>
            <w:p>
              <w:pPr>
                <w:pStyle w:val="114"/>
              </w:pPr>
            </w:p>
            <w:p>
              <w:pPr>
                <w:pStyle w:val="114"/>
              </w:pPr>
              <w:r>
                <w:t>(1)</w:t>
              </w:r>
              <w:r>
                <w:tab/>
              </w:r>
              <w:r>
                <w:t>主要会计估计</w:t>
              </w:r>
            </w:p>
            <w:p>
              <w:pPr>
                <w:pStyle w:val="114"/>
              </w:pPr>
            </w:p>
            <w:p>
              <w:pPr>
                <w:pStyle w:val="114"/>
              </w:pPr>
              <w:r>
                <w:rPr>
                  <w:rFonts w:hint="eastAsia"/>
                </w:rPr>
                <w:t>除固定资产及无形资产等资产的折旧及摊销（参见附注五、</w:t>
              </w:r>
              <w:r>
                <w:t>23 和29）和各类资产减值涉及的会计估计外，其他主要的会计估计如下：</w:t>
              </w:r>
            </w:p>
            <w:p>
              <w:pPr>
                <w:pStyle w:val="114"/>
              </w:pPr>
            </w:p>
            <w:p>
              <w:pPr>
                <w:pStyle w:val="114"/>
              </w:pPr>
              <w:r>
                <w:t>(a)</w:t>
              </w:r>
              <w:r>
                <w:tab/>
              </w:r>
              <w:r>
                <w:t>附注</w:t>
              </w:r>
              <w:r>
                <w:rPr>
                  <w:rFonts w:hint="eastAsia"/>
                </w:rPr>
                <w:t>七</w:t>
              </w:r>
              <w:r>
                <w:t>、30 - 递延所得税资产的确认；</w:t>
              </w:r>
            </w:p>
            <w:p>
              <w:pPr>
                <w:pStyle w:val="114"/>
              </w:pPr>
              <w:r>
                <w:t>(b)</w:t>
              </w:r>
              <w:r>
                <w:tab/>
              </w:r>
              <w:r>
                <w:t>附注</w:t>
              </w:r>
              <w:r>
                <w:rPr>
                  <w:rFonts w:hint="eastAsia"/>
                </w:rPr>
                <w:t>十一</w:t>
              </w:r>
              <w:r>
                <w:t xml:space="preserve"> - 金融工具公允价值估值。</w:t>
              </w:r>
              <w:r>
                <w:tab/>
              </w:r>
            </w:p>
            <w:p>
              <w:pPr>
                <w:pStyle w:val="114"/>
              </w:pPr>
            </w:p>
            <w:p>
              <w:pPr>
                <w:pStyle w:val="114"/>
              </w:pPr>
              <w:r>
                <w:t>(2)</w:t>
              </w:r>
              <w:r>
                <w:tab/>
              </w:r>
              <w:r>
                <w:t>主要会计判断</w:t>
              </w:r>
            </w:p>
            <w:p>
              <w:pPr>
                <w:pStyle w:val="114"/>
              </w:pPr>
            </w:p>
            <w:p>
              <w:pPr>
                <w:pStyle w:val="114"/>
              </w:pPr>
              <w:r>
                <w:rPr>
                  <w:rFonts w:hint="eastAsia"/>
                </w:rPr>
                <w:t>本集团在运用会计政策过程中做出的重要判断如下：</w:t>
              </w:r>
            </w:p>
            <w:p>
              <w:pPr>
                <w:pStyle w:val="114"/>
              </w:pPr>
            </w:p>
            <w:p>
              <w:pPr>
                <w:pStyle w:val="114"/>
              </w:pPr>
              <w:r>
                <w:rPr>
                  <w:rFonts w:hint="eastAsia"/>
                </w:rPr>
                <w:t>附注九、</w:t>
              </w:r>
              <w:r>
                <w:t>1(1) 和2(1) - 披露对其他主体实施控制、共同控制或重大影响的重大判断和假设。</w:t>
              </w:r>
            </w:p>
            <w:p>
              <w:pPr>
                <w:pStyle w:val="114"/>
              </w:pPr>
            </w:p>
          </w:sdtContent>
        </w:sdt>
      </w:sdtContent>
    </w:sdt>
    <w:p>
      <w:pPr>
        <w:pStyle w:val="114"/>
      </w:pPr>
    </w:p>
    <w:p>
      <w:pPr>
        <w:pStyle w:val="4"/>
        <w:numPr>
          <w:ilvl w:val="0"/>
          <w:numId w:val="41"/>
        </w:numPr>
        <w:rPr>
          <w:rFonts w:ascii="宋体" w:hAnsi="宋体"/>
        </w:rPr>
      </w:pPr>
      <w:r>
        <w:rPr>
          <w:rFonts w:hint="eastAsia" w:ascii="宋体" w:hAnsi="宋体"/>
        </w:rPr>
        <w:t>重要</w:t>
      </w:r>
      <w:r>
        <w:rPr>
          <w:rFonts w:ascii="宋体" w:hAnsi="宋体"/>
        </w:rPr>
        <w:t>会计政策</w:t>
      </w:r>
      <w:r>
        <w:rPr>
          <w:rFonts w:hint="eastAsia" w:ascii="宋体" w:hAnsi="宋体"/>
        </w:rPr>
        <w:t>和</w:t>
      </w:r>
      <w:r>
        <w:rPr>
          <w:rFonts w:ascii="宋体" w:hAnsi="宋体"/>
        </w:rPr>
        <w:t>会计估计的变更</w:t>
      </w:r>
    </w:p>
    <w:p>
      <w:pPr>
        <w:pStyle w:val="118"/>
        <w:numPr>
          <w:ilvl w:val="3"/>
          <w:numId w:val="49"/>
        </w:numPr>
        <w:ind w:left="426" w:hanging="426"/>
        <w:rPr>
          <w:rFonts w:ascii="宋体" w:hAnsi="宋体"/>
        </w:rPr>
      </w:pPr>
      <w:bookmarkStart w:id="130" w:name="_Hlk143250599"/>
      <w:r>
        <w:rPr>
          <w:rFonts w:hint="eastAsia" w:ascii="宋体" w:hAnsi="宋体"/>
        </w:rPr>
        <w:t>重要</w:t>
      </w:r>
      <w:r>
        <w:rPr>
          <w:rFonts w:ascii="宋体" w:hAnsi="宋体"/>
        </w:rPr>
        <w:t>会计政策变更</w:t>
      </w:r>
    </w:p>
    <w:sdt>
      <w:sdtPr>
        <w:alias w:val="是否适用：重要会计政策变更[双击切换]"/>
        <w:tag w:val="_GBC_f1ebc580f60c4d30a80747190ffbec4f"/>
        <w:id w:val="-1529024022"/>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cstheme="minorBidi"/>
          <w:kern w:val="2"/>
        </w:rPr>
        <w:alias w:val="模块:会计政策变更"/>
        <w:tag w:val="_GBC_0e06dc657bb8435eb065c6bd60685496"/>
        <w:id w:val="-1940902374"/>
        <w:lock w:val="sdtLocked"/>
        <w:placeholder>
          <w:docPart w:val="GBC22222222222222222222222222222"/>
        </w:placeholder>
      </w:sdtPr>
      <w:sdtEndPr>
        <w:rPr>
          <w:rFonts w:hint="eastAsia" w:cs="Times New Roman"/>
          <w:kern w:val="2"/>
        </w:rPr>
      </w:sdtEndPr>
      <w:sdtContent>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2"/>
            <w:gridCol w:w="3018"/>
            <w:gridCol w:w="3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cstheme="minorBidi"/>
                  <w:kern w:val="2"/>
                </w:rPr>
                <w:tag w:val="_PLD_daa059e86d644c38a64c2363d44d41a6"/>
                <w:id w:val="323320609"/>
                <w:lock w:val="sdtLocked"/>
              </w:sdtPr>
              <w:sdtEndPr>
                <w:rPr>
                  <w:rFonts w:hint="default" w:cs="宋体"/>
                  <w:kern w:val="0"/>
                </w:rPr>
              </w:sdtEndPr>
              <w:sdtContent>
                <w:tc>
                  <w:tcPr>
                    <w:tcW w:w="1633" w:type="pct"/>
                    <w:vAlign w:val="center"/>
                  </w:tcPr>
                  <w:p>
                    <w:pPr>
                      <w:jc w:val="center"/>
                    </w:pPr>
                    <w:r>
                      <w:rPr>
                        <w:rFonts w:hint="eastAsia"/>
                      </w:rPr>
                      <w:t>会计政策变更的内容和原因</w:t>
                    </w:r>
                  </w:p>
                </w:tc>
              </w:sdtContent>
            </w:sdt>
            <w:sdt>
              <w:sdtPr>
                <w:tag w:val="_PLD_1a94328f786e442083b01d246c327f25"/>
                <w:id w:val="-14385308"/>
                <w:lock w:val="sdtLocked"/>
              </w:sdtPr>
              <w:sdtContent>
                <w:tc>
                  <w:tcPr>
                    <w:tcW w:w="1687" w:type="pct"/>
                    <w:vAlign w:val="center"/>
                  </w:tcPr>
                  <w:p>
                    <w:pPr>
                      <w:jc w:val="center"/>
                    </w:pPr>
                    <w:r>
                      <w:t>审批程序</w:t>
                    </w:r>
                  </w:p>
                </w:tc>
              </w:sdtContent>
            </w:sdt>
            <w:sdt>
              <w:sdtPr>
                <w:tag w:val="_PLD_de432e748e8c4df0b4c141bfafe34ee9"/>
                <w:id w:val="2020045497"/>
                <w:lock w:val="sdtLocked"/>
              </w:sdtPr>
              <w:sdtContent>
                <w:tc>
                  <w:tcPr>
                    <w:tcW w:w="1680" w:type="pct"/>
                    <w:vAlign w:val="center"/>
                  </w:tcPr>
                  <w:p>
                    <w:pPr>
                      <w:jc w:val="center"/>
                    </w:pPr>
                    <w:r>
                      <w:rPr>
                        <w:rFonts w:hint="eastAsia"/>
                      </w:rPr>
                      <w:t>备注</w:t>
                    </w:r>
                    <w:r>
                      <w:t>(受重要影响的报表项目名称和金额)</w:t>
                    </w:r>
                  </w:p>
                </w:tc>
              </w:sdtContent>
            </w:sdt>
          </w:tr>
          <w:sdt>
            <w:sdtPr>
              <w:rPr>
                <w:rFonts w:hint="eastAsia" w:cstheme="minorBidi"/>
                <w:kern w:val="2"/>
              </w:rPr>
              <w:alias w:val="会计政策的变更"/>
              <w:tag w:val="_GBC_3ee3045c350e4d52ab819ea497aaf2f3"/>
              <w:id w:val="1817532359"/>
              <w:lock w:val="sdtLocked"/>
            </w:sdtPr>
            <w:sdtEndPr>
              <w:rPr>
                <w:rFonts w:hint="eastAsia" w:cstheme="minorBidi"/>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3" w:type="pct"/>
                  </w:tcPr>
                  <w:p>
                    <w:pPr>
                      <w:pStyle w:val="114"/>
                    </w:pPr>
                    <w:r>
                      <w:rPr>
                        <w:rFonts w:hint="eastAsia" w:cstheme="minorBidi"/>
                        <w:kern w:val="2"/>
                      </w:rPr>
                      <w:t>不适用</w:t>
                    </w:r>
                  </w:p>
                </w:tc>
                <w:tc>
                  <w:tcPr>
                    <w:tcW w:w="1687" w:type="pct"/>
                  </w:tcPr>
                  <w:p>
                    <w:pPr>
                      <w:pStyle w:val="114"/>
                    </w:pPr>
                    <w:r>
                      <w:rPr>
                        <w:rFonts w:hint="eastAsia"/>
                      </w:rPr>
                      <w:t>不适用</w:t>
                    </w:r>
                  </w:p>
                </w:tc>
                <w:tc>
                  <w:tcPr>
                    <w:tcW w:w="1680" w:type="pct"/>
                  </w:tcPr>
                  <w:p>
                    <w:pPr>
                      <w:pStyle w:val="114"/>
                    </w:pPr>
                    <w:r>
                      <w:rPr>
                        <w:rFonts w:hint="eastAsia"/>
                      </w:rPr>
                      <w:t>详见下文</w:t>
                    </w:r>
                  </w:p>
                </w:tc>
              </w:tr>
            </w:sdtContent>
          </w:sdt>
          <w:sdt>
            <w:sdtPr>
              <w:rPr>
                <w:rFonts w:hint="eastAsia" w:cstheme="minorBidi"/>
                <w:kern w:val="2"/>
              </w:rPr>
              <w:alias w:val="会计政策的变更"/>
              <w:tag w:val="_GBC_3ee3045c350e4d52ab819ea497aaf2f3"/>
              <w:id w:val="-1043292720"/>
              <w:lock w:val="sdtLocked"/>
            </w:sdtPr>
            <w:sdtEndPr>
              <w:rPr>
                <w:rFonts w:hint="eastAsia" w:cstheme="minorBidi"/>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3" w:type="pct"/>
                  </w:tcPr>
                  <w:p>
                    <w:pPr>
                      <w:pStyle w:val="114"/>
                    </w:pPr>
                  </w:p>
                </w:tc>
                <w:tc>
                  <w:tcPr>
                    <w:tcW w:w="1687" w:type="pct"/>
                  </w:tcPr>
                  <w:p>
                    <w:pPr>
                      <w:pStyle w:val="114"/>
                    </w:pPr>
                  </w:p>
                </w:tc>
                <w:tc>
                  <w:tcPr>
                    <w:tcW w:w="1680" w:type="pct"/>
                  </w:tcPr>
                  <w:p>
                    <w:pPr>
                      <w:pStyle w:val="114"/>
                    </w:pPr>
                  </w:p>
                </w:tc>
              </w:tr>
            </w:sdtContent>
          </w:sdt>
        </w:tbl>
        <w:p>
          <w:pPr>
            <w:pStyle w:val="114"/>
          </w:pPr>
          <w:r>
            <w:rPr>
              <w:rFonts w:hint="eastAsia"/>
            </w:rPr>
            <w:t>其他说明：</w:t>
          </w:r>
        </w:p>
        <w:sdt>
          <w:sdtPr>
            <w:alias w:val="会计政策的变更的其他说明"/>
            <w:tag w:val="_GBC_93e2fc5a38cb45958eae783eee8d98c3"/>
            <w:id w:val="-1862728892"/>
            <w:lock w:val="sdtLocked"/>
            <w:placeholder>
              <w:docPart w:val="GBC22222222222222222222222222222"/>
            </w:placeholder>
          </w:sdtPr>
          <w:sdtContent>
            <w:p>
              <w:pPr>
                <w:pStyle w:val="114"/>
              </w:pPr>
              <w:r>
                <w:rPr>
                  <w:rFonts w:hint="eastAsia"/>
                </w:rPr>
                <w:t>本集团于</w:t>
              </w:r>
              <w:r>
                <w:t>2023年度执行了财政部颁布的《企业会计准则解释第16号》(财会 [2022] 31号) (“解释第16号”) 中“关于单项交易产生的资产和负债相关的递延所得税不适用初始确认豁免的会计处理”。</w:t>
              </w:r>
            </w:p>
            <w:p>
              <w:pPr>
                <w:pStyle w:val="208"/>
              </w:pPr>
            </w:p>
            <w:p>
              <w:pPr>
                <w:pStyle w:val="114"/>
              </w:pPr>
              <w:r>
                <w:rPr>
                  <w:rFonts w:hint="eastAsia"/>
                </w:rPr>
                <w:t>根据该规定，本集团对于不是企业合并、交易发生时既不影响会计利润也不影响应纳税所得额</w:t>
              </w:r>
              <w:r>
                <w:t xml:space="preserve"> (或可抵扣亏损 )、且初始确认的资产和负债导致产生等额应纳税暂时性差异和可抵扣暂时性差异的单项交易中因资产和负债的初始确认所产生的应纳税暂时性差异和可抵扣暂时性差异，根据《企业会计准则第 18 号 所得税》等有关规定，在交易发生时分别确认相应的递延所得税负债和递延所得税资产，而不再按照产生的应纳税暂时性差异和可抵扣暂时性差异的净额确认递延所得税负债或者递延所得税资产</w:t>
              </w:r>
              <w:r>
                <w:rPr>
                  <w:rFonts w:hint="eastAsia"/>
                </w:rPr>
                <w:t>。</w:t>
              </w:r>
            </w:p>
            <w:p>
              <w:pPr>
                <w:pStyle w:val="208"/>
              </w:pPr>
            </w:p>
            <w:p>
              <w:pPr>
                <w:pStyle w:val="114"/>
              </w:pPr>
              <w:r>
                <w:rPr>
                  <w:rFonts w:hint="eastAsia"/>
                </w:rPr>
                <w:t>上述规定自</w:t>
              </w:r>
              <w:r>
                <w:t>2023年1月1日起施行，采用该规定未对本集团的财务状况及经营成果产生重大影响。</w:t>
              </w:r>
            </w:p>
          </w:sdtContent>
        </w:sdt>
      </w:sdtContent>
    </w:sdt>
    <w:bookmarkEnd w:id="130"/>
    <w:p>
      <w:pPr>
        <w:pStyle w:val="114"/>
      </w:pPr>
    </w:p>
    <w:p>
      <w:pPr>
        <w:pStyle w:val="118"/>
        <w:numPr>
          <w:ilvl w:val="3"/>
          <w:numId w:val="49"/>
        </w:numPr>
        <w:ind w:left="426" w:hanging="426"/>
        <w:rPr>
          <w:rFonts w:ascii="宋体" w:hAnsi="宋体"/>
        </w:rPr>
      </w:pPr>
      <w:bookmarkStart w:id="131" w:name="_Hlk143250651"/>
      <w:r>
        <w:rPr>
          <w:rFonts w:hint="eastAsia" w:ascii="宋体" w:hAnsi="宋体"/>
        </w:rPr>
        <w:t>重要</w:t>
      </w:r>
      <w:r>
        <w:rPr>
          <w:rFonts w:ascii="宋体" w:hAnsi="宋体"/>
        </w:rPr>
        <w:t>会计估计变更</w:t>
      </w:r>
    </w:p>
    <w:sdt>
      <w:sdtPr>
        <w:alias w:val="是否适用：重要会计估计变更[双击切换]"/>
        <w:tag w:val="_GBC_902f08bd36774074945386d2d1f9b67d"/>
        <w:id w:val="-14405479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1"/>
    <w:p>
      <w:pPr>
        <w:pStyle w:val="114"/>
      </w:pPr>
    </w:p>
    <w:p>
      <w:pPr>
        <w:pStyle w:val="114"/>
      </w:pPr>
    </w:p>
    <w:sdt>
      <w:sdtPr>
        <w:rPr>
          <w:rFonts w:ascii="宋体" w:hAnsi="宋体" w:cs="宋体"/>
          <w:b w:val="0"/>
          <w:bCs w:val="0"/>
          <w:kern w:val="0"/>
          <w:szCs w:val="24"/>
        </w:rPr>
        <w:alias w:val="选项模块:首次执行新金融工具准则、新收入准则、新租赁准则调整首次执行当年年初财务报表相关项目情况"/>
        <w:tag w:val="_SEC_a9815fd707d7490aa4f57a92594115cf"/>
        <w:id w:val="-733464967"/>
        <w:lock w:val="sdtLocked"/>
        <w:placeholder>
          <w:docPart w:val="GBC22222222222222222222222222222"/>
        </w:placeholder>
      </w:sdtPr>
      <w:sdtEndPr>
        <w:rPr>
          <w:rFonts w:ascii="宋体" w:hAnsi="宋体" w:cs="宋体"/>
          <w:b w:val="0"/>
          <w:bCs w:val="0"/>
          <w:kern w:val="0"/>
          <w:szCs w:val="21"/>
        </w:rPr>
      </w:sdtEndPr>
      <w:sdtContent>
        <w:p>
          <w:pPr>
            <w:pStyle w:val="118"/>
            <w:numPr>
              <w:ilvl w:val="3"/>
              <w:numId w:val="49"/>
            </w:numPr>
            <w:ind w:left="426" w:hanging="426"/>
          </w:pPr>
          <w:bookmarkStart w:id="132" w:name="_Hlk24100246"/>
          <w:bookmarkStart w:id="133" w:name="_Hlk137050657"/>
          <w:bookmarkStart w:id="134" w:name="_Hlk10465969"/>
          <w:bookmarkEnd w:id="134"/>
          <w:r>
            <w:rPr>
              <w:rFonts w:ascii="Times New Roman" w:hAnsi="Times New Roman"/>
            </w:rPr>
            <w:t>2023</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8608c1ec447d48978e05546e78cb2ffc"/>
            <w:id w:val="-989552024"/>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32"/>
    <w:p>
      <w:pPr>
        <w:pStyle w:val="114"/>
      </w:pPr>
    </w:p>
    <w:bookmarkEnd w:id="133"/>
    <w:sdt>
      <w:sdtPr>
        <w:rPr>
          <w:rFonts w:hint="eastAsia" w:ascii="宋体" w:hAnsi="宋体" w:cstheme="minorBidi"/>
          <w:b w:val="0"/>
          <w:bCs w:val="0"/>
          <w:kern w:val="0"/>
          <w:szCs w:val="22"/>
        </w:rPr>
        <w:alias w:val="模块:其他"/>
        <w:tag w:val="_GBC_f9189f2c315949f484bded540173f7a8"/>
        <w:id w:val="-815105805"/>
        <w:lock w:val="sdtLocked"/>
        <w:placeholder>
          <w:docPart w:val="GBC22222222222222222222222222222"/>
        </w:placeholder>
      </w:sdtPr>
      <w:sdtEndPr>
        <w:rPr>
          <w:rFonts w:hint="eastAsia" w:ascii="宋体" w:hAnsi="宋体" w:cs="Times New Roman"/>
          <w:b w:val="0"/>
          <w:bCs w:val="0"/>
          <w:kern w:val="0"/>
          <w:szCs w:val="21"/>
        </w:rPr>
      </w:sdtEndPr>
      <w:sdtContent>
        <w:p>
          <w:pPr>
            <w:pStyle w:val="4"/>
            <w:numPr>
              <w:ilvl w:val="0"/>
              <w:numId w:val="41"/>
            </w:numPr>
            <w:rPr>
              <w:rFonts w:ascii="宋体" w:hAnsi="宋体"/>
            </w:rPr>
          </w:pPr>
          <w:r>
            <w:rPr>
              <w:rFonts w:hint="eastAsia" w:ascii="宋体" w:hAnsi="宋体"/>
            </w:rPr>
            <w:t>其他</w:t>
          </w:r>
        </w:p>
        <w:sdt>
          <w:sdtPr>
            <w:rPr>
              <w:rFonts w:hint="eastAsia"/>
            </w:rPr>
            <w:alias w:val="是否适用：公司主要会计政策、会计估计和前期差错的其他说明[双击切换]"/>
            <w:tag w:val="_GBC_6deb29735f384e0d9a2b017d4265a493"/>
            <w:id w:val="37644384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3"/>
        <w:numPr>
          <w:ilvl w:val="0"/>
          <w:numId w:val="38"/>
        </w:numPr>
        <w:ind w:left="422" w:hanging="422"/>
        <w:rPr>
          <w:rFonts w:ascii="宋体" w:hAnsi="宋体"/>
        </w:rPr>
      </w:pPr>
      <w:r>
        <w:rPr>
          <w:rFonts w:hint="eastAsia" w:ascii="宋体" w:hAnsi="宋体"/>
        </w:rPr>
        <w:t>税项</w:t>
      </w:r>
    </w:p>
    <w:sdt>
      <w:sdtPr>
        <w:rPr>
          <w:rFonts w:ascii="宋体" w:hAnsi="宋体" w:cs="宋体"/>
          <w:b w:val="0"/>
          <w:bCs w:val="0"/>
          <w:kern w:val="0"/>
          <w:szCs w:val="22"/>
        </w:rPr>
        <w:alias w:val="模块:主要税种及税率"/>
        <w:tag w:val="_GBC_21c965fa52af49a9865023fb4e05671a"/>
        <w:id w:val="-1480682493"/>
        <w:lock w:val="sdtLocked"/>
        <w:placeholder>
          <w:docPart w:val="GBC22222222222222222222222222222"/>
        </w:placeholder>
      </w:sdtPr>
      <w:sdtEndPr>
        <w:rPr>
          <w:rFonts w:ascii="宋体" w:hAnsi="宋体" w:cs="Times New Roman"/>
          <w:b w:val="0"/>
          <w:bCs w:val="0"/>
          <w:kern w:val="2"/>
          <w:szCs w:val="21"/>
        </w:rPr>
      </w:sdtEndPr>
      <w:sdtContent>
        <w:p>
          <w:pPr>
            <w:pStyle w:val="117"/>
            <w:numPr>
              <w:ilvl w:val="0"/>
              <w:numId w:val="50"/>
            </w:numPr>
            <w:tabs>
              <w:tab w:val="left" w:pos="546"/>
            </w:tabs>
            <w:rPr>
              <w:rFonts w:ascii="宋体" w:hAnsi="宋体"/>
            </w:rPr>
          </w:pPr>
          <w:r>
            <w:rPr>
              <w:rFonts w:ascii="宋体" w:hAnsi="宋体"/>
            </w:rPr>
            <w:t>主要税种及税率</w:t>
          </w:r>
        </w:p>
        <w:p>
          <w:pPr>
            <w:pStyle w:val="114"/>
          </w:pPr>
          <w:r>
            <w:rPr>
              <w:rFonts w:hint="eastAsia"/>
            </w:rPr>
            <w:t>主要税种及税率情况</w:t>
          </w:r>
        </w:p>
        <w:sdt>
          <w:sdtPr>
            <w:alias w:val="是否适用：主要税种及税率情况 [双击切换]"/>
            <w:tag w:val="_GBC_fd47fa4fd9aa499c8903795268a25582"/>
            <w:id w:val="169203286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tag w:val="_GBC_cd48dbef8f724802baa896e009e06b0d"/>
            <w:id w:val="1143474367"/>
            <w:lock w:val="sdtLocked"/>
            <w:placeholder>
              <w:docPart w:val="GBC22222222222222222222222222222"/>
            </w:placeholder>
          </w:sdtPr>
          <w:sdtContent>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0"/>
                <w:gridCol w:w="3110"/>
                <w:gridCol w:w="3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pct"/>
                    <w:vAlign w:val="center"/>
                  </w:tcPr>
                  <w:p>
                    <w:pPr>
                      <w:jc w:val="center"/>
                    </w:pPr>
                    <w:sdt>
                      <w:sdtPr>
                        <w:rPr>
                          <w:kern w:val="2"/>
                        </w:rPr>
                        <w:tag w:val="_PLD_e7d49d0412b143bf84fec865b918065a"/>
                        <w:id w:val="-2135780459"/>
                        <w:lock w:val="sdtLocked"/>
                      </w:sdtPr>
                      <w:sdtEndPr>
                        <w:rPr>
                          <w:kern w:val="0"/>
                        </w:rPr>
                      </w:sdtEndPr>
                      <w:sdtContent>
                        <w:r>
                          <w:t>税种</w:t>
                        </w:r>
                      </w:sdtContent>
                    </w:sdt>
                  </w:p>
                </w:tc>
                <w:sdt>
                  <w:sdtPr>
                    <w:tag w:val="_PLD_e42202809983483baa812ed26e1b27a2"/>
                    <w:id w:val="534860278"/>
                    <w:lock w:val="sdtLocked"/>
                  </w:sdtPr>
                  <w:sdtContent>
                    <w:tc>
                      <w:tcPr>
                        <w:tcW w:w="1738" w:type="pct"/>
                        <w:vAlign w:val="center"/>
                      </w:tcPr>
                      <w:p>
                        <w:pPr>
                          <w:jc w:val="center"/>
                        </w:pPr>
                        <w:r>
                          <w:t>计税依据</w:t>
                        </w:r>
                      </w:p>
                    </w:tc>
                  </w:sdtContent>
                </w:sdt>
                <w:sdt>
                  <w:sdtPr>
                    <w:tag w:val="_PLD_0cebc7a4c62844c6b35146cd64cd4277"/>
                    <w:id w:val="-1721661010"/>
                    <w:lock w:val="sdtLocked"/>
                  </w:sdtPr>
                  <w:sdtContent>
                    <w:tc>
                      <w:tcPr>
                        <w:tcW w:w="1725" w:type="pct"/>
                        <w:vAlign w:val="center"/>
                      </w:tcPr>
                      <w:p>
                        <w:pPr>
                          <w:jc w:val="center"/>
                        </w:pPr>
                        <w:r>
                          <w:t>税率</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pct"/>
                  </w:tcPr>
                  <w:p>
                    <w:pPr>
                      <w:pStyle w:val="114"/>
                    </w:pPr>
                    <w:r>
                      <w:t>增值税</w:t>
                    </w:r>
                  </w:p>
                </w:tc>
                <w:tc>
                  <w:tcPr>
                    <w:tcW w:w="1738" w:type="pct"/>
                  </w:tcPr>
                  <w:p>
                    <w:pPr>
                      <w:pStyle w:val="114"/>
                    </w:pPr>
                    <w:r>
                      <w:rPr>
                        <w:rFonts w:hint="eastAsia"/>
                      </w:rPr>
                      <w:t>按税法规定计算的销售货物和应税劳务收入为基础计算销项税额，在扣除当期允许抵扣的进项税额后，差额部分为应交增值税</w:t>
                    </w:r>
                  </w:p>
                </w:tc>
                <w:tc>
                  <w:tcPr>
                    <w:tcW w:w="1725" w:type="pct"/>
                  </w:tcPr>
                  <w:p>
                    <w:pPr>
                      <w:pStyle w:val="114"/>
                    </w:pPr>
                    <w:r>
                      <w:t>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pct"/>
                  </w:tcPr>
                  <w:p>
                    <w:pPr>
                      <w:pStyle w:val="114"/>
                    </w:pPr>
                    <w:r>
                      <w:t>城市维护建设税</w:t>
                    </w:r>
                  </w:p>
                </w:tc>
                <w:tc>
                  <w:tcPr>
                    <w:tcW w:w="1738" w:type="pct"/>
                    <w:vAlign w:val="center"/>
                  </w:tcPr>
                  <w:p>
                    <w:pPr>
                      <w:pStyle w:val="114"/>
                    </w:pPr>
                    <w:r>
                      <w:t>按实际缴纳的增值税计</w:t>
                    </w:r>
                    <w:r>
                      <w:rPr>
                        <w:rFonts w:hint="eastAsia" w:ascii="PMingLiU" w:hAnsi="PMingLiU" w:eastAsia="PMingLiU" w:cs="PMingLiU"/>
                      </w:rPr>
                      <w:t>征</w:t>
                    </w:r>
                  </w:p>
                </w:tc>
                <w:tc>
                  <w:tcPr>
                    <w:tcW w:w="1725" w:type="pct"/>
                    <w:vAlign w:val="center"/>
                  </w:tcPr>
                  <w:p>
                    <w:pPr>
                      <w:pStyle w:val="114"/>
                    </w:pPr>
                    <w: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pct"/>
                  </w:tcPr>
                  <w:p>
                    <w:pPr>
                      <w:pStyle w:val="114"/>
                    </w:pPr>
                    <w:r>
                      <w:t>土地增值税</w:t>
                    </w:r>
                  </w:p>
                </w:tc>
                <w:tc>
                  <w:tcPr>
                    <w:tcW w:w="1738" w:type="pct"/>
                    <w:vAlign w:val="center"/>
                  </w:tcPr>
                  <w:p>
                    <w:pPr>
                      <w:pStyle w:val="114"/>
                    </w:pPr>
                    <w:r>
                      <w:t>按转让房地产所取得的增值额和规定的税率计征</w:t>
                    </w:r>
                  </w:p>
                </w:tc>
                <w:tc>
                  <w:tcPr>
                    <w:tcW w:w="1725" w:type="pct"/>
                    <w:vAlign w:val="center"/>
                  </w:tcPr>
                  <w:p>
                    <w:pPr>
                      <w:pStyle w:val="114"/>
                    </w:pPr>
                    <w:r>
                      <w:t>超率累进税率30%-60%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pct"/>
                  </w:tcPr>
                  <w:p>
                    <w:pPr>
                      <w:pStyle w:val="114"/>
                    </w:pPr>
                    <w:r>
                      <w:t>企业所得税</w:t>
                    </w:r>
                  </w:p>
                </w:tc>
                <w:tc>
                  <w:tcPr>
                    <w:tcW w:w="1738" w:type="pct"/>
                    <w:vAlign w:val="center"/>
                  </w:tcPr>
                  <w:p>
                    <w:pPr>
                      <w:pStyle w:val="114"/>
                    </w:pPr>
                    <w:r>
                      <w:t>按应纳税所得额计</w:t>
                    </w:r>
                    <w:r>
                      <w:rPr>
                        <w:rFonts w:hint="eastAsia" w:ascii="PMingLiU" w:hAnsi="PMingLiU" w:eastAsia="PMingLiU" w:cs="PMingLiU"/>
                      </w:rPr>
                      <w:t>征</w:t>
                    </w:r>
                  </w:p>
                </w:tc>
                <w:tc>
                  <w:tcPr>
                    <w:tcW w:w="1725" w:type="pct"/>
                    <w:vAlign w:val="center"/>
                  </w:tcPr>
                  <w:p>
                    <w:pPr>
                      <w:pStyle w:val="114"/>
                    </w:pPr>
                    <w:r>
                      <w:t>25%</w:t>
                    </w:r>
                    <w:r>
                      <w:rPr>
                        <w:rFonts w:hint="eastAsia" w:ascii="PMingLiU" w:hAnsi="PMingLiU" w:eastAsia="PMingLiU" w:cs="PMingLiU"/>
                      </w:rPr>
                      <w:t>，</w:t>
                    </w:r>
                    <w:r>
                      <w:rPr>
                        <w:rFonts w:hint="eastAsia" w:cs="PMingLiU" w:asciiTheme="minorEastAsia" w:hAnsiTheme="minorEastAsia" w:eastAsiaTheme="minorEastAsia"/>
                      </w:rPr>
                      <w:t>除注</w:t>
                    </w:r>
                    <w:r>
                      <w:rPr>
                        <w:rFonts w:asciiTheme="minorEastAsia" w:hAnsiTheme="minorEastAsia" w:eastAsiaTheme="minorEastAsia"/>
                      </w:rPr>
                      <w:t>2</w:t>
                    </w:r>
                  </w:p>
                </w:tc>
              </w:tr>
            </w:tbl>
            <w:p>
              <w:pPr>
                <w:pStyle w:val="114"/>
              </w:pPr>
              <w:r>
                <w:rPr>
                  <w:rFonts w:hint="eastAsia"/>
                </w:rPr>
                <w:t>除下述注</w:t>
              </w:r>
              <w:r>
                <w:t>2中享受优惠税率的子公司及江苏宁沪国际（香港）有限公司（“宁沪国际”）的法定税率16.5%外，本公司及各子公司本期适用的所得税税率为25%。</w:t>
              </w:r>
            </w:p>
            <w:p>
              <w:pPr>
                <w:pStyle w:val="114"/>
              </w:pPr>
            </w:p>
          </w:sdtContent>
        </w:sdt>
        <w:p>
          <w:pPr>
            <w:pStyle w:val="114"/>
          </w:pPr>
          <w:r>
            <w:rPr>
              <w:rFonts w:hint="eastAsia"/>
            </w:rPr>
            <w:t>存在不同企业所得税税率纳税主体的，披露情况说明</w:t>
          </w:r>
        </w:p>
        <w:sdt>
          <w:sdtPr>
            <w:alias w:val="是否适用：存在不同企业所得税税率纳税主体的，披露情况说明[双击切换]"/>
            <w:tag w:val="_GBC_848dc0d1182048ccb5485f3b0d7d1d70"/>
            <w:id w:val="-85110357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 w:val="24"/>
          <w:szCs w:val="22"/>
        </w:rPr>
        <w:alias w:val="模块:税收优惠及批文"/>
        <w:tag w:val="_GBC_8efa381cc976417f9135f0c744d05452"/>
        <w:id w:val="1414435399"/>
        <w:lock w:val="sdtLocked"/>
        <w:placeholder>
          <w:docPart w:val="GBC22222222222222222222222222222"/>
        </w:placeholder>
      </w:sdtPr>
      <w:sdtEndPr>
        <w:rPr>
          <w:rFonts w:hint="eastAsia" w:ascii="宋体" w:hAnsi="宋体" w:cs="Times New Roman"/>
          <w:b w:val="0"/>
          <w:bCs w:val="0"/>
          <w:kern w:val="2"/>
          <w:sz w:val="21"/>
          <w:szCs w:val="21"/>
        </w:rPr>
      </w:sdtEndPr>
      <w:sdtContent>
        <w:p>
          <w:pPr>
            <w:pStyle w:val="117"/>
            <w:numPr>
              <w:ilvl w:val="0"/>
              <w:numId w:val="50"/>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188500807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优惠税赋及批文"/>
            <w:tag w:val="_GBC_3bbdacdaa3ba421fb8a81b9bda047bb4"/>
            <w:id w:val="794331607"/>
            <w:lock w:val="sdtLocked"/>
            <w:placeholder>
              <w:docPart w:val="GBC22222222222222222222222222222"/>
            </w:placeholder>
          </w:sdtPr>
          <w:sdtEndPr>
            <w:rPr>
              <w:rFonts w:hint="eastAsia"/>
            </w:rPr>
          </w:sdtEndPr>
          <w:sdtContent>
            <w:p>
              <w:pPr>
                <w:pStyle w:val="114"/>
              </w:pPr>
              <w:r>
                <w:rPr>
                  <w:rFonts w:hint="eastAsia"/>
                </w:rPr>
                <w:t>享受优惠税率的子公司如下：</w:t>
              </w:r>
            </w:p>
            <w:tbl>
              <w:tblPr>
                <w:tblStyle w:val="422"/>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108" w:type="dxa"/>
                </w:tblCellMar>
              </w:tblPr>
              <w:tblGrid>
                <w:gridCol w:w="5245"/>
                <w:gridCol w:w="1382"/>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bottom"/>
                  </w:tcPr>
                  <w:p>
                    <w:pPr>
                      <w:overflowPunct w:val="0"/>
                      <w:snapToGrid w:val="0"/>
                      <w:spacing w:line="228" w:lineRule="auto"/>
                      <w:jc w:val="both"/>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公司名称</w:t>
                    </w:r>
                  </w:p>
                </w:tc>
                <w:tc>
                  <w:tcPr>
                    <w:tcW w:w="1382" w:type="dxa"/>
                    <w:shd w:val="clear" w:color="auto" w:fill="auto"/>
                    <w:vAlign w:val="bottom"/>
                  </w:tcPr>
                  <w:p>
                    <w:pPr>
                      <w:overflowPunct w:val="0"/>
                      <w:snapToGrid w:val="0"/>
                      <w:spacing w:line="228" w:lineRule="auto"/>
                      <w:jc w:val="right"/>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优惠税率</w:t>
                    </w:r>
                  </w:p>
                </w:tc>
                <w:tc>
                  <w:tcPr>
                    <w:tcW w:w="2156" w:type="dxa"/>
                    <w:shd w:val="clear" w:color="auto" w:fill="auto"/>
                    <w:vAlign w:val="bottom"/>
                  </w:tcPr>
                  <w:p>
                    <w:pPr>
                      <w:overflowPunct w:val="0"/>
                      <w:snapToGrid w:val="0"/>
                      <w:spacing w:line="228" w:lineRule="auto"/>
                      <w:jc w:val="right"/>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优惠原因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bottom"/>
                  </w:tcPr>
                  <w:p>
                    <w:pPr>
                      <w:overflowPunct w:val="0"/>
                      <w:snapToGrid w:val="0"/>
                      <w:spacing w:line="228" w:lineRule="auto"/>
                      <w:jc w:val="both"/>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常州金坛禾一新能源科技有限公司（“金坛禾一”）</w:t>
                    </w:r>
                  </w:p>
                </w:tc>
                <w:tc>
                  <w:tcPr>
                    <w:tcW w:w="1382" w:type="dxa"/>
                    <w:shd w:val="clear" w:color="auto" w:fill="auto"/>
                    <w:vAlign w:val="bottom"/>
                  </w:tcPr>
                  <w:p>
                    <w:pPr>
                      <w:overflowPunct w:val="0"/>
                      <w:snapToGrid w:val="0"/>
                      <w:spacing w:line="228" w:lineRule="auto"/>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u w:val="single"/>
                      </w:rPr>
                      <w:t>1</w:t>
                    </w:r>
                    <w:r>
                      <w:rPr>
                        <w:rFonts w:cs="Arial" w:asciiTheme="minorEastAsia" w:hAnsiTheme="minorEastAsia" w:eastAsiaTheme="minorEastAsia"/>
                        <w:kern w:val="2"/>
                        <w:sz w:val="20"/>
                        <w:szCs w:val="20"/>
                        <w:u w:val="single"/>
                      </w:rPr>
                      <w:t>2.5%</w:t>
                    </w:r>
                  </w:p>
                </w:tc>
                <w:tc>
                  <w:tcPr>
                    <w:tcW w:w="2156" w:type="dxa"/>
                    <w:shd w:val="clear" w:color="auto" w:fill="auto"/>
                    <w:vAlign w:val="bottom"/>
                  </w:tcPr>
                  <w:p>
                    <w:pPr>
                      <w:overflowPunct w:val="0"/>
                      <w:snapToGrid w:val="0"/>
                      <w:spacing w:line="228" w:lineRule="auto"/>
                      <w:ind w:right="-1"/>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u w:val="single"/>
                      </w:rPr>
                      <w:t>三免三减半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苏交控新能源科技丰县有限公司（“丰县新能源”）</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12.5%</w:t>
                    </w:r>
                  </w:p>
                </w:tc>
                <w:tc>
                  <w:tcPr>
                    <w:tcW w:w="2156" w:type="dxa"/>
                    <w:shd w:val="clear" w:color="auto" w:fill="auto"/>
                    <w:vAlign w:val="center"/>
                  </w:tcPr>
                  <w:p>
                    <w:pPr>
                      <w:overflowPunct w:val="0"/>
                      <w:snapToGrid w:val="0"/>
                      <w:spacing w:line="228" w:lineRule="auto"/>
                      <w:ind w:right="-1"/>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三免三减半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盐城云杉光伏发电有限公司（“盐城云杉”）</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12.5%</w:t>
                    </w:r>
                  </w:p>
                </w:tc>
                <w:tc>
                  <w:tcPr>
                    <w:tcW w:w="2156" w:type="dxa"/>
                    <w:shd w:val="clear" w:color="auto" w:fill="auto"/>
                    <w:vAlign w:val="center"/>
                  </w:tcPr>
                  <w:p>
                    <w:pPr>
                      <w:overflowPunct w:val="0"/>
                      <w:snapToGrid w:val="0"/>
                      <w:spacing w:line="228" w:lineRule="auto"/>
                      <w:ind w:right="-1"/>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三免三减半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苏交控丰县再生能源有限公司（“丰县再生能源”）</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12.5%</w:t>
                    </w:r>
                  </w:p>
                </w:tc>
                <w:tc>
                  <w:tcPr>
                    <w:tcW w:w="2156" w:type="dxa"/>
                    <w:shd w:val="clear" w:color="auto" w:fill="auto"/>
                    <w:vAlign w:val="center"/>
                  </w:tcPr>
                  <w:p>
                    <w:pPr>
                      <w:overflowPunct w:val="0"/>
                      <w:snapToGrid w:val="0"/>
                      <w:spacing w:line="228" w:lineRule="auto"/>
                      <w:ind w:right="-1"/>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三免三减半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昆山丰源房地产开发有限公司（“昆山丰源”）</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ind w:right="-1"/>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无锡市靖澄广告有限公司（“靖澄广告”）</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ind w:right="-1"/>
                      <w:jc w:val="right"/>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苏交控清洁能源徐州有限公司（“徐州清能”）</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苏交控清洁能源铜山有限公司（“铜山清能”）</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苏交控丰县农业科技有限公司（“农业科技”）</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溧阳市优科能源有限公司（“溧阳优科”）</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cs="Arial" w:asciiTheme="minorEastAsia" w:hAnsiTheme="minorEastAsia" w:eastAsiaTheme="minorEastAsia"/>
                        <w:kern w:val="2"/>
                        <w:sz w:val="20"/>
                        <w:szCs w:val="20"/>
                      </w:rPr>
                      <w:t>2.5%</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u w:val="single"/>
                      </w:rPr>
                    </w:pPr>
                    <w:r>
                      <w:rPr>
                        <w:rFonts w:hint="eastAsia" w:cs="Arial" w:asciiTheme="minorEastAsia" w:hAnsiTheme="minorEastAsia" w:eastAsiaTheme="minorEastAsia"/>
                        <w:kern w:val="2"/>
                        <w:sz w:val="20"/>
                        <w:szCs w:val="20"/>
                      </w:rPr>
                      <w:t>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苏交控如东海上风力发电有限公司（“如东公司”）</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cs="Arial" w:asciiTheme="minorEastAsia" w:hAnsiTheme="minorEastAsia" w:eastAsiaTheme="minorEastAsia"/>
                        <w:kern w:val="2"/>
                        <w:sz w:val="20"/>
                        <w:szCs w:val="20"/>
                      </w:rPr>
                      <w:t>0%</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三免三减半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108" w:type="dxa"/>
                  </w:tblCellMar>
                </w:tblPrEx>
                <w:tc>
                  <w:tcPr>
                    <w:tcW w:w="5245" w:type="dxa"/>
                    <w:shd w:val="clear" w:color="auto" w:fill="auto"/>
                    <w:vAlign w:val="center"/>
                  </w:tcPr>
                  <w:p>
                    <w:pPr>
                      <w:overflowPunct w:val="0"/>
                      <w:snapToGrid w:val="0"/>
                      <w:spacing w:line="228" w:lineRule="auto"/>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苏交控清洁能源宿迁有限公司（“宿迁公司”）</w:t>
                    </w:r>
                  </w:p>
                </w:tc>
                <w:tc>
                  <w:tcPr>
                    <w:tcW w:w="1382"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cs="Arial" w:asciiTheme="minorEastAsia" w:hAnsiTheme="minorEastAsia" w:eastAsiaTheme="minorEastAsia"/>
                        <w:kern w:val="2"/>
                        <w:sz w:val="20"/>
                        <w:szCs w:val="20"/>
                      </w:rPr>
                      <w:t>0%</w:t>
                    </w:r>
                  </w:p>
                </w:tc>
                <w:tc>
                  <w:tcPr>
                    <w:tcW w:w="2156" w:type="dxa"/>
                    <w:shd w:val="clear" w:color="auto" w:fill="auto"/>
                    <w:vAlign w:val="center"/>
                  </w:tcPr>
                  <w:p>
                    <w:pPr>
                      <w:overflowPunct w:val="0"/>
                      <w:snapToGrid w:val="0"/>
                      <w:spacing w:line="228" w:lineRule="auto"/>
                      <w:jc w:val="right"/>
                      <w:rPr>
                        <w:rFonts w:cs="Arial" w:asciiTheme="minorEastAsia" w:hAnsiTheme="minorEastAsia" w:eastAsiaTheme="minorEastAsia"/>
                        <w:kern w:val="2"/>
                        <w:sz w:val="20"/>
                        <w:szCs w:val="20"/>
                      </w:rPr>
                    </w:pPr>
                    <w:r>
                      <w:rPr>
                        <w:rFonts w:hint="eastAsia" w:cs="Arial" w:asciiTheme="minorEastAsia" w:hAnsiTheme="minorEastAsia" w:eastAsiaTheme="minorEastAsia"/>
                        <w:kern w:val="2"/>
                        <w:sz w:val="20"/>
                        <w:szCs w:val="20"/>
                      </w:rPr>
                      <w:t>三免三减半</w:t>
                    </w:r>
                  </w:p>
                </w:tc>
              </w:tr>
            </w:tbl>
            <w:p>
              <w:pPr>
                <w:pStyle w:val="114"/>
              </w:pPr>
            </w:p>
          </w:sdtContent>
        </w:sdt>
        <w:p>
          <w:pPr>
            <w:pStyle w:val="114"/>
          </w:pPr>
        </w:p>
      </w:sdtContent>
    </w:sdt>
    <w:sdt>
      <w:sdtPr>
        <w:rPr>
          <w:rFonts w:ascii="宋体" w:hAnsi="宋体" w:cs="宋体"/>
          <w:b w:val="0"/>
          <w:bCs w:val="0"/>
          <w:kern w:val="0"/>
          <w:sz w:val="24"/>
          <w:szCs w:val="22"/>
        </w:rPr>
        <w:alias w:val="模块:其他说明"/>
        <w:tag w:val="_GBC_9fdef48633e142f68e18dc5da08c2deb"/>
        <w:id w:val="1899859117"/>
        <w:lock w:val="sdtLocked"/>
        <w:placeholder>
          <w:docPart w:val="GBC22222222222222222222222222222"/>
        </w:placeholder>
      </w:sdtPr>
      <w:sdtEndPr>
        <w:rPr>
          <w:rFonts w:hint="eastAsia" w:ascii="宋体" w:hAnsi="宋体" w:cs="Times New Roman"/>
          <w:b w:val="0"/>
          <w:bCs w:val="0"/>
          <w:kern w:val="2"/>
          <w:sz w:val="21"/>
          <w:szCs w:val="21"/>
        </w:rPr>
      </w:sdtEndPr>
      <w:sdtContent>
        <w:p>
          <w:pPr>
            <w:pStyle w:val="117"/>
            <w:numPr>
              <w:ilvl w:val="0"/>
              <w:numId w:val="50"/>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38114289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3"/>
        <w:numPr>
          <w:ilvl w:val="0"/>
          <w:numId w:val="38"/>
        </w:numPr>
        <w:ind w:left="422" w:hanging="422"/>
        <w:rPr>
          <w:rFonts w:ascii="宋体" w:hAnsi="宋体"/>
        </w:rPr>
      </w:pPr>
      <w:r>
        <w:rPr>
          <w:rFonts w:hint="eastAsia" w:ascii="宋体" w:hAnsi="宋体"/>
        </w:rPr>
        <w:t>合并财务报表项目注释</w:t>
      </w:r>
    </w:p>
    <w:sdt>
      <w:sdtPr>
        <w:rPr>
          <w:rFonts w:hint="eastAsia" w:ascii="宋体" w:hAnsi="宋体" w:cs="宋体"/>
          <w:b w:val="0"/>
          <w:bCs w:val="0"/>
          <w:kern w:val="0"/>
          <w:szCs w:val="21"/>
        </w:rPr>
        <w:alias w:val="模块:货币资金"/>
        <w:tag w:val="_GBC_e001074b3db146e59ba240ad8dd14b68"/>
        <w:id w:val="-1263368504"/>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rPr>
              <w:rFonts w:ascii="宋体" w:hAnsi="宋体"/>
            </w:rPr>
          </w:pPr>
          <w:r>
            <w:rPr>
              <w:rFonts w:hint="eastAsia" w:ascii="宋体" w:hAnsi="宋体"/>
            </w:rPr>
            <w:t>货币资金</w:t>
          </w:r>
        </w:p>
        <w:sdt>
          <w:sdtPr>
            <w:rPr>
              <w:rFonts w:hint="eastAsia"/>
            </w:rPr>
            <w:alias w:val="是否适用：货币资金[双击切换]"/>
            <w:tag w:val="_GBC_919482f2d209490ca80fb081aed88b28"/>
            <w:id w:val="603852706"/>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jc w:val="right"/>
          </w:pPr>
          <w:r>
            <w:rPr>
              <w:rFonts w:hint="eastAsia"/>
            </w:rPr>
            <w:t>单位：</w:t>
          </w:r>
          <w:sdt>
            <w:sdtPr>
              <w:rPr>
                <w:rFonts w:hint="eastAsia"/>
              </w:rPr>
              <w:alias w:val="单位：财务附注：货币资金"/>
              <w:tag w:val="_GBC_837f4fb04cac4b8aa6bed7dc457a1486"/>
              <w:id w:val="787308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8272872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96"/>
            <w:gridCol w:w="3260"/>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sdt>
              <w:sdtPr>
                <w:tag w:val="_PLD_970744f8614f4547819947c8fa3cacc3"/>
                <w:id w:val="898323946"/>
                <w:lock w:val="sdtLocked"/>
              </w:sdtPr>
              <w:sdtContent>
                <w:tc>
                  <w:tcPr>
                    <w:tcW w:w="1256" w:type="pct"/>
                    <w:shd w:val="clear" w:color="auto" w:fill="auto"/>
                    <w:vAlign w:val="center"/>
                  </w:tcPr>
                  <w:p>
                    <w:pPr>
                      <w:autoSpaceDE w:val="0"/>
                      <w:autoSpaceDN w:val="0"/>
                      <w:adjustRightInd w:val="0"/>
                      <w:snapToGrid w:val="0"/>
                      <w:spacing w:line="240" w:lineRule="atLeast"/>
                      <w:jc w:val="center"/>
                    </w:pPr>
                    <w:r>
                      <w:rPr>
                        <w:rFonts w:hint="eastAsia"/>
                      </w:rPr>
                      <w:t>项目</w:t>
                    </w:r>
                  </w:p>
                </w:tc>
              </w:sdtContent>
            </w:sdt>
            <w:sdt>
              <w:sdtPr>
                <w:tag w:val="_PLD_e10eddc0fb0b4cf087ec6eb5089b437a"/>
                <w:id w:val="1101995715"/>
                <w:lock w:val="sdtLocked"/>
              </w:sdtPr>
              <w:sdtContent>
                <w:tc>
                  <w:tcPr>
                    <w:tcW w:w="1865" w:type="pct"/>
                    <w:shd w:val="clear" w:color="auto" w:fill="auto"/>
                    <w:vAlign w:val="center"/>
                  </w:tcPr>
                  <w:p>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1631507265"/>
                <w:lock w:val="sdtLocked"/>
              </w:sdtPr>
              <w:sdtContent>
                <w:tc>
                  <w:tcPr>
                    <w:tcW w:w="1879" w:type="pct"/>
                    <w:shd w:val="clear" w:color="auto" w:fill="auto"/>
                    <w:vAlign w:val="center"/>
                  </w:tcPr>
                  <w:p>
                    <w:pPr>
                      <w:autoSpaceDE w:val="0"/>
                      <w:autoSpaceDN w:val="0"/>
                      <w:adjustRightInd w:val="0"/>
                      <w:snapToGrid w:val="0"/>
                      <w:spacing w:line="240" w:lineRule="atLeast"/>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sdt>
              <w:sdtPr>
                <w:tag w:val="_PLD_e371e767a9e24245856168b9f4428678"/>
                <w:id w:val="-673952912"/>
                <w:lock w:val="sdtLocked"/>
              </w:sdtPr>
              <w:sdtContent>
                <w:tc>
                  <w:tcPr>
                    <w:tcW w:w="1256" w:type="pct"/>
                    <w:shd w:val="clear" w:color="auto" w:fill="auto"/>
                  </w:tcPr>
                  <w:p>
                    <w:pPr>
                      <w:autoSpaceDE w:val="0"/>
                      <w:autoSpaceDN w:val="0"/>
                      <w:adjustRightInd w:val="0"/>
                      <w:snapToGrid w:val="0"/>
                      <w:spacing w:line="240" w:lineRule="atLeast"/>
                    </w:pPr>
                    <w:r>
                      <w:rPr>
                        <w:rFonts w:hint="eastAsia"/>
                      </w:rPr>
                      <w:t>库存现金</w:t>
                    </w:r>
                  </w:p>
                </w:tc>
              </w:sdtContent>
            </w:sdt>
            <w:tc>
              <w:tcPr>
                <w:tcW w:w="1865" w:type="pct"/>
                <w:shd w:val="clear" w:color="auto" w:fill="auto"/>
                <w:vAlign w:val="center"/>
              </w:tcPr>
              <w:p>
                <w:pPr>
                  <w:autoSpaceDE w:val="0"/>
                  <w:autoSpaceDN w:val="0"/>
                  <w:adjustRightInd w:val="0"/>
                  <w:snapToGrid w:val="0"/>
                  <w:spacing w:line="240" w:lineRule="atLeast"/>
                  <w:ind w:right="210"/>
                  <w:jc w:val="right"/>
                </w:pPr>
                <w:r>
                  <w:t>137,092.83</w:t>
                </w:r>
              </w:p>
            </w:tc>
            <w:tc>
              <w:tcPr>
                <w:tcW w:w="1879" w:type="pct"/>
                <w:shd w:val="clear" w:color="auto" w:fill="auto"/>
                <w:vAlign w:val="center"/>
              </w:tcPr>
              <w:p>
                <w:pPr>
                  <w:autoSpaceDE w:val="0"/>
                  <w:autoSpaceDN w:val="0"/>
                  <w:adjustRightInd w:val="0"/>
                  <w:snapToGrid w:val="0"/>
                  <w:spacing w:line="240" w:lineRule="atLeast"/>
                  <w:ind w:right="210"/>
                  <w:jc w:val="right"/>
                </w:pPr>
                <w:r>
                  <w:t>69,744.33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sdt>
              <w:sdtPr>
                <w:tag w:val="_PLD_96be3b99d11b4eb5ac959cf1c015f1ae"/>
                <w:id w:val="1442177877"/>
                <w:lock w:val="sdtLocked"/>
              </w:sdtPr>
              <w:sdtContent>
                <w:tc>
                  <w:tcPr>
                    <w:tcW w:w="1256" w:type="pct"/>
                    <w:shd w:val="clear" w:color="auto" w:fill="auto"/>
                  </w:tcPr>
                  <w:p>
                    <w:pPr>
                      <w:autoSpaceDE w:val="0"/>
                      <w:autoSpaceDN w:val="0"/>
                      <w:adjustRightInd w:val="0"/>
                      <w:snapToGrid w:val="0"/>
                      <w:spacing w:line="240" w:lineRule="atLeast"/>
                    </w:pPr>
                    <w:r>
                      <w:rPr>
                        <w:rFonts w:hint="eastAsia"/>
                      </w:rPr>
                      <w:t>银行存款</w:t>
                    </w:r>
                  </w:p>
                </w:tc>
              </w:sdtContent>
            </w:sdt>
            <w:tc>
              <w:tcPr>
                <w:tcW w:w="1865" w:type="pct"/>
                <w:shd w:val="clear" w:color="auto" w:fill="auto"/>
                <w:vAlign w:val="center"/>
              </w:tcPr>
              <w:p>
                <w:pPr>
                  <w:autoSpaceDE w:val="0"/>
                  <w:autoSpaceDN w:val="0"/>
                  <w:adjustRightInd w:val="0"/>
                  <w:snapToGrid w:val="0"/>
                  <w:spacing w:line="240" w:lineRule="atLeast"/>
                  <w:ind w:right="210"/>
                  <w:jc w:val="right"/>
                </w:pPr>
                <w:r>
                  <w:t>531,499,097.37</w:t>
                </w:r>
              </w:p>
            </w:tc>
            <w:tc>
              <w:tcPr>
                <w:tcW w:w="1879" w:type="pct"/>
                <w:shd w:val="clear" w:color="auto" w:fill="auto"/>
                <w:vAlign w:val="center"/>
              </w:tcPr>
              <w:p>
                <w:pPr>
                  <w:autoSpaceDE w:val="0"/>
                  <w:autoSpaceDN w:val="0"/>
                  <w:adjustRightInd w:val="0"/>
                  <w:snapToGrid w:val="0"/>
                  <w:spacing w:line="240" w:lineRule="atLeast"/>
                  <w:ind w:right="210"/>
                  <w:jc w:val="right"/>
                </w:pPr>
                <w:r>
                  <w:t>923,122,443.28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sdt>
              <w:sdtPr>
                <w:tag w:val="_PLD_58c172627e3243edb66fdbc1799a2f1e"/>
                <w:id w:val="-1527331647"/>
                <w:lock w:val="sdtLocked"/>
              </w:sdtPr>
              <w:sdtContent>
                <w:tc>
                  <w:tcPr>
                    <w:tcW w:w="1256" w:type="pct"/>
                    <w:shd w:val="clear" w:color="auto" w:fill="auto"/>
                  </w:tcPr>
                  <w:p>
                    <w:pPr>
                      <w:autoSpaceDE w:val="0"/>
                      <w:autoSpaceDN w:val="0"/>
                      <w:adjustRightInd w:val="0"/>
                      <w:snapToGrid w:val="0"/>
                      <w:spacing w:line="240" w:lineRule="atLeast"/>
                    </w:pPr>
                    <w:r>
                      <w:rPr>
                        <w:rFonts w:hint="eastAsia"/>
                      </w:rPr>
                      <w:t>其他货币资金</w:t>
                    </w:r>
                  </w:p>
                </w:tc>
              </w:sdtContent>
            </w:sdt>
            <w:tc>
              <w:tcPr>
                <w:tcW w:w="1865" w:type="pct"/>
                <w:shd w:val="clear" w:color="auto" w:fill="auto"/>
                <w:vAlign w:val="center"/>
              </w:tcPr>
              <w:p>
                <w:pPr>
                  <w:autoSpaceDE w:val="0"/>
                  <w:autoSpaceDN w:val="0"/>
                  <w:adjustRightInd w:val="0"/>
                  <w:snapToGrid w:val="0"/>
                  <w:spacing w:line="240" w:lineRule="atLeast"/>
                  <w:ind w:right="210"/>
                  <w:jc w:val="right"/>
                </w:pPr>
                <w:r>
                  <w:t>9,887,872.99</w:t>
                </w:r>
              </w:p>
            </w:tc>
            <w:tc>
              <w:tcPr>
                <w:tcW w:w="1879" w:type="pct"/>
                <w:shd w:val="clear" w:color="auto" w:fill="auto"/>
                <w:vAlign w:val="center"/>
              </w:tcPr>
              <w:p>
                <w:pPr>
                  <w:autoSpaceDE w:val="0"/>
                  <w:autoSpaceDN w:val="0"/>
                  <w:adjustRightInd w:val="0"/>
                  <w:snapToGrid w:val="0"/>
                  <w:spacing w:line="240" w:lineRule="atLeast"/>
                  <w:ind w:right="210"/>
                  <w:jc w:val="right"/>
                </w:pPr>
                <w:r>
                  <w:t>9,739,156.77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sdt>
              <w:sdtPr>
                <w:tag w:val="_PLD_bfbd7d5ef1f8459e96b267d6ca7d50e2"/>
                <w:id w:val="-1815398998"/>
                <w:lock w:val="sdtLocked"/>
              </w:sdtPr>
              <w:sdtContent>
                <w:tc>
                  <w:tcPr>
                    <w:tcW w:w="1256" w:type="pct"/>
                    <w:shd w:val="clear" w:color="auto" w:fill="auto"/>
                    <w:vAlign w:val="center"/>
                  </w:tcPr>
                  <w:p>
                    <w:pPr>
                      <w:autoSpaceDE w:val="0"/>
                      <w:autoSpaceDN w:val="0"/>
                      <w:adjustRightInd w:val="0"/>
                      <w:snapToGrid w:val="0"/>
                      <w:spacing w:line="240" w:lineRule="atLeast"/>
                    </w:pPr>
                    <w:r>
                      <w:rPr>
                        <w:rFonts w:hint="eastAsia"/>
                      </w:rPr>
                      <w:t>合计</w:t>
                    </w:r>
                  </w:p>
                </w:tc>
              </w:sdtContent>
            </w:sdt>
            <w:tc>
              <w:tcPr>
                <w:tcW w:w="1865" w:type="pct"/>
                <w:shd w:val="clear" w:color="auto" w:fill="auto"/>
                <w:vAlign w:val="center"/>
              </w:tcPr>
              <w:p>
                <w:pPr>
                  <w:autoSpaceDE w:val="0"/>
                  <w:autoSpaceDN w:val="0"/>
                  <w:adjustRightInd w:val="0"/>
                  <w:snapToGrid w:val="0"/>
                  <w:spacing w:line="240" w:lineRule="atLeast"/>
                  <w:ind w:right="210"/>
                  <w:jc w:val="right"/>
                </w:pPr>
                <w:r>
                  <w:t>541,524,063.19</w:t>
                </w:r>
              </w:p>
            </w:tc>
            <w:tc>
              <w:tcPr>
                <w:tcW w:w="1879" w:type="pct"/>
                <w:shd w:val="clear" w:color="auto" w:fill="auto"/>
                <w:vAlign w:val="center"/>
              </w:tcPr>
              <w:p>
                <w:pPr>
                  <w:autoSpaceDE w:val="0"/>
                  <w:autoSpaceDN w:val="0"/>
                  <w:adjustRightInd w:val="0"/>
                  <w:snapToGrid w:val="0"/>
                  <w:spacing w:line="240" w:lineRule="atLeast"/>
                  <w:ind w:right="210"/>
                  <w:jc w:val="right"/>
                </w:pPr>
                <w:r>
                  <w:t>932,931,344.38</w:t>
                </w:r>
              </w:p>
            </w:tc>
          </w:tr>
        </w:tbl>
        <w:p>
          <w:pPr>
            <w:pStyle w:val="114"/>
          </w:pPr>
        </w:p>
        <w:sdt>
          <w:sdtPr>
            <w:alias w:val="货币资金的说明"/>
            <w:tag w:val="_GBC_672a863055084dfabbc1ba40f04a68b4"/>
            <w:id w:val="28847821"/>
            <w:lock w:val="sdtLocked"/>
            <w:placeholder>
              <w:docPart w:val="GBC22222222222222222222222222222"/>
            </w:placeholder>
          </w:sdtPr>
          <w:sdtContent>
            <w:p>
              <w:pPr>
                <w:overflowPunct w:val="0"/>
                <w:adjustRightInd w:val="0"/>
                <w:snapToGrid w:val="0"/>
                <w:jc w:val="both"/>
                <w:textAlignment w:val="baseline"/>
              </w:pPr>
              <w:r>
                <w:rPr>
                  <w:rFonts w:hint="eastAsia"/>
                </w:rPr>
                <w:t>其他说明：于</w:t>
              </w:r>
              <w:r>
                <w:t>2023</w:t>
              </w:r>
              <w:r>
                <w:rPr>
                  <w:rFonts w:hint="eastAsia"/>
                </w:rPr>
                <w:t>年</w:t>
              </w:r>
              <w:r>
                <w:t>6</w:t>
              </w:r>
              <w:r>
                <w:rPr>
                  <w:rFonts w:hint="eastAsia"/>
                </w:rPr>
                <w:t>月</w:t>
              </w:r>
              <w:r>
                <w:t>30</w:t>
              </w:r>
              <w:r>
                <w:rPr>
                  <w:rFonts w:hint="eastAsia"/>
                </w:rPr>
                <w:t>日，本集团的其他货币资金主要为票据保证金人民币</w:t>
              </w:r>
              <w:r>
                <w:t>9,192,000.00</w:t>
              </w:r>
              <w:r>
                <w:rPr>
                  <w:rFonts w:hint="eastAsia"/>
                </w:rPr>
                <w:t>元（</w:t>
              </w:r>
              <w:r>
                <w:t>2022</w:t>
              </w:r>
              <w:r>
                <w:rPr>
                  <w:rFonts w:hint="eastAsia"/>
                </w:rPr>
                <w:t>年</w:t>
              </w:r>
              <w:r>
                <w:t>12</w:t>
              </w:r>
              <w:r>
                <w:rPr>
                  <w:rFonts w:hint="eastAsia"/>
                </w:rPr>
                <w:t>月</w:t>
              </w:r>
              <w:r>
                <w:t>31</w:t>
              </w:r>
              <w:r>
                <w:rPr>
                  <w:rFonts w:hint="eastAsia"/>
                </w:rPr>
                <w:t>日</w:t>
              </w:r>
              <w:r>
                <w:t>:</w:t>
              </w:r>
              <w:r>
                <w:rPr>
                  <w:rFonts w:hint="eastAsia"/>
                </w:rPr>
                <w:t>客户按揭贷款保证金人民币</w:t>
              </w:r>
              <w:r>
                <w:t>347,855.62</w:t>
              </w:r>
              <w:r>
                <w:rPr>
                  <w:rFonts w:hint="eastAsia"/>
                </w:rPr>
                <w:t>元，预售监管资金人民币</w:t>
              </w:r>
              <w:r>
                <w:t xml:space="preserve">270,634.27 </w:t>
              </w:r>
              <w:r>
                <w:rPr>
                  <w:rFonts w:hint="eastAsia"/>
                </w:rPr>
                <w:t>元，票据保证金人民币</w:t>
              </w:r>
              <w:r>
                <w:t>7,300,000.00</w:t>
              </w:r>
              <w:r>
                <w:rPr>
                  <w:rFonts w:hint="eastAsia"/>
                </w:rPr>
                <w:t>元</w:t>
              </w:r>
              <w:r>
                <w:t>)</w:t>
              </w:r>
              <w:r>
                <w:rPr>
                  <w:rFonts w:hint="eastAsia"/>
                </w:rPr>
                <w:t>。</w:t>
              </w:r>
            </w:p>
          </w:sdtContent>
        </w:sdt>
      </w:sdtContent>
    </w:sdt>
    <w:p>
      <w:pPr>
        <w:snapToGrid w:val="0"/>
        <w:spacing w:line="240" w:lineRule="atLeast"/>
        <w:ind w:left="1470" w:right="25" w:rightChars="12" w:hanging="1470" w:hangingChars="700"/>
      </w:pPr>
    </w:p>
    <w:sdt>
      <w:sdtPr>
        <w:rPr>
          <w:rFonts w:hint="eastAsia" w:ascii="宋体" w:hAnsi="宋体" w:cs="宋体"/>
          <w:b w:val="0"/>
          <w:bCs w:val="0"/>
          <w:kern w:val="0"/>
          <w:szCs w:val="21"/>
        </w:rPr>
        <w:alias w:val="模块:交易性金融资产"/>
        <w:tag w:val="_SEC_01904024df9944b092034293cedff1b0"/>
        <w:id w:val="1143383639"/>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rPr>
              <w:rFonts w:ascii="宋体" w:hAnsi="宋体"/>
              <w:szCs w:val="21"/>
            </w:rPr>
          </w:pPr>
          <w:bookmarkStart w:id="135" w:name="_Hlk10466498"/>
          <w:r>
            <w:rPr>
              <w:rFonts w:hint="eastAsia" w:ascii="宋体" w:hAnsi="宋体"/>
              <w:szCs w:val="21"/>
            </w:rPr>
            <w:t>交易性金融资产</w:t>
          </w:r>
        </w:p>
        <w:sdt>
          <w:sdtPr>
            <w:alias w:val="是否适用：交易性金融资产[双击切换]"/>
            <w:tag w:val="_GBC_11d582474c724741b6bb067e7b29fffd"/>
            <w:id w:val="37589225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1489662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986136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9"/>
            <w:gridCol w:w="2657"/>
            <w:gridCol w:w="2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80b3e7393aa4b579f23eb84c4a7f3d2"/>
                <w:id w:val="-2019452439"/>
                <w:lock w:val="sdtLocked"/>
              </w:sdtPr>
              <w:sdtContent>
                <w:tc>
                  <w:tcPr>
                    <w:tcW w:w="2017" w:type="pct"/>
                    <w:shd w:val="clear" w:color="auto" w:fill="auto"/>
                    <w:vAlign w:val="center"/>
                  </w:tcPr>
                  <w:p>
                    <w:pPr>
                      <w:jc w:val="center"/>
                    </w:pPr>
                    <w:r>
                      <w:rPr>
                        <w:rFonts w:hint="eastAsia"/>
                      </w:rPr>
                      <w:t>项目</w:t>
                    </w:r>
                  </w:p>
                </w:tc>
              </w:sdtContent>
            </w:sdt>
            <w:sdt>
              <w:sdtPr>
                <w:tag w:val="_PLD_3c39d37503a349249c106423bdc13d7f"/>
                <w:id w:val="-431742817"/>
                <w:lock w:val="sdtLocked"/>
              </w:sdtPr>
              <w:sdtContent>
                <w:tc>
                  <w:tcPr>
                    <w:tcW w:w="1485" w:type="pct"/>
                    <w:shd w:val="clear" w:color="auto" w:fill="auto"/>
                    <w:vAlign w:val="center"/>
                  </w:tcPr>
                  <w:p>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1177040319"/>
                <w:lock w:val="sdtLocked"/>
              </w:sdtPr>
              <w:sdtContent>
                <w:tc>
                  <w:tcPr>
                    <w:tcW w:w="1498" w:type="pct"/>
                    <w:shd w:val="clear" w:color="auto" w:fill="auto"/>
                    <w:vAlign w:val="center"/>
                  </w:tcPr>
                  <w:p>
                    <w:pPr>
                      <w:autoSpaceDE w:val="0"/>
                      <w:autoSpaceDN w:val="0"/>
                      <w:adjustRightInd w:val="0"/>
                      <w:snapToGrid w:val="0"/>
                      <w:spacing w:line="240" w:lineRule="atLeast"/>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3a852b8fe8245cfab7ad57443d101bd"/>
                <w:id w:val="-2118119349"/>
                <w:lock w:val="sdtLocked"/>
              </w:sdtPr>
              <w:sdtContent>
                <w:tc>
                  <w:tcPr>
                    <w:tcW w:w="2017" w:type="pct"/>
                    <w:shd w:val="clear" w:color="auto" w:fill="auto"/>
                  </w:tcPr>
                  <w:p>
                    <w:pPr>
                      <w:autoSpaceDE w:val="0"/>
                      <w:autoSpaceDN w:val="0"/>
                      <w:adjustRightInd w:val="0"/>
                    </w:pPr>
                    <w:r>
                      <w:rPr>
                        <w:rFonts w:hint="eastAsia"/>
                      </w:rPr>
                      <w:t>以公允价值计量且其变动计入当期损益的金融资产</w:t>
                    </w:r>
                  </w:p>
                </w:tc>
              </w:sdtContent>
            </w:sdt>
            <w:tc>
              <w:tcPr>
                <w:tcW w:w="1485" w:type="pct"/>
                <w:shd w:val="clear" w:color="auto" w:fill="auto"/>
                <w:vAlign w:val="center"/>
              </w:tcPr>
              <w:p>
                <w:pPr>
                  <w:jc w:val="right"/>
                </w:pPr>
                <w:r>
                  <w:t>4,756,944,083.24</w:t>
                </w:r>
              </w:p>
            </w:tc>
            <w:tc>
              <w:tcPr>
                <w:tcW w:w="1498" w:type="pct"/>
                <w:shd w:val="clear" w:color="auto" w:fill="auto"/>
                <w:vAlign w:val="center"/>
              </w:tcPr>
              <w:p>
                <w:pPr>
                  <w:jc w:val="right"/>
                </w:pPr>
                <w:r>
                  <w:t>3,474,620,148.26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c173ac5b41e4bf58ef2c9e0d063380f"/>
                <w:id w:val="1185400963"/>
                <w:lock w:val="sdtLocked"/>
              </w:sdtPr>
              <w:sdtContent>
                <w:tc>
                  <w:tcPr>
                    <w:tcW w:w="5000" w:type="pct"/>
                    <w:gridSpan w:val="3"/>
                    <w:shd w:val="clear" w:color="auto" w:fill="auto"/>
                  </w:tcPr>
                  <w:p>
                    <w:pPr>
                      <w:pStyle w:val="114"/>
                    </w:pPr>
                    <w:r>
                      <w:rPr>
                        <w:rFonts w:hint="eastAsia"/>
                      </w:rPr>
                      <w:t>其中：</w:t>
                    </w:r>
                  </w:p>
                </w:tc>
              </w:sdtContent>
            </w:sdt>
          </w:tr>
          <w:sdt>
            <w:sdtPr>
              <w:alias w:val="交易性金融资产中以公允价值计量且其变动计入当期损益的金融资产明细"/>
              <w:tag w:val="_TUP_341bdf9f88e5440c90904d1eb6d01724"/>
              <w:id w:val="-106148936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tcPr>
                  <w:p>
                    <w:pPr>
                      <w:autoSpaceDE w:val="0"/>
                      <w:autoSpaceDN w:val="0"/>
                      <w:adjustRightInd w:val="0"/>
                    </w:pPr>
                    <w:r>
                      <w:rPr>
                        <w:rFonts w:hint="eastAsia"/>
                      </w:rPr>
                      <w:t xml:space="preserve"> </w:t>
                    </w:r>
                    <w:r>
                      <w:t xml:space="preserve">    理财产品投资</w:t>
                    </w:r>
                  </w:p>
                </w:tc>
                <w:tc>
                  <w:tcPr>
                    <w:tcW w:w="1485" w:type="pct"/>
                    <w:shd w:val="clear" w:color="auto" w:fill="auto"/>
                  </w:tcPr>
                  <w:p>
                    <w:pPr>
                      <w:jc w:val="right"/>
                    </w:pPr>
                    <w:r>
                      <w:t>4,725,000,000.00</w:t>
                    </w:r>
                  </w:p>
                </w:tc>
                <w:tc>
                  <w:tcPr>
                    <w:tcW w:w="1498" w:type="pct"/>
                    <w:shd w:val="clear" w:color="auto" w:fill="auto"/>
                  </w:tcPr>
                  <w:p>
                    <w:pPr>
                      <w:jc w:val="right"/>
                    </w:pPr>
                    <w:r>
                      <w:t>3,444,000,000.00</w:t>
                    </w:r>
                  </w:p>
                </w:tc>
              </w:tr>
            </w:sdtContent>
          </w:sdt>
          <w:sdt>
            <w:sdtPr>
              <w:alias w:val="交易性金融资产中以公允价值计量且其变动计入当期损益的金融资产明细"/>
              <w:tag w:val="_TUP_341bdf9f88e5440c90904d1eb6d01724"/>
              <w:id w:val="603157359"/>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tcPr>
                  <w:p>
                    <w:pPr>
                      <w:autoSpaceDE w:val="0"/>
                      <w:autoSpaceDN w:val="0"/>
                      <w:adjustRightInd w:val="0"/>
                      <w:ind w:firstLine="567" w:firstLineChars="270"/>
                    </w:pPr>
                    <w:r>
                      <w:t>其他投资</w:t>
                    </w:r>
                  </w:p>
                </w:tc>
                <w:tc>
                  <w:tcPr>
                    <w:tcW w:w="1485" w:type="pct"/>
                    <w:shd w:val="clear" w:color="auto" w:fill="auto"/>
                  </w:tcPr>
                  <w:p>
                    <w:pPr>
                      <w:jc w:val="right"/>
                    </w:pPr>
                    <w:r>
                      <w:t>31,944,083.24</w:t>
                    </w:r>
                  </w:p>
                </w:tc>
                <w:tc>
                  <w:tcPr>
                    <w:tcW w:w="1498" w:type="pct"/>
                    <w:shd w:val="clear" w:color="auto" w:fill="auto"/>
                  </w:tcPr>
                  <w:p>
                    <w:pPr>
                      <w:jc w:val="right"/>
                    </w:pPr>
                    <w:r>
                      <w:t>30,620,148.26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70930027e2847d98ef556a409fe079a"/>
                <w:id w:val="2108226516"/>
                <w:lock w:val="sdtLocked"/>
              </w:sdtPr>
              <w:sdtContent>
                <w:tc>
                  <w:tcPr>
                    <w:tcW w:w="2017" w:type="pct"/>
                    <w:shd w:val="clear" w:color="auto" w:fill="auto"/>
                    <w:vAlign w:val="center"/>
                  </w:tcPr>
                  <w:p>
                    <w:pPr>
                      <w:jc w:val="center"/>
                    </w:pPr>
                    <w:r>
                      <w:rPr>
                        <w:rFonts w:hint="eastAsia"/>
                      </w:rPr>
                      <w:t>合计</w:t>
                    </w:r>
                  </w:p>
                </w:tc>
              </w:sdtContent>
            </w:sdt>
            <w:tc>
              <w:tcPr>
                <w:tcW w:w="1485" w:type="pct"/>
                <w:shd w:val="clear" w:color="auto" w:fill="auto"/>
                <w:vAlign w:val="center"/>
              </w:tcPr>
              <w:p>
                <w:pPr>
                  <w:jc w:val="right"/>
                </w:pPr>
                <w:r>
                  <w:t>4,756,944,083.24</w:t>
                </w:r>
              </w:p>
            </w:tc>
            <w:tc>
              <w:tcPr>
                <w:tcW w:w="1498" w:type="pct"/>
                <w:shd w:val="clear" w:color="auto" w:fill="auto"/>
                <w:vAlign w:val="center"/>
              </w:tcPr>
              <w:p>
                <w:pPr>
                  <w:jc w:val="right"/>
                </w:pPr>
                <w:r>
                  <w:t>3,474,620,148.26</w:t>
                </w:r>
              </w:p>
            </w:tc>
          </w:tr>
        </w:tbl>
        <w:p>
          <w:pPr>
            <w:pStyle w:val="114"/>
          </w:pPr>
          <w:r>
            <w:rPr>
              <w:rFonts w:hint="eastAsia"/>
            </w:rPr>
            <w:t>其他</w:t>
          </w:r>
          <w:r>
            <w:t>说明</w:t>
          </w:r>
          <w:r>
            <w:rPr>
              <w:rFonts w:hint="eastAsia"/>
            </w:rPr>
            <w:t>：</w:t>
          </w:r>
        </w:p>
        <w:sdt>
          <w:sdtPr>
            <w:alias w:val="是否适用：交易性金融资产的说明[双击切换]"/>
            <w:tag w:val="_GBC_b60651a640d94b5c8581bfe4f49d2891"/>
            <w:id w:val="152135531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交易性金融资产的说明"/>
            <w:tag w:val="_GBC_7716d50aa4ca46fe928f4f87114b2be1"/>
            <w:id w:val="2079859171"/>
            <w:lock w:val="sdtLocked"/>
            <w:placeholder>
              <w:docPart w:val="GBC22222222222222222222222222222"/>
            </w:placeholder>
          </w:sdtPr>
          <w:sdtContent>
            <w:p>
              <w:pPr>
                <w:tabs>
                  <w:tab w:val="left" w:pos="566"/>
                </w:tabs>
                <w:overflowPunct w:val="0"/>
                <w:adjustRightInd w:val="0"/>
                <w:snapToGrid w:val="0"/>
                <w:ind w:hanging="851"/>
                <w:jc w:val="both"/>
              </w:pPr>
              <w:r>
                <w:rPr>
                  <w:rFonts w:ascii="Arial" w:hAnsi="Arial" w:eastAsia="微软雅黑" w:cs="Arial"/>
                  <w:color w:val="000000" w:themeColor="text1"/>
                  <w:kern w:val="2"/>
                  <w14:textFill>
                    <w14:solidFill>
                      <w14:schemeClr w14:val="tx1"/>
                    </w14:solidFill>
                  </w14:textFill>
                </w:rPr>
                <w:t>(1)</w:t>
              </w:r>
              <w:r>
                <w:rPr>
                  <w:rFonts w:ascii="Arial" w:hAnsi="Arial" w:eastAsia="微软雅黑" w:cs="Arial"/>
                  <w:color w:val="000000" w:themeColor="text1"/>
                  <w:kern w:val="2"/>
                  <w14:textFill>
                    <w14:solidFill>
                      <w14:schemeClr w14:val="tx1"/>
                    </w14:solidFill>
                  </w14:textFill>
                </w:rPr>
                <w:tab/>
              </w:r>
              <w:r>
                <w:rPr>
                  <w:rFonts w:hint="eastAsia"/>
                </w:rPr>
                <w:t>理财产品投资</w:t>
              </w:r>
            </w:p>
            <w:p>
              <w:pPr>
                <w:overflowPunct w:val="0"/>
                <w:adjustRightInd w:val="0"/>
                <w:snapToGrid w:val="0"/>
                <w:jc w:val="both"/>
              </w:pPr>
              <w:r>
                <w:rPr>
                  <w:rFonts w:hint="eastAsia"/>
                </w:rPr>
                <w:t>本集团将其闲余资金投资于银行和其他金融机构发行的理财产品。这些理财产品通常有预设的到期期限和预计回报率，投资范围广泛，包括政府和公司债券、央行票据、货币市场基金以及其他中国上市和非上市的权益证券，本集团将其分类为以公允价值计量且其变动计入当期损益的金融资产，列报为交易性金融资产。</w:t>
              </w:r>
            </w:p>
            <w:p>
              <w:pPr>
                <w:rPr>
                  <w:rFonts w:ascii="Arial" w:hAnsi="Arial" w:eastAsia="微软雅黑" w:cs="Arial"/>
                  <w:color w:val="000000" w:themeColor="text1"/>
                  <w14:textFill>
                    <w14:solidFill>
                      <w14:schemeClr w14:val="tx1"/>
                    </w14:solidFill>
                  </w14:textFill>
                </w:rPr>
                <w:sectPr>
                  <w:pgSz w:w="11906" w:h="16838"/>
                  <w:pgMar w:top="1588" w:right="1588" w:bottom="1247" w:left="1588" w:header="567" w:footer="567" w:gutter="0"/>
                  <w:cols w:space="720" w:num="1"/>
                </w:sectPr>
              </w:pPr>
            </w:p>
            <w:p>
              <w:pPr>
                <w:tabs>
                  <w:tab w:val="left" w:pos="566"/>
                </w:tabs>
                <w:overflowPunct w:val="0"/>
                <w:adjustRightInd w:val="0"/>
                <w:snapToGrid w:val="0"/>
                <w:ind w:hanging="851"/>
                <w:jc w:val="both"/>
              </w:pPr>
              <w:r>
                <w:rPr>
                  <w:rFonts w:ascii="Arial" w:hAnsi="Arial" w:eastAsia="微软雅黑" w:cs="Arial"/>
                  <w:color w:val="000000" w:themeColor="text1"/>
                  <w:kern w:val="2"/>
                  <w14:textFill>
                    <w14:solidFill>
                      <w14:schemeClr w14:val="tx1"/>
                    </w14:solidFill>
                  </w14:textFill>
                </w:rPr>
                <w:t>(2)</w:t>
              </w:r>
              <w:r>
                <w:tab/>
              </w:r>
              <w:r>
                <w:rPr>
                  <w:rFonts w:hint="eastAsia"/>
                </w:rPr>
                <w:t>其他投资</w:t>
              </w:r>
            </w:p>
            <w:p>
              <w:pPr>
                <w:overflowPunct w:val="0"/>
                <w:adjustRightInd w:val="0"/>
                <w:snapToGrid w:val="0"/>
                <w:jc w:val="both"/>
              </w:pPr>
              <w:r>
                <w:rPr>
                  <w:rFonts w:hint="eastAsia"/>
                </w:rPr>
                <w:t>其他投资主要包括基金投资及股票投资。本集团将其分类为以公允价值计量且其变动计入当期损益的金融资产，列报为交易性金融资产。</w:t>
              </w:r>
            </w:p>
            <w:p>
              <w:pPr>
                <w:pStyle w:val="114"/>
              </w:pPr>
            </w:p>
          </w:sdtContent>
        </w:sdt>
      </w:sdtContent>
    </w:sdt>
    <w:bookmarkEnd w:id="135"/>
    <w:p>
      <w:pPr>
        <w:snapToGrid w:val="0"/>
        <w:spacing w:line="240" w:lineRule="atLeast"/>
        <w:ind w:right="25" w:rightChars="12"/>
      </w:pPr>
    </w:p>
    <w:sdt>
      <w:sdtPr>
        <w:rPr>
          <w:rFonts w:hint="eastAsia" w:ascii="宋体" w:hAnsi="宋体" w:cs="宋体"/>
          <w:b w:val="0"/>
          <w:bCs w:val="0"/>
          <w:kern w:val="0"/>
          <w:szCs w:val="21"/>
        </w:rPr>
        <w:alias w:val="模块:衍生金融资产"/>
        <w:tag w:val="_GBC_bc314407a9a14c2f8b2b5368638e0a51"/>
        <w:id w:val="662055917"/>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rPr>
              <w:rFonts w:ascii="宋体" w:hAnsi="宋体"/>
              <w:szCs w:val="21"/>
            </w:rPr>
          </w:pPr>
          <w:r>
            <w:rPr>
              <w:rFonts w:hint="eastAsia" w:ascii="宋体" w:hAnsi="宋体"/>
              <w:szCs w:val="21"/>
            </w:rPr>
            <w:t>衍生金融资产</w:t>
          </w:r>
        </w:p>
        <w:sdt>
          <w:sdtPr>
            <w:alias w:val="是否适用：衍生金融资产[双击切换]"/>
            <w:tag w:val="_GBC_7f1559f8ac9a442b81c5479563d9e8bb"/>
            <w:id w:val="-122551803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ind w:left="1470" w:right="25" w:rightChars="12" w:hanging="1470" w:hangingChars="700"/>
          </w:pPr>
        </w:p>
      </w:sdtContent>
    </w:sdt>
    <w:p>
      <w:pPr>
        <w:snapToGrid w:val="0"/>
        <w:spacing w:line="240" w:lineRule="atLeast"/>
        <w:ind w:right="25" w:rightChars="12"/>
      </w:pPr>
    </w:p>
    <w:p>
      <w:pPr>
        <w:pStyle w:val="4"/>
        <w:numPr>
          <w:ilvl w:val="0"/>
          <w:numId w:val="51"/>
        </w:numPr>
        <w:rPr>
          <w:rFonts w:ascii="宋体" w:hAnsi="宋体"/>
        </w:rPr>
      </w:pPr>
      <w:r>
        <w:rPr>
          <w:rFonts w:hint="eastAsia" w:ascii="宋体" w:hAnsi="宋体"/>
        </w:rPr>
        <w:t>应收票据</w:t>
      </w:r>
    </w:p>
    <w:sdt>
      <w:sdtPr>
        <w:rPr>
          <w:rFonts w:hint="eastAsia" w:ascii="宋体" w:hAnsi="宋体" w:cs="宋体"/>
          <w:b w:val="0"/>
          <w:bCs w:val="0"/>
          <w:kern w:val="0"/>
          <w:szCs w:val="22"/>
        </w:rPr>
        <w:alias w:val="模块:应收票据分类"/>
        <w:tag w:val="_GBC_c1ce1fc5bd0f42bca82cd02f3a6b623f"/>
        <w:id w:val="2067534028"/>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2"/>
            </w:numPr>
            <w:rPr>
              <w:rFonts w:ascii="宋体" w:hAnsi="宋体"/>
            </w:rPr>
          </w:pPr>
          <w:r>
            <w:rPr>
              <w:rFonts w:hint="eastAsia" w:ascii="宋体" w:hAnsi="宋体"/>
            </w:rPr>
            <w:t>应收票据分类列示</w:t>
          </w:r>
        </w:p>
        <w:sdt>
          <w:sdtPr>
            <w:alias w:val="是否适用：应收票据分类列示[双击切换]"/>
            <w:tag w:val="_GBC_3c32a2809ab3476a93b88a8155fb0be8"/>
            <w:id w:val="-210894579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jc w:val="right"/>
          </w:pPr>
          <w:r>
            <w:rPr>
              <w:rFonts w:hint="eastAsia"/>
            </w:rPr>
            <w:t>单位：</w:t>
          </w:r>
          <w:sdt>
            <w:sdtPr>
              <w:rPr>
                <w:rFonts w:hint="eastAsia"/>
              </w:rPr>
              <w:alias w:val="单位：财务附注：应收票据分类"/>
              <w:tag w:val="_GBC_21d6ba5a9ccb41d7aee707ba343741db"/>
              <w:id w:val="-6524512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10962437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63" w:type="pct"/>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965"/>
            <w:gridCol w:w="3146"/>
            <w:gridCol w:w="2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a48e9b652e5b48b08b05dc5f5dba5744"/>
                <w:id w:val="106401372"/>
                <w:lock w:val="sdtLocked"/>
              </w:sdtPr>
              <w:sdtContent>
                <w:tc>
                  <w:tcPr>
                    <w:tcW w:w="1646" w:type="pct"/>
                    <w:vAlign w:val="center"/>
                  </w:tcPr>
                  <w:p>
                    <w:pPr>
                      <w:autoSpaceDE w:val="0"/>
                      <w:autoSpaceDN w:val="0"/>
                      <w:adjustRightInd w:val="0"/>
                      <w:snapToGrid w:val="0"/>
                      <w:spacing w:line="240" w:lineRule="atLeast"/>
                      <w:jc w:val="center"/>
                    </w:pPr>
                    <w:r>
                      <w:rPr>
                        <w:rFonts w:hint="eastAsia"/>
                      </w:rPr>
                      <w:t>项目</w:t>
                    </w:r>
                  </w:p>
                </w:tc>
              </w:sdtContent>
            </w:sdt>
            <w:sdt>
              <w:sdtPr>
                <w:tag w:val="_PLD_c6664062fcf84681af8b24fee4722ae5"/>
                <w:id w:val="-1164616203"/>
                <w:lock w:val="sdtLocked"/>
              </w:sdtPr>
              <w:sdtContent>
                <w:tc>
                  <w:tcPr>
                    <w:tcW w:w="1747" w:type="pct"/>
                    <w:vAlign w:val="center"/>
                  </w:tcPr>
                  <w:p>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640801707"/>
                <w:lock w:val="sdtLocked"/>
              </w:sdtPr>
              <w:sdtContent>
                <w:tc>
                  <w:tcPr>
                    <w:tcW w:w="1607" w:type="pct"/>
                    <w:vAlign w:val="center"/>
                  </w:tcPr>
                  <w:p>
                    <w:pPr>
                      <w:autoSpaceDE w:val="0"/>
                      <w:autoSpaceDN w:val="0"/>
                      <w:adjustRightInd w:val="0"/>
                      <w:snapToGrid w:val="0"/>
                      <w:spacing w:line="240" w:lineRule="atLeast"/>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eccbe8be962b4f1497dbb55db8b28215"/>
                <w:id w:val="424310044"/>
                <w:lock w:val="sdtLocked"/>
              </w:sdtPr>
              <w:sdtContent>
                <w:tc>
                  <w:tcPr>
                    <w:tcW w:w="1646" w:type="pct"/>
                  </w:tcPr>
                  <w:p>
                    <w:pPr>
                      <w:autoSpaceDE w:val="0"/>
                      <w:autoSpaceDN w:val="0"/>
                      <w:adjustRightInd w:val="0"/>
                      <w:snapToGrid w:val="0"/>
                      <w:spacing w:line="240" w:lineRule="atLeast"/>
                    </w:pPr>
                    <w:r>
                      <w:rPr>
                        <w:rFonts w:hint="eastAsia"/>
                      </w:rPr>
                      <w:t>银行承兑票据</w:t>
                    </w:r>
                  </w:p>
                </w:tc>
              </w:sdtContent>
            </w:sdt>
            <w:tc>
              <w:tcPr>
                <w:tcW w:w="1747" w:type="pct"/>
                <w:vAlign w:val="center"/>
              </w:tcPr>
              <w:p>
                <w:pPr>
                  <w:ind w:right="13"/>
                  <w:jc w:val="right"/>
                </w:pPr>
                <w:r>
                  <w:t>1,550,000.00</w:t>
                </w:r>
              </w:p>
            </w:tc>
            <w:tc>
              <w:tcPr>
                <w:tcW w:w="1607" w:type="pct"/>
                <w:vAlign w:val="center"/>
              </w:tcPr>
              <w:p>
                <w:pPr>
                  <w:ind w:right="13"/>
                  <w:jc w:val="right"/>
                </w:pPr>
                <w:r>
                  <w:t>950,000.00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27fe84ac868644fa846c5f158e59921c"/>
                <w:id w:val="1043246171"/>
                <w:lock w:val="sdtLocked"/>
              </w:sdtPr>
              <w:sdtContent>
                <w:tc>
                  <w:tcPr>
                    <w:tcW w:w="1646" w:type="pct"/>
                    <w:vAlign w:val="center"/>
                  </w:tcPr>
                  <w:p>
                    <w:pPr>
                      <w:autoSpaceDE w:val="0"/>
                      <w:autoSpaceDN w:val="0"/>
                      <w:adjustRightInd w:val="0"/>
                      <w:snapToGrid w:val="0"/>
                      <w:spacing w:line="240" w:lineRule="atLeast"/>
                      <w:jc w:val="center"/>
                    </w:pPr>
                    <w:r>
                      <w:rPr>
                        <w:rFonts w:hint="eastAsia"/>
                      </w:rPr>
                      <w:t>合计</w:t>
                    </w:r>
                  </w:p>
                </w:tc>
              </w:sdtContent>
            </w:sdt>
            <w:tc>
              <w:tcPr>
                <w:tcW w:w="1747" w:type="pct"/>
                <w:vAlign w:val="center"/>
              </w:tcPr>
              <w:p>
                <w:pPr>
                  <w:jc w:val="right"/>
                </w:pPr>
                <w:r>
                  <w:t>1,550,000.00</w:t>
                </w:r>
              </w:p>
            </w:tc>
            <w:tc>
              <w:tcPr>
                <w:tcW w:w="1607" w:type="pct"/>
                <w:vAlign w:val="center"/>
              </w:tcPr>
              <w:p>
                <w:pPr>
                  <w:autoSpaceDE w:val="0"/>
                  <w:autoSpaceDN w:val="0"/>
                  <w:adjustRightInd w:val="0"/>
                  <w:jc w:val="right"/>
                </w:pPr>
                <w:r>
                  <w:t>950,000.00</w:t>
                </w:r>
              </w:p>
            </w:tc>
          </w:tr>
        </w:tbl>
        <w:p>
          <w:pPr>
            <w:pStyle w:val="114"/>
          </w:pPr>
        </w:p>
      </w:sdtContent>
    </w:sdt>
    <w:sdt>
      <w:sdtPr>
        <w:rPr>
          <w:rFonts w:hint="eastAsia" w:ascii="宋体" w:hAnsi="宋体" w:cs="宋体"/>
          <w:b w:val="0"/>
          <w:bCs w:val="0"/>
          <w:kern w:val="0"/>
          <w:szCs w:val="22"/>
        </w:rPr>
        <w:alias w:val="模块:期末公司已质押的应收票据情况"/>
        <w:tag w:val="_GBC_8fdb3f7098324d0d8b9f6e395abf9009"/>
        <w:id w:val="-1937426157"/>
        <w:lock w:val="sdtLocked"/>
        <w:placeholder>
          <w:docPart w:val="GBC22222222222222222222222222222"/>
        </w:placeholder>
      </w:sdtPr>
      <w:sdtEndPr>
        <w:rPr>
          <w:rFonts w:hint="eastAsia" w:ascii="宋体" w:hAnsi="宋体" w:cs="Times New Roman"/>
          <w:b w:val="0"/>
          <w:bCs w:val="0"/>
          <w:kern w:val="2"/>
          <w:szCs w:val="21"/>
        </w:rPr>
      </w:sdtEndPr>
      <w:sdtContent>
        <w:p>
          <w:pPr>
            <w:pStyle w:val="118"/>
            <w:numPr>
              <w:ilvl w:val="3"/>
              <w:numId w:val="52"/>
            </w:numPr>
            <w:rPr>
              <w:rFonts w:ascii="宋体" w:hAnsi="宋体"/>
            </w:rPr>
          </w:pPr>
          <w:r>
            <w:rPr>
              <w:rFonts w:ascii="宋体" w:hAnsi="宋体"/>
            </w:rPr>
            <w:t>期末公司已</w:t>
          </w:r>
          <w:r>
            <w:rPr>
              <w:rFonts w:hint="eastAsia" w:ascii="宋体" w:hAnsi="宋体"/>
            </w:rPr>
            <w:t>质押</w:t>
          </w:r>
          <w:r>
            <w:rPr>
              <w:rFonts w:ascii="宋体" w:hAnsi="宋体"/>
            </w:rPr>
            <w:t>的应收票据</w:t>
          </w:r>
        </w:p>
        <w:sdt>
          <w:sdtPr>
            <w:alias w:val="是否适用：期末公司已质押的应收票据[双击切换]"/>
            <w:tag w:val="_GBC_3440ef2908e64e51a440106bfa389257"/>
            <w:id w:val="-165482723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2"/>
        </w:rPr>
        <w:alias w:val="模块:因出票人无力履约而将票据转为应收账款的票据，以及期末已背书未到期票据"/>
        <w:tag w:val="_GBC_d0a9833415574c7baa9ef176fea05ecf"/>
        <w:id w:val="-829671714"/>
        <w:lock w:val="sdtLocked"/>
        <w:placeholder>
          <w:docPart w:val="GBC22222222222222222222222222222"/>
        </w:placeholder>
      </w:sdtPr>
      <w:sdtEndPr>
        <w:rPr>
          <w:rFonts w:hint="eastAsia" w:ascii="宋体" w:hAnsi="宋体" w:cs="Times New Roman"/>
          <w:b w:val="0"/>
          <w:bCs w:val="0"/>
          <w:kern w:val="2"/>
          <w:szCs w:val="21"/>
        </w:rPr>
      </w:sdtEndPr>
      <w:sdtContent>
        <w:p>
          <w:pPr>
            <w:pStyle w:val="118"/>
            <w:numPr>
              <w:ilvl w:val="3"/>
              <w:numId w:val="52"/>
            </w:numPr>
            <w:jc w:val="left"/>
            <w:rPr>
              <w:rFonts w:ascii="宋体" w:hAnsi="宋体"/>
            </w:rPr>
          </w:pPr>
          <w:r>
            <w:rPr>
              <w:rFonts w:hint="eastAsia" w:ascii="宋体" w:hAnsi="宋体"/>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310722896"/>
            <w:lock w:val="sdtLocked"/>
            <w:placeholder>
              <w:docPart w:val="GBC22222222222222222222222222222"/>
            </w:placeholder>
          </w:sdtPr>
          <w:sdtContent>
            <w:p>
              <w:pPr>
                <w:rPr>
                  <w:rFonts w:cs="Times New Roman"/>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期末公司因出票人无力履约而将其转为应收账款的票据"/>
        <w:tag w:val="_GBC_83d7650885dc43898bcaaa7b53608492"/>
        <w:id w:val="1264494766"/>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2"/>
            </w:numPr>
            <w:jc w:val="left"/>
            <w:rPr>
              <w:rFonts w:ascii="宋体" w:hAnsi="宋体"/>
            </w:rPr>
          </w:pPr>
          <w:r>
            <w:rPr>
              <w:rFonts w:hint="eastAsia" w:ascii="宋体" w:hAnsi="宋体"/>
            </w:rPr>
            <w:t>期末公司因出票人未履约而将其转应收账款的票据</w:t>
          </w:r>
        </w:p>
        <w:sdt>
          <w:sdtPr>
            <w:alias w:val="是否适用：期末公司因出票人未履约而将其转应收账款的票据[双击切换]"/>
            <w:tag w:val="_GBC_11366a7f124045f8a578f129009f9b83"/>
            <w:id w:val="102715210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8"/>
        <w:numPr>
          <w:ilvl w:val="3"/>
          <w:numId w:val="52"/>
        </w:numPr>
        <w:jc w:val="left"/>
        <w:rPr>
          <w:rFonts w:ascii="宋体" w:hAnsi="宋体"/>
        </w:rPr>
      </w:pPr>
      <w:bookmarkStart w:id="136" w:name="_Hlk10466572"/>
      <w:r>
        <w:rPr>
          <w:rFonts w:hint="eastAsia" w:ascii="宋体" w:hAnsi="宋体"/>
        </w:rPr>
        <w:t>按坏账计提方法分类披露</w:t>
      </w:r>
    </w:p>
    <w:sdt>
      <w:sdtPr>
        <w:alias w:val="是否适用：应收票据按坏账计提方法分类披露[双击切换]"/>
        <w:tag w:val="_GBC_064ae6cf552d47d6abf4ad2b5c55d254"/>
        <w:id w:val="202127750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6"/>
    <w:p>
      <w:pPr>
        <w:ind w:right="210"/>
      </w:pPr>
    </w:p>
    <w:sdt>
      <w:sdtPr>
        <w:rPr>
          <w:rFonts w:hint="eastAsia" w:ascii="宋体" w:hAnsi="宋体" w:cs="宋体"/>
          <w:b w:val="0"/>
          <w:bCs w:val="0"/>
          <w:kern w:val="0"/>
          <w:szCs w:val="24"/>
        </w:rPr>
        <w:alias w:val="模块:坏账准备的情况"/>
        <w:tag w:val="_SEC_2937dc20348046e2a68416bd27ff1b82"/>
        <w:id w:val="1228337654"/>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2"/>
            </w:numPr>
            <w:jc w:val="left"/>
            <w:rPr>
              <w:rFonts w:ascii="宋体" w:hAnsi="宋体"/>
            </w:rPr>
          </w:pPr>
          <w:bookmarkStart w:id="137" w:name="_Hlk10466806"/>
          <w:r>
            <w:rPr>
              <w:rFonts w:hint="eastAsia" w:ascii="宋体" w:hAnsi="宋体"/>
            </w:rPr>
            <w:t>坏账准备的情况</w:t>
          </w:r>
        </w:p>
        <w:sdt>
          <w:sdtPr>
            <w:alias w:val="是否适用：应收票据坏账准备情况[双击切换]"/>
            <w:tag w:val="_GBC_065ad100e7534037877c628171a7ddc1"/>
            <w:id w:val="-1731683060"/>
            <w:lock w:val="sdtLocked"/>
            <w:placeholder>
              <w:docPart w:val="GBC22222222222222222222222222222"/>
            </w:placeholder>
          </w:sdtPr>
          <w:sdtContent>
            <w:p>
              <w:pPr>
                <w:rPr>
                  <w:rFonts w:cstheme="minorBidi"/>
                  <w:b/>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210"/>
          </w:pPr>
        </w:p>
      </w:sdtContent>
    </w:sdt>
    <w:bookmarkEnd w:id="137"/>
    <w:sdt>
      <w:sdtPr>
        <w:rPr>
          <w:rFonts w:hint="eastAsia" w:ascii="宋体" w:hAnsi="宋体" w:cs="宋体"/>
          <w:b w:val="0"/>
          <w:bCs w:val="0"/>
          <w:kern w:val="0"/>
          <w:szCs w:val="24"/>
        </w:rPr>
        <w:alias w:val="模块:本期实际核销的应收票据情况"/>
        <w:tag w:val="_SEC_d1d07f77bea54442a58602a5a3e94f42"/>
        <w:id w:val="771753066"/>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2"/>
            </w:numPr>
            <w:jc w:val="left"/>
            <w:rPr>
              <w:rFonts w:ascii="宋体" w:hAnsi="宋体"/>
            </w:rPr>
          </w:pPr>
          <w:bookmarkStart w:id="138" w:name="_Hlk10466841"/>
          <w:bookmarkStart w:id="139" w:name="_Hlk10466853"/>
          <w:r>
            <w:rPr>
              <w:rFonts w:hint="eastAsia" w:ascii="宋体" w:hAnsi="宋体"/>
            </w:rPr>
            <w:t>本期实际核销的应收票据情况</w:t>
          </w:r>
          <w:bookmarkEnd w:id="138"/>
        </w:p>
        <w:sdt>
          <w:sdtPr>
            <w:alias w:val="是否适用：实际核销的应收票据[双击切换]"/>
            <w:tag w:val="_GBC_d0dcbb36ec68469bb29eac25b4a7af19"/>
            <w:id w:val="-453331465"/>
            <w:lock w:val="sdtLocked"/>
            <w:placeholder>
              <w:docPart w:val="GBC22222222222222222222222222222"/>
            </w:placeholder>
          </w:sdtPr>
          <w:sdtContent>
            <w:p>
              <w:pPr>
                <w:rPr>
                  <w:rFonts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bCs/>
              <w:szCs w:val="22"/>
            </w:rPr>
          </w:pPr>
        </w:p>
        <w:p>
          <w:pPr>
            <w:ind w:right="210"/>
          </w:pPr>
        </w:p>
      </w:sdtContent>
    </w:sdt>
    <w:bookmarkEnd w:id="139"/>
    <w:sdt>
      <w:sdtPr>
        <w:rPr>
          <w:rFonts w:hint="eastAsia" w:cstheme="minorBidi"/>
          <w:b/>
          <w:bCs/>
          <w:szCs w:val="22"/>
        </w:rPr>
        <w:alias w:val="模块:应收票据其他说明"/>
        <w:tag w:val="_GBC_c7095bafbab543a9bb9dcc587154df29"/>
        <w:id w:val="-72124536"/>
        <w:lock w:val="sdtLocked"/>
        <w:placeholder>
          <w:docPart w:val="GBC22222222222222222222222222222"/>
        </w:placeholder>
      </w:sdtPr>
      <w:sdtEndPr>
        <w:rPr>
          <w:rFonts w:hint="default" w:cs="Times New Roman"/>
          <w:b w:val="0"/>
          <w:bCs w:val="0"/>
          <w:szCs w:val="21"/>
        </w:rPr>
      </w:sdtEndPr>
      <w:sdtContent>
        <w:p>
          <w:pPr>
            <w:pStyle w:val="114"/>
          </w:pPr>
          <w:r>
            <w:rPr>
              <w:rFonts w:hint="eastAsia"/>
            </w:rPr>
            <w:t>其他说明：</w:t>
          </w:r>
        </w:p>
        <w:sdt>
          <w:sdtPr>
            <w:alias w:val="是否适用：应收票据的说明[双击切换]"/>
            <w:tag w:val="_GBC_704e24e70b65463883e10335ce93a1ac"/>
            <w:id w:val="-173052408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rPr>
          <w:rFonts w:ascii="宋体" w:hAnsi="宋体"/>
        </w:rPr>
      </w:pPr>
      <w:r>
        <w:rPr>
          <w:rFonts w:hint="eastAsia" w:ascii="宋体" w:hAnsi="宋体"/>
        </w:rPr>
        <w:t>应收账款</w:t>
      </w:r>
    </w:p>
    <w:sdt>
      <w:sdtPr>
        <w:rPr>
          <w:rFonts w:hint="eastAsia" w:ascii="宋体" w:hAnsi="宋体" w:cs="宋体"/>
          <w:b w:val="0"/>
          <w:bCs w:val="0"/>
          <w:kern w:val="0"/>
          <w:szCs w:val="24"/>
        </w:rPr>
        <w:alias w:val="模块:按账龄披露"/>
        <w:tag w:val="_SEC_18739d0c0efc4fe7a575a32263e5b38b"/>
        <w:id w:val="171253617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3"/>
            </w:numPr>
            <w:tabs>
              <w:tab w:val="left" w:pos="574"/>
            </w:tabs>
            <w:rPr>
              <w:rFonts w:ascii="宋体" w:hAnsi="宋体"/>
            </w:rPr>
          </w:pPr>
          <w:r>
            <w:rPr>
              <w:rFonts w:hint="eastAsia" w:ascii="宋体" w:hAnsi="宋体"/>
            </w:rPr>
            <w:t>按账龄披露</w:t>
          </w:r>
        </w:p>
        <w:sdt>
          <w:sdtPr>
            <w:rPr>
              <w:rFonts w:hint="eastAsia"/>
            </w:rPr>
            <w:alias w:val="是否适用：组合中，按账龄分析法计提坏账准备的应收账款[双击切换]"/>
            <w:tag w:val="_GBC_adacd9d7302a46dbb6fb745ac9a87bfe"/>
            <w:id w:val="-408926415"/>
            <w:lock w:val="sdtLocked"/>
            <w:placeholder>
              <w:docPart w:val="GBC22222222222222222222222222222"/>
            </w:placeholder>
          </w:sdtPr>
          <w:sdtEndPr>
            <w:rPr>
              <w:rFonts w:hint="eastAsia"/>
            </w:rPr>
          </w:sdtEndPr>
          <w:sdtContent>
            <w:p>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21460048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7184375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4330"/>
            <w:gridCol w:w="4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cc8a2439cf1a40049647e9f82183f02a"/>
                <w:id w:val="-1262376902"/>
                <w:lock w:val="sdtLocked"/>
              </w:sdtPr>
              <w:sdtContent>
                <w:tc>
                  <w:tcPr>
                    <w:tcW w:w="2434"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账龄</w:t>
                    </w:r>
                  </w:p>
                </w:tc>
              </w:sdtContent>
            </w:sdt>
            <w:sdt>
              <w:sdtPr>
                <w:tag w:val="_PLD_39df8c40c3b34bb795f3dd83e556c1cb"/>
                <w:id w:val="517900929"/>
                <w:lock w:val="sdtLocked"/>
              </w:sdtPr>
              <w:sdtContent>
                <w:tc>
                  <w:tcPr>
                    <w:tcW w:w="2566"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期末账面余额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217c8960e1b142368dda5c59f7dd6b68"/>
                <w:id w:val="-463655810"/>
                <w:lock w:val="sdtLocked"/>
              </w:sdtPr>
              <w:sdtContent>
                <w:tc>
                  <w:tcPr>
                    <w:tcW w:w="5000" w:type="pct"/>
                    <w:gridSpan w:val="2"/>
                    <w:tcBorders>
                      <w:top w:val="single" w:color="auto" w:sz="4" w:space="0"/>
                      <w:left w:val="single" w:color="auto" w:sz="4" w:space="0"/>
                      <w:bottom w:val="single" w:color="auto" w:sz="4" w:space="0"/>
                      <w:right w:val="single" w:color="auto" w:sz="4" w:space="0"/>
                    </w:tcBorders>
                  </w:tcPr>
                  <w:p>
                    <w:pPr>
                      <w:rPr>
                        <w:color w:val="FF0000"/>
                      </w:rPr>
                    </w:pPr>
                    <w:r>
                      <w:rPr>
                        <w:rFonts w:hint="eastAsia"/>
                      </w:rPr>
                      <w:t>1年以内</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e1f60905870b4ec086c3a5755a91109d"/>
                <w:id w:val="901948360"/>
                <w:lock w:val="sdtLocked"/>
              </w:sdtPr>
              <w:sdtContent>
                <w:tc>
                  <w:tcPr>
                    <w:tcW w:w="5000" w:type="pct"/>
                    <w:gridSpan w:val="2"/>
                    <w:tcBorders>
                      <w:top w:val="single" w:color="auto" w:sz="4" w:space="0"/>
                      <w:left w:val="single" w:color="auto" w:sz="4" w:space="0"/>
                      <w:bottom w:val="single" w:color="auto" w:sz="4" w:space="0"/>
                      <w:right w:val="single" w:color="auto" w:sz="4" w:space="0"/>
                    </w:tcBorders>
                  </w:tcPr>
                  <w:p>
                    <w:r>
                      <w:rPr>
                        <w:rFonts w:hint="eastAsia"/>
                      </w:rPr>
                      <w:t>其中：1年以内分项</w:t>
                    </w:r>
                  </w:p>
                </w:tc>
              </w:sdtContent>
            </w:sdt>
          </w:tr>
          <w:sdt>
            <w:sdtPr>
              <w:alias w:val="一年以内应收账款金额明细"/>
              <w:tag w:val="_TUP_d8c7f05722aa40a58eaedfec7fbecace"/>
              <w:id w:val="-209646539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2434" w:type="pct"/>
                    <w:tcBorders>
                      <w:top w:val="single" w:color="auto" w:sz="4" w:space="0"/>
                      <w:left w:val="single" w:color="auto" w:sz="4" w:space="0"/>
                      <w:bottom w:val="single" w:color="auto" w:sz="4" w:space="0"/>
                      <w:right w:val="single" w:color="auto" w:sz="4" w:space="0"/>
                    </w:tcBorders>
                  </w:tcPr>
                  <w:p>
                    <w:r>
                      <w:t>1</w:t>
                    </w:r>
                    <w:r>
                      <w:rPr>
                        <w:rFonts w:hint="eastAsia"/>
                      </w:rPr>
                      <w:t>年以内</w:t>
                    </w:r>
                  </w:p>
                </w:tc>
                <w:tc>
                  <w:tcPr>
                    <w:tcW w:w="2566" w:type="pct"/>
                    <w:tcBorders>
                      <w:top w:val="single" w:color="auto" w:sz="4" w:space="0"/>
                      <w:left w:val="single" w:color="auto" w:sz="4" w:space="0"/>
                      <w:bottom w:val="single" w:color="auto" w:sz="4" w:space="0"/>
                      <w:right w:val="single" w:color="auto" w:sz="4" w:space="0"/>
                    </w:tcBorders>
                  </w:tcPr>
                  <w:p>
                    <w:pPr>
                      <w:jc w:val="right"/>
                    </w:pPr>
                    <w:r>
                      <w:t>865,991,182.50</w:t>
                    </w:r>
                  </w:p>
                </w:tc>
              </w:tr>
            </w:sdtContent>
          </w:sdt>
          <w:sdt>
            <w:sdtPr>
              <w:alias w:val="一年以内应收账款金额明细"/>
              <w:tag w:val="_TUP_d8c7f05722aa40a58eaedfec7fbecace"/>
              <w:id w:val="9914688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2434" w:type="pct"/>
                    <w:tcBorders>
                      <w:top w:val="single" w:color="auto" w:sz="4" w:space="0"/>
                      <w:left w:val="single" w:color="auto" w:sz="4" w:space="0"/>
                      <w:bottom w:val="single" w:color="auto" w:sz="4" w:space="0"/>
                      <w:right w:val="single" w:color="auto" w:sz="4" w:space="0"/>
                    </w:tcBorders>
                  </w:tcPr>
                  <w:p/>
                </w:tc>
                <w:tc>
                  <w:tcPr>
                    <w:tcW w:w="2566" w:type="pct"/>
                    <w:tcBorders>
                      <w:top w:val="single" w:color="auto" w:sz="4" w:space="0"/>
                      <w:left w:val="single" w:color="auto" w:sz="4" w:space="0"/>
                      <w:bottom w:val="single" w:color="auto" w:sz="4" w:space="0"/>
                      <w:right w:val="single" w:color="auto" w:sz="4" w:space="0"/>
                    </w:tcBorders>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c7d182c9cd3f494a90cf99c5a58ab86e"/>
                <w:id w:val="-116145977"/>
                <w:lock w:val="sdtLocked"/>
              </w:sdtPr>
              <w:sdtContent>
                <w:tc>
                  <w:tcPr>
                    <w:tcW w:w="2434" w:type="pct"/>
                    <w:tcBorders>
                      <w:top w:val="single" w:color="auto" w:sz="4" w:space="0"/>
                      <w:left w:val="single" w:color="auto" w:sz="4" w:space="0"/>
                      <w:bottom w:val="single" w:color="auto" w:sz="4" w:space="0"/>
                      <w:right w:val="single" w:color="auto" w:sz="4" w:space="0"/>
                    </w:tcBorders>
                  </w:tcPr>
                  <w:p>
                    <w:r>
                      <w:rPr>
                        <w:rFonts w:hint="eastAsia"/>
                      </w:rPr>
                      <w:t>1年以内小计</w:t>
                    </w:r>
                  </w:p>
                </w:tc>
              </w:sdtContent>
            </w:sdt>
            <w:tc>
              <w:tcPr>
                <w:tcW w:w="2566" w:type="pct"/>
                <w:tcBorders>
                  <w:top w:val="single" w:color="auto" w:sz="4" w:space="0"/>
                  <w:left w:val="single" w:color="auto" w:sz="4" w:space="0"/>
                  <w:bottom w:val="single" w:color="auto" w:sz="4" w:space="0"/>
                  <w:right w:val="single" w:color="auto" w:sz="4" w:space="0"/>
                </w:tcBorders>
              </w:tcPr>
              <w:p>
                <w:pPr>
                  <w:jc w:val="right"/>
                </w:pPr>
                <w:r>
                  <w:t>865,991,182.50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ddd035f081424c508ec3702ea96caece"/>
                <w:id w:val="173533774"/>
                <w:lock w:val="sdtLocked"/>
              </w:sdtPr>
              <w:sdtContent>
                <w:tc>
                  <w:tcPr>
                    <w:tcW w:w="2434" w:type="pct"/>
                    <w:tcBorders>
                      <w:top w:val="single" w:color="auto" w:sz="4" w:space="0"/>
                      <w:left w:val="single" w:color="auto" w:sz="4" w:space="0"/>
                      <w:bottom w:val="single" w:color="auto" w:sz="4" w:space="0"/>
                      <w:right w:val="single" w:color="auto" w:sz="4" w:space="0"/>
                    </w:tcBorders>
                  </w:tcPr>
                  <w:p>
                    <w:r>
                      <w:rPr>
                        <w:rFonts w:hint="eastAsia"/>
                      </w:rPr>
                      <w:t>1至2年</w:t>
                    </w:r>
                  </w:p>
                </w:tc>
              </w:sdtContent>
            </w:sdt>
            <w:tc>
              <w:tcPr>
                <w:tcW w:w="2566" w:type="pct"/>
                <w:tcBorders>
                  <w:top w:val="single" w:color="auto" w:sz="4" w:space="0"/>
                  <w:left w:val="single" w:color="auto" w:sz="4" w:space="0"/>
                  <w:bottom w:val="single" w:color="auto" w:sz="4" w:space="0"/>
                  <w:right w:val="single" w:color="auto" w:sz="4" w:space="0"/>
                </w:tcBorders>
              </w:tcPr>
              <w:p>
                <w:pPr>
                  <w:jc w:val="right"/>
                </w:pPr>
                <w:r>
                  <w:t>341,896,696.03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173769cdf4af409b9ed3b84a39f352b3"/>
                <w:id w:val="625286590"/>
                <w:lock w:val="sdtLocked"/>
              </w:sdtPr>
              <w:sdtContent>
                <w:tc>
                  <w:tcPr>
                    <w:tcW w:w="2434" w:type="pct"/>
                    <w:tcBorders>
                      <w:top w:val="single" w:color="auto" w:sz="4" w:space="0"/>
                      <w:left w:val="single" w:color="auto" w:sz="4" w:space="0"/>
                      <w:bottom w:val="single" w:color="auto" w:sz="4" w:space="0"/>
                      <w:right w:val="single" w:color="auto" w:sz="4" w:space="0"/>
                    </w:tcBorders>
                  </w:tcPr>
                  <w:p>
                    <w:r>
                      <w:rPr>
                        <w:rFonts w:hint="eastAsia"/>
                      </w:rPr>
                      <w:t>2至3年</w:t>
                    </w:r>
                  </w:p>
                </w:tc>
              </w:sdtContent>
            </w:sdt>
            <w:tc>
              <w:tcPr>
                <w:tcW w:w="2566" w:type="pct"/>
                <w:tcBorders>
                  <w:top w:val="single" w:color="auto" w:sz="4" w:space="0"/>
                  <w:left w:val="single" w:color="auto" w:sz="4" w:space="0"/>
                  <w:bottom w:val="single" w:color="auto" w:sz="4" w:space="0"/>
                  <w:right w:val="single" w:color="auto" w:sz="4" w:space="0"/>
                </w:tcBorders>
              </w:tcPr>
              <w:p>
                <w:pPr>
                  <w:jc w:val="right"/>
                </w:pPr>
                <w:r>
                  <w:t>64,744,684.64</w:t>
                </w:r>
              </w:p>
            </w:tc>
          </w:tr>
          <w:sdt>
            <w:sdtPr>
              <w:alias w:val="按账龄分析法计提坏账准备的应收账款明细"/>
              <w:tag w:val="_TUP_49a65c8bff8745348a4a277e8da6df2e"/>
              <w:id w:val="118663685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2434" w:type="pct"/>
                    <w:tcBorders>
                      <w:top w:val="single" w:color="auto" w:sz="4" w:space="0"/>
                      <w:left w:val="single" w:color="auto" w:sz="4" w:space="0"/>
                      <w:bottom w:val="single" w:color="auto" w:sz="4" w:space="0"/>
                      <w:right w:val="single" w:color="auto" w:sz="4" w:space="0"/>
                    </w:tcBorders>
                  </w:tcPr>
                  <w:p>
                    <w:r>
                      <w:t>3至4年</w:t>
                    </w:r>
                  </w:p>
                </w:tc>
                <w:tc>
                  <w:tcPr>
                    <w:tcW w:w="2566" w:type="pct"/>
                    <w:tcBorders>
                      <w:top w:val="single" w:color="auto" w:sz="4" w:space="0"/>
                      <w:left w:val="single" w:color="auto" w:sz="4" w:space="0"/>
                      <w:bottom w:val="single" w:color="auto" w:sz="4" w:space="0"/>
                      <w:right w:val="single" w:color="auto" w:sz="4" w:space="0"/>
                    </w:tcBorders>
                  </w:tcPr>
                  <w:p>
                    <w:pPr>
                      <w:jc w:val="right"/>
                    </w:pPr>
                    <w:r>
                      <w:t>41,514,881.54</w:t>
                    </w:r>
                  </w:p>
                </w:tc>
              </w:tr>
            </w:sdtContent>
          </w:sdt>
          <w:sdt>
            <w:sdtPr>
              <w:alias w:val="按账龄分析法计提坏账准备的应收账款明细"/>
              <w:tag w:val="_TUP_49a65c8bff8745348a4a277e8da6df2e"/>
              <w:id w:val="189955035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2434" w:type="pct"/>
                    <w:tcBorders>
                      <w:top w:val="single" w:color="auto" w:sz="4" w:space="0"/>
                      <w:left w:val="single" w:color="auto" w:sz="4" w:space="0"/>
                      <w:bottom w:val="single" w:color="auto" w:sz="4" w:space="0"/>
                      <w:right w:val="single" w:color="auto" w:sz="4" w:space="0"/>
                    </w:tcBorders>
                  </w:tcPr>
                  <w:p>
                    <w:r>
                      <w:t>4</w:t>
                    </w:r>
                    <w:r>
                      <w:rPr>
                        <w:rFonts w:hint="eastAsia"/>
                      </w:rPr>
                      <w:t>年以上</w:t>
                    </w:r>
                  </w:p>
                </w:tc>
                <w:tc>
                  <w:tcPr>
                    <w:tcW w:w="2566" w:type="pct"/>
                    <w:tcBorders>
                      <w:top w:val="single" w:color="auto" w:sz="4" w:space="0"/>
                      <w:left w:val="single" w:color="auto" w:sz="4" w:space="0"/>
                      <w:bottom w:val="single" w:color="auto" w:sz="4" w:space="0"/>
                      <w:right w:val="single" w:color="auto" w:sz="4" w:space="0"/>
                    </w:tcBorders>
                  </w:tcPr>
                  <w:p>
                    <w:pPr>
                      <w:jc w:val="right"/>
                    </w:pPr>
                    <w:r>
                      <w:t>779,904.99</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a92bd573499a45f88eb09857cbe19e80"/>
                <w:id w:val="-595786907"/>
                <w:lock w:val="sdtLocked"/>
              </w:sdtPr>
              <w:sdtContent>
                <w:tc>
                  <w:tcPr>
                    <w:tcW w:w="2434"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合计</w:t>
                    </w:r>
                  </w:p>
                </w:tc>
              </w:sdtContent>
            </w:sdt>
            <w:tc>
              <w:tcPr>
                <w:tcW w:w="2566" w:type="pct"/>
                <w:tcBorders>
                  <w:top w:val="single" w:color="auto" w:sz="4" w:space="0"/>
                  <w:left w:val="single" w:color="auto" w:sz="4" w:space="0"/>
                  <w:bottom w:val="single" w:color="auto" w:sz="4" w:space="0"/>
                  <w:right w:val="single" w:color="auto" w:sz="4" w:space="0"/>
                </w:tcBorders>
              </w:tcPr>
              <w:p>
                <w:pPr>
                  <w:jc w:val="right"/>
                </w:pPr>
                <w:r>
                  <w:t>1,314,927,349.70</w:t>
                </w:r>
              </w:p>
            </w:tc>
          </w:tr>
        </w:tbl>
        <w:p/>
      </w:sdtContent>
    </w:sdt>
    <w:p>
      <w:pPr>
        <w:pStyle w:val="118"/>
        <w:numPr>
          <w:ilvl w:val="3"/>
          <w:numId w:val="53"/>
        </w:numPr>
        <w:tabs>
          <w:tab w:val="left" w:pos="574"/>
        </w:tabs>
        <w:rPr>
          <w:rFonts w:ascii="宋体" w:hAnsi="宋体"/>
        </w:rPr>
      </w:pPr>
      <w:bookmarkStart w:id="140" w:name="_Hlk10467162"/>
      <w:r>
        <w:rPr>
          <w:rFonts w:hint="eastAsia" w:ascii="宋体" w:hAnsi="宋体" w:cstheme="minorBidi"/>
          <w:kern w:val="0"/>
          <w:szCs w:val="22"/>
        </w:rPr>
        <w:t>按坏账计提方法分类披露</w:t>
      </w:r>
    </w:p>
    <w:sdt>
      <w:sdtPr>
        <w:alias w:val="是否适用：应收账款分类披露[双击切换]"/>
        <w:tag w:val="_GBC_fc55e6778e08412caa3e7b9e7a1a0f85"/>
        <w:id w:val="1650013949"/>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kern w:val="0"/>
          <w:szCs w:val="21"/>
        </w:rPr>
        <w:alias w:val="模块:(2). 按坏账计提方法分类披露"/>
        <w:tag w:val="_SEC_0398db7d3d0941d99bcd41800ef0e448"/>
        <w:id w:val="-537357540"/>
        <w:lock w:val="sdtLocked"/>
        <w:placeholder>
          <w:docPart w:val="GBC22222222222222222222222222222"/>
        </w:placeholder>
      </w:sdtPr>
      <w:sdtEndPr>
        <w:rPr>
          <w:rFonts w:hint="default" w:ascii="宋体" w:hAnsi="宋体" w:cs="宋体"/>
          <w:kern w:val="0"/>
          <w:sz w:val="12"/>
          <w:szCs w:val="12"/>
        </w:rPr>
      </w:sdtEndPr>
      <w:sdtContent>
        <w:p>
          <w:pPr>
            <w:pStyle w:val="142"/>
            <w:autoSpaceDE w:val="0"/>
            <w:autoSpaceDN w:val="0"/>
            <w:adjustRightInd w:val="0"/>
            <w:ind w:left="425" w:right="105"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财务附注：应收账款按种类披露"/>
              <w:tag w:val="_GBC_13874a7a2d5642bc9d06df2e53ad133f"/>
              <w:id w:val="-5120672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财务附注：应收账款按种类披露"/>
              <w:tag w:val="_GBC_a7c9ba83409d4f5ebb3a7b0903842485"/>
              <w:id w:val="-305476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067"/>
            <w:gridCol w:w="1022"/>
            <w:gridCol w:w="430"/>
            <w:gridCol w:w="944"/>
            <w:gridCol w:w="302"/>
            <w:gridCol w:w="1145"/>
            <w:gridCol w:w="1163"/>
            <w:gridCol w:w="430"/>
            <w:gridCol w:w="944"/>
            <w:gridCol w:w="302"/>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59" w:hRule="atLeast"/>
            </w:trPr>
            <w:sdt>
              <w:sdtPr>
                <w:rPr>
                  <w:rFonts w:asciiTheme="majorEastAsia" w:hAnsiTheme="majorEastAsia" w:eastAsiaTheme="majorEastAsia"/>
                  <w:sz w:val="12"/>
                  <w:szCs w:val="12"/>
                </w:rPr>
                <w:tag w:val="_PLD_a2143754c0e847e9a8bbb40d4548066c"/>
                <w:id w:val="-498354323"/>
                <w:lock w:val="sdtLocked"/>
              </w:sdtPr>
              <w:sdtEndPr>
                <w:rPr>
                  <w:rFonts w:asciiTheme="majorEastAsia" w:hAnsiTheme="majorEastAsia" w:eastAsiaTheme="majorEastAsia"/>
                  <w:sz w:val="12"/>
                  <w:szCs w:val="12"/>
                </w:rPr>
              </w:sdtEndPr>
              <w:sdtContent>
                <w:tc>
                  <w:tcPr>
                    <w:tcW w:w="640" w:type="pct"/>
                    <w:vMerge w:val="restart"/>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类别</w:t>
                    </w:r>
                  </w:p>
                </w:tc>
              </w:sdtContent>
            </w:sdt>
            <w:sdt>
              <w:sdtPr>
                <w:rPr>
                  <w:rFonts w:asciiTheme="majorEastAsia" w:hAnsiTheme="majorEastAsia" w:eastAsiaTheme="majorEastAsia"/>
                  <w:sz w:val="12"/>
                  <w:szCs w:val="12"/>
                </w:rPr>
                <w:tag w:val="_PLD_25d42b68a0be4b6c9079bb6f0b9688f1"/>
                <w:id w:val="734895202"/>
                <w:lock w:val="sdtLocked"/>
              </w:sdtPr>
              <w:sdtEndPr>
                <w:rPr>
                  <w:rFonts w:asciiTheme="majorEastAsia" w:hAnsiTheme="majorEastAsia" w:eastAsiaTheme="majorEastAsia"/>
                  <w:sz w:val="12"/>
                  <w:szCs w:val="12"/>
                </w:rPr>
              </w:sdtEndPr>
              <w:sdtContent>
                <w:tc>
                  <w:tcPr>
                    <w:tcW w:w="1919" w:type="pct"/>
                    <w:gridSpan w:val="5"/>
                    <w:tcBorders>
                      <w:top w:val="single" w:color="auto" w:sz="4" w:space="0"/>
                      <w:left w:val="single" w:color="auto" w:sz="4" w:space="0"/>
                      <w:right w:val="single" w:color="auto" w:sz="4" w:space="0"/>
                    </w:tcBorders>
                    <w:vAlign w:val="center"/>
                  </w:tcPr>
                  <w:p>
                    <w:pPr>
                      <w:autoSpaceDE w:val="0"/>
                      <w:autoSpaceDN w:val="0"/>
                      <w:adjustRightInd w:val="0"/>
                      <w:snapToGrid w:val="0"/>
                      <w:spacing w:line="240" w:lineRule="atLeast"/>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期末余额</w:t>
                    </w:r>
                  </w:p>
                </w:tc>
              </w:sdtContent>
            </w:sdt>
            <w:sdt>
              <w:sdtPr>
                <w:rPr>
                  <w:rFonts w:asciiTheme="majorEastAsia" w:hAnsiTheme="majorEastAsia" w:eastAsiaTheme="majorEastAsia"/>
                  <w:sz w:val="12"/>
                  <w:szCs w:val="12"/>
                </w:rPr>
                <w:tag w:val="_PLD_7ebf4817a5864c42bb0897c8ddd0cd9c"/>
                <w:id w:val="-1170945819"/>
                <w:lock w:val="sdtLocked"/>
              </w:sdtPr>
              <w:sdtEndPr>
                <w:rPr>
                  <w:rFonts w:asciiTheme="majorEastAsia" w:hAnsiTheme="majorEastAsia" w:eastAsiaTheme="majorEastAsia"/>
                  <w:sz w:val="12"/>
                  <w:szCs w:val="12"/>
                </w:rPr>
              </w:sdtEndPr>
              <w:sdtContent>
                <w:tc>
                  <w:tcPr>
                    <w:tcW w:w="2441" w:type="pct"/>
                    <w:gridSpan w:val="5"/>
                    <w:tcBorders>
                      <w:top w:val="single" w:color="auto" w:sz="4" w:space="0"/>
                      <w:left w:val="single" w:color="auto" w:sz="4" w:space="0"/>
                      <w:right w:val="single" w:color="auto" w:sz="4" w:space="0"/>
                    </w:tcBorders>
                    <w:vAlign w:val="center"/>
                  </w:tcPr>
                  <w:p>
                    <w:pPr>
                      <w:autoSpaceDE w:val="0"/>
                      <w:autoSpaceDN w:val="0"/>
                      <w:adjustRightInd w:val="0"/>
                      <w:snapToGrid w:val="0"/>
                      <w:spacing w:line="240" w:lineRule="atLeast"/>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27" w:hRule="atLeast"/>
            </w:trPr>
            <w:tc>
              <w:tcPr>
                <w:tcW w:w="640" w:type="pct"/>
                <w:vMerge w:val="continue"/>
                <w:tcBorders>
                  <w:left w:val="single" w:color="auto" w:sz="4" w:space="0"/>
                  <w:right w:val="single" w:color="auto" w:sz="4" w:space="0"/>
                </w:tcBorders>
                <w:vAlign w:val="center"/>
              </w:tcPr>
              <w:p>
                <w:pPr>
                  <w:rPr>
                    <w:rFonts w:asciiTheme="majorEastAsia" w:hAnsiTheme="majorEastAsia" w:eastAsiaTheme="majorEastAsia"/>
                    <w:sz w:val="12"/>
                    <w:szCs w:val="12"/>
                  </w:rPr>
                </w:pPr>
              </w:p>
            </w:tc>
            <w:sdt>
              <w:sdtPr>
                <w:rPr>
                  <w:rFonts w:asciiTheme="majorEastAsia" w:hAnsiTheme="majorEastAsia" w:eastAsiaTheme="majorEastAsia"/>
                  <w:sz w:val="12"/>
                  <w:szCs w:val="12"/>
                </w:rPr>
                <w:tag w:val="_PLD_fd64cffe158d4ef48a5ff569de778464"/>
                <w:id w:val="1553576775"/>
                <w:lock w:val="sdtLocked"/>
              </w:sdtPr>
              <w:sdtEndPr>
                <w:rPr>
                  <w:rFonts w:asciiTheme="majorEastAsia" w:hAnsiTheme="majorEastAsia" w:eastAsiaTheme="majorEastAsia"/>
                  <w:sz w:val="12"/>
                  <w:szCs w:val="12"/>
                </w:rPr>
              </w:sdtEndPr>
              <w:sdtContent>
                <w:tc>
                  <w:tcPr>
                    <w:tcW w:w="45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账面余额</w:t>
                    </w:r>
                  </w:p>
                </w:tc>
              </w:sdtContent>
            </w:sdt>
            <w:sdt>
              <w:sdtPr>
                <w:rPr>
                  <w:rFonts w:asciiTheme="majorEastAsia" w:hAnsiTheme="majorEastAsia" w:eastAsiaTheme="majorEastAsia"/>
                  <w:sz w:val="12"/>
                  <w:szCs w:val="12"/>
                </w:rPr>
                <w:tag w:val="_PLD_f0f4adcb95c44cfa884ef7d853d6b134"/>
                <w:id w:val="463164692"/>
                <w:lock w:val="sdtLocked"/>
              </w:sdtPr>
              <w:sdtEndPr>
                <w:rPr>
                  <w:rFonts w:asciiTheme="majorEastAsia" w:hAnsiTheme="majorEastAsia" w:eastAsiaTheme="majorEastAsia"/>
                  <w:sz w:val="12"/>
                  <w:szCs w:val="12"/>
                </w:rPr>
              </w:sdtEndPr>
              <w:sdtContent>
                <w:tc>
                  <w:tcPr>
                    <w:tcW w:w="771"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坏账准备</w:t>
                    </w:r>
                  </w:p>
                </w:tc>
              </w:sdtContent>
            </w:sdt>
            <w:sdt>
              <w:sdtPr>
                <w:rPr>
                  <w:rFonts w:asciiTheme="majorEastAsia" w:hAnsiTheme="majorEastAsia" w:eastAsiaTheme="majorEastAsia"/>
                  <w:sz w:val="12"/>
                  <w:szCs w:val="12"/>
                </w:rPr>
                <w:tag w:val="_PLD_4c122527ed0743b8905d9f19514f4328"/>
                <w:id w:val="1045337593"/>
                <w:lock w:val="sdtLocked"/>
              </w:sdtPr>
              <w:sdtEndPr>
                <w:rPr>
                  <w:rFonts w:asciiTheme="majorEastAsia" w:hAnsiTheme="majorEastAsia" w:eastAsiaTheme="majorEastAsia"/>
                  <w:sz w:val="12"/>
                  <w:szCs w:val="12"/>
                </w:rPr>
              </w:sdtEndPr>
              <w:sdtContent>
                <w:tc>
                  <w:tcPr>
                    <w:tcW w:w="694" w:type="pct"/>
                    <w:vMerge w:val="restart"/>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账面</w:t>
                    </w:r>
                  </w:p>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价值</w:t>
                    </w:r>
                  </w:p>
                </w:tc>
              </w:sdtContent>
            </w:sdt>
            <w:sdt>
              <w:sdtPr>
                <w:rPr>
                  <w:rFonts w:asciiTheme="majorEastAsia" w:hAnsiTheme="majorEastAsia" w:eastAsiaTheme="majorEastAsia"/>
                  <w:sz w:val="12"/>
                  <w:szCs w:val="12"/>
                </w:rPr>
                <w:tag w:val="_PLD_fa758d9eb4ae426faef8e328262241b4"/>
                <w:id w:val="-981303176"/>
                <w:lock w:val="sdtLocked"/>
              </w:sdtPr>
              <w:sdtEndPr>
                <w:rPr>
                  <w:rFonts w:asciiTheme="majorEastAsia" w:hAnsiTheme="majorEastAsia" w:eastAsiaTheme="majorEastAsia"/>
                  <w:sz w:val="12"/>
                  <w:szCs w:val="12"/>
                </w:rPr>
              </w:sdtEndPr>
              <w:sdtContent>
                <w:tc>
                  <w:tcPr>
                    <w:tcW w:w="976" w:type="pct"/>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账面余额</w:t>
                    </w:r>
                  </w:p>
                </w:tc>
              </w:sdtContent>
            </w:sdt>
            <w:sdt>
              <w:sdtPr>
                <w:rPr>
                  <w:rFonts w:asciiTheme="majorEastAsia" w:hAnsiTheme="majorEastAsia" w:eastAsiaTheme="majorEastAsia"/>
                  <w:sz w:val="12"/>
                  <w:szCs w:val="12"/>
                </w:rPr>
                <w:tag w:val="_PLD_58080bac137d4831ab65bc2f8ca82429"/>
                <w:id w:val="-847940425"/>
                <w:lock w:val="sdtLocked"/>
              </w:sdtPr>
              <w:sdtEndPr>
                <w:rPr>
                  <w:rFonts w:asciiTheme="majorEastAsia" w:hAnsiTheme="majorEastAsia" w:eastAsiaTheme="majorEastAsia"/>
                  <w:sz w:val="12"/>
                  <w:szCs w:val="12"/>
                </w:rPr>
              </w:sdtEndPr>
              <w:sdtContent>
                <w:tc>
                  <w:tcPr>
                    <w:tcW w:w="771" w:type="pct"/>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坏账准备</w:t>
                    </w:r>
                  </w:p>
                </w:tc>
              </w:sdtContent>
            </w:sdt>
            <w:sdt>
              <w:sdtPr>
                <w:rPr>
                  <w:rFonts w:asciiTheme="majorEastAsia" w:hAnsiTheme="majorEastAsia" w:eastAsiaTheme="majorEastAsia"/>
                  <w:sz w:val="12"/>
                  <w:szCs w:val="12"/>
                </w:rPr>
                <w:tag w:val="_PLD_c015e43e7b384b6ab9bf259155579fa4"/>
                <w:id w:val="-430739267"/>
                <w:lock w:val="sdtLocked"/>
              </w:sdtPr>
              <w:sdtEndPr>
                <w:rPr>
                  <w:rFonts w:asciiTheme="majorEastAsia" w:hAnsiTheme="majorEastAsia" w:eastAsiaTheme="majorEastAsia"/>
                  <w:sz w:val="12"/>
                  <w:szCs w:val="12"/>
                </w:rPr>
              </w:sdtEndPr>
              <w:sdtContent>
                <w:tc>
                  <w:tcPr>
                    <w:tcW w:w="694" w:type="pct"/>
                    <w:vMerge w:val="restart"/>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账面</w:t>
                    </w:r>
                  </w:p>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375" w:hRule="atLeast"/>
            </w:trPr>
            <w:tc>
              <w:tcPr>
                <w:tcW w:w="640" w:type="pct"/>
                <w:vMerge w:val="continue"/>
                <w:tcBorders>
                  <w:left w:val="single" w:color="auto" w:sz="4" w:space="0"/>
                  <w:bottom w:val="single" w:color="auto" w:sz="4" w:space="0"/>
                  <w:right w:val="single" w:color="auto" w:sz="4" w:space="0"/>
                </w:tcBorders>
                <w:vAlign w:val="center"/>
              </w:tcPr>
              <w:p>
                <w:pPr>
                  <w:rPr>
                    <w:rFonts w:asciiTheme="majorEastAsia" w:hAnsiTheme="majorEastAsia" w:eastAsiaTheme="majorEastAsia"/>
                    <w:sz w:val="12"/>
                    <w:szCs w:val="12"/>
                  </w:rPr>
                </w:pPr>
              </w:p>
            </w:tc>
            <w:sdt>
              <w:sdtPr>
                <w:rPr>
                  <w:rFonts w:asciiTheme="majorEastAsia" w:hAnsiTheme="majorEastAsia" w:eastAsiaTheme="majorEastAsia"/>
                  <w:sz w:val="12"/>
                  <w:szCs w:val="12"/>
                </w:rPr>
                <w:tag w:val="_PLD_2a622138bde346ccae812608989b472d"/>
                <w:id w:val="1316915253"/>
                <w:lock w:val="sdtLocked"/>
              </w:sdtPr>
              <w:sdtEndPr>
                <w:rPr>
                  <w:rFonts w:asciiTheme="majorEastAsia" w:hAnsiTheme="majorEastAsia" w:eastAsiaTheme="majorEastAsia"/>
                  <w:sz w:val="12"/>
                  <w:szCs w:val="12"/>
                </w:rPr>
              </w:sdtEndPr>
              <w:sdtContent>
                <w:tc>
                  <w:tcPr>
                    <w:tcW w:w="172"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金额</w:t>
                    </w:r>
                  </w:p>
                </w:tc>
              </w:sdtContent>
            </w:sdt>
            <w:sdt>
              <w:sdtPr>
                <w:rPr>
                  <w:rFonts w:asciiTheme="majorEastAsia" w:hAnsiTheme="majorEastAsia" w:eastAsiaTheme="majorEastAsia"/>
                  <w:sz w:val="12"/>
                  <w:szCs w:val="12"/>
                </w:rPr>
                <w:tag w:val="_PLD_abd0e3a320c240aeb85b1414af26aa00"/>
                <w:id w:val="-1034576681"/>
                <w:lock w:val="sdtLocked"/>
              </w:sdtPr>
              <w:sdtEndPr>
                <w:rPr>
                  <w:rFonts w:asciiTheme="majorEastAsia" w:hAnsiTheme="majorEastAsia" w:eastAsiaTheme="majorEastAsia"/>
                  <w:sz w:val="12"/>
                  <w:szCs w:val="12"/>
                </w:rPr>
              </w:sdtEndPr>
              <w:sdtContent>
                <w:tc>
                  <w:tcPr>
                    <w:tcW w:w="282"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比例</w:t>
                    </w:r>
                    <w:r>
                      <w:rPr>
                        <w:rFonts w:asciiTheme="majorEastAsia" w:hAnsiTheme="majorEastAsia" w:eastAsiaTheme="majorEastAsia"/>
                        <w:sz w:val="12"/>
                        <w:szCs w:val="12"/>
                      </w:rPr>
                      <w:t>(%)</w:t>
                    </w:r>
                  </w:p>
                </w:tc>
              </w:sdtContent>
            </w:sdt>
            <w:sdt>
              <w:sdtPr>
                <w:rPr>
                  <w:rFonts w:asciiTheme="majorEastAsia" w:hAnsiTheme="majorEastAsia" w:eastAsiaTheme="majorEastAsia"/>
                  <w:sz w:val="12"/>
                  <w:szCs w:val="12"/>
                </w:rPr>
                <w:tag w:val="_PLD_d60468b4e5934fb9af3ebf3b3ca06a6b"/>
                <w:id w:val="1297880686"/>
                <w:lock w:val="sdtLocked"/>
              </w:sdtPr>
              <w:sdtEndPr>
                <w:rPr>
                  <w:rFonts w:asciiTheme="majorEastAsia" w:hAnsiTheme="majorEastAsia" w:eastAsiaTheme="majorEastAsia"/>
                  <w:sz w:val="12"/>
                  <w:szCs w:val="12"/>
                </w:rPr>
              </w:sdtEndPr>
              <w:sdtContent>
                <w:tc>
                  <w:tcPr>
                    <w:tcW w:w="571"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金额</w:t>
                    </w:r>
                  </w:p>
                </w:tc>
              </w:sdtContent>
            </w:sdt>
            <w:sdt>
              <w:sdtPr>
                <w:rPr>
                  <w:rFonts w:asciiTheme="majorEastAsia" w:hAnsiTheme="majorEastAsia" w:eastAsiaTheme="majorEastAsia"/>
                  <w:sz w:val="12"/>
                  <w:szCs w:val="12"/>
                </w:rPr>
                <w:tag w:val="_PLD_743ca215156149608b4d9149bc142cc3"/>
                <w:id w:val="-715963437"/>
                <w:lock w:val="sdtLocked"/>
              </w:sdtPr>
              <w:sdtEndPr>
                <w:rPr>
                  <w:rFonts w:asciiTheme="majorEastAsia" w:hAnsiTheme="majorEastAsia" w:eastAsiaTheme="majorEastAsia"/>
                  <w:sz w:val="12"/>
                  <w:szCs w:val="12"/>
                </w:rPr>
              </w:sdtEndPr>
              <w:sdtContent>
                <w:tc>
                  <w:tcPr>
                    <w:tcW w:w="200"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计提比例</w:t>
                    </w:r>
                    <w:r>
                      <w:rPr>
                        <w:rFonts w:asciiTheme="majorEastAsia" w:hAnsiTheme="majorEastAsia" w:eastAsiaTheme="majorEastAsia"/>
                        <w:sz w:val="12"/>
                        <w:szCs w:val="12"/>
                      </w:rPr>
                      <w:t>(%)</w:t>
                    </w:r>
                  </w:p>
                </w:tc>
              </w:sdtContent>
            </w:sdt>
            <w:tc>
              <w:tcPr>
                <w:tcW w:w="694" w:type="pct"/>
                <w:vMerge w:val="continue"/>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p>
            </w:tc>
            <w:sdt>
              <w:sdtPr>
                <w:rPr>
                  <w:rFonts w:asciiTheme="majorEastAsia" w:hAnsiTheme="majorEastAsia" w:eastAsiaTheme="majorEastAsia"/>
                  <w:sz w:val="12"/>
                  <w:szCs w:val="12"/>
                </w:rPr>
                <w:tag w:val="_PLD_88061469e7574f3d93ff9dc8f7c03e2d"/>
                <w:id w:val="1204744305"/>
                <w:lock w:val="sdtLocked"/>
              </w:sdtPr>
              <w:sdtEndPr>
                <w:rPr>
                  <w:rFonts w:asciiTheme="majorEastAsia" w:hAnsiTheme="majorEastAsia" w:eastAsiaTheme="majorEastAsia"/>
                  <w:sz w:val="12"/>
                  <w:szCs w:val="12"/>
                </w:rPr>
              </w:sdtEndPr>
              <w:sdtContent>
                <w:tc>
                  <w:tcPr>
                    <w:tcW w:w="694"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金额</w:t>
                    </w:r>
                  </w:p>
                </w:tc>
              </w:sdtContent>
            </w:sdt>
            <w:sdt>
              <w:sdtPr>
                <w:rPr>
                  <w:rFonts w:asciiTheme="majorEastAsia" w:hAnsiTheme="majorEastAsia" w:eastAsiaTheme="majorEastAsia"/>
                  <w:sz w:val="12"/>
                  <w:szCs w:val="12"/>
                </w:rPr>
                <w:tag w:val="_PLD_c2b4bd19b5284f3481bdd6a3becafce0"/>
                <w:id w:val="2143460020"/>
                <w:lock w:val="sdtLocked"/>
              </w:sdtPr>
              <w:sdtEndPr>
                <w:rPr>
                  <w:rFonts w:asciiTheme="majorEastAsia" w:hAnsiTheme="majorEastAsia" w:eastAsiaTheme="majorEastAsia"/>
                  <w:sz w:val="12"/>
                  <w:szCs w:val="12"/>
                </w:rPr>
              </w:sdtEndPr>
              <w:sdtContent>
                <w:tc>
                  <w:tcPr>
                    <w:tcW w:w="282"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比例</w:t>
                    </w:r>
                    <w:r>
                      <w:rPr>
                        <w:rFonts w:asciiTheme="majorEastAsia" w:hAnsiTheme="majorEastAsia" w:eastAsiaTheme="majorEastAsia"/>
                        <w:sz w:val="12"/>
                        <w:szCs w:val="12"/>
                      </w:rPr>
                      <w:t>(%)</w:t>
                    </w:r>
                  </w:p>
                </w:tc>
              </w:sdtContent>
            </w:sdt>
            <w:sdt>
              <w:sdtPr>
                <w:rPr>
                  <w:rFonts w:asciiTheme="majorEastAsia" w:hAnsiTheme="majorEastAsia" w:eastAsiaTheme="majorEastAsia"/>
                  <w:sz w:val="12"/>
                  <w:szCs w:val="12"/>
                </w:rPr>
                <w:tag w:val="_PLD_c6874c65e4ac43019002d5903e4b46d6"/>
                <w:id w:val="1318156357"/>
                <w:lock w:val="sdtLocked"/>
              </w:sdtPr>
              <w:sdtEndPr>
                <w:rPr>
                  <w:rFonts w:asciiTheme="majorEastAsia" w:hAnsiTheme="majorEastAsia" w:eastAsiaTheme="majorEastAsia"/>
                  <w:sz w:val="12"/>
                  <w:szCs w:val="12"/>
                </w:rPr>
              </w:sdtEndPr>
              <w:sdtContent>
                <w:tc>
                  <w:tcPr>
                    <w:tcW w:w="571"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金额</w:t>
                    </w:r>
                  </w:p>
                </w:tc>
              </w:sdtContent>
            </w:sdt>
            <w:sdt>
              <w:sdtPr>
                <w:rPr>
                  <w:rFonts w:asciiTheme="majorEastAsia" w:hAnsiTheme="majorEastAsia" w:eastAsiaTheme="majorEastAsia"/>
                  <w:sz w:val="12"/>
                  <w:szCs w:val="12"/>
                </w:rPr>
                <w:tag w:val="_PLD_0596fb5f4bb147b48d9ab2f32535e71f"/>
                <w:id w:val="938335325"/>
                <w:lock w:val="sdtLocked"/>
              </w:sdtPr>
              <w:sdtEndPr>
                <w:rPr>
                  <w:rFonts w:asciiTheme="majorEastAsia" w:hAnsiTheme="majorEastAsia" w:eastAsiaTheme="majorEastAsia"/>
                  <w:sz w:val="12"/>
                  <w:szCs w:val="12"/>
                </w:rPr>
              </w:sdtEndPr>
              <w:sdtContent>
                <w:tc>
                  <w:tcPr>
                    <w:tcW w:w="200" w:type="pct"/>
                    <w:tcBorders>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计提比例</w:t>
                    </w:r>
                    <w:r>
                      <w:rPr>
                        <w:rFonts w:asciiTheme="majorEastAsia" w:hAnsiTheme="majorEastAsia" w:eastAsiaTheme="majorEastAsia"/>
                        <w:sz w:val="12"/>
                        <w:szCs w:val="12"/>
                      </w:rPr>
                      <w:t>(%)</w:t>
                    </w:r>
                  </w:p>
                </w:tc>
              </w:sdtContent>
            </w:sdt>
            <w:tc>
              <w:tcPr>
                <w:tcW w:w="694" w:type="pct"/>
                <w:vMerge w:val="continue"/>
                <w:tcBorders>
                  <w:left w:val="single" w:color="auto" w:sz="4" w:space="0"/>
                  <w:bottom w:val="single" w:color="auto" w:sz="4" w:space="0"/>
                  <w:right w:val="single" w:color="auto" w:sz="4" w:space="0"/>
                </w:tcBorders>
              </w:tcPr>
              <w:p>
                <w:pPr>
                  <w:jc w:val="center"/>
                  <w:rPr>
                    <w:rFonts w:asciiTheme="majorEastAsia" w:hAnsiTheme="majorEastAsia" w:eastAsiaTheme="majorEastAsia"/>
                    <w:sz w:val="12"/>
                    <w:szCs w:val="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tag w:val="_PLD_6413454a316c4103ae8bebbae0f082c2"/>
                <w:id w:val="1255241444"/>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sz w:val="12"/>
                        <w:szCs w:val="12"/>
                      </w:rPr>
                    </w:pPr>
                    <w:r>
                      <w:rPr>
                        <w:rFonts w:hint="eastAsia" w:asciiTheme="majorEastAsia" w:hAnsiTheme="majorEastAsia" w:eastAsiaTheme="majorEastAsia"/>
                        <w:sz w:val="12"/>
                        <w:szCs w:val="12"/>
                      </w:rPr>
                      <w:t>按单项计提坏账准备</w:t>
                    </w:r>
                  </w:p>
                </w:tc>
              </w:sdtContent>
            </w:sdt>
            <w:tc>
              <w:tcPr>
                <w:tcW w:w="17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tag w:val="_PLD_a3793487a0154f9a85b0e94e01b6ddbe"/>
                <w:id w:val="1532771902"/>
                <w:lock w:val="sdtLocked"/>
              </w:sdtPr>
              <w:sdtEndPr>
                <w:rPr>
                  <w:rFonts w:asciiTheme="majorEastAsia" w:hAnsiTheme="majorEastAsia" w:eastAsiaTheme="majorEastAsia"/>
                  <w:sz w:val="12"/>
                  <w:szCs w:val="12"/>
                </w:rPr>
              </w:sdtEndPr>
              <w:sdtContent>
                <w:tc>
                  <w:tcPr>
                    <w:tcW w:w="5000" w:type="pct"/>
                    <w:gridSpan w:val="11"/>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其中：</w:t>
                    </w:r>
                  </w:p>
                </w:tc>
              </w:sdtContent>
            </w:sdt>
          </w:tr>
          <w:sdt>
            <w:sdtPr>
              <w:rPr>
                <w:rFonts w:asciiTheme="majorEastAsia" w:hAnsiTheme="majorEastAsia" w:eastAsiaTheme="majorEastAsia"/>
                <w:sz w:val="12"/>
                <w:szCs w:val="12"/>
              </w:rPr>
              <w:alias w:val="按单项计提坏账准备的应收账款明细"/>
              <w:tag w:val="_TUP_3a763938896845f284a4dc7df88bd4af"/>
              <w:id w:val="-733622430"/>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alias w:val="按单项计提坏账准备的应收账款明细-类别"/>
                    <w:tag w:val="_GBC_3399611ce4724e1193aaefa4ea4bde46"/>
                    <w:id w:val="455381560"/>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color w:val="808080"/>
                            <w:sz w:val="12"/>
                            <w:szCs w:val="12"/>
                          </w:rPr>
                        </w:pPr>
                        <w:r>
                          <w:rPr>
                            <w:rFonts w:asciiTheme="majorEastAsia" w:hAnsiTheme="majorEastAsia" w:eastAsiaTheme="majorEastAsia"/>
                            <w:sz w:val="12"/>
                            <w:szCs w:val="12"/>
                          </w:rPr>
                          <w:t>-</w:t>
                        </w:r>
                      </w:p>
                    </w:tc>
                  </w:sdtContent>
                </w:sdt>
                <w:tc>
                  <w:tcPr>
                    <w:tcW w:w="17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asciiTheme="majorEastAsia" w:hAnsiTheme="majorEastAsia" w:eastAsiaTheme="majorEastAsia"/>
                <w:sz w:val="12"/>
                <w:szCs w:val="12"/>
              </w:rPr>
              <w:alias w:val="按单项计提坏账准备的应收账款明细"/>
              <w:tag w:val="_TUP_3a763938896845f284a4dc7df88bd4af"/>
              <w:id w:val="-928418946"/>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alias w:val="按单项计提坏账准备的应收账款明细-类别"/>
                    <w:tag w:val="_GBC_3399611ce4724e1193aaefa4ea4bde46"/>
                    <w:id w:val="1261334026"/>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color w:val="808080"/>
                            <w:sz w:val="12"/>
                            <w:szCs w:val="12"/>
                          </w:rPr>
                        </w:pPr>
                        <w:r>
                          <w:rPr>
                            <w:rFonts w:asciiTheme="majorEastAsia" w:hAnsiTheme="majorEastAsia" w:eastAsiaTheme="majorEastAsia"/>
                            <w:sz w:val="12"/>
                            <w:szCs w:val="12"/>
                          </w:rPr>
                          <w:t>-</w:t>
                        </w:r>
                      </w:p>
                    </w:tc>
                  </w:sdtContent>
                </w:sdt>
                <w:tc>
                  <w:tcPr>
                    <w:tcW w:w="17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tag w:val="_PLD_f288fc933fe84e6088cca1ff51abf9b8"/>
                <w:id w:val="-226772224"/>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sz w:val="12"/>
                        <w:szCs w:val="12"/>
                      </w:rPr>
                    </w:pPr>
                    <w:r>
                      <w:rPr>
                        <w:rFonts w:hint="eastAsia" w:asciiTheme="majorEastAsia" w:hAnsiTheme="majorEastAsia" w:eastAsiaTheme="majorEastAsia"/>
                        <w:sz w:val="12"/>
                        <w:szCs w:val="12"/>
                      </w:rPr>
                      <w:t>按组合计提坏账准备</w:t>
                    </w:r>
                  </w:p>
                </w:tc>
              </w:sdtContent>
            </w:sdt>
            <w:tc>
              <w:tcPr>
                <w:tcW w:w="172"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1,314,927,349.70</w:t>
                </w:r>
              </w:p>
            </w:tc>
            <w:tc>
              <w:tcPr>
                <w:tcW w:w="282"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100.00</w:t>
                </w:r>
              </w:p>
            </w:tc>
            <w:tc>
              <w:tcPr>
                <w:tcW w:w="571"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23,463,877.20</w:t>
                </w:r>
              </w:p>
            </w:tc>
            <w:tc>
              <w:tcPr>
                <w:tcW w:w="200"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1.78</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1,291,463,472.50</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1,142,192,201.28</w:t>
                </w:r>
              </w:p>
            </w:tc>
            <w:tc>
              <w:tcPr>
                <w:tcW w:w="282"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100.00</w:t>
                </w:r>
              </w:p>
            </w:tc>
            <w:tc>
              <w:tcPr>
                <w:tcW w:w="571"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14,522,231.20</w:t>
                </w:r>
              </w:p>
            </w:tc>
            <w:tc>
              <w:tcPr>
                <w:tcW w:w="200"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1.27</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1,127,669,970.08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tag w:val="_PLD_55a01fc28b044e40bd4e4399252665c0"/>
                <w:id w:val="1405021346"/>
                <w:lock w:val="sdtLocked"/>
              </w:sdtPr>
              <w:sdtEndPr>
                <w:rPr>
                  <w:rFonts w:asciiTheme="majorEastAsia" w:hAnsiTheme="majorEastAsia" w:eastAsiaTheme="majorEastAsia"/>
                  <w:sz w:val="12"/>
                  <w:szCs w:val="12"/>
                </w:rPr>
              </w:sdtEndPr>
              <w:sdtContent>
                <w:tc>
                  <w:tcPr>
                    <w:tcW w:w="5000" w:type="pct"/>
                    <w:gridSpan w:val="11"/>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其中：</w:t>
                    </w:r>
                  </w:p>
                </w:tc>
              </w:sdtContent>
            </w:sdt>
          </w:tr>
          <w:sdt>
            <w:sdtPr>
              <w:rPr>
                <w:rFonts w:asciiTheme="majorEastAsia" w:hAnsiTheme="majorEastAsia" w:eastAsiaTheme="majorEastAsia"/>
                <w:sz w:val="12"/>
                <w:szCs w:val="12"/>
              </w:rPr>
              <w:alias w:val="按组合计提坏账准备的应收账款明细"/>
              <w:tag w:val="_TUP_01960bfe94fc450d9a465ddf3f2cfd76"/>
              <w:id w:val="-210895935"/>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alias w:val="按组合计提坏账准备的应收账款明细-组合名称"/>
                    <w:tag w:val="_GBC_c5f1817705f34c9782f585b3ed10e2db"/>
                    <w:id w:val="2132512877"/>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sz w:val="12"/>
                            <w:szCs w:val="12"/>
                          </w:rPr>
                        </w:pPr>
                        <w:r>
                          <w:rPr>
                            <w:rFonts w:asciiTheme="majorEastAsia" w:hAnsiTheme="majorEastAsia" w:eastAsiaTheme="majorEastAsia"/>
                            <w:sz w:val="12"/>
                            <w:szCs w:val="12"/>
                          </w:rPr>
                          <w:t>-应收通行费及其他</w:t>
                        </w:r>
                      </w:p>
                    </w:tc>
                  </w:sdtContent>
                </w:sdt>
                <w:tc>
                  <w:tcPr>
                    <w:tcW w:w="172" w:type="pct"/>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385,640,999.57</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29.33</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599,045.53</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0.16</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385,041,954.04</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396,148,435.57</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34.68</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596,358.26</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0.15</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395,552,077.31</w:t>
                    </w:r>
                  </w:p>
                </w:tc>
              </w:tr>
            </w:sdtContent>
          </w:sdt>
          <w:sdt>
            <w:sdtPr>
              <w:rPr>
                <w:rFonts w:asciiTheme="majorEastAsia" w:hAnsiTheme="majorEastAsia" w:eastAsiaTheme="majorEastAsia"/>
                <w:sz w:val="12"/>
                <w:szCs w:val="12"/>
              </w:rPr>
              <w:alias w:val="按组合计提坏账准备的应收账款明细"/>
              <w:tag w:val="_TUP_01960bfe94fc450d9a465ddf3f2cfd76"/>
              <w:id w:val="-151206781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alias w:val="按组合计提坏账准备的应收账款明细-组合名称"/>
                    <w:tag w:val="_GBC_c5f1817705f34c9782f585b3ed10e2db"/>
                    <w:id w:val="-2010137093"/>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tcPr>
                      <w:p>
                        <w:pPr>
                          <w:jc w:val="both"/>
                          <w:rPr>
                            <w:rFonts w:asciiTheme="majorEastAsia" w:hAnsiTheme="majorEastAsia" w:eastAsiaTheme="majorEastAsia"/>
                            <w:sz w:val="12"/>
                            <w:szCs w:val="12"/>
                          </w:rPr>
                        </w:pPr>
                        <w:r>
                          <w:rPr>
                            <w:rFonts w:asciiTheme="majorEastAsia" w:hAnsiTheme="majorEastAsia" w:eastAsiaTheme="majorEastAsia"/>
                            <w:sz w:val="12"/>
                            <w:szCs w:val="12"/>
                          </w:rPr>
                          <w:t>-应收电费款</w:t>
                        </w:r>
                      </w:p>
                    </w:tc>
                  </w:sdtContent>
                </w:sdt>
                <w:tc>
                  <w:tcPr>
                    <w:tcW w:w="17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929,286,350.13</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70.67</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22,864,831.67</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2.46</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906,421,518.46</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746,043,765.71</w:t>
                    </w:r>
                  </w:p>
                </w:tc>
                <w:tc>
                  <w:tcPr>
                    <w:tcW w:w="282"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65.32</w:t>
                    </w:r>
                  </w:p>
                </w:tc>
                <w:tc>
                  <w:tcPr>
                    <w:tcW w:w="571"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13,925,872.94</w:t>
                    </w:r>
                  </w:p>
                </w:tc>
                <w:tc>
                  <w:tcPr>
                    <w:tcW w:w="200"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1.87</w:t>
                    </w:r>
                  </w:p>
                </w:tc>
                <w:tc>
                  <w:tcPr>
                    <w:tcW w:w="694" w:type="pct"/>
                    <w:tcBorders>
                      <w:top w:val="single" w:color="auto" w:sz="4" w:space="0"/>
                      <w:left w:val="single" w:color="auto" w:sz="4" w:space="0"/>
                      <w:bottom w:val="single" w:color="auto" w:sz="4" w:space="0"/>
                      <w:right w:val="single" w:color="auto" w:sz="4" w:space="0"/>
                    </w:tcBorders>
                  </w:tcPr>
                  <w:p>
                    <w:pPr>
                      <w:jc w:val="right"/>
                      <w:rPr>
                        <w:rFonts w:asciiTheme="majorEastAsia" w:hAnsiTheme="majorEastAsia" w:eastAsiaTheme="majorEastAsia"/>
                        <w:sz w:val="12"/>
                        <w:szCs w:val="12"/>
                      </w:rPr>
                    </w:pPr>
                    <w:r>
                      <w:rPr>
                        <w:rFonts w:asciiTheme="majorEastAsia" w:hAnsiTheme="majorEastAsia" w:eastAsiaTheme="majorEastAsia"/>
                        <w:sz w:val="12"/>
                        <w:szCs w:val="12"/>
                      </w:rPr>
                      <w:t>732,117,892.77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rFonts w:asciiTheme="majorEastAsia" w:hAnsiTheme="majorEastAsia" w:eastAsiaTheme="majorEastAsia"/>
                  <w:sz w:val="12"/>
                  <w:szCs w:val="12"/>
                </w:rPr>
                <w:tag w:val="_PLD_435141e2dc244009953ee87401ee0c5d"/>
                <w:id w:val="654341723"/>
                <w:lock w:val="sdtLocked"/>
              </w:sdtPr>
              <w:sdtEndPr>
                <w:rPr>
                  <w:rFonts w:asciiTheme="majorEastAsia" w:hAnsiTheme="majorEastAsia" w:eastAsiaTheme="majorEastAsia"/>
                  <w:sz w:val="12"/>
                  <w:szCs w:val="12"/>
                </w:rPr>
              </w:sdtEndPr>
              <w:sdtContent>
                <w:tc>
                  <w:tcPr>
                    <w:tcW w:w="64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ajorEastAsia" w:hAnsiTheme="majorEastAsia" w:eastAsiaTheme="majorEastAsia"/>
                        <w:sz w:val="12"/>
                        <w:szCs w:val="12"/>
                      </w:rPr>
                    </w:pPr>
                    <w:r>
                      <w:rPr>
                        <w:rFonts w:hint="eastAsia" w:asciiTheme="majorEastAsia" w:hAnsiTheme="majorEastAsia" w:eastAsiaTheme="majorEastAsia"/>
                        <w:sz w:val="12"/>
                        <w:szCs w:val="12"/>
                      </w:rPr>
                      <w:t>合计</w:t>
                    </w:r>
                  </w:p>
                </w:tc>
              </w:sdtContent>
            </w:sdt>
            <w:tc>
              <w:tcPr>
                <w:tcW w:w="172"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1,314,927,349.70</w:t>
                </w:r>
              </w:p>
            </w:tc>
            <w:tc>
              <w:tcPr>
                <w:tcW w:w="282" w:type="pct"/>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100.00</w:t>
                </w:r>
              </w:p>
            </w:tc>
            <w:tc>
              <w:tcPr>
                <w:tcW w:w="571"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23,463,877.20</w:t>
                </w:r>
              </w:p>
            </w:tc>
            <w:tc>
              <w:tcPr>
                <w:tcW w:w="200" w:type="pct"/>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1.78</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1,291,463,472.50</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1,142,192,201.28</w:t>
                </w:r>
              </w:p>
            </w:tc>
            <w:tc>
              <w:tcPr>
                <w:tcW w:w="282" w:type="pct"/>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100.00</w:t>
                </w:r>
              </w:p>
            </w:tc>
            <w:tc>
              <w:tcPr>
                <w:tcW w:w="571"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14,522,231.20</w:t>
                </w:r>
              </w:p>
            </w:tc>
            <w:tc>
              <w:tcPr>
                <w:tcW w:w="200" w:type="pct"/>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1.27</w:t>
                </w:r>
              </w:p>
            </w:tc>
            <w:tc>
              <w:tcPr>
                <w:tcW w:w="694" w:type="pct"/>
                <w:tcBorders>
                  <w:top w:val="single" w:color="auto" w:sz="4" w:space="0"/>
                  <w:left w:val="single" w:color="auto" w:sz="4" w:space="0"/>
                  <w:bottom w:val="single" w:color="auto" w:sz="4" w:space="0"/>
                  <w:right w:val="single" w:color="auto" w:sz="4" w:space="0"/>
                </w:tcBorders>
                <w:vAlign w:val="center"/>
              </w:tcPr>
              <w:p>
                <w:pPr>
                  <w:jc w:val="right"/>
                  <w:rPr>
                    <w:rFonts w:asciiTheme="majorEastAsia" w:hAnsiTheme="majorEastAsia" w:eastAsiaTheme="majorEastAsia"/>
                    <w:sz w:val="12"/>
                    <w:szCs w:val="12"/>
                  </w:rPr>
                </w:pPr>
                <w:r>
                  <w:rPr>
                    <w:rFonts w:asciiTheme="majorEastAsia" w:hAnsiTheme="majorEastAsia" w:eastAsiaTheme="majorEastAsia"/>
                    <w:sz w:val="12"/>
                    <w:szCs w:val="12"/>
                  </w:rPr>
                  <w:t>1,127,669,970.08</w:t>
                </w:r>
              </w:p>
            </w:tc>
          </w:tr>
        </w:tbl>
        <w:p>
          <w:pPr>
            <w:rPr>
              <w:sz w:val="12"/>
              <w:szCs w:val="12"/>
            </w:rPr>
          </w:pPr>
        </w:p>
      </w:sdtContent>
    </w:sdt>
    <w:bookmarkEnd w:id="140"/>
    <w:sdt>
      <w:sdtPr>
        <w:rPr>
          <w:rFonts w:hint="eastAsia"/>
        </w:rPr>
        <w:alias w:val="模块:按单项计提坏账准备："/>
        <w:tag w:val="_SEC_498beef22f03474fa398c526ee8a934d"/>
        <w:id w:val="1244453452"/>
        <w:lock w:val="sdtLocked"/>
        <w:placeholder>
          <w:docPart w:val="GBC22222222222222222222222222222"/>
        </w:placeholder>
      </w:sdtPr>
      <w:sdtEndPr>
        <w:rPr>
          <w:rFonts w:hint="default"/>
        </w:rPr>
      </w:sdtEndPr>
      <w:sdtContent>
        <w:p>
          <w:pPr>
            <w:pStyle w:val="114"/>
          </w:pPr>
          <w:bookmarkStart w:id="141" w:name="_Hlk10467187"/>
          <w:bookmarkStart w:id="142" w:name="_Hlk10467200"/>
          <w:r>
            <w:rPr>
              <w:rFonts w:hint="eastAsia"/>
            </w:rPr>
            <w:t>按单项计提坏账准备：</w:t>
          </w:r>
          <w:bookmarkEnd w:id="141"/>
        </w:p>
        <w:sdt>
          <w:sdtPr>
            <w:rPr>
              <w:rFonts w:hint="eastAsia"/>
            </w:rPr>
            <w:alias w:val="是否适用：按单项计提坏账准备的应收账款详细情况[双击切换]"/>
            <w:tag w:val="_GBC_e07c01cfb2fe4b05a2bb603b7f914946"/>
            <w:id w:val="-272479784"/>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pPr>
                <w:pStyle w:val="114"/>
              </w:pPr>
            </w:p>
          </w:sdtContent>
        </w:sdt>
      </w:sdtContent>
    </w:sdt>
    <w:bookmarkEnd w:id="142"/>
    <w:p>
      <w:pPr>
        <w:pStyle w:val="114"/>
      </w:pPr>
      <w:bookmarkStart w:id="143"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83433732"/>
        <w:lock w:val="sdtConten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43"/>
    <w:sdt>
      <w:sdtPr>
        <w:rPr>
          <w:rFonts w:hint="eastAsia"/>
        </w:rPr>
        <w:alias w:val="模块:组合计提项目"/>
        <w:tag w:val="_SEC_f085826b570e4937b558307522853cff"/>
        <w:id w:val="1299951449"/>
        <w:lock w:val="sdtLocked"/>
      </w:sdtPr>
      <w:sdtEndPr>
        <w:rPr>
          <w:rFonts w:hint="default"/>
        </w:rPr>
      </w:sdtEndPr>
      <w:sdtContent>
        <w:p>
          <w:r>
            <w:rPr>
              <w:rFonts w:hint="eastAsia"/>
            </w:rPr>
            <w:t>组合计提项目：</w:t>
          </w:r>
          <w:sdt>
            <w:sdtPr>
              <w:rPr>
                <w:rFonts w:hint="eastAsia"/>
              </w:rPr>
              <w:alias w:val="按组合计提坏账准备的应收账款明细-组合名称"/>
              <w:tag w:val="_GBC_fec033684b6e412cabcd0e0ea1c6cb96"/>
              <w:id w:val="177090612"/>
              <w:lock w:val="sdtLocked"/>
              <w:comboBox>
                <w:listItem w:displayText="-应收电费款" w:value="-应收电费款"/>
                <w:listItem w:displayText="-应收通行费及其他" w:value="-应收通行费及其他"/>
              </w:comboBox>
            </w:sdtPr>
            <w:sdtEndPr>
              <w:rPr>
                <w:rFonts w:hint="eastAsia"/>
              </w:rPr>
            </w:sdtEndPr>
            <w:sdtContent>
              <w:r>
                <w:rPr>
                  <w:rFonts w:hint="eastAsia"/>
                </w:rPr>
                <w:t>无</w:t>
              </w:r>
            </w:sdtContent>
          </w:sdt>
        </w:p>
        <w:p>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1800837581"/>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6315341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6"/>
            <w:gridCol w:w="2309"/>
            <w:gridCol w:w="2351"/>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31ca2a43a5247699c45fd6309aee7fd"/>
                <w:id w:val="-1939662723"/>
                <w:lock w:val="sdtLocked"/>
              </w:sdtPr>
              <w:sdtContent>
                <w:tc>
                  <w:tcPr>
                    <w:tcW w:w="1158" w:type="pct"/>
                    <w:vMerge w:val="restart"/>
                    <w:vAlign w:val="center"/>
                  </w:tcPr>
                  <w:p>
                    <w:pPr>
                      <w:jc w:val="center"/>
                    </w:pPr>
                    <w:r>
                      <w:rPr>
                        <w:rFonts w:hint="eastAsia"/>
                      </w:rPr>
                      <w:t>名称</w:t>
                    </w:r>
                  </w:p>
                </w:tc>
              </w:sdtContent>
            </w:sdt>
            <w:sdt>
              <w:sdtPr>
                <w:tag w:val="_PLD_271f4f470bff48e385b1a5d9080fde35"/>
                <w:id w:val="-926411439"/>
                <w:lock w:val="sdtLocked"/>
              </w:sdtPr>
              <w:sdtContent>
                <w:tc>
                  <w:tcPr>
                    <w:tcW w:w="3842" w:type="pct"/>
                    <w:gridSpan w:val="3"/>
                    <w:vAlign w:val="center"/>
                  </w:tcPr>
                  <w:p>
                    <w:pPr>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pct"/>
                <w:vMerge w:val="continue"/>
              </w:tcPr>
              <w:p>
                <w:pPr>
                  <w:jc w:val="center"/>
                </w:pPr>
              </w:p>
            </w:tc>
            <w:sdt>
              <w:sdtPr>
                <w:tag w:val="_PLD_e1c956de9b3b4544a5d0584eaaf6aea2"/>
                <w:id w:val="113262920"/>
                <w:lock w:val="sdtLocked"/>
              </w:sdtPr>
              <w:sdtContent>
                <w:tc>
                  <w:tcPr>
                    <w:tcW w:w="1276" w:type="pct"/>
                    <w:vAlign w:val="center"/>
                  </w:tcPr>
                  <w:p>
                    <w:pPr>
                      <w:jc w:val="center"/>
                    </w:pPr>
                    <w:r>
                      <w:rPr>
                        <w:rFonts w:hint="eastAsia"/>
                      </w:rPr>
                      <w:t>应收账款</w:t>
                    </w:r>
                  </w:p>
                </w:tc>
              </w:sdtContent>
            </w:sdt>
            <w:sdt>
              <w:sdtPr>
                <w:tag w:val="_PLD_0098acb8b7f640f29f65a14017e23f02"/>
                <w:id w:val="-1314098848"/>
                <w:lock w:val="sdtLocked"/>
              </w:sdtPr>
              <w:sdtContent>
                <w:tc>
                  <w:tcPr>
                    <w:tcW w:w="1299" w:type="pct"/>
                    <w:vAlign w:val="center"/>
                  </w:tcPr>
                  <w:p>
                    <w:pPr>
                      <w:jc w:val="center"/>
                    </w:pPr>
                    <w:r>
                      <w:rPr>
                        <w:rFonts w:hint="eastAsia"/>
                      </w:rPr>
                      <w:t>坏账准备</w:t>
                    </w:r>
                  </w:p>
                </w:tc>
              </w:sdtContent>
            </w:sdt>
            <w:sdt>
              <w:sdtPr>
                <w:tag w:val="_PLD_290bbc3bde3c43c487996752ceb95160"/>
                <w:id w:val="-941451449"/>
                <w:lock w:val="sdtLocked"/>
              </w:sdtPr>
              <w:sdtContent>
                <w:tc>
                  <w:tcPr>
                    <w:tcW w:w="1267" w:type="pct"/>
                    <w:vAlign w:val="center"/>
                  </w:tcPr>
                  <w:p>
                    <w:pPr>
                      <w:jc w:val="center"/>
                    </w:pPr>
                    <w:r>
                      <w:t>计提比例</w:t>
                    </w:r>
                    <w:r>
                      <w:rPr>
                        <w:rFonts w:hint="eastAsia"/>
                      </w:rPr>
                      <w:t>（%）</w:t>
                    </w:r>
                  </w:p>
                </w:tc>
              </w:sdtContent>
            </w:sdt>
          </w:tr>
          <w:sdt>
            <w:sdtPr>
              <w:alias w:val="按组合计提坏账准备的应收账款详细名称明细"/>
              <w:tag w:val="_TUP_787dccbb6b7545edb25916e256cf8697"/>
              <w:id w:val="-57566706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pct"/>
                  </w:tcPr>
                  <w:p>
                    <w:r>
                      <w:rPr>
                        <w:rFonts w:hint="eastAsia"/>
                      </w:rPr>
                      <w:t>应收通行费及其他</w:t>
                    </w:r>
                  </w:p>
                </w:tc>
                <w:tc>
                  <w:tcPr>
                    <w:tcW w:w="1276" w:type="pct"/>
                  </w:tcPr>
                  <w:p>
                    <w:pPr>
                      <w:jc w:val="right"/>
                    </w:pPr>
                    <w:r>
                      <w:t>385,640,999.57</w:t>
                    </w:r>
                  </w:p>
                </w:tc>
                <w:tc>
                  <w:tcPr>
                    <w:tcW w:w="1299" w:type="pct"/>
                  </w:tcPr>
                  <w:p>
                    <w:pPr>
                      <w:jc w:val="right"/>
                    </w:pPr>
                    <w:r>
                      <w:t>599,045.53</w:t>
                    </w:r>
                  </w:p>
                </w:tc>
                <w:tc>
                  <w:tcPr>
                    <w:tcW w:w="1267" w:type="pct"/>
                  </w:tcPr>
                  <w:p>
                    <w:pPr>
                      <w:jc w:val="right"/>
                    </w:pPr>
                    <w:r>
                      <w:t>0.16</w:t>
                    </w:r>
                  </w:p>
                </w:tc>
              </w:tr>
            </w:sdtContent>
          </w:sdt>
          <w:sdt>
            <w:sdtPr>
              <w:alias w:val="按组合计提坏账准备的应收账款详细名称明细"/>
              <w:tag w:val="_TUP_787dccbb6b7545edb25916e256cf8697"/>
              <w:id w:val="178245479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pct"/>
                  </w:tcPr>
                  <w:p>
                    <w:r>
                      <w:rPr>
                        <w:rFonts w:hint="eastAsia"/>
                      </w:rPr>
                      <w:t>应收电费款</w:t>
                    </w:r>
                  </w:p>
                </w:tc>
                <w:tc>
                  <w:tcPr>
                    <w:tcW w:w="1276" w:type="pct"/>
                  </w:tcPr>
                  <w:p>
                    <w:pPr>
                      <w:jc w:val="right"/>
                    </w:pPr>
                    <w:r>
                      <w:t>929,286,350.13</w:t>
                    </w:r>
                  </w:p>
                </w:tc>
                <w:tc>
                  <w:tcPr>
                    <w:tcW w:w="1299" w:type="pct"/>
                  </w:tcPr>
                  <w:p>
                    <w:pPr>
                      <w:jc w:val="right"/>
                    </w:pPr>
                    <w:r>
                      <w:t>22,864,831.67</w:t>
                    </w:r>
                  </w:p>
                </w:tc>
                <w:tc>
                  <w:tcPr>
                    <w:tcW w:w="1267" w:type="pct"/>
                  </w:tcPr>
                  <w:p>
                    <w:pPr>
                      <w:jc w:val="right"/>
                    </w:pPr>
                    <w:r>
                      <w:t>2.46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a3bf225ae544565ad2cb49381fcaca1"/>
                <w:id w:val="1525054451"/>
                <w:lock w:val="sdtLocked"/>
              </w:sdtPr>
              <w:sdtContent>
                <w:tc>
                  <w:tcPr>
                    <w:tcW w:w="1158" w:type="pct"/>
                    <w:vAlign w:val="center"/>
                  </w:tcPr>
                  <w:p>
                    <w:pPr>
                      <w:jc w:val="center"/>
                    </w:pPr>
                    <w:r>
                      <w:rPr>
                        <w:rFonts w:hint="eastAsia"/>
                      </w:rPr>
                      <w:t>合计</w:t>
                    </w:r>
                  </w:p>
                </w:tc>
              </w:sdtContent>
            </w:sdt>
            <w:tc>
              <w:tcPr>
                <w:tcW w:w="1276" w:type="pct"/>
              </w:tcPr>
              <w:p>
                <w:pPr>
                  <w:jc w:val="right"/>
                </w:pPr>
                <w:r>
                  <w:t>1,314,927,349.70</w:t>
                </w:r>
              </w:p>
            </w:tc>
            <w:tc>
              <w:tcPr>
                <w:tcW w:w="1299" w:type="pct"/>
              </w:tcPr>
              <w:p>
                <w:pPr>
                  <w:jc w:val="right"/>
                </w:pPr>
                <w:r>
                  <w:t>23,463,877.20</w:t>
                </w:r>
              </w:p>
            </w:tc>
            <w:tc>
              <w:tcPr>
                <w:tcW w:w="1267" w:type="pct"/>
              </w:tcPr>
              <w:p>
                <w:pPr>
                  <w:jc w:val="right"/>
                </w:pPr>
                <w:r>
                  <w:t>1.78</w:t>
                </w:r>
              </w:p>
            </w:tc>
          </w:tr>
        </w:tbl>
        <w:p>
          <w:r>
            <w:rPr>
              <w:rFonts w:hint="eastAsia"/>
            </w:rPr>
            <w:t>按组合计提坏账的确认标准及说明：</w:t>
          </w:r>
        </w:p>
        <w:sdt>
          <w:sdtPr>
            <w:alias w:val="是否适用：按组合计提坏账准备的应收账款确认标准[双击切换]"/>
            <w:tag w:val="_GBC_8361cfeb973b4073b7fdbd49a393b38c"/>
            <w:id w:val="1728262668"/>
            <w:lock w:val="sdtLocked"/>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rPr>
        <w:alias w:val="模块:如按预期信用损失一般模型计提坏账准备，请参照其他应收款披露："/>
        <w:tag w:val="_SEC_a585c426a16c4a73a2145ded2280b59a"/>
        <w:id w:val="2075849096"/>
        <w:lock w:val="sdtLocked"/>
        <w:placeholder>
          <w:docPart w:val="GBC22222222222222222222222222222"/>
        </w:placeholder>
      </w:sdtPr>
      <w:sdtEndPr>
        <w:rPr>
          <w:rFonts w:hint="default"/>
        </w:rPr>
      </w:sdtEndPr>
      <w:sdtContent>
        <w:p>
          <w:pPr>
            <w:pStyle w:val="114"/>
          </w:pPr>
          <w:bookmarkStart w:id="144" w:name="_Hlk10467269"/>
          <w:bookmarkStart w:id="145" w:name="_Hlk10467279"/>
          <w:r>
            <w:rPr>
              <w:rFonts w:hint="eastAsia"/>
            </w:rPr>
            <w:t>如按预期信用损失一般模型计提坏账准备，请参照其他应收款披露：</w:t>
          </w:r>
          <w:bookmarkEnd w:id="144"/>
        </w:p>
        <w:sdt>
          <w:sdtPr>
            <w:alias w:val="是否适用：应收账款按一般预计信用损失模型计提坏账[双击切换]"/>
            <w:tag w:val="_GBC_dbecd76100814214abd6f7c10d1dd2fa"/>
            <w:id w:val="139431336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45"/>
    <w:sdt>
      <w:sdtPr>
        <w:rPr>
          <w:rFonts w:hint="eastAsia" w:ascii="宋体" w:hAnsi="宋体" w:cs="宋体"/>
          <w:b w:val="0"/>
          <w:bCs w:val="0"/>
          <w:kern w:val="0"/>
          <w:szCs w:val="21"/>
        </w:rPr>
        <w:alias w:val="模块:坏账准备的情况"/>
        <w:tag w:val="_SEC_585de72ff9a04d78b96f9dd88a2090f9"/>
        <w:id w:val="930095701"/>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3"/>
            </w:numPr>
            <w:tabs>
              <w:tab w:val="left" w:pos="574"/>
            </w:tabs>
            <w:rPr>
              <w:rFonts w:ascii="宋体" w:hAnsi="宋体"/>
              <w:szCs w:val="21"/>
            </w:rPr>
          </w:pPr>
          <w:bookmarkStart w:id="146" w:name="_Hlk10467433"/>
          <w:r>
            <w:rPr>
              <w:rFonts w:hint="eastAsia" w:ascii="宋体" w:hAnsi="宋体"/>
              <w:szCs w:val="21"/>
            </w:rPr>
            <w:t>坏账准备的情况</w:t>
          </w:r>
        </w:p>
        <w:sdt>
          <w:sdtPr>
            <w:alias w:val="是否适用：应收账款坏账准备[双击切换]"/>
            <w:tag w:val="_GBC_fb482eb90dbc45c4a6420c45e8a46012"/>
            <w:id w:val="167322300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42"/>
            <w:snapToGrid w:val="0"/>
            <w:spacing w:line="240" w:lineRule="atLeast"/>
            <w:ind w:left="425"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应收账款坏账准备"/>
              <w:tag w:val="_GBC_f681542ff42f497c9ed44328f301413f"/>
              <w:id w:val="-7676877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应收账款坏账准备"/>
              <w:tag w:val="_GBC_79f82daaad1749fbb117cea0941b8667"/>
              <w:id w:val="21270330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1243"/>
            <w:gridCol w:w="1634"/>
            <w:gridCol w:w="1526"/>
            <w:gridCol w:w="1094"/>
            <w:gridCol w:w="922"/>
            <w:gridCol w:w="1006"/>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sdt>
              <w:sdtPr>
                <w:tag w:val="_PLD_82b0419f5c784cbe8b363ff715cfd4eb"/>
                <w:id w:val="-148526092"/>
                <w:lock w:val="sdtLocked"/>
              </w:sdtPr>
              <w:sdtContent>
                <w:tc>
                  <w:tcPr>
                    <w:tcW w:w="686" w:type="pct"/>
                    <w:vMerge w:val="restart"/>
                    <w:shd w:val="clear" w:color="auto" w:fill="FFFFFF"/>
                    <w:vAlign w:val="center"/>
                  </w:tcPr>
                  <w:p>
                    <w:pPr>
                      <w:widowControl w:val="0"/>
                      <w:jc w:val="center"/>
                    </w:pPr>
                    <w:r>
                      <w:t>类别</w:t>
                    </w:r>
                  </w:p>
                </w:tc>
              </w:sdtContent>
            </w:sdt>
            <w:sdt>
              <w:sdtPr>
                <w:tag w:val="_PLD_6cba2c33cb334541980e3e13a6ee357d"/>
                <w:id w:val="283393920"/>
                <w:lock w:val="sdtLocked"/>
              </w:sdtPr>
              <w:sdtContent>
                <w:tc>
                  <w:tcPr>
                    <w:tcW w:w="902" w:type="pct"/>
                    <w:vMerge w:val="restart"/>
                    <w:shd w:val="clear" w:color="auto" w:fill="FFFFFF"/>
                    <w:vAlign w:val="center"/>
                  </w:tcPr>
                  <w:p>
                    <w:pPr>
                      <w:widowControl w:val="0"/>
                      <w:jc w:val="center"/>
                    </w:pPr>
                    <w:r>
                      <w:t>期初余额</w:t>
                    </w:r>
                  </w:p>
                </w:tc>
              </w:sdtContent>
            </w:sdt>
            <w:sdt>
              <w:sdtPr>
                <w:tag w:val="_PLD_ec3d2e2cde2a4ba29c966861f9ca39c7"/>
                <w:id w:val="1668439983"/>
                <w:lock w:val="sdtLocked"/>
              </w:sdtPr>
              <w:sdtContent>
                <w:tc>
                  <w:tcPr>
                    <w:tcW w:w="2510" w:type="pct"/>
                    <w:gridSpan w:val="4"/>
                    <w:shd w:val="clear" w:color="auto" w:fill="FFFFFF"/>
                    <w:vAlign w:val="center"/>
                  </w:tcPr>
                  <w:p>
                    <w:pPr>
                      <w:widowControl w:val="0"/>
                      <w:jc w:val="center"/>
                    </w:pPr>
                    <w:r>
                      <w:rPr>
                        <w:rFonts w:hint="eastAsia"/>
                      </w:rPr>
                      <w:t>本期变动</w:t>
                    </w:r>
                    <w:r>
                      <w:t>金额</w:t>
                    </w:r>
                  </w:p>
                </w:tc>
              </w:sdtContent>
            </w:sdt>
            <w:sdt>
              <w:sdtPr>
                <w:tag w:val="_PLD_9c167d6d72f94e22aecc39ba0e735a78"/>
                <w:id w:val="432099960"/>
                <w:lock w:val="sdtLocked"/>
              </w:sdtPr>
              <w:sdtContent>
                <w:tc>
                  <w:tcPr>
                    <w:tcW w:w="902" w:type="pct"/>
                    <w:vMerge w:val="restart"/>
                    <w:shd w:val="clear" w:color="auto" w:fill="FFFFFF"/>
                    <w:vAlign w:val="center"/>
                  </w:tcPr>
                  <w:p>
                    <w:pPr>
                      <w:widowControl w:val="0"/>
                      <w:jc w:val="center"/>
                    </w:pPr>
                    <w: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686" w:type="pct"/>
                <w:vMerge w:val="continue"/>
                <w:shd w:val="clear" w:color="auto" w:fill="FFFFFF"/>
              </w:tcPr>
              <w:p>
                <w:pPr>
                  <w:widowControl w:val="0"/>
                  <w:jc w:val="center"/>
                </w:pPr>
              </w:p>
            </w:tc>
            <w:tc>
              <w:tcPr>
                <w:tcW w:w="902" w:type="pct"/>
                <w:vMerge w:val="continue"/>
                <w:shd w:val="clear" w:color="auto" w:fill="FFFFFF"/>
              </w:tcPr>
              <w:p>
                <w:pPr>
                  <w:widowControl w:val="0"/>
                  <w:jc w:val="center"/>
                </w:pPr>
              </w:p>
            </w:tc>
            <w:sdt>
              <w:sdtPr>
                <w:tag w:val="_PLD_6cba23a5661e46c88bed469159b39a72"/>
                <w:id w:val="341210182"/>
                <w:lock w:val="sdtLocked"/>
              </w:sdtPr>
              <w:sdtContent>
                <w:tc>
                  <w:tcPr>
                    <w:tcW w:w="842" w:type="pct"/>
                    <w:shd w:val="clear" w:color="auto" w:fill="FFFFFF"/>
                    <w:vAlign w:val="center"/>
                  </w:tcPr>
                  <w:p>
                    <w:pPr>
                      <w:widowControl w:val="0"/>
                      <w:jc w:val="center"/>
                    </w:pPr>
                    <w:r>
                      <w:t>计提</w:t>
                    </w:r>
                  </w:p>
                </w:tc>
              </w:sdtContent>
            </w:sdt>
            <w:sdt>
              <w:sdtPr>
                <w:tag w:val="_PLD_eaa82901608843c6947a0e537e8e0700"/>
                <w:id w:val="-282807290"/>
                <w:lock w:val="sdtLocked"/>
              </w:sdtPr>
              <w:sdtContent>
                <w:tc>
                  <w:tcPr>
                    <w:tcW w:w="604" w:type="pct"/>
                    <w:shd w:val="clear" w:color="auto" w:fill="FFFFFF"/>
                    <w:vAlign w:val="center"/>
                  </w:tcPr>
                  <w:p>
                    <w:pPr>
                      <w:widowControl w:val="0"/>
                      <w:jc w:val="center"/>
                    </w:pPr>
                    <w:r>
                      <w:rPr>
                        <w:rFonts w:hint="eastAsia"/>
                      </w:rPr>
                      <w:t>收回或转回</w:t>
                    </w:r>
                  </w:p>
                </w:tc>
              </w:sdtContent>
            </w:sdt>
            <w:tc>
              <w:tcPr>
                <w:tcW w:w="509" w:type="pct"/>
                <w:shd w:val="clear" w:color="auto" w:fill="FFFFFF"/>
                <w:vAlign w:val="center"/>
              </w:tcPr>
              <w:sdt>
                <w:sdtPr>
                  <w:rPr>
                    <w:rFonts w:hint="eastAsia"/>
                  </w:rPr>
                  <w:tag w:val="_PLD_4232da6e7f4d498bb5fd03aa253dd7d4"/>
                  <w:id w:val="-1069573910"/>
                  <w:lock w:val="sdtLocked"/>
                </w:sdtPr>
                <w:sdtEndPr>
                  <w:rPr>
                    <w:rFonts w:hint="eastAsia"/>
                  </w:rPr>
                </w:sdtEndPr>
                <w:sdtContent>
                  <w:p>
                    <w:pPr>
                      <w:widowControl w:val="0"/>
                      <w:jc w:val="center"/>
                    </w:pPr>
                    <w:r>
                      <w:rPr>
                        <w:rFonts w:hint="eastAsia"/>
                      </w:rPr>
                      <w:t>转销或核销</w:t>
                    </w:r>
                  </w:p>
                </w:sdtContent>
              </w:sdt>
            </w:tc>
            <w:tc>
              <w:tcPr>
                <w:tcW w:w="555" w:type="pct"/>
                <w:shd w:val="clear" w:color="auto" w:fill="FFFFFF"/>
                <w:vAlign w:val="center"/>
              </w:tcPr>
              <w:sdt>
                <w:sdtPr>
                  <w:rPr>
                    <w:rFonts w:hint="eastAsia"/>
                  </w:rPr>
                  <w:tag w:val="_PLD_6a40df7ca60f4ded8af3453519948166"/>
                  <w:id w:val="-1643578709"/>
                  <w:lock w:val="sdtLocked"/>
                </w:sdtPr>
                <w:sdtEndPr>
                  <w:rPr>
                    <w:rFonts w:hint="eastAsia"/>
                  </w:rPr>
                </w:sdtEndPr>
                <w:sdtContent>
                  <w:p>
                    <w:pPr>
                      <w:widowControl w:val="0"/>
                      <w:jc w:val="center"/>
                    </w:pPr>
                    <w:r>
                      <w:rPr>
                        <w:rFonts w:hint="eastAsia"/>
                      </w:rPr>
                      <w:t>其他变动</w:t>
                    </w:r>
                  </w:p>
                </w:sdtContent>
              </w:sdt>
            </w:tc>
            <w:tc>
              <w:tcPr>
                <w:tcW w:w="902" w:type="pct"/>
                <w:vMerge w:val="continue"/>
                <w:shd w:val="clear" w:color="auto" w:fill="FFFFFF"/>
              </w:tcPr>
              <w:p>
                <w:pPr>
                  <w:widowControl w:val="0"/>
                  <w:jc w:val="right"/>
                </w:pPr>
              </w:p>
            </w:tc>
          </w:tr>
          <w:sdt>
            <w:sdtPr>
              <w:alias w:val="应收账款坏账准备明细"/>
              <w:tag w:val="_TUP_04277916d7e64096951ac7654a59b39a"/>
              <w:id w:val="-32559652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686" w:type="pct"/>
                    <w:shd w:val="clear" w:color="auto" w:fill="auto"/>
                  </w:tcPr>
                  <w:p>
                    <w:pPr>
                      <w:widowControl w:val="0"/>
                    </w:pPr>
                    <w:r>
                      <w:rPr>
                        <w:rFonts w:hint="eastAsia"/>
                      </w:rPr>
                      <w:t>按组合计提坏账准备</w:t>
                    </w:r>
                  </w:p>
                </w:tc>
                <w:tc>
                  <w:tcPr>
                    <w:tcW w:w="902" w:type="pct"/>
                    <w:shd w:val="clear" w:color="auto" w:fill="auto"/>
                  </w:tcPr>
                  <w:p>
                    <w:pPr>
                      <w:widowControl w:val="0"/>
                      <w:jc w:val="right"/>
                    </w:pPr>
                    <w:r>
                      <w:t>14,522,231.20</w:t>
                    </w:r>
                  </w:p>
                </w:tc>
                <w:tc>
                  <w:tcPr>
                    <w:tcW w:w="842" w:type="pct"/>
                    <w:shd w:val="clear" w:color="auto" w:fill="auto"/>
                  </w:tcPr>
                  <w:p>
                    <w:pPr>
                      <w:widowControl w:val="0"/>
                      <w:jc w:val="right"/>
                    </w:pPr>
                    <w:r>
                      <w:t>8,949,782.80</w:t>
                    </w:r>
                  </w:p>
                </w:tc>
                <w:tc>
                  <w:tcPr>
                    <w:tcW w:w="604" w:type="pct"/>
                    <w:shd w:val="clear" w:color="auto" w:fill="auto"/>
                  </w:tcPr>
                  <w:p>
                    <w:pPr>
                      <w:widowControl w:val="0"/>
                      <w:jc w:val="right"/>
                    </w:pPr>
                    <w:r>
                      <w:t>8,136.80</w:t>
                    </w:r>
                  </w:p>
                </w:tc>
                <w:tc>
                  <w:tcPr>
                    <w:tcW w:w="509" w:type="pct"/>
                  </w:tcPr>
                  <w:p>
                    <w:pPr>
                      <w:widowControl w:val="0"/>
                      <w:jc w:val="right"/>
                    </w:pPr>
                    <w:r>
                      <w:t>-</w:t>
                    </w:r>
                  </w:p>
                </w:tc>
                <w:tc>
                  <w:tcPr>
                    <w:tcW w:w="555" w:type="pct"/>
                  </w:tcPr>
                  <w:p>
                    <w:pPr>
                      <w:widowControl w:val="0"/>
                      <w:jc w:val="right"/>
                    </w:pPr>
                    <w:r>
                      <w:t>-</w:t>
                    </w:r>
                  </w:p>
                </w:tc>
                <w:tc>
                  <w:tcPr>
                    <w:tcW w:w="902" w:type="pct"/>
                    <w:shd w:val="clear" w:color="auto" w:fill="auto"/>
                  </w:tcPr>
                  <w:p>
                    <w:pPr>
                      <w:widowControl w:val="0"/>
                      <w:jc w:val="right"/>
                    </w:pPr>
                    <w:r>
                      <w:t>23,463,877.20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sdt>
              <w:sdtPr>
                <w:tag w:val="_PLD_8c958a5c94c1486e8139bef49c636c6d"/>
                <w:id w:val="-104116688"/>
                <w:lock w:val="sdtLocked"/>
              </w:sdtPr>
              <w:sdtContent>
                <w:tc>
                  <w:tcPr>
                    <w:tcW w:w="686" w:type="pct"/>
                    <w:shd w:val="clear" w:color="auto" w:fill="auto"/>
                  </w:tcPr>
                  <w:p>
                    <w:pPr>
                      <w:widowControl w:val="0"/>
                      <w:jc w:val="center"/>
                    </w:pPr>
                    <w:r>
                      <w:rPr>
                        <w:rFonts w:hint="eastAsia"/>
                      </w:rPr>
                      <w:t>合计</w:t>
                    </w:r>
                  </w:p>
                </w:tc>
              </w:sdtContent>
            </w:sdt>
            <w:tc>
              <w:tcPr>
                <w:tcW w:w="902" w:type="pct"/>
                <w:shd w:val="clear" w:color="auto" w:fill="auto"/>
                <w:vAlign w:val="center"/>
              </w:tcPr>
              <w:p>
                <w:pPr>
                  <w:widowControl w:val="0"/>
                  <w:jc w:val="right"/>
                </w:pPr>
                <w:r>
                  <w:t>14,522,231.20</w:t>
                </w:r>
              </w:p>
            </w:tc>
            <w:tc>
              <w:tcPr>
                <w:tcW w:w="842" w:type="pct"/>
                <w:shd w:val="clear" w:color="auto" w:fill="auto"/>
                <w:vAlign w:val="center"/>
              </w:tcPr>
              <w:p>
                <w:pPr>
                  <w:widowControl w:val="0"/>
                  <w:jc w:val="right"/>
                </w:pPr>
                <w:r>
                  <w:t>8,949,782.80</w:t>
                </w:r>
              </w:p>
            </w:tc>
            <w:tc>
              <w:tcPr>
                <w:tcW w:w="604" w:type="pct"/>
                <w:shd w:val="clear" w:color="auto" w:fill="auto"/>
                <w:vAlign w:val="center"/>
              </w:tcPr>
              <w:p>
                <w:pPr>
                  <w:widowControl w:val="0"/>
                  <w:jc w:val="right"/>
                </w:pPr>
                <w:r>
                  <w:t>8,136.80</w:t>
                </w:r>
              </w:p>
            </w:tc>
            <w:tc>
              <w:tcPr>
                <w:tcW w:w="509" w:type="pct"/>
                <w:vAlign w:val="center"/>
              </w:tcPr>
              <w:p>
                <w:pPr>
                  <w:widowControl w:val="0"/>
                  <w:jc w:val="right"/>
                </w:pPr>
                <w:r>
                  <w:t>-</w:t>
                </w:r>
              </w:p>
            </w:tc>
            <w:tc>
              <w:tcPr>
                <w:tcW w:w="555" w:type="pct"/>
                <w:vAlign w:val="center"/>
              </w:tcPr>
              <w:p>
                <w:pPr>
                  <w:widowControl w:val="0"/>
                  <w:jc w:val="right"/>
                </w:pPr>
                <w:r>
                  <w:t>-</w:t>
                </w:r>
              </w:p>
            </w:tc>
            <w:tc>
              <w:tcPr>
                <w:tcW w:w="902" w:type="pct"/>
                <w:shd w:val="clear" w:color="auto" w:fill="auto"/>
                <w:vAlign w:val="center"/>
              </w:tcPr>
              <w:p>
                <w:pPr>
                  <w:widowControl w:val="0"/>
                  <w:jc w:val="right"/>
                </w:pPr>
                <w:r>
                  <w:t>23,463,877.20</w:t>
                </w:r>
              </w:p>
            </w:tc>
          </w:tr>
        </w:tbl>
        <w:p>
          <w:pPr>
            <w:pStyle w:val="114"/>
          </w:pPr>
          <w:r>
            <w:rPr>
              <w:rFonts w:hint="eastAsia"/>
            </w:rPr>
            <w:t>其中本期坏账准备收回或转回金额重要的：</w:t>
          </w:r>
        </w:p>
        <w:sdt>
          <w:sdtPr>
            <w:alias w:val="是否适用：其中本期坏账准备收回或转回金额重要的[双击切换]"/>
            <w:tag w:val="_GBC_362288b01950422da8198293b517eeb5"/>
            <w:id w:val="-41994513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6"/>
    <w:p>
      <w:pPr>
        <w:pStyle w:val="114"/>
      </w:pPr>
    </w:p>
    <w:sdt>
      <w:sdtPr>
        <w:rPr>
          <w:rFonts w:hint="eastAsia" w:ascii="宋体" w:hAnsi="宋体" w:cs="宋体"/>
          <w:b w:val="0"/>
          <w:bCs w:val="0"/>
          <w:kern w:val="0"/>
          <w:szCs w:val="24"/>
        </w:rPr>
        <w:alias w:val="模块:本报告期实际核销的应收账款情况"/>
        <w:tag w:val="_GBC_af8ceb97930d4d7391d4823a068c824b"/>
        <w:id w:val="8681163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3"/>
            </w:numPr>
            <w:tabs>
              <w:tab w:val="left" w:pos="574"/>
            </w:tabs>
            <w:rPr>
              <w:rFonts w:ascii="宋体" w:hAnsi="宋体"/>
            </w:rPr>
          </w:pPr>
          <w:r>
            <w:rPr>
              <w:rFonts w:ascii="宋体" w:hAnsi="宋体"/>
            </w:rPr>
            <w:t>本期实际核销的应收</w:t>
          </w:r>
          <w:r>
            <w:rPr>
              <w:rFonts w:hint="eastAsia" w:ascii="宋体" w:hAnsi="宋体"/>
            </w:rPr>
            <w:t>账款</w:t>
          </w:r>
          <w:r>
            <w:rPr>
              <w:rFonts w:ascii="宋体" w:hAnsi="宋体"/>
            </w:rPr>
            <w:t>情况</w:t>
          </w:r>
        </w:p>
        <w:sdt>
          <w:sdtPr>
            <w:alias w:val="是否适用：本期实际核销的应收账款情况[双击切换]"/>
            <w:tag w:val="_GBC_240341a3455747bb87ecabf420d94ec5"/>
            <w:id w:val="188760036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按欠款方归集的期末余额前五名的应收账款情况："/>
        <w:tag w:val="_GBC_e8adf46f2d204834ad681ac980eff4f7"/>
        <w:id w:val="1494455856"/>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3"/>
            </w:numPr>
            <w:tabs>
              <w:tab w:val="left" w:pos="574"/>
            </w:tabs>
            <w:rPr>
              <w:rFonts w:ascii="宋体" w:hAnsi="宋体"/>
            </w:rPr>
          </w:pPr>
          <w:r>
            <w:rPr>
              <w:rFonts w:hint="eastAsia" w:ascii="宋体" w:hAnsi="宋体"/>
            </w:rPr>
            <w:t>按欠款方归集的期末余额前五名的应收账款情况</w:t>
          </w:r>
        </w:p>
        <w:sdt>
          <w:sdtPr>
            <w:rPr>
              <w:rFonts w:hint="eastAsia"/>
            </w:rPr>
            <w:alias w:val="是否适用：按欠款方归集的期末余额前五名的应收账款情况[双击切换]"/>
            <w:tag w:val="_GBC_26f285dee1444697be56ea61bc5c0578"/>
            <w:id w:val="-1067411423"/>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1749406626"/>
            <w:lock w:val="sdtLocked"/>
            <w:placeholder>
              <w:docPart w:val="GBC22222222222222222222222222222"/>
            </w:placeholder>
          </w:sdtPr>
          <w:sdtContent>
            <w:p>
              <w:pPr>
                <w:snapToGrid w:val="0"/>
                <w:spacing w:line="240" w:lineRule="atLeast"/>
              </w:pPr>
              <w:r>
                <w:rPr>
                  <w:rFonts w:hint="eastAsia"/>
                </w:rPr>
                <w:t>本集团期末余额前五名的应收账款合计人民币</w:t>
              </w:r>
              <w:r>
                <w:t>1,056,028,949.60元，占应收账款期末余额合计数的80.31%，相应计提的坏账准备期末余额合计人民币22,723,783.70元。</w:t>
              </w:r>
            </w:p>
          </w:sdtContent>
        </w:sdt>
      </w:sdtContent>
    </w:sdt>
    <w:p>
      <w:pPr>
        <w:snapToGrid w:val="0"/>
        <w:spacing w:line="240" w:lineRule="atLeast"/>
        <w:ind w:left="-105" w:leftChars="-50"/>
      </w:pPr>
    </w:p>
    <w:sdt>
      <w:sdtPr>
        <w:rPr>
          <w:rFonts w:hint="eastAsia" w:ascii="宋体" w:hAnsi="宋体" w:cs="宋体"/>
          <w:b w:val="0"/>
          <w:bCs w:val="0"/>
          <w:kern w:val="0"/>
          <w:szCs w:val="24"/>
        </w:rPr>
        <w:alias w:val="模块:因金融资产转移而终止确认的应收账款"/>
        <w:tag w:val="_GBC_79d1ccfd87f84b4ab10a992730026aa0"/>
        <w:id w:val="1248844210"/>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3"/>
            </w:numPr>
            <w:tabs>
              <w:tab w:val="left" w:pos="574"/>
            </w:tabs>
            <w:rPr>
              <w:rFonts w:ascii="宋体" w:hAnsi="宋体"/>
              <w:kern w:val="0"/>
            </w:rPr>
          </w:pPr>
          <w:r>
            <w:rPr>
              <w:rFonts w:hint="eastAsia" w:ascii="宋体" w:hAnsi="宋体"/>
              <w:kern w:val="0"/>
            </w:rPr>
            <w:t>因</w:t>
          </w:r>
          <w:r>
            <w:rPr>
              <w:rFonts w:hint="eastAsia" w:ascii="宋体" w:hAnsi="宋体"/>
            </w:rPr>
            <w:t>金融资产</w:t>
          </w:r>
          <w:r>
            <w:rPr>
              <w:rFonts w:hint="eastAsia" w:ascii="宋体" w:hAnsi="宋体"/>
              <w:kern w:val="0"/>
            </w:rPr>
            <w:t>转移而终止确认的应收账款</w:t>
          </w:r>
        </w:p>
        <w:sdt>
          <w:sdtPr>
            <w:rPr>
              <w:rFonts w:hint="eastAsia"/>
            </w:rPr>
            <w:alias w:val="是否适用：因金融资产转移而终止确认的应收账款[双击切换]"/>
            <w:tag w:val="_GBC_49c226ad97e8410fb7b074c9336b510a"/>
            <w:id w:val="107014395"/>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sdt>
      <w:sdtPr>
        <w:rPr>
          <w:rFonts w:hint="eastAsia" w:ascii="宋体" w:hAnsi="宋体" w:cs="宋体"/>
          <w:b w:val="0"/>
          <w:bCs w:val="0"/>
          <w:kern w:val="0"/>
          <w:szCs w:val="24"/>
        </w:rPr>
        <w:alias w:val="模块:转移应收账款且继续涉入的，分项列示继续涉入形成的资产、负债的金额"/>
        <w:tag w:val="_GBC_d3d5d3b413a24c269f804c6a3e3f1c06"/>
        <w:id w:val="14896919"/>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3"/>
            </w:numPr>
            <w:tabs>
              <w:tab w:val="left" w:pos="574"/>
            </w:tabs>
            <w:rPr>
              <w:rFonts w:ascii="宋体" w:hAnsi="宋体"/>
            </w:rPr>
          </w:pPr>
          <w:r>
            <w:rPr>
              <w:rFonts w:hint="eastAsia" w:ascii="宋体" w:hAnsi="宋体"/>
              <w:kern w:val="0"/>
              <w:szCs w:val="21"/>
            </w:rPr>
            <w:t>转移应收账款且</w:t>
          </w:r>
          <w:r>
            <w:rPr>
              <w:rFonts w:hint="eastAsia" w:ascii="宋体" w:hAnsi="宋体"/>
            </w:rPr>
            <w:t>继续</w:t>
          </w:r>
          <w:r>
            <w:rPr>
              <w:rFonts w:hint="eastAsia" w:ascii="宋体" w:hAnsi="宋体"/>
              <w:kern w:val="0"/>
              <w:szCs w:val="21"/>
            </w:rPr>
            <w:t>涉入形成的资产、负债金额</w:t>
          </w:r>
        </w:p>
        <w:sdt>
          <w:sdtPr>
            <w:rPr>
              <w:rFonts w:hint="eastAsia"/>
            </w:rPr>
            <w:alias w:val="是否适用：转移应收账款且继续涉入形成的资产、负债金额[双击切换]"/>
            <w:tag w:val="_GBC_8916c4a80e024e80ab488fe678c14970"/>
            <w:id w:val="-577525182"/>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napToGrid w:val="0"/>
        <w:spacing w:line="240" w:lineRule="atLeast"/>
        <w:ind w:left="-105" w:leftChars="-50"/>
      </w:pPr>
    </w:p>
    <w:sdt>
      <w:sdtPr>
        <w:rPr>
          <w:rFonts w:hint="eastAsia"/>
          <w:b/>
          <w:bCs/>
        </w:rPr>
        <w:alias w:val="模块:应收账款其他说明"/>
        <w:tag w:val="_GBC_2f38c172c62a46cfa73776efdf952fad"/>
        <w:id w:val="668134557"/>
        <w:lock w:val="sdtLocked"/>
        <w:placeholder>
          <w:docPart w:val="GBC22222222222222222222222222222"/>
        </w:placeholder>
      </w:sdtPr>
      <w:sdtEndPr>
        <w:rPr>
          <w:rFonts w:hint="default"/>
          <w:b w:val="0"/>
          <w:bCs w:val="0"/>
        </w:rPr>
      </w:sdtEndPr>
      <w:sdtContent>
        <w:p>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957164749"/>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应收款项融资"/>
        <w:tag w:val="_SEC_99a20d0771254b5596c992bd0fe179a3"/>
        <w:id w:val="138360109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rPr>
              <w:rFonts w:ascii="宋体" w:hAnsi="宋体"/>
              <w:szCs w:val="21"/>
            </w:rPr>
          </w:pPr>
          <w:r>
            <w:rPr>
              <w:rFonts w:hint="eastAsia" w:ascii="宋体" w:hAnsi="宋体"/>
              <w:szCs w:val="21"/>
            </w:rPr>
            <w:t>应收款项融资</w:t>
          </w:r>
        </w:p>
        <w:sdt>
          <w:sdtPr>
            <w:alias w:val="是否适用：应收款项融资[双击切换]"/>
            <w:tag w:val="_GBC_b66c8e5d6d6f4ccf9bd0ebfd1f5495e4"/>
            <w:id w:val="-149124677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p>
      <w:pPr>
        <w:pStyle w:val="4"/>
        <w:numPr>
          <w:ilvl w:val="0"/>
          <w:numId w:val="51"/>
        </w:numPr>
        <w:rPr>
          <w:rFonts w:ascii="宋体" w:hAnsi="宋体"/>
        </w:rPr>
      </w:pPr>
      <w:r>
        <w:rPr>
          <w:rFonts w:hint="eastAsia" w:ascii="宋体" w:hAnsi="宋体"/>
        </w:rPr>
        <w:t>预付款项</w:t>
      </w:r>
    </w:p>
    <w:sdt>
      <w:sdtPr>
        <w:rPr>
          <w:rFonts w:hint="eastAsia" w:ascii="宋体" w:hAnsi="宋体" w:cs="宋体"/>
          <w:b w:val="0"/>
          <w:bCs w:val="0"/>
          <w:kern w:val="0"/>
          <w:szCs w:val="22"/>
        </w:rPr>
        <w:alias w:val="模块:预付款项按账龄列示"/>
        <w:tag w:val="_GBC_4c02994d3bd04bacba6592630552e576"/>
        <w:id w:val="164361547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54"/>
            </w:numPr>
            <w:tabs>
              <w:tab w:val="left" w:pos="616"/>
            </w:tabs>
            <w:rPr>
              <w:rFonts w:ascii="宋体" w:hAnsi="宋体"/>
            </w:rPr>
          </w:pPr>
          <w:r>
            <w:rPr>
              <w:rFonts w:hint="eastAsia" w:ascii="宋体" w:hAnsi="宋体"/>
            </w:rPr>
            <w:t>预付款项按账龄列示</w:t>
          </w:r>
        </w:p>
        <w:sdt>
          <w:sdtPr>
            <w:alias w:val="是否适用：预付款项按账龄列示[双击切换]"/>
            <w:tag w:val="_GBC_af3b3e24767e48f7a70a5cfa609407a2"/>
            <w:id w:val="106175991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b/>
            </w:rPr>
          </w:pPr>
          <w:r>
            <w:rPr>
              <w:rFonts w:hint="eastAsia"/>
            </w:rPr>
            <w:t>单位：</w:t>
          </w:r>
          <w:sdt>
            <w:sdtPr>
              <w:rPr>
                <w:rFonts w:hint="eastAsia"/>
              </w:rPr>
              <w:alias w:val="单位：财务附注：预付账款账龄"/>
              <w:tag w:val="_GBC_9eb28bbf7d374cdf965c7e133b610fb3"/>
              <w:id w:val="-258293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12898153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361"/>
            <w:gridCol w:w="1891"/>
            <w:gridCol w:w="1877"/>
            <w:gridCol w:w="1875"/>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37" w:hRule="atLeast"/>
            </w:trPr>
            <w:sdt>
              <w:sdtPr>
                <w:tag w:val="_PLD_159a64f22a4a4b1ab31846b4d6034c4c"/>
                <w:id w:val="-1454857135"/>
                <w:lock w:val="sdtLocked"/>
              </w:sdtPr>
              <w:sdtContent>
                <w:tc>
                  <w:tcPr>
                    <w:tcW w:w="765" w:type="pct"/>
                    <w:vMerge w:val="restart"/>
                    <w:vAlign w:val="center"/>
                  </w:tcPr>
                  <w:p>
                    <w:pPr>
                      <w:jc w:val="center"/>
                    </w:pPr>
                    <w:r>
                      <w:rPr>
                        <w:rFonts w:hint="eastAsia"/>
                      </w:rPr>
                      <w:t>账龄</w:t>
                    </w:r>
                  </w:p>
                </w:tc>
              </w:sdtContent>
            </w:sdt>
            <w:sdt>
              <w:sdtPr>
                <w:tag w:val="_PLD_6ca82cba92a649d08c6ceb86dd951ef3"/>
                <w:id w:val="341447437"/>
                <w:lock w:val="sdtLocked"/>
              </w:sdtPr>
              <w:sdtContent>
                <w:tc>
                  <w:tcPr>
                    <w:tcW w:w="2118" w:type="pct"/>
                    <w:gridSpan w:val="2"/>
                    <w:vAlign w:val="center"/>
                  </w:tcPr>
                  <w:p>
                    <w:pPr>
                      <w:jc w:val="center"/>
                    </w:pPr>
                    <w:r>
                      <w:rPr>
                        <w:rFonts w:hint="eastAsia"/>
                      </w:rPr>
                      <w:t>期末余额</w:t>
                    </w:r>
                  </w:p>
                </w:tc>
              </w:sdtContent>
            </w:sdt>
            <w:sdt>
              <w:sdtPr>
                <w:tag w:val="_PLD_365dab2f8fd246d79543ed0d2e6dcab7"/>
                <w:id w:val="611170708"/>
                <w:lock w:val="sdtLocked"/>
              </w:sdtPr>
              <w:sdtContent>
                <w:tc>
                  <w:tcPr>
                    <w:tcW w:w="2117" w:type="pct"/>
                    <w:gridSpan w:val="2"/>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65" w:type="pct"/>
                <w:vMerge w:val="continue"/>
              </w:tcPr>
              <w:p>
                <w:pPr>
                  <w:pStyle w:val="114"/>
                </w:pPr>
              </w:p>
            </w:tc>
            <w:sdt>
              <w:sdtPr>
                <w:tag w:val="_PLD_a9d7b721cfa446e9ae31149380da5970"/>
                <w:id w:val="-1143278574"/>
                <w:lock w:val="sdtLocked"/>
              </w:sdtPr>
              <w:sdtContent>
                <w:tc>
                  <w:tcPr>
                    <w:tcW w:w="1063" w:type="pct"/>
                    <w:vAlign w:val="center"/>
                  </w:tcPr>
                  <w:p>
                    <w:pPr>
                      <w:jc w:val="center"/>
                    </w:pPr>
                    <w:r>
                      <w:rPr>
                        <w:rFonts w:hint="eastAsia"/>
                      </w:rPr>
                      <w:t>金额</w:t>
                    </w:r>
                  </w:p>
                </w:tc>
              </w:sdtContent>
            </w:sdt>
            <w:sdt>
              <w:sdtPr>
                <w:tag w:val="_PLD_2d8b8f523dcd4c95815b7c8fd528129d"/>
                <w:id w:val="-743491628"/>
                <w:lock w:val="sdtLocked"/>
              </w:sdtPr>
              <w:sdtContent>
                <w:tc>
                  <w:tcPr>
                    <w:tcW w:w="1055" w:type="pct"/>
                    <w:vAlign w:val="center"/>
                  </w:tcPr>
                  <w:p>
                    <w:pPr>
                      <w:jc w:val="center"/>
                    </w:pPr>
                    <w:r>
                      <w:rPr>
                        <w:rFonts w:hint="eastAsia"/>
                      </w:rPr>
                      <w:t>比例</w:t>
                    </w:r>
                    <w:r>
                      <w:t>(%)</w:t>
                    </w:r>
                  </w:p>
                </w:tc>
              </w:sdtContent>
            </w:sdt>
            <w:sdt>
              <w:sdtPr>
                <w:tag w:val="_PLD_f01816a56b3f4ec1a7d603d3ac318eb1"/>
                <w:id w:val="353775358"/>
                <w:lock w:val="sdtLocked"/>
              </w:sdtPr>
              <w:sdtContent>
                <w:tc>
                  <w:tcPr>
                    <w:tcW w:w="1054" w:type="pct"/>
                    <w:vAlign w:val="center"/>
                  </w:tcPr>
                  <w:p>
                    <w:pPr>
                      <w:jc w:val="center"/>
                    </w:pPr>
                    <w:r>
                      <w:rPr>
                        <w:rFonts w:hint="eastAsia"/>
                      </w:rPr>
                      <w:t>金额</w:t>
                    </w:r>
                  </w:p>
                </w:tc>
              </w:sdtContent>
            </w:sdt>
            <w:sdt>
              <w:sdtPr>
                <w:tag w:val="_PLD_55adcab5f9be4d24b3d0faaf5403e89a"/>
                <w:id w:val="99773965"/>
                <w:lock w:val="sdtLocked"/>
              </w:sdtPr>
              <w:sdtContent>
                <w:tc>
                  <w:tcPr>
                    <w:tcW w:w="1063" w:type="pct"/>
                    <w:vAlign w:val="center"/>
                  </w:tcPr>
                  <w:p>
                    <w:pPr>
                      <w:jc w:val="center"/>
                    </w:pPr>
                    <w:r>
                      <w:rPr>
                        <w:rFonts w:hint="eastAsia"/>
                      </w:rPr>
                      <w:t>比例</w:t>
                    </w:r>
                    <w: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26543d5743964e32ae30d0d46bd6131c"/>
                <w:id w:val="974714315"/>
                <w:lock w:val="sdtLocked"/>
              </w:sdtPr>
              <w:sdtContent>
                <w:tc>
                  <w:tcPr>
                    <w:tcW w:w="765" w:type="pct"/>
                  </w:tcPr>
                  <w:p>
                    <w:pPr>
                      <w:pStyle w:val="114"/>
                    </w:pPr>
                    <w:r>
                      <w:rPr>
                        <w:rFonts w:hint="eastAsia"/>
                      </w:rPr>
                      <w:t>1年以内</w:t>
                    </w:r>
                  </w:p>
                </w:tc>
              </w:sdtContent>
            </w:sdt>
            <w:tc>
              <w:tcPr>
                <w:tcW w:w="1063" w:type="pct"/>
                <w:vAlign w:val="center"/>
              </w:tcPr>
              <w:p>
                <w:pPr>
                  <w:jc w:val="right"/>
                </w:pPr>
                <w:r>
                  <w:t>20,027,338.21</w:t>
                </w:r>
              </w:p>
            </w:tc>
            <w:tc>
              <w:tcPr>
                <w:tcW w:w="1055" w:type="pct"/>
                <w:vAlign w:val="center"/>
              </w:tcPr>
              <w:p>
                <w:pPr>
                  <w:jc w:val="right"/>
                </w:pPr>
                <w:r>
                  <w:t>98.23</w:t>
                </w:r>
              </w:p>
            </w:tc>
            <w:tc>
              <w:tcPr>
                <w:tcW w:w="1054" w:type="pct"/>
                <w:vAlign w:val="center"/>
              </w:tcPr>
              <w:p>
                <w:pPr>
                  <w:jc w:val="right"/>
                </w:pPr>
                <w:r>
                  <w:t>7,096,853.21</w:t>
                </w:r>
              </w:p>
            </w:tc>
            <w:tc>
              <w:tcPr>
                <w:tcW w:w="1063" w:type="pct"/>
                <w:vAlign w:val="center"/>
              </w:tcPr>
              <w:p>
                <w:pPr>
                  <w:jc w:val="right"/>
                </w:pPr>
                <w:r>
                  <w:t>91.73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fa162d7579db4acd997484df51e51de6"/>
                <w:id w:val="-572739914"/>
                <w:lock w:val="sdtLocked"/>
              </w:sdtPr>
              <w:sdtContent>
                <w:tc>
                  <w:tcPr>
                    <w:tcW w:w="765" w:type="pct"/>
                  </w:tcPr>
                  <w:p>
                    <w:pPr>
                      <w:pStyle w:val="114"/>
                    </w:pPr>
                    <w:r>
                      <w:rPr>
                        <w:rFonts w:hint="eastAsia"/>
                      </w:rPr>
                      <w:t>1至2年</w:t>
                    </w:r>
                  </w:p>
                </w:tc>
              </w:sdtContent>
            </w:sdt>
            <w:tc>
              <w:tcPr>
                <w:tcW w:w="1063" w:type="pct"/>
                <w:vAlign w:val="center"/>
              </w:tcPr>
              <w:p>
                <w:pPr>
                  <w:jc w:val="right"/>
                </w:pPr>
                <w:r>
                  <w:t>351,818.00</w:t>
                </w:r>
              </w:p>
            </w:tc>
            <w:tc>
              <w:tcPr>
                <w:tcW w:w="1055" w:type="pct"/>
                <w:vAlign w:val="center"/>
              </w:tcPr>
              <w:p>
                <w:pPr>
                  <w:jc w:val="right"/>
                </w:pPr>
                <w:r>
                  <w:t>1.72</w:t>
                </w:r>
              </w:p>
            </w:tc>
            <w:tc>
              <w:tcPr>
                <w:tcW w:w="1054" w:type="pct"/>
                <w:vAlign w:val="center"/>
              </w:tcPr>
              <w:p>
                <w:pPr>
                  <w:jc w:val="right"/>
                </w:pPr>
                <w:r>
                  <w:t>583,769.95</w:t>
                </w:r>
              </w:p>
            </w:tc>
            <w:tc>
              <w:tcPr>
                <w:tcW w:w="1063" w:type="pct"/>
                <w:vAlign w:val="center"/>
              </w:tcPr>
              <w:p>
                <w:pPr>
                  <w:jc w:val="right"/>
                </w:pPr>
                <w:r>
                  <w:t>7.54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43897a3965694d6691fcba6be58bfd88"/>
                <w:id w:val="-590926135"/>
                <w:lock w:val="sdtLocked"/>
              </w:sdtPr>
              <w:sdtContent>
                <w:tc>
                  <w:tcPr>
                    <w:tcW w:w="765" w:type="pct"/>
                  </w:tcPr>
                  <w:p>
                    <w:pPr>
                      <w:pStyle w:val="114"/>
                    </w:pPr>
                    <w:r>
                      <w:rPr>
                        <w:rFonts w:hint="eastAsia"/>
                      </w:rPr>
                      <w:t>2至3年</w:t>
                    </w:r>
                  </w:p>
                </w:tc>
              </w:sdtContent>
            </w:sdt>
            <w:tc>
              <w:tcPr>
                <w:tcW w:w="1063" w:type="pct"/>
                <w:vAlign w:val="center"/>
              </w:tcPr>
              <w:p>
                <w:pPr>
                  <w:jc w:val="right"/>
                </w:pPr>
                <w:r>
                  <w:t>9,434.00</w:t>
                </w:r>
              </w:p>
            </w:tc>
            <w:tc>
              <w:tcPr>
                <w:tcW w:w="1055" w:type="pct"/>
                <w:vAlign w:val="center"/>
              </w:tcPr>
              <w:p>
                <w:pPr>
                  <w:jc w:val="right"/>
                </w:pPr>
                <w:r>
                  <w:t>0.05</w:t>
                </w:r>
              </w:p>
            </w:tc>
            <w:tc>
              <w:tcPr>
                <w:tcW w:w="1054" w:type="pct"/>
                <w:vAlign w:val="center"/>
              </w:tcPr>
              <w:p>
                <w:pPr>
                  <w:jc w:val="right"/>
                </w:pPr>
                <w:r>
                  <w:t>56,723.04</w:t>
                </w:r>
              </w:p>
            </w:tc>
            <w:tc>
              <w:tcPr>
                <w:tcW w:w="1063" w:type="pct"/>
                <w:vAlign w:val="center"/>
              </w:tcPr>
              <w:p>
                <w:pPr>
                  <w:jc w:val="right"/>
                </w:pPr>
                <w: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bb596048f7e846139c705c6214cec5e4"/>
                <w:id w:val="752709206"/>
                <w:lock w:val="sdtLocked"/>
              </w:sdtPr>
              <w:sdtContent>
                <w:tc>
                  <w:tcPr>
                    <w:tcW w:w="765" w:type="pct"/>
                  </w:tcPr>
                  <w:p>
                    <w:pPr>
                      <w:pStyle w:val="114"/>
                    </w:pPr>
                    <w:r>
                      <w:rPr>
                        <w:rFonts w:hint="eastAsia"/>
                      </w:rPr>
                      <w:t>3年以上</w:t>
                    </w:r>
                  </w:p>
                </w:tc>
              </w:sdtContent>
            </w:sdt>
            <w:tc>
              <w:tcPr>
                <w:tcW w:w="1063" w:type="pct"/>
              </w:tcPr>
              <w:p>
                <w:pPr>
                  <w:jc w:val="right"/>
                </w:pPr>
              </w:p>
            </w:tc>
            <w:tc>
              <w:tcPr>
                <w:tcW w:w="1055" w:type="pct"/>
              </w:tcPr>
              <w:p>
                <w:pPr>
                  <w:jc w:val="right"/>
                </w:pPr>
              </w:p>
            </w:tc>
            <w:tc>
              <w:tcPr>
                <w:tcW w:w="1054" w:type="pct"/>
              </w:tcPr>
              <w:p>
                <w:pPr>
                  <w:jc w:val="right"/>
                </w:pPr>
              </w:p>
            </w:tc>
            <w:tc>
              <w:tcPr>
                <w:tcW w:w="1063" w:type="pct"/>
              </w:tcPr>
              <w:p>
                <w:pPr>
                  <w:jc w:val="right"/>
                </w:pPr>
              </w:p>
            </w:tc>
          </w:tr>
          <w:sdt>
            <w:sdtPr>
              <w:rPr>
                <w:rFonts w:hint="eastAsia"/>
              </w:rPr>
              <w:alias w:val="预付款项按账龄列示明细"/>
              <w:tag w:val="_TUP_9793e4461d1544a0abdec0c8f4f296bd"/>
              <w:id w:val="727660621"/>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77" w:hRule="atLeast"/>
                </w:trPr>
                <w:tc>
                  <w:tcPr>
                    <w:tcW w:w="765" w:type="pct"/>
                  </w:tcPr>
                  <w:p>
                    <w:pPr>
                      <w:pStyle w:val="114"/>
                    </w:pPr>
                  </w:p>
                </w:tc>
                <w:tc>
                  <w:tcPr>
                    <w:tcW w:w="1063" w:type="pct"/>
                  </w:tcPr>
                  <w:p>
                    <w:pPr>
                      <w:jc w:val="right"/>
                    </w:pPr>
                  </w:p>
                </w:tc>
                <w:tc>
                  <w:tcPr>
                    <w:tcW w:w="1055" w:type="pct"/>
                  </w:tcPr>
                  <w:p>
                    <w:pPr>
                      <w:jc w:val="right"/>
                    </w:pPr>
                  </w:p>
                </w:tc>
                <w:tc>
                  <w:tcPr>
                    <w:tcW w:w="1054" w:type="pct"/>
                  </w:tcPr>
                  <w:p>
                    <w:pPr>
                      <w:jc w:val="right"/>
                    </w:pPr>
                  </w:p>
                </w:tc>
                <w:tc>
                  <w:tcPr>
                    <w:tcW w:w="1063" w:type="pct"/>
                  </w:tcPr>
                  <w:p>
                    <w:pPr>
                      <w:jc w:val="right"/>
                    </w:pPr>
                  </w:p>
                </w:tc>
              </w:tr>
            </w:sdtContent>
          </w:sdt>
          <w:sdt>
            <w:sdtPr>
              <w:rPr>
                <w:rFonts w:hint="eastAsia"/>
              </w:rPr>
              <w:alias w:val="预付款项按账龄列示明细"/>
              <w:tag w:val="_TUP_9793e4461d1544a0abdec0c8f4f296bd"/>
              <w:id w:val="1027301036"/>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77" w:hRule="atLeast"/>
                </w:trPr>
                <w:tc>
                  <w:tcPr>
                    <w:tcW w:w="765" w:type="pct"/>
                  </w:tcPr>
                  <w:p>
                    <w:pPr>
                      <w:pStyle w:val="114"/>
                    </w:pPr>
                  </w:p>
                </w:tc>
                <w:tc>
                  <w:tcPr>
                    <w:tcW w:w="1063" w:type="pct"/>
                  </w:tcPr>
                  <w:p>
                    <w:pPr>
                      <w:jc w:val="right"/>
                    </w:pPr>
                  </w:p>
                </w:tc>
                <w:tc>
                  <w:tcPr>
                    <w:tcW w:w="1055" w:type="pct"/>
                  </w:tcPr>
                  <w:p>
                    <w:pPr>
                      <w:jc w:val="right"/>
                    </w:pPr>
                  </w:p>
                </w:tc>
                <w:tc>
                  <w:tcPr>
                    <w:tcW w:w="1054" w:type="pct"/>
                  </w:tcPr>
                  <w:p>
                    <w:pPr>
                      <w:jc w:val="right"/>
                    </w:pPr>
                  </w:p>
                </w:tc>
                <w:tc>
                  <w:tcPr>
                    <w:tcW w:w="1063" w:type="pct"/>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773a38e1adc44faa97354ca876a6da1b"/>
                <w:id w:val="1064528625"/>
                <w:lock w:val="sdtLocked"/>
              </w:sdtPr>
              <w:sdtContent>
                <w:tc>
                  <w:tcPr>
                    <w:tcW w:w="765" w:type="pct"/>
                  </w:tcPr>
                  <w:p>
                    <w:pPr>
                      <w:jc w:val="center"/>
                    </w:pPr>
                    <w:r>
                      <w:rPr>
                        <w:rFonts w:hint="eastAsia"/>
                      </w:rPr>
                      <w:t>合计</w:t>
                    </w:r>
                  </w:p>
                </w:tc>
              </w:sdtContent>
            </w:sdt>
            <w:tc>
              <w:tcPr>
                <w:tcW w:w="1063" w:type="pct"/>
                <w:vAlign w:val="center"/>
              </w:tcPr>
              <w:p>
                <w:pPr>
                  <w:jc w:val="right"/>
                </w:pPr>
                <w:r>
                  <w:t>20,388,590.21</w:t>
                </w:r>
              </w:p>
            </w:tc>
            <w:tc>
              <w:tcPr>
                <w:tcW w:w="1055" w:type="pct"/>
                <w:vAlign w:val="center"/>
              </w:tcPr>
              <w:p>
                <w:pPr>
                  <w:jc w:val="right"/>
                </w:pPr>
                <w:r>
                  <w:t>100.00</w:t>
                </w:r>
              </w:p>
            </w:tc>
            <w:tc>
              <w:tcPr>
                <w:tcW w:w="1054" w:type="pct"/>
                <w:vAlign w:val="center"/>
              </w:tcPr>
              <w:p>
                <w:pPr>
                  <w:jc w:val="right"/>
                </w:pPr>
                <w:r>
                  <w:t>7,737,346.20</w:t>
                </w:r>
              </w:p>
            </w:tc>
            <w:tc>
              <w:tcPr>
                <w:tcW w:w="1063" w:type="pct"/>
                <w:vAlign w:val="center"/>
              </w:tcPr>
              <w:p>
                <w:pPr>
                  <w:jc w:val="right"/>
                </w:pPr>
                <w:r>
                  <w:t>100.00</w:t>
                </w:r>
              </w:p>
            </w:tc>
          </w:tr>
        </w:tbl>
        <w:p>
          <w:pPr>
            <w:pStyle w:val="114"/>
          </w:pPr>
        </w:p>
        <w:sdt>
          <w:sdtPr>
            <w:alias w:val="账龄超过1年且金额重要的预付款项未及时结算原因的说明"/>
            <w:tag w:val="_GBC_174a9654172e49e09cdbf18d854fdd51"/>
            <w:id w:val="160739642"/>
            <w:lock w:val="sdtLocked"/>
            <w:placeholder>
              <w:docPart w:val="GBC22222222222222222222222222222"/>
            </w:placeholder>
          </w:sdtPr>
          <w:sdtContent>
            <w:p>
              <w:pPr>
                <w:snapToGrid w:val="0"/>
                <w:spacing w:line="240" w:lineRule="atLeast"/>
              </w:pPr>
              <w:r>
                <w:rPr>
                  <w:rFonts w:hint="eastAsia"/>
                </w:rPr>
                <w:t>账龄自预付款项确认日起开始计算。</w:t>
              </w:r>
            </w:p>
          </w:sdtContent>
        </w:sdt>
      </w:sdtContent>
    </w:sdt>
    <w:p>
      <w:pPr>
        <w:pStyle w:val="114"/>
      </w:pPr>
    </w:p>
    <w:sdt>
      <w:sdtPr>
        <w:rPr>
          <w:rFonts w:hint="eastAsia" w:ascii="宋体" w:hAnsi="宋体" w:cs="宋体"/>
          <w:b w:val="0"/>
          <w:bCs w:val="0"/>
          <w:kern w:val="0"/>
          <w:szCs w:val="24"/>
        </w:rPr>
        <w:alias w:val="模块:预付款项金额前五名单位情况"/>
        <w:tag w:val="_GBC_2c5fba8651a04a6d88c0c9fc33310c57"/>
        <w:id w:val="700291502"/>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54"/>
            </w:numPr>
            <w:tabs>
              <w:tab w:val="left" w:pos="616"/>
            </w:tabs>
            <w:snapToGrid w:val="0"/>
            <w:spacing w:line="240" w:lineRule="atLeast"/>
            <w:jc w:val="left"/>
            <w:rPr>
              <w:rFonts w:ascii="宋体" w:hAnsi="宋体"/>
              <w:szCs w:val="21"/>
            </w:rPr>
          </w:pPr>
          <w:r>
            <w:rPr>
              <w:rFonts w:hint="eastAsia" w:ascii="宋体" w:hAnsi="宋体"/>
            </w:rPr>
            <w:t>按预付对象归集的期末余额前五名的预付款情况</w:t>
          </w:r>
        </w:p>
        <w:sdt>
          <w:sdtPr>
            <w:rPr>
              <w:rFonts w:hint="eastAsia"/>
            </w:rPr>
            <w:alias w:val="是否适用：按预付对象归集的期末余额前五名的预付款情况[双击切换]"/>
            <w:tag w:val="_GBC_a1864f04af6d49bdb434d74a7f29f8c3"/>
            <w:id w:val="1533839152"/>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1845538891"/>
            <w:lock w:val="sdtLocked"/>
          </w:sdtPr>
          <w:sdtContent>
            <w:p>
              <w:pPr>
                <w:snapToGrid w:val="0"/>
                <w:spacing w:line="240" w:lineRule="atLeast"/>
              </w:pPr>
            </w:p>
            <w:tbl>
              <w:tblPr>
                <w:tblStyle w:val="412"/>
                <w:tblW w:w="9135" w:type="dxa"/>
                <w:tblInd w:w="0" w:type="dxa"/>
                <w:tblLayout w:type="fixed"/>
                <w:tblCellMar>
                  <w:top w:w="0" w:type="dxa"/>
                  <w:left w:w="0" w:type="dxa"/>
                  <w:bottom w:w="0" w:type="dxa"/>
                  <w:right w:w="0" w:type="dxa"/>
                </w:tblCellMar>
              </w:tblPr>
              <w:tblGrid>
                <w:gridCol w:w="9135"/>
              </w:tblGrid>
              <w:tr>
                <w:tblPrEx>
                  <w:tblCellMar>
                    <w:top w:w="0" w:type="dxa"/>
                    <w:left w:w="0" w:type="dxa"/>
                    <w:bottom w:w="0" w:type="dxa"/>
                    <w:right w:w="0" w:type="dxa"/>
                  </w:tblCellMar>
                </w:tblPrEx>
                <w:tc>
                  <w:tcPr>
                    <w:tcW w:w="9128" w:type="dxa"/>
                  </w:tcPr>
                  <w:tbl>
                    <w:tblPr>
                      <w:tblStyle w:val="412"/>
                      <w:tblW w:w="87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56" w:type="dxa"/>
                      </w:tblCellMar>
                    </w:tblPr>
                    <w:tblGrid>
                      <w:gridCol w:w="4805"/>
                      <w:gridCol w:w="1984"/>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jc w:val="center"/>
                            <w:rPr>
                              <w:rFonts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单位名称</w:t>
                          </w:r>
                        </w:p>
                      </w:tc>
                      <w:tc>
                        <w:tcPr>
                          <w:tcW w:w="1984" w:type="dxa"/>
                          <w:vAlign w:val="center"/>
                        </w:tcPr>
                        <w:p>
                          <w:pPr>
                            <w:snapToGrid w:val="0"/>
                            <w:jc w:val="center"/>
                            <w:rPr>
                              <w:rFonts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期末余额</w:t>
                          </w:r>
                        </w:p>
                      </w:tc>
                      <w:tc>
                        <w:tcPr>
                          <w:tcW w:w="1985" w:type="dxa"/>
                          <w:vAlign w:val="center"/>
                        </w:tcPr>
                        <w:p>
                          <w:pPr>
                            <w:snapToGrid w:val="0"/>
                            <w:jc w:val="center"/>
                            <w:rPr>
                              <w:rFonts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占期末余额合计数的比例</w:t>
                          </w:r>
                          <w:r>
                            <w:rPr>
                              <w:rFonts w:asciiTheme="minorEastAsia" w:hAnsiTheme="minorEastAsia"/>
                              <w:color w:val="000000" w:themeColor="text1"/>
                              <w:sz w:val="20"/>
                              <w:szCs w:val="18"/>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中化石油江苏有限公司</w:t>
                          </w:r>
                        </w:p>
                      </w:tc>
                      <w:tc>
                        <w:tcPr>
                          <w:tcW w:w="1984"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4,340,530.83 </w:t>
                          </w:r>
                        </w:p>
                      </w:tc>
                      <w:tc>
                        <w:tcPr>
                          <w:tcW w:w="1985"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21.29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cs="Times New Roman"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南京中油高力石化有限公司</w:t>
                          </w:r>
                        </w:p>
                      </w:tc>
                      <w:tc>
                        <w:tcPr>
                          <w:tcW w:w="1984"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4,184,736.64 </w:t>
                          </w:r>
                        </w:p>
                      </w:tc>
                      <w:tc>
                        <w:tcPr>
                          <w:tcW w:w="1985"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20.52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cs="Times New Roman"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南通燃料股份有限公司</w:t>
                          </w:r>
                        </w:p>
                      </w:tc>
                      <w:tc>
                        <w:tcPr>
                          <w:tcW w:w="1984"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3,899,577.47 </w:t>
                          </w:r>
                        </w:p>
                      </w:tc>
                      <w:tc>
                        <w:tcPr>
                          <w:tcW w:w="1985"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19.13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cs="Times New Roman"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国网江苏综合能源服务有限公司</w:t>
                          </w:r>
                        </w:p>
                      </w:tc>
                      <w:tc>
                        <w:tcPr>
                          <w:tcW w:w="1984"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673,574.00 </w:t>
                          </w:r>
                        </w:p>
                      </w:tc>
                      <w:tc>
                        <w:tcPr>
                          <w:tcW w:w="1985"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cs="Times New Roman"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无锡供电公司</w:t>
                          </w:r>
                        </w:p>
                      </w:tc>
                      <w:tc>
                        <w:tcPr>
                          <w:tcW w:w="1984"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581,665.23 </w:t>
                          </w:r>
                        </w:p>
                      </w:tc>
                      <w:tc>
                        <w:tcPr>
                          <w:tcW w:w="1985" w:type="dxa"/>
                          <w:vAlign w:val="center"/>
                        </w:tcPr>
                        <w:p>
                          <w:pPr>
                            <w:snapToGrid w:val="0"/>
                            <w:jc w:val="right"/>
                            <w:rPr>
                              <w:rFonts w:cs="Arial"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380" w:hRule="atLeast"/>
                      </w:trPr>
                      <w:tc>
                        <w:tcPr>
                          <w:tcW w:w="4805" w:type="dxa"/>
                          <w:vAlign w:val="center"/>
                        </w:tcPr>
                        <w:p>
                          <w:pPr>
                            <w:snapToGrid w:val="0"/>
                            <w:ind w:left="363" w:right="-57" w:hanging="221"/>
                            <w:rPr>
                              <w:rFonts w:cs="Times New Roman" w:asciiTheme="minorEastAsia" w:hAnsiTheme="minorEastAsia"/>
                              <w:color w:val="000000" w:themeColor="text1"/>
                              <w:sz w:val="20"/>
                              <w:szCs w:val="18"/>
                              <w14:textFill>
                                <w14:solidFill>
                                  <w14:schemeClr w14:val="tx1"/>
                                </w14:solidFill>
                              </w14:textFill>
                            </w:rPr>
                          </w:pPr>
                          <w:r>
                            <w:rPr>
                              <w:rFonts w:hint="eastAsia" w:asciiTheme="minorEastAsia" w:hAnsiTheme="minorEastAsia"/>
                              <w:color w:val="000000" w:themeColor="text1"/>
                              <w:sz w:val="20"/>
                              <w:szCs w:val="18"/>
                              <w14:textFill>
                                <w14:solidFill>
                                  <w14:schemeClr w14:val="tx1"/>
                                </w14:solidFill>
                              </w14:textFill>
                            </w:rPr>
                            <w:t>合计</w:t>
                          </w:r>
                        </w:p>
                      </w:tc>
                      <w:tc>
                        <w:tcPr>
                          <w:tcW w:w="1984" w:type="dxa"/>
                          <w:vAlign w:val="center"/>
                        </w:tcPr>
                        <w:p>
                          <w:pPr>
                            <w:snapToGrid w:val="0"/>
                            <w:jc w:val="right"/>
                            <w:rPr>
                              <w:rFonts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 xml:space="preserve">  13,680,084.17 </w:t>
                          </w:r>
                        </w:p>
                      </w:tc>
                      <w:tc>
                        <w:tcPr>
                          <w:tcW w:w="1985" w:type="dxa"/>
                          <w:vAlign w:val="center"/>
                        </w:tcPr>
                        <w:p>
                          <w:pPr>
                            <w:snapToGrid w:val="0"/>
                            <w:jc w:val="right"/>
                            <w:rPr>
                              <w:rFonts w:asciiTheme="minorEastAsia" w:hAnsiTheme="minorEastAsia"/>
                              <w:color w:val="000000" w:themeColor="text1"/>
                              <w:sz w:val="20"/>
                              <w:szCs w:val="18"/>
                              <w14:textFill>
                                <w14:solidFill>
                                  <w14:schemeClr w14:val="tx1"/>
                                </w14:solidFill>
                              </w14:textFill>
                            </w:rPr>
                          </w:pPr>
                          <w:r>
                            <w:rPr>
                              <w:rFonts w:cs="Arial" w:asciiTheme="minorEastAsia" w:hAnsiTheme="minorEastAsia"/>
                              <w:color w:val="000000" w:themeColor="text1"/>
                              <w:sz w:val="20"/>
                              <w:szCs w:val="18"/>
                              <w14:textFill>
                                <w14:solidFill>
                                  <w14:schemeClr w14:val="tx1"/>
                                </w14:solidFill>
                              </w14:textFill>
                            </w:rPr>
                            <w:t>67.09</w:t>
                          </w:r>
                        </w:p>
                      </w:tc>
                    </w:tr>
                  </w:tbl>
                  <w:p>
                    <w:pPr>
                      <w:snapToGrid w:val="0"/>
                      <w:jc w:val="right"/>
                      <w:rPr>
                        <w:rFonts w:ascii="Arial" w:hAnsi="Arial" w:eastAsia="微软雅黑"/>
                        <w:color w:val="000000" w:themeColor="text1"/>
                        <w:szCs w:val="20"/>
                        <w14:textFill>
                          <w14:solidFill>
                            <w14:schemeClr w14:val="tx1"/>
                          </w14:solidFill>
                        </w14:textFill>
                      </w:rPr>
                    </w:pPr>
                    <w:r>
                      <w:rPr>
                        <w:rFonts w:ascii="Arial" w:hAnsi="Arial" w:eastAsia="微软雅黑"/>
                        <w:color w:val="000000" w:themeColor="text1"/>
                        <w:sz w:val="6"/>
                        <w:szCs w:val="20"/>
                        <w14:textFill>
                          <w14:solidFill>
                            <w14:schemeClr w14:val="tx1"/>
                          </w14:solidFill>
                        </w14:textFill>
                      </w:rPr>
                      <w:t> </w:t>
                    </w:r>
                  </w:p>
                </w:tc>
              </w:tr>
            </w:tbl>
            <w:p/>
          </w:sdtContent>
        </w:sdt>
      </w:sdtContent>
    </w:sdt>
    <w:sdt>
      <w:sdtPr>
        <w:rPr>
          <w:rFonts w:hint="eastAsia"/>
          <w:b/>
          <w:bCs/>
        </w:rPr>
        <w:alias w:val="模块:预付款项的说明"/>
        <w:tag w:val="_GBC_ee9bedfa5e5340c9b02fb474f1a1fc26"/>
        <w:id w:val="-1465112338"/>
        <w:lock w:val="sdtLocked"/>
        <w:placeholder>
          <w:docPart w:val="GBC22222222222222222222222222222"/>
        </w:placeholder>
      </w:sdtPr>
      <w:sdtEndPr>
        <w:rPr>
          <w:rFonts w:hint="default"/>
          <w:b w:val="0"/>
          <w:bCs w:val="0"/>
        </w:rPr>
      </w:sdtEndPr>
      <w:sdtContent>
        <w:p>
          <w:pPr>
            <w:pStyle w:val="114"/>
          </w:pPr>
          <w:r>
            <w:rPr>
              <w:rFonts w:hint="eastAsia"/>
            </w:rPr>
            <w:t>其他说明</w:t>
          </w:r>
        </w:p>
        <w:sdt>
          <w:sdtPr>
            <w:alias w:val="是否适用：预付帐款的说明[双击切换]"/>
            <w:tag w:val="_GBC_c712ee6483d44c77b1f563e552689c6d"/>
            <w:id w:val="-367397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rPr>
          <w:rFonts w:ascii="宋体" w:hAnsi="宋体"/>
        </w:rPr>
      </w:pPr>
      <w:r>
        <w:rPr>
          <w:rFonts w:hint="eastAsia" w:ascii="宋体" w:hAnsi="宋体"/>
        </w:rPr>
        <w:t>其他应收款</w:t>
      </w:r>
    </w:p>
    <w:sdt>
      <w:sdtPr>
        <w:rPr>
          <w:rFonts w:hint="eastAsia" w:ascii="宋体" w:hAnsi="宋体" w:cs="宋体"/>
          <w:b w:val="0"/>
          <w:bCs w:val="0"/>
          <w:kern w:val="0"/>
          <w:szCs w:val="24"/>
        </w:rPr>
        <w:alias w:val="模块:分类列示"/>
        <w:tag w:val="_SEC_440b8bdb86984dd89d750fdd7845fe71"/>
        <w:id w:val="-1315026127"/>
        <w:lock w:val="sdtLocked"/>
        <w:placeholder>
          <w:docPart w:val="GBC22222222222222222222222222222"/>
        </w:placeholder>
      </w:sdtPr>
      <w:sdtEndPr>
        <w:rPr>
          <w:rFonts w:hint="default" w:ascii="宋体" w:hAnsi="宋体" w:cs="宋体"/>
          <w:b w:val="0"/>
          <w:bCs w:val="0"/>
          <w:kern w:val="0"/>
          <w:szCs w:val="21"/>
        </w:rPr>
      </w:sdtEndPr>
      <w:sdtContent>
        <w:p>
          <w:pPr>
            <w:pStyle w:val="118"/>
            <w:rPr>
              <w:rFonts w:ascii="宋体" w:hAnsi="宋体"/>
            </w:rPr>
          </w:pPr>
          <w:bookmarkStart w:id="147" w:name="_Hlk10467611"/>
          <w:r>
            <w:rPr>
              <w:rFonts w:hint="eastAsia" w:ascii="宋体" w:hAnsi="宋体"/>
            </w:rPr>
            <w:t>项目列示</w:t>
          </w:r>
        </w:p>
        <w:sdt>
          <w:sdtPr>
            <w:alias w:val="是否适用：其他应收款分类列示[双击切换]"/>
            <w:tag w:val="_GBC_23e3e9ad53624abaaa00fc7f7c24842a"/>
            <w:id w:val="-179590499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其他应收款分类列示"/>
              <w:tag w:val="_GBC_b73f89c776a341249ed520fe726b4db9"/>
              <w:id w:val="-9449241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40595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3198"/>
            <w:gridCol w:w="2939"/>
            <w:gridCol w:w="2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3b049b9a7f344665a70a23c402afbda5"/>
                <w:id w:val="1861628115"/>
                <w:lock w:val="sdtLocked"/>
              </w:sdtPr>
              <w:sdtContent>
                <w:tc>
                  <w:tcPr>
                    <w:tcW w:w="1765" w:type="pct"/>
                    <w:vAlign w:val="center"/>
                  </w:tcPr>
                  <w:p>
                    <w:pPr>
                      <w:jc w:val="center"/>
                    </w:pPr>
                    <w:r>
                      <w:rPr>
                        <w:rFonts w:hint="eastAsia"/>
                      </w:rPr>
                      <w:t>项目</w:t>
                    </w:r>
                  </w:p>
                </w:tc>
              </w:sdtContent>
            </w:sdt>
            <w:sdt>
              <w:sdtPr>
                <w:tag w:val="_PLD_550a4ba0fb444ea69297bd36780a7618"/>
                <w:id w:val="1535305874"/>
                <w:lock w:val="sdtLocked"/>
              </w:sdtPr>
              <w:sdtContent>
                <w:tc>
                  <w:tcPr>
                    <w:tcW w:w="1622" w:type="pct"/>
                    <w:vAlign w:val="center"/>
                  </w:tcPr>
                  <w:p>
                    <w:pPr>
                      <w:jc w:val="center"/>
                    </w:pPr>
                    <w:r>
                      <w:rPr>
                        <w:rFonts w:hint="eastAsia"/>
                      </w:rPr>
                      <w:t>期末余额</w:t>
                    </w:r>
                  </w:p>
                </w:tc>
              </w:sdtContent>
            </w:sdt>
            <w:sdt>
              <w:sdtPr>
                <w:tag w:val="_PLD_d58c3f70487c440b99a9f440a2d57d1e"/>
                <w:id w:val="-2060082948"/>
                <w:lock w:val="sdtLocked"/>
              </w:sdtPr>
              <w:sdtContent>
                <w:tc>
                  <w:tcPr>
                    <w:tcW w:w="1613" w:type="pct"/>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6a77c21d56bf4de7bfea2b3078ae9e86"/>
                <w:id w:val="1443261147"/>
                <w:lock w:val="sdtLocked"/>
              </w:sdtPr>
              <w:sdtContent>
                <w:tc>
                  <w:tcPr>
                    <w:tcW w:w="1765" w:type="pct"/>
                  </w:tcPr>
                  <w:p>
                    <w:pPr>
                      <w:ind w:right="5"/>
                    </w:pPr>
                    <w:r>
                      <w:rPr>
                        <w:rFonts w:hint="eastAsia"/>
                      </w:rPr>
                      <w:t>应收利息</w:t>
                    </w:r>
                  </w:p>
                </w:tc>
              </w:sdtContent>
            </w:sdt>
            <w:tc>
              <w:tcPr>
                <w:tcW w:w="1622" w:type="pct"/>
              </w:tcPr>
              <w:p>
                <w:pPr>
                  <w:ind w:right="5"/>
                  <w:jc w:val="right"/>
                </w:pPr>
                <w:r>
                  <w:t>-</w:t>
                </w:r>
              </w:p>
            </w:tc>
            <w:tc>
              <w:tcPr>
                <w:tcW w:w="1613" w:type="pct"/>
              </w:tcPr>
              <w:p>
                <w:pPr>
                  <w:ind w:right="5"/>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d5542663fde44485b06eb5b2144b7f62"/>
                <w:id w:val="-1505049893"/>
                <w:lock w:val="sdtLocked"/>
              </w:sdtPr>
              <w:sdtContent>
                <w:tc>
                  <w:tcPr>
                    <w:tcW w:w="1765" w:type="pct"/>
                  </w:tcPr>
                  <w:p>
                    <w:pPr>
                      <w:ind w:right="5"/>
                    </w:pPr>
                    <w:r>
                      <w:rPr>
                        <w:rFonts w:hint="eastAsia"/>
                      </w:rPr>
                      <w:t>应收股利</w:t>
                    </w:r>
                  </w:p>
                </w:tc>
              </w:sdtContent>
            </w:sdt>
            <w:tc>
              <w:tcPr>
                <w:tcW w:w="1622" w:type="pct"/>
                <w:vAlign w:val="center"/>
              </w:tcPr>
              <w:p>
                <w:pPr>
                  <w:ind w:right="5"/>
                  <w:jc w:val="right"/>
                </w:pPr>
                <w:r>
                  <w:t>39,180,099.60</w:t>
                </w:r>
              </w:p>
            </w:tc>
            <w:tc>
              <w:tcPr>
                <w:tcW w:w="1613" w:type="pct"/>
                <w:vAlign w:val="center"/>
              </w:tcPr>
              <w:p>
                <w:pPr>
                  <w:ind w:right="5"/>
                  <w:jc w:val="right"/>
                </w:pPr>
                <w:r>
                  <w:t>4,989,960.00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fadacacf8b7d4e10a081b5eae54fea6b"/>
                <w:id w:val="-1243022766"/>
                <w:lock w:val="sdtLocked"/>
              </w:sdtPr>
              <w:sdtContent>
                <w:tc>
                  <w:tcPr>
                    <w:tcW w:w="1765" w:type="pct"/>
                  </w:tcPr>
                  <w:p>
                    <w:pPr>
                      <w:ind w:right="5"/>
                    </w:pPr>
                    <w:r>
                      <w:rPr>
                        <w:rFonts w:hint="eastAsia"/>
                      </w:rPr>
                      <w:t>其他应收款</w:t>
                    </w:r>
                  </w:p>
                </w:tc>
              </w:sdtContent>
            </w:sdt>
            <w:tc>
              <w:tcPr>
                <w:tcW w:w="1622" w:type="pct"/>
                <w:vAlign w:val="center"/>
              </w:tcPr>
              <w:p>
                <w:pPr>
                  <w:ind w:right="5"/>
                  <w:jc w:val="right"/>
                </w:pPr>
                <w:r>
                  <w:t>50,865,337.52</w:t>
                </w:r>
              </w:p>
            </w:tc>
            <w:tc>
              <w:tcPr>
                <w:tcW w:w="1613" w:type="pct"/>
                <w:vAlign w:val="center"/>
              </w:tcPr>
              <w:p>
                <w:pPr>
                  <w:ind w:right="5"/>
                  <w:jc w:val="right"/>
                </w:pPr>
                <w:r>
                  <w:t>57,768,942.02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7fcd8f78599a4d76a92c6bed7b01aa27"/>
                <w:id w:val="-1983610953"/>
                <w:lock w:val="sdtLocked"/>
              </w:sdtPr>
              <w:sdtContent>
                <w:tc>
                  <w:tcPr>
                    <w:tcW w:w="1765" w:type="pct"/>
                  </w:tcPr>
                  <w:p>
                    <w:pPr>
                      <w:autoSpaceDE w:val="0"/>
                      <w:autoSpaceDN w:val="0"/>
                      <w:adjustRightInd w:val="0"/>
                      <w:jc w:val="center"/>
                    </w:pPr>
                    <w:r>
                      <w:rPr>
                        <w:rFonts w:hint="eastAsia"/>
                      </w:rPr>
                      <w:t>合计</w:t>
                    </w:r>
                  </w:p>
                </w:tc>
              </w:sdtContent>
            </w:sdt>
            <w:tc>
              <w:tcPr>
                <w:tcW w:w="1622" w:type="pct"/>
                <w:vAlign w:val="center"/>
              </w:tcPr>
              <w:p>
                <w:pPr>
                  <w:jc w:val="right"/>
                </w:pPr>
                <w:r>
                  <w:t>90,045,437.12</w:t>
                </w:r>
              </w:p>
            </w:tc>
            <w:tc>
              <w:tcPr>
                <w:tcW w:w="1613" w:type="pct"/>
                <w:vAlign w:val="center"/>
              </w:tcPr>
              <w:p>
                <w:pPr>
                  <w:jc w:val="right"/>
                </w:pPr>
                <w:r>
                  <w:t>62,758,902.02</w:t>
                </w:r>
              </w:p>
            </w:tc>
          </w:tr>
        </w:tbl>
        <w:p>
          <w:pPr>
            <w:pStyle w:val="114"/>
          </w:pPr>
          <w:bookmarkStart w:id="148" w:name="_Hlk532906097"/>
          <w:r>
            <w:rPr>
              <w:rFonts w:hint="eastAsia"/>
            </w:rPr>
            <w:t>其他说明：</w:t>
          </w:r>
          <w:bookmarkEnd w:id="148"/>
        </w:p>
        <w:sdt>
          <w:sdtPr>
            <w:alias w:val="是否适用：其他应收款分类列示其他说明[双击切换]"/>
            <w:tag w:val="_GBC_73a4089b33094d13b0ea7c9bf8cfb58f"/>
            <w:id w:val="-55817545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47"/>
    <w:sdt>
      <w:sdtPr>
        <w:rPr>
          <w:rFonts w:hint="eastAsia" w:ascii="宋体" w:hAnsi="宋体" w:cs="宋体"/>
          <w:b w:val="0"/>
          <w:bCs w:val="0"/>
          <w:kern w:val="0"/>
          <w:szCs w:val="22"/>
        </w:rPr>
        <w:alias w:val="模块:应收利息"/>
        <w:tag w:val="_GBC_6620e2366b444b3fb9e784e1bb6a87fd"/>
        <w:id w:val="827564229"/>
        <w:lock w:val="sdtLocked"/>
        <w:placeholder>
          <w:docPart w:val="GBC22222222222222222222222222222"/>
        </w:placeholder>
      </w:sdtPr>
      <w:sdtEndPr>
        <w:rPr>
          <w:rFonts w:hint="eastAsia" w:ascii="宋体" w:hAnsi="宋体" w:cs="Times New Roman"/>
          <w:b w:val="0"/>
          <w:bCs w:val="0"/>
          <w:kern w:val="2"/>
          <w:szCs w:val="21"/>
        </w:rPr>
      </w:sdtEndPr>
      <w:sdtContent>
        <w:p>
          <w:pPr>
            <w:pStyle w:val="118"/>
            <w:tabs>
              <w:tab w:val="left" w:pos="546"/>
            </w:tabs>
            <w:rPr>
              <w:rFonts w:ascii="宋体" w:hAnsi="宋体"/>
            </w:rPr>
          </w:pPr>
          <w:r>
            <w:rPr>
              <w:rFonts w:hint="eastAsia" w:ascii="宋体" w:hAnsi="宋体" w:cs="宋体"/>
              <w:kern w:val="0"/>
              <w:szCs w:val="22"/>
            </w:rPr>
            <w:t>应收利息</w:t>
          </w:r>
        </w:p>
        <w:p>
          <w:pPr>
            <w:pStyle w:val="118"/>
            <w:numPr>
              <w:ilvl w:val="3"/>
              <w:numId w:val="55"/>
            </w:numPr>
            <w:tabs>
              <w:tab w:val="left" w:pos="546"/>
            </w:tabs>
            <w:rPr>
              <w:rFonts w:ascii="宋体" w:hAnsi="宋体"/>
            </w:rPr>
          </w:pPr>
          <w:r>
            <w:rPr>
              <w:rFonts w:hint="eastAsia" w:ascii="宋体" w:hAnsi="宋体"/>
            </w:rPr>
            <w:t>应收利息分类</w:t>
          </w:r>
        </w:p>
        <w:sdt>
          <w:sdtPr>
            <w:alias w:val="是否适用：应收利息分类[双击切换]"/>
            <w:tag w:val="_GBC_86f9e9a81d7d4e07ae6873a88ddf6cc7"/>
            <w:id w:val="-46188704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逾期利息"/>
        <w:tag w:val="_GBC_bcfcff19f55a43f988e9223dca0728dc"/>
        <w:id w:val="531845506"/>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5"/>
            </w:numPr>
            <w:tabs>
              <w:tab w:val="left" w:pos="546"/>
            </w:tabs>
            <w:rPr>
              <w:rFonts w:ascii="宋体" w:hAnsi="宋体"/>
            </w:rPr>
          </w:pPr>
          <w:r>
            <w:rPr>
              <w:rFonts w:hint="eastAsia" w:ascii="宋体" w:hAnsi="宋体"/>
            </w:rPr>
            <w:t>重要逾期利息</w:t>
          </w:r>
        </w:p>
        <w:sdt>
          <w:sdtPr>
            <w:alias w:val="是否适用：重要逾期利息[双击切换]"/>
            <w:tag w:val="_GBC_4554f307ef2241a583829b74df8ef0c3"/>
            <w:id w:val="-10927959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1"/>
        </w:rPr>
        <w:alias w:val="模块:坏账准备计提情况"/>
        <w:tag w:val="_SEC_61c56552057346dd98026d659f25d3ef"/>
        <w:id w:val="-112445741"/>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5"/>
            </w:numPr>
            <w:tabs>
              <w:tab w:val="left" w:pos="546"/>
            </w:tabs>
            <w:rPr>
              <w:rFonts w:ascii="宋体" w:hAnsi="宋体"/>
              <w:szCs w:val="21"/>
            </w:rPr>
          </w:pPr>
          <w:bookmarkStart w:id="149" w:name="_Hlk10468247"/>
          <w:r>
            <w:rPr>
              <w:rFonts w:hint="eastAsia" w:ascii="宋体" w:hAnsi="宋体"/>
              <w:szCs w:val="21"/>
            </w:rPr>
            <w:t>坏账准备计提情况</w:t>
          </w:r>
        </w:p>
        <w:sdt>
          <w:sdtPr>
            <w:alias w:val="是否适用：应收利息坏账准备调节表[双击切换]"/>
            <w:tag w:val="_GBC_2081adab30854417bcfae25caae8c9f9"/>
            <w:id w:val="76959835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9"/>
    <w:sdt>
      <w:sdtPr>
        <w:rPr>
          <w:rFonts w:hint="eastAsia"/>
          <w:b/>
          <w:bCs/>
        </w:rPr>
        <w:alias w:val="模块:应收利息的说明"/>
        <w:tag w:val="_GBC_0dc3bcd06a754f79952657ba82acdc9f"/>
        <w:id w:val="1787774044"/>
        <w:lock w:val="sdtLocked"/>
        <w:placeholder>
          <w:docPart w:val="GBC22222222222222222222222222222"/>
        </w:placeholder>
      </w:sdtPr>
      <w:sdtEndPr>
        <w:rPr>
          <w:rFonts w:hint="default"/>
          <w:b w:val="0"/>
          <w:bCs w:val="0"/>
        </w:rPr>
      </w:sdtEndPr>
      <w:sdtContent>
        <w:p>
          <w:pPr>
            <w:pStyle w:val="114"/>
          </w:pPr>
          <w:r>
            <w:rPr>
              <w:rFonts w:hint="eastAsia"/>
            </w:rPr>
            <w:t>其他说明：</w:t>
          </w:r>
        </w:p>
        <w:sdt>
          <w:sdtPr>
            <w:alias w:val="是否适用：应收利息的说明[双击切换]"/>
            <w:tag w:val="_GBC_9fcbab94f58048baace4761ca17ae925"/>
            <w:id w:val="-196765675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theme="minorBidi"/>
          <w:b w:val="0"/>
          <w:bCs w:val="0"/>
          <w:kern w:val="0"/>
          <w:szCs w:val="22"/>
        </w:rPr>
        <w:alias w:val="模块:应收股利"/>
        <w:tag w:val="_GBC_94a22362634d47499fd45a0a5577c49b"/>
        <w:id w:val="1549953071"/>
        <w:lock w:val="sdtLocked"/>
        <w:placeholder>
          <w:docPart w:val="GBC22222222222222222222222222222"/>
        </w:placeholder>
      </w:sdtPr>
      <w:sdtEndPr>
        <w:rPr>
          <w:rFonts w:hint="eastAsia" w:ascii="宋体" w:hAnsi="宋体" w:cs="Times New Roman"/>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应收股利</w:t>
          </w:r>
        </w:p>
        <w:sdt>
          <w:sdtPr>
            <w:alias w:val="是否适用：应收股利[双击切换]"/>
            <w:tag w:val="_GBC_002b8ba295db406eb34a179aa27a4801"/>
            <w:id w:val="-108884621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收股利"/>
              <w:tag w:val="_GBC_21cf7178837042889094b06d89cb1845"/>
              <w:id w:val="-4808541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收股利"/>
              <w:tag w:val="_GBC_d4486348b4bd4056afd97c6bb061623e"/>
              <w:id w:val="-20603939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3"/>
            <w:gridCol w:w="2811"/>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240773011804aa5a4245c98b5f473de"/>
                <w:id w:val="-2108107892"/>
                <w:lock w:val="sdtLocked"/>
              </w:sdtPr>
              <w:sdtContent>
                <w:tc>
                  <w:tcPr>
                    <w:tcW w:w="1886" w:type="pct"/>
                    <w:vAlign w:val="center"/>
                  </w:tcPr>
                  <w:p>
                    <w:pPr>
                      <w:jc w:val="center"/>
                    </w:pPr>
                    <w:r>
                      <w:rPr>
                        <w:rFonts w:hint="eastAsia"/>
                      </w:rPr>
                      <w:t>项目(或被投资单位)</w:t>
                    </w:r>
                  </w:p>
                </w:tc>
              </w:sdtContent>
            </w:sdt>
            <w:sdt>
              <w:sdtPr>
                <w:tag w:val="_PLD_cadc07ed6f504e63b41def670f3c2338"/>
                <w:id w:val="420525547"/>
                <w:lock w:val="sdtLocked"/>
              </w:sdtPr>
              <w:sdtContent>
                <w:tc>
                  <w:tcPr>
                    <w:tcW w:w="1553" w:type="pct"/>
                    <w:vAlign w:val="center"/>
                  </w:tcPr>
                  <w:p>
                    <w:pPr>
                      <w:jc w:val="center"/>
                    </w:pPr>
                    <w:r>
                      <w:rPr>
                        <w:rFonts w:hint="eastAsia"/>
                      </w:rPr>
                      <w:t>期末余额</w:t>
                    </w:r>
                  </w:p>
                </w:tc>
              </w:sdtContent>
            </w:sdt>
            <w:sdt>
              <w:sdtPr>
                <w:tag w:val="_PLD_33c992e918b546739aa3d8a0d43ef633"/>
                <w:id w:val="1302721905"/>
                <w:lock w:val="sdtLocked"/>
              </w:sdtPr>
              <w:sdtContent>
                <w:tc>
                  <w:tcPr>
                    <w:tcW w:w="1561" w:type="pct"/>
                    <w:vAlign w:val="center"/>
                  </w:tcPr>
                  <w:p>
                    <w:pPr>
                      <w:jc w:val="center"/>
                    </w:pPr>
                    <w:r>
                      <w:rPr>
                        <w:rFonts w:hint="eastAsia"/>
                      </w:rPr>
                      <w:t>期初余额</w:t>
                    </w:r>
                  </w:p>
                </w:tc>
              </w:sdtContent>
            </w:sdt>
          </w:tr>
          <w:sdt>
            <w:sdtPr>
              <w:rPr>
                <w:rFonts w:hint="eastAsia"/>
                <w:kern w:val="2"/>
              </w:rPr>
              <w:alias w:val="应收股利明细"/>
              <w:tag w:val="_GBC_dd589831432e474f9c53c063c7fff9a0"/>
              <w:id w:val="1267667551"/>
              <w:lock w:val="sdtLocked"/>
            </w:sdtPr>
            <w:sdtEndPr>
              <w:rPr>
                <w:rFonts w:hint="eastAsia"/>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6" w:type="pct"/>
                  </w:tcPr>
                  <w:p>
                    <w:pPr>
                      <w:pStyle w:val="114"/>
                    </w:pPr>
                    <w:r>
                      <w:t>江苏快鹿汽车运输股份有限公司 (“快鹿公司”)</w:t>
                    </w:r>
                  </w:p>
                </w:tc>
                <w:tc>
                  <w:tcPr>
                    <w:tcW w:w="1553" w:type="pct"/>
                  </w:tcPr>
                  <w:p>
                    <w:pPr>
                      <w:jc w:val="right"/>
                    </w:pPr>
                    <w:r>
                      <w:t>4,989,960.00</w:t>
                    </w:r>
                  </w:p>
                </w:tc>
                <w:tc>
                  <w:tcPr>
                    <w:tcW w:w="1561" w:type="pct"/>
                  </w:tcPr>
                  <w:p>
                    <w:pPr>
                      <w:jc w:val="right"/>
                    </w:pPr>
                    <w:r>
                      <w:t>4,989,960.00</w:t>
                    </w:r>
                  </w:p>
                </w:tc>
              </w:tr>
            </w:sdtContent>
          </w:sdt>
          <w:sdt>
            <w:sdtPr>
              <w:rPr>
                <w:rFonts w:hint="eastAsia"/>
                <w:kern w:val="2"/>
              </w:rPr>
              <w:alias w:val="应收股利明细"/>
              <w:tag w:val="_GBC_dd589831432e474f9c53c063c7fff9a0"/>
              <w:id w:val="82729497"/>
              <w:lock w:val="sdtLocked"/>
            </w:sdtPr>
            <w:sdtEndPr>
              <w:rPr>
                <w:rFonts w:hint="eastAsia"/>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6" w:type="pct"/>
                  </w:tcPr>
                  <w:p>
                    <w:pPr>
                      <w:pStyle w:val="114"/>
                    </w:pPr>
                    <w:r>
                      <w:t>江苏扬子大桥股份有限公司（“扬子大桥公司”）</w:t>
                    </w:r>
                  </w:p>
                </w:tc>
                <w:tc>
                  <w:tcPr>
                    <w:tcW w:w="1553" w:type="pct"/>
                  </w:tcPr>
                  <w:p>
                    <w:pPr>
                      <w:jc w:val="right"/>
                    </w:pPr>
                    <w:r>
                      <w:t>34,190,139.60</w:t>
                    </w:r>
                  </w:p>
                </w:tc>
                <w:tc>
                  <w:tcPr>
                    <w:tcW w:w="1561" w:type="pct"/>
                  </w:tcPr>
                  <w:p>
                    <w:pPr>
                      <w:jc w:val="right"/>
                    </w:pPr>
                    <w:r>
                      <w:t>-</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7e2b3c101c64b05b2e3a7d9f730cf25"/>
                <w:id w:val="-1115134391"/>
                <w:lock w:val="sdtLocked"/>
              </w:sdtPr>
              <w:sdtContent>
                <w:tc>
                  <w:tcPr>
                    <w:tcW w:w="1886" w:type="pct"/>
                    <w:vAlign w:val="center"/>
                  </w:tcPr>
                  <w:p>
                    <w:pPr>
                      <w:jc w:val="center"/>
                    </w:pPr>
                    <w:r>
                      <w:rPr>
                        <w:rFonts w:hint="eastAsia"/>
                      </w:rPr>
                      <w:t>合计</w:t>
                    </w:r>
                  </w:p>
                </w:tc>
              </w:sdtContent>
            </w:sdt>
            <w:tc>
              <w:tcPr>
                <w:tcW w:w="1553" w:type="pct"/>
              </w:tcPr>
              <w:p>
                <w:pPr>
                  <w:jc w:val="right"/>
                </w:pPr>
                <w:r>
                  <w:t>39,180,099.60</w:t>
                </w:r>
              </w:p>
            </w:tc>
            <w:tc>
              <w:tcPr>
                <w:tcW w:w="1561" w:type="pct"/>
              </w:tcPr>
              <w:p>
                <w:pPr>
                  <w:jc w:val="right"/>
                </w:pPr>
                <w:r>
                  <w:t>4,989,960.00</w:t>
                </w:r>
              </w:p>
            </w:tc>
          </w:tr>
        </w:tbl>
        <w:p>
          <w:pPr>
            <w:pStyle w:val="114"/>
          </w:pPr>
        </w:p>
      </w:sdtContent>
    </w:sdt>
    <w:sdt>
      <w:sdtPr>
        <w:rPr>
          <w:rFonts w:hint="eastAsia" w:ascii="宋体" w:hAnsi="宋体" w:cstheme="minorBidi"/>
          <w:b w:val="0"/>
          <w:bCs w:val="0"/>
          <w:kern w:val="0"/>
          <w:szCs w:val="22"/>
        </w:rPr>
        <w:alias w:val="模块:应收股利"/>
        <w:tag w:val="_GBC_aafe0f2583ac4a35a029d834ee52b5de"/>
        <w:id w:val="-265222789"/>
        <w:lock w:val="sdtLocked"/>
        <w:placeholder>
          <w:docPart w:val="GBC22222222222222222222222222222"/>
        </w:placeholder>
      </w:sdtPr>
      <w:sdtEndPr>
        <w:rPr>
          <w:rFonts w:hint="eastAsia" w:ascii="宋体" w:hAnsi="宋体" w:cs="Times New Roman"/>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重要的账龄超过1年的应收股利</w:t>
          </w:r>
        </w:p>
        <w:p>
          <w:pPr>
            <w:rPr>
              <w:rFonts w:cs="Times New Roman"/>
            </w:rPr>
          </w:pPr>
          <w:sdt>
            <w:sdtPr>
              <w:rPr>
                <w:rFonts w:hint="eastAsia"/>
              </w:rPr>
              <w:alias w:val="是否适用：重要的账龄超过1年的应收股利[双击切换]"/>
              <w:tag w:val="_GBC_9aa7ef4a3c0c40638901a5b7f6224231"/>
              <w:id w:val="673923602"/>
              <w:lock w:val="sd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sdt>
      <w:sdtPr>
        <w:rPr>
          <w:rFonts w:hint="eastAsia" w:ascii="宋体" w:hAnsi="宋体" w:cs="宋体"/>
          <w:b w:val="0"/>
          <w:bCs w:val="0"/>
          <w:kern w:val="0"/>
          <w:szCs w:val="24"/>
        </w:rPr>
        <w:alias w:val="模块:坏账准备计提情况"/>
        <w:tag w:val="_SEC_cce3905839dc4d6ea19cf81ee0af7e4b"/>
        <w:id w:val="-174032291"/>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6"/>
            </w:numPr>
            <w:tabs>
              <w:tab w:val="left" w:pos="560"/>
            </w:tabs>
            <w:rPr>
              <w:rFonts w:ascii="宋体" w:hAnsi="宋体"/>
            </w:rPr>
          </w:pPr>
          <w:bookmarkStart w:id="150" w:name="_Hlk10468610"/>
          <w:r>
            <w:rPr>
              <w:rFonts w:hint="eastAsia" w:ascii="宋体" w:hAnsi="宋体"/>
            </w:rPr>
            <w:t>坏账准备计提情况</w:t>
          </w:r>
        </w:p>
        <w:sdt>
          <w:sdtPr>
            <w:alias w:val="是否适用：应收股利坏账准备调节表[双击切换]"/>
            <w:tag w:val="_GBC_5a51eb2bfb0643eb8b9c73cdd0dbec60"/>
            <w:id w:val="199390435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imes New Roman"/>
            </w:rPr>
          </w:pPr>
        </w:p>
      </w:sdtContent>
    </w:sdt>
    <w:bookmarkEnd w:id="150"/>
    <w:sdt>
      <w:sdtPr>
        <w:rPr>
          <w:rFonts w:hint="eastAsia"/>
        </w:rPr>
        <w:alias w:val="模块:应收股利的说明"/>
        <w:tag w:val="_GBC_3543035ac1594f0aaa966ebb907a6f0d"/>
        <w:id w:val="1977645112"/>
        <w:lock w:val="sdtLocked"/>
        <w:placeholder>
          <w:docPart w:val="GBC22222222222222222222222222222"/>
        </w:placeholder>
      </w:sdtPr>
      <w:sdtEndPr>
        <w:rPr>
          <w:rFonts w:hint="default"/>
        </w:rPr>
      </w:sdtEndPr>
      <w:sdtContent>
        <w:p>
          <w:pPr>
            <w:pStyle w:val="114"/>
          </w:pPr>
          <w:r>
            <w:rPr>
              <w:rFonts w:hint="eastAsia"/>
            </w:rPr>
            <w:t>其他说明：</w:t>
          </w:r>
        </w:p>
        <w:sdt>
          <w:sdtPr>
            <w:alias w:val="是否适用：应收股利的说明[双击切换]"/>
            <w:tag w:val="_GBC_108dd924d7ca4fa78961046db5cd354e"/>
            <w:id w:val="-153672506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napToGrid w:val="0"/>
        <w:spacing w:line="240" w:lineRule="atLeast"/>
        <w:ind w:right="25" w:rightChars="12"/>
        <w:rPr>
          <w:color w:val="FF0000"/>
        </w:rPr>
      </w:pPr>
    </w:p>
    <w:p>
      <w:pPr>
        <w:pStyle w:val="118"/>
        <w:rPr>
          <w:rFonts w:ascii="宋体" w:hAnsi="宋体"/>
        </w:rPr>
      </w:pPr>
      <w:r>
        <w:rPr>
          <w:rFonts w:hint="eastAsia" w:ascii="宋体" w:hAnsi="宋体"/>
        </w:rPr>
        <w:t>其他应收款</w:t>
      </w:r>
    </w:p>
    <w:sdt>
      <w:sdtPr>
        <w:rPr>
          <w:rFonts w:hint="eastAsia" w:ascii="宋体" w:hAnsi="宋体" w:cs="宋体"/>
          <w:b w:val="0"/>
          <w:bCs w:val="0"/>
          <w:kern w:val="0"/>
          <w:szCs w:val="21"/>
        </w:rPr>
        <w:alias w:val="模块:组合中，按账龄分析法计提坏账准备的其他应收账款："/>
        <w:tag w:val="_GBC_84907f0c47bb4c62b91a81382adfc126"/>
        <w:id w:val="-956864051"/>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6"/>
            </w:numPr>
            <w:tabs>
              <w:tab w:val="left" w:pos="560"/>
            </w:tabs>
            <w:rPr>
              <w:rFonts w:ascii="宋体" w:hAnsi="宋体"/>
              <w:szCs w:val="21"/>
            </w:rPr>
          </w:pPr>
          <w:bookmarkStart w:id="151" w:name="_Hlk10469252"/>
          <w:r>
            <w:rPr>
              <w:rFonts w:hint="eastAsia" w:ascii="宋体" w:hAnsi="宋体"/>
              <w:szCs w:val="21"/>
            </w:rPr>
            <w:t>按账龄披露</w:t>
          </w:r>
        </w:p>
        <w:sdt>
          <w:sdtPr>
            <w:rPr>
              <w:rFonts w:hint="eastAsia"/>
            </w:rPr>
            <w:alias w:val="是否适用：组合中，按账龄分析法计提坏账准备的其他应收账款[双击切换]"/>
            <w:tag w:val="_GBC_14503383cb9a4c528e4dc8ae4e2b1c29"/>
            <w:id w:val="1305581868"/>
            <w:lock w:val="sdtLocked"/>
            <w:placeholder>
              <w:docPart w:val="GBC22222222222222222222222222222"/>
            </w:placeholder>
          </w:sdtPr>
          <w:sdtEndPr>
            <w:rPr>
              <w:rFonts w:hint="eastAsia"/>
            </w:rPr>
          </w:sdtEndPr>
          <w:sdtContent>
            <w:p>
              <w:pPr>
                <w:pStyle w:val="114"/>
              </w:pPr>
              <w:r>
                <w:fldChar w:fldCharType="begin"/>
              </w:r>
              <w:r>
                <w:instrText xml:space="preserve">MACROBUTTON  SnrToggleCheckbox √适用</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19309612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1118025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4616"/>
            <w:gridCol w:w="4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6b0994a4e2bf4d64b8bfa8195d1acb6c"/>
                <w:id w:val="1951506156"/>
                <w:lock w:val="sdtLocked"/>
              </w:sdtPr>
              <w:sdtContent>
                <w:tc>
                  <w:tcPr>
                    <w:tcW w:w="2548"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账龄</w:t>
                    </w:r>
                  </w:p>
                </w:tc>
              </w:sdtContent>
            </w:sdt>
            <w:sdt>
              <w:sdtPr>
                <w:tag w:val="_PLD_432b76b66b924b46b150a8c34f250ad2"/>
                <w:id w:val="336047491"/>
                <w:lock w:val="sdtLocked"/>
              </w:sdtPr>
              <w:sdtContent>
                <w:tc>
                  <w:tcPr>
                    <w:tcW w:w="2452"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期末账面余额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1041b49a86da40c3a051ceae58ba8016"/>
                <w:id w:val="-411321790"/>
                <w:lock w:val="sdtLocked"/>
              </w:sdtPr>
              <w:sdtContent>
                <w:tc>
                  <w:tcPr>
                    <w:tcW w:w="5000" w:type="pct"/>
                    <w:gridSpan w:val="2"/>
                    <w:tcBorders>
                      <w:top w:val="single" w:color="auto" w:sz="4" w:space="0"/>
                      <w:left w:val="single" w:color="auto" w:sz="4" w:space="0"/>
                      <w:bottom w:val="single" w:color="auto" w:sz="4" w:space="0"/>
                      <w:right w:val="single" w:color="auto" w:sz="4" w:space="0"/>
                    </w:tcBorders>
                  </w:tcPr>
                  <w:p>
                    <w:pPr>
                      <w:rPr>
                        <w:color w:val="FF0000"/>
                      </w:rPr>
                    </w:pPr>
                    <w:r>
                      <w:rPr>
                        <w:rFonts w:hint="eastAsia"/>
                      </w:rPr>
                      <w:t>1年以内</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a0ff2716a91b42a6ae2b722f67cab8d3"/>
                <w:id w:val="-922479388"/>
                <w:lock w:val="sdtLocked"/>
              </w:sdtPr>
              <w:sdtContent>
                <w:tc>
                  <w:tcPr>
                    <w:tcW w:w="5000" w:type="pct"/>
                    <w:gridSpan w:val="2"/>
                    <w:tcBorders>
                      <w:top w:val="single" w:color="auto" w:sz="4" w:space="0"/>
                      <w:left w:val="single" w:color="auto" w:sz="4" w:space="0"/>
                      <w:bottom w:val="single" w:color="auto" w:sz="4" w:space="0"/>
                      <w:right w:val="single" w:color="auto" w:sz="4" w:space="0"/>
                    </w:tcBorders>
                  </w:tcPr>
                  <w:p>
                    <w:pPr>
                      <w:pStyle w:val="114"/>
                    </w:pPr>
                    <w:r>
                      <w:rPr>
                        <w:rFonts w:hint="eastAsia"/>
                      </w:rPr>
                      <w:t>其中：1年以内分项</w:t>
                    </w:r>
                  </w:p>
                </w:tc>
              </w:sdtContent>
            </w:sdt>
          </w:tr>
          <w:sdt>
            <w:sdtPr>
              <w:rPr>
                <w:rFonts w:hint="eastAsia"/>
              </w:rPr>
              <w:alias w:val="一年以内其他应收款金额明细"/>
              <w:tag w:val="_TUP_b427c25173e24fbfaaaef5667baae3a1"/>
              <w:id w:val="-110456777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tc>
                  <w:tcPr>
                    <w:tcW w:w="2548" w:type="pct"/>
                    <w:tcBorders>
                      <w:top w:val="single" w:color="auto" w:sz="4" w:space="0"/>
                      <w:left w:val="single" w:color="auto" w:sz="4" w:space="0"/>
                      <w:bottom w:val="single" w:color="auto" w:sz="4" w:space="0"/>
                      <w:right w:val="single" w:color="auto" w:sz="4" w:space="0"/>
                    </w:tcBorders>
                  </w:tcPr>
                  <w:p>
                    <w:pPr>
                      <w:pStyle w:val="114"/>
                    </w:pPr>
                    <w:r>
                      <w:t>1年以内</w:t>
                    </w:r>
                  </w:p>
                </w:tc>
                <w:tc>
                  <w:tcPr>
                    <w:tcW w:w="2452" w:type="pct"/>
                    <w:tcBorders>
                      <w:top w:val="single" w:color="auto" w:sz="4" w:space="0"/>
                      <w:left w:val="single" w:color="auto" w:sz="4" w:space="0"/>
                      <w:bottom w:val="single" w:color="auto" w:sz="4" w:space="0"/>
                      <w:right w:val="single" w:color="auto" w:sz="4" w:space="0"/>
                    </w:tcBorders>
                  </w:tcPr>
                  <w:p>
                    <w:pPr>
                      <w:jc w:val="right"/>
                    </w:pPr>
                    <w:r>
                      <w:t>11,203,617.62</w:t>
                    </w:r>
                  </w:p>
                </w:tc>
              </w:tr>
            </w:sdtContent>
          </w:sdt>
          <w:sdt>
            <w:sdtPr>
              <w:rPr>
                <w:rFonts w:hint="eastAsia"/>
              </w:rPr>
              <w:alias w:val="一年以内其他应收款金额明细"/>
              <w:tag w:val="_TUP_b427c25173e24fbfaaaef5667baae3a1"/>
              <w:id w:val="-183652725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tc>
                  <w:tcPr>
                    <w:tcW w:w="2548" w:type="pct"/>
                    <w:tcBorders>
                      <w:top w:val="single" w:color="auto" w:sz="4" w:space="0"/>
                      <w:left w:val="single" w:color="auto" w:sz="4" w:space="0"/>
                      <w:bottom w:val="single" w:color="auto" w:sz="4" w:space="0"/>
                      <w:right w:val="single" w:color="auto" w:sz="4" w:space="0"/>
                    </w:tcBorders>
                  </w:tcPr>
                  <w:p>
                    <w:pPr>
                      <w:pStyle w:val="114"/>
                    </w:pPr>
                  </w:p>
                </w:tc>
                <w:tc>
                  <w:tcPr>
                    <w:tcW w:w="2452" w:type="pct"/>
                    <w:tcBorders>
                      <w:top w:val="single" w:color="auto" w:sz="4" w:space="0"/>
                      <w:left w:val="single" w:color="auto" w:sz="4" w:space="0"/>
                      <w:bottom w:val="single" w:color="auto" w:sz="4" w:space="0"/>
                      <w:right w:val="single" w:color="auto" w:sz="4" w:space="0"/>
                    </w:tcBorders>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117c27ae49f24df483b32b6cd9c22857"/>
                <w:id w:val="268285341"/>
                <w:lock w:val="sdtLocked"/>
              </w:sdtPr>
              <w:sdtContent>
                <w:tc>
                  <w:tcPr>
                    <w:tcW w:w="2548" w:type="pct"/>
                    <w:tcBorders>
                      <w:top w:val="single" w:color="auto" w:sz="4" w:space="0"/>
                      <w:left w:val="single" w:color="auto" w:sz="4" w:space="0"/>
                      <w:bottom w:val="single" w:color="auto" w:sz="4" w:space="0"/>
                      <w:right w:val="single" w:color="auto" w:sz="4" w:space="0"/>
                    </w:tcBorders>
                  </w:tcPr>
                  <w:p>
                    <w:pPr>
                      <w:pStyle w:val="114"/>
                    </w:pPr>
                    <w:r>
                      <w:rPr>
                        <w:rFonts w:hint="eastAsia"/>
                      </w:rPr>
                      <w:t>1年以内小计</w:t>
                    </w:r>
                  </w:p>
                </w:tc>
              </w:sdtContent>
            </w:sdt>
            <w:tc>
              <w:tcPr>
                <w:tcW w:w="2452" w:type="pct"/>
                <w:tcBorders>
                  <w:top w:val="single" w:color="auto" w:sz="4" w:space="0"/>
                  <w:left w:val="single" w:color="auto" w:sz="4" w:space="0"/>
                  <w:bottom w:val="single" w:color="auto" w:sz="4" w:space="0"/>
                  <w:right w:val="single" w:color="auto" w:sz="4" w:space="0"/>
                </w:tcBorders>
                <w:vAlign w:val="center"/>
              </w:tcPr>
              <w:p>
                <w:pPr>
                  <w:jc w:val="right"/>
                </w:pPr>
                <w:r>
                  <w:t>11,203,617.62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eec5fc3899b34bb8ac2c023bb178201d"/>
                <w:id w:val="-1085145898"/>
                <w:lock w:val="sdtLocked"/>
              </w:sdtPr>
              <w:sdtContent>
                <w:tc>
                  <w:tcPr>
                    <w:tcW w:w="2548" w:type="pct"/>
                    <w:tcBorders>
                      <w:top w:val="single" w:color="auto" w:sz="4" w:space="0"/>
                      <w:left w:val="single" w:color="auto" w:sz="4" w:space="0"/>
                      <w:bottom w:val="single" w:color="auto" w:sz="4" w:space="0"/>
                      <w:right w:val="single" w:color="auto" w:sz="4" w:space="0"/>
                    </w:tcBorders>
                  </w:tcPr>
                  <w:p>
                    <w:pPr>
                      <w:pStyle w:val="114"/>
                    </w:pPr>
                    <w:r>
                      <w:rPr>
                        <w:rFonts w:hint="eastAsia"/>
                      </w:rPr>
                      <w:t>1至2年</w:t>
                    </w:r>
                  </w:p>
                </w:tc>
              </w:sdtContent>
            </w:sdt>
            <w:tc>
              <w:tcPr>
                <w:tcW w:w="2452" w:type="pct"/>
                <w:tcBorders>
                  <w:top w:val="single" w:color="auto" w:sz="4" w:space="0"/>
                  <w:left w:val="single" w:color="auto" w:sz="4" w:space="0"/>
                  <w:bottom w:val="single" w:color="auto" w:sz="4" w:space="0"/>
                  <w:right w:val="single" w:color="auto" w:sz="4" w:space="0"/>
                </w:tcBorders>
                <w:vAlign w:val="center"/>
              </w:tcPr>
              <w:p>
                <w:pPr>
                  <w:jc w:val="right"/>
                </w:pPr>
                <w:r>
                  <w:t>942,994.76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4147aa219b3044cb87cadcbf20a7f278"/>
                <w:id w:val="465550992"/>
                <w:lock w:val="sdtLocked"/>
              </w:sdtPr>
              <w:sdtContent>
                <w:tc>
                  <w:tcPr>
                    <w:tcW w:w="2548" w:type="pct"/>
                    <w:tcBorders>
                      <w:top w:val="single" w:color="auto" w:sz="4" w:space="0"/>
                      <w:left w:val="single" w:color="auto" w:sz="4" w:space="0"/>
                      <w:bottom w:val="single" w:color="auto" w:sz="4" w:space="0"/>
                      <w:right w:val="single" w:color="auto" w:sz="4" w:space="0"/>
                    </w:tcBorders>
                  </w:tcPr>
                  <w:p>
                    <w:pPr>
                      <w:pStyle w:val="114"/>
                    </w:pPr>
                    <w:r>
                      <w:rPr>
                        <w:rFonts w:hint="eastAsia"/>
                      </w:rPr>
                      <w:t>2至3年</w:t>
                    </w:r>
                  </w:p>
                </w:tc>
              </w:sdtContent>
            </w:sdt>
            <w:tc>
              <w:tcPr>
                <w:tcW w:w="2452" w:type="pct"/>
                <w:tcBorders>
                  <w:top w:val="single" w:color="auto" w:sz="4" w:space="0"/>
                  <w:left w:val="single" w:color="auto" w:sz="4" w:space="0"/>
                  <w:bottom w:val="single" w:color="auto" w:sz="4" w:space="0"/>
                  <w:right w:val="single" w:color="auto" w:sz="4" w:space="0"/>
                </w:tcBorders>
                <w:vAlign w:val="center"/>
              </w:tcPr>
              <w:p>
                <w:pPr>
                  <w:jc w:val="right"/>
                </w:pPr>
                <w:r>
                  <w:t>18,589,449.35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fb935d76867c48c7bf55f3d52575dd91"/>
                <w:id w:val="268279887"/>
                <w:lock w:val="sdtLocked"/>
              </w:sdtPr>
              <w:sdtContent>
                <w:tc>
                  <w:tcPr>
                    <w:tcW w:w="2548" w:type="pct"/>
                    <w:tcBorders>
                      <w:top w:val="single" w:color="auto" w:sz="4" w:space="0"/>
                      <w:left w:val="single" w:color="auto" w:sz="4" w:space="0"/>
                      <w:bottom w:val="single" w:color="auto" w:sz="4" w:space="0"/>
                      <w:right w:val="single" w:color="auto" w:sz="4" w:space="0"/>
                    </w:tcBorders>
                  </w:tcPr>
                  <w:p>
                    <w:pPr>
                      <w:pStyle w:val="114"/>
                    </w:pPr>
                    <w:r>
                      <w:rPr>
                        <w:rFonts w:hint="eastAsia"/>
                      </w:rPr>
                      <w:t>3年以上</w:t>
                    </w:r>
                  </w:p>
                </w:tc>
              </w:sdtContent>
            </w:sdt>
            <w:tc>
              <w:tcPr>
                <w:tcW w:w="2452" w:type="pct"/>
                <w:tcBorders>
                  <w:top w:val="single" w:color="auto" w:sz="4" w:space="0"/>
                  <w:left w:val="single" w:color="auto" w:sz="4" w:space="0"/>
                  <w:bottom w:val="single" w:color="auto" w:sz="4" w:space="0"/>
                  <w:right w:val="single" w:color="auto" w:sz="4" w:space="0"/>
                </w:tcBorders>
                <w:vAlign w:val="center"/>
              </w:tcPr>
              <w:p>
                <w:pPr>
                  <w:jc w:val="right"/>
                </w:pPr>
                <w:r>
                  <w:t>36,068,388.79</w:t>
                </w:r>
              </w:p>
            </w:tc>
          </w:tr>
          <w:sdt>
            <w:sdtPr>
              <w:alias w:val="按账龄分析法计提坏账准备的其他应收款明细"/>
              <w:tag w:val="_TUP_34db76909f7244b09a55d5c12098c281"/>
              <w:id w:val="-115066422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tc>
                  <w:tcPr>
                    <w:tcW w:w="2548" w:type="pct"/>
                    <w:tcBorders>
                      <w:top w:val="single" w:color="auto" w:sz="4" w:space="0"/>
                      <w:left w:val="single" w:color="auto" w:sz="4" w:space="0"/>
                      <w:bottom w:val="single" w:color="auto" w:sz="4" w:space="0"/>
                      <w:right w:val="single" w:color="auto" w:sz="4" w:space="0"/>
                    </w:tcBorders>
                  </w:tcPr>
                  <w:p>
                    <w:pPr>
                      <w:pStyle w:val="114"/>
                    </w:pPr>
                    <w:r>
                      <w:t>小计</w:t>
                    </w:r>
                  </w:p>
                </w:tc>
                <w:tc>
                  <w:tcPr>
                    <w:tcW w:w="2452" w:type="pct"/>
                    <w:tcBorders>
                      <w:top w:val="single" w:color="auto" w:sz="4" w:space="0"/>
                      <w:left w:val="single" w:color="auto" w:sz="4" w:space="0"/>
                      <w:bottom w:val="single" w:color="auto" w:sz="4" w:space="0"/>
                      <w:right w:val="single" w:color="auto" w:sz="4" w:space="0"/>
                    </w:tcBorders>
                  </w:tcPr>
                  <w:p>
                    <w:pPr>
                      <w:jc w:val="right"/>
                    </w:pPr>
                    <w:r>
                      <w:t>66,804,450.52</w:t>
                    </w:r>
                  </w:p>
                </w:tc>
              </w:tr>
            </w:sdtContent>
          </w:sdt>
          <w:sdt>
            <w:sdtPr>
              <w:alias w:val="按账龄分析法计提坏账准备的其他应收款明细"/>
              <w:tag w:val="_TUP_34db76909f7244b09a55d5c12098c281"/>
              <w:id w:val="-345631198"/>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tc>
                  <w:tcPr>
                    <w:tcW w:w="2548" w:type="pct"/>
                    <w:tcBorders>
                      <w:top w:val="single" w:color="auto" w:sz="4" w:space="0"/>
                      <w:left w:val="single" w:color="auto" w:sz="4" w:space="0"/>
                      <w:bottom w:val="single" w:color="auto" w:sz="4" w:space="0"/>
                      <w:right w:val="single" w:color="auto" w:sz="4" w:space="0"/>
                    </w:tcBorders>
                  </w:tcPr>
                  <w:p>
                    <w:pPr>
                      <w:pStyle w:val="114"/>
                    </w:pPr>
                    <w:r>
                      <w:t>减：坏账准备</w:t>
                    </w:r>
                  </w:p>
                </w:tc>
                <w:tc>
                  <w:tcPr>
                    <w:tcW w:w="2452" w:type="pct"/>
                    <w:tcBorders>
                      <w:top w:val="single" w:color="auto" w:sz="4" w:space="0"/>
                      <w:left w:val="single" w:color="auto" w:sz="4" w:space="0"/>
                      <w:bottom w:val="single" w:color="auto" w:sz="4" w:space="0"/>
                      <w:right w:val="single" w:color="auto" w:sz="4" w:space="0"/>
                    </w:tcBorders>
                  </w:tcPr>
                  <w:p>
                    <w:pPr>
                      <w:jc w:val="right"/>
                    </w:pPr>
                    <w:r>
                      <w:t>15,939,113.00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f4ca1e5588694bda99031e0a5f40083e"/>
                <w:id w:val="1494451797"/>
                <w:lock w:val="sdtLocked"/>
              </w:sdtPr>
              <w:sdtContent>
                <w:tc>
                  <w:tcPr>
                    <w:tcW w:w="2548"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合计</w:t>
                    </w:r>
                  </w:p>
                </w:tc>
              </w:sdtContent>
            </w:sdt>
            <w:tc>
              <w:tcPr>
                <w:tcW w:w="2452" w:type="pct"/>
                <w:tcBorders>
                  <w:top w:val="single" w:color="auto" w:sz="4" w:space="0"/>
                  <w:left w:val="single" w:color="auto" w:sz="4" w:space="0"/>
                  <w:bottom w:val="single" w:color="auto" w:sz="4" w:space="0"/>
                  <w:right w:val="single" w:color="auto" w:sz="4" w:space="0"/>
                </w:tcBorders>
              </w:tcPr>
              <w:p>
                <w:pPr>
                  <w:jc w:val="right"/>
                </w:pPr>
                <w:r>
                  <w:t>50,865,337.52</w:t>
                </w:r>
              </w:p>
            </w:tc>
          </w:tr>
        </w:tbl>
        <w:p>
          <w:pPr>
            <w:pStyle w:val="114"/>
          </w:pPr>
        </w:p>
      </w:sdtContent>
    </w:sdt>
    <w:bookmarkEnd w:id="151"/>
    <w:sdt>
      <w:sdtPr>
        <w:rPr>
          <w:rFonts w:hint="eastAsia" w:ascii="宋体" w:hAnsi="宋体" w:cs="宋体"/>
          <w:b w:val="0"/>
          <w:bCs w:val="0"/>
          <w:kern w:val="0"/>
          <w:szCs w:val="24"/>
        </w:rPr>
        <w:alias w:val="模块:其他应收款按款项性质分类情况"/>
        <w:tag w:val="_GBC_84d520d656b8446b87c909f5ff2b545d"/>
        <w:id w:val="-253280700"/>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按款项性质分类情况</w:t>
          </w:r>
        </w:p>
        <w:sdt>
          <w:sdtPr>
            <w:alias w:val="是否适用：其他应收款按款项性质分类情况[双击切换]"/>
            <w:tag w:val="_GBC_43f55a27297f4f93b1b4f668134ac6be"/>
            <w:id w:val="108734259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其他应收款按款项性质分类情况"/>
              <w:tag w:val="_GBC_9a3af1171f5640cd83ea2c41e0145167"/>
              <w:id w:val="-1671790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20419602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6"/>
            <w:gridCol w:w="2981"/>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e66a0098cd34ad6a335156852121360"/>
                <w:id w:val="1652568043"/>
                <w:lock w:val="sdtLocked"/>
              </w:sdtPr>
              <w:sdtContent>
                <w:tc>
                  <w:tcPr>
                    <w:tcW w:w="1700" w:type="pct"/>
                    <w:shd w:val="clear" w:color="auto" w:fill="auto"/>
                    <w:vAlign w:val="center"/>
                  </w:tcPr>
                  <w:p>
                    <w:pPr>
                      <w:jc w:val="center"/>
                    </w:pPr>
                    <w:r>
                      <w:rPr>
                        <w:rFonts w:hint="eastAsia"/>
                      </w:rPr>
                      <w:t>款项性质</w:t>
                    </w:r>
                  </w:p>
                </w:tc>
              </w:sdtContent>
            </w:sdt>
            <w:sdt>
              <w:sdtPr>
                <w:tag w:val="_PLD_51fee06f6d3944a9bbc7bac249ed63b6"/>
                <w:id w:val="-1900739437"/>
                <w:lock w:val="sdtLocked"/>
              </w:sdtPr>
              <w:sdtContent>
                <w:tc>
                  <w:tcPr>
                    <w:tcW w:w="1647" w:type="pct"/>
                    <w:shd w:val="clear" w:color="auto" w:fill="auto"/>
                    <w:vAlign w:val="center"/>
                  </w:tcPr>
                  <w:p>
                    <w:pPr>
                      <w:jc w:val="center"/>
                    </w:pPr>
                    <w:r>
                      <w:rPr>
                        <w:rFonts w:hint="eastAsia"/>
                      </w:rPr>
                      <w:t>期末账面余额</w:t>
                    </w:r>
                  </w:p>
                </w:tc>
              </w:sdtContent>
            </w:sdt>
            <w:sdt>
              <w:sdtPr>
                <w:tag w:val="_PLD_0297dadecff24ff8926a98d0267a917b"/>
                <w:id w:val="-939444013"/>
                <w:lock w:val="sdtLocked"/>
              </w:sdtPr>
              <w:sdtContent>
                <w:tc>
                  <w:tcPr>
                    <w:tcW w:w="1653" w:type="pct"/>
                    <w:shd w:val="clear" w:color="auto" w:fill="auto"/>
                    <w:vAlign w:val="center"/>
                  </w:tcPr>
                  <w:p>
                    <w:pPr>
                      <w:jc w:val="center"/>
                    </w:pPr>
                    <w:r>
                      <w:rPr>
                        <w:rFonts w:hint="eastAsia"/>
                      </w:rPr>
                      <w:t>期初账面余额</w:t>
                    </w:r>
                  </w:p>
                </w:tc>
              </w:sdtContent>
            </w:sdt>
          </w:tr>
          <w:sdt>
            <w:sdtPr>
              <w:rPr>
                <w:rFonts w:hint="eastAsia"/>
              </w:rPr>
              <w:alias w:val="其他应收款按款项性质分类情况明细"/>
              <w:tag w:val="_GBC_936b797bf5094f7da8db3da3acd1de8c"/>
              <w:id w:val="116081249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违约赔偿金</w:t>
                    </w:r>
                  </w:p>
                </w:tc>
                <w:tc>
                  <w:tcPr>
                    <w:tcW w:w="1647" w:type="pct"/>
                    <w:shd w:val="clear" w:color="auto" w:fill="auto"/>
                  </w:tcPr>
                  <w:p>
                    <w:pPr>
                      <w:jc w:val="right"/>
                    </w:pPr>
                    <w:r>
                      <w:t>11,000,000.00</w:t>
                    </w:r>
                  </w:p>
                </w:tc>
                <w:tc>
                  <w:tcPr>
                    <w:tcW w:w="1653" w:type="pct"/>
                    <w:shd w:val="clear" w:color="auto" w:fill="auto"/>
                  </w:tcPr>
                  <w:p>
                    <w:pPr>
                      <w:jc w:val="right"/>
                    </w:pPr>
                    <w:r>
                      <w:t>11,000,000.00</w:t>
                    </w:r>
                  </w:p>
                </w:tc>
              </w:tr>
            </w:sdtContent>
          </w:sdt>
          <w:sdt>
            <w:sdtPr>
              <w:rPr>
                <w:rFonts w:hint="eastAsia"/>
              </w:rPr>
              <w:alias w:val="其他应收款按款项性质分类情况明细"/>
              <w:tag w:val="_GBC_936b797bf5094f7da8db3da3acd1de8c"/>
              <w:id w:val="-93342597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业主维修基金</w:t>
                    </w:r>
                  </w:p>
                </w:tc>
                <w:tc>
                  <w:tcPr>
                    <w:tcW w:w="1647" w:type="pct"/>
                    <w:shd w:val="clear" w:color="auto" w:fill="auto"/>
                  </w:tcPr>
                  <w:p>
                    <w:pPr>
                      <w:jc w:val="right"/>
                    </w:pPr>
                    <w:r>
                      <w:t>18,561,071.55</w:t>
                    </w:r>
                  </w:p>
                </w:tc>
                <w:tc>
                  <w:tcPr>
                    <w:tcW w:w="1653" w:type="pct"/>
                    <w:shd w:val="clear" w:color="auto" w:fill="auto"/>
                  </w:tcPr>
                  <w:p>
                    <w:pPr>
                      <w:jc w:val="right"/>
                    </w:pPr>
                    <w:r>
                      <w:t>18,669,886.80</w:t>
                    </w:r>
                  </w:p>
                </w:tc>
              </w:tr>
            </w:sdtContent>
          </w:sdt>
          <w:sdt>
            <w:sdtPr>
              <w:rPr>
                <w:rFonts w:hint="eastAsia"/>
              </w:rPr>
              <w:alias w:val="其他应收款按款项性质分类情况明细"/>
              <w:tag w:val="_GBC_936b797bf5094f7da8db3da3acd1de8c"/>
              <w:id w:val="-183529823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投资清算往来款</w:t>
                    </w:r>
                  </w:p>
                </w:tc>
                <w:tc>
                  <w:tcPr>
                    <w:tcW w:w="1647" w:type="pct"/>
                    <w:shd w:val="clear" w:color="auto" w:fill="auto"/>
                  </w:tcPr>
                  <w:p>
                    <w:pPr>
                      <w:jc w:val="right"/>
                    </w:pPr>
                    <w:r>
                      <w:t>15,812,140.02</w:t>
                    </w:r>
                  </w:p>
                </w:tc>
                <w:tc>
                  <w:tcPr>
                    <w:tcW w:w="1653" w:type="pct"/>
                    <w:shd w:val="clear" w:color="auto" w:fill="auto"/>
                  </w:tcPr>
                  <w:p>
                    <w:pPr>
                      <w:jc w:val="right"/>
                    </w:pPr>
                    <w:r>
                      <w:t>15,812,140.02</w:t>
                    </w:r>
                  </w:p>
                </w:tc>
              </w:tr>
            </w:sdtContent>
          </w:sdt>
          <w:sdt>
            <w:sdtPr>
              <w:rPr>
                <w:rFonts w:hint="eastAsia"/>
              </w:rPr>
              <w:alias w:val="其他应收款按款项性质分类情况明细"/>
              <w:tag w:val="_GBC_936b797bf5094f7da8db3da3acd1de8c"/>
              <w:id w:val="-119399388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工程预借款</w:t>
                    </w:r>
                  </w:p>
                </w:tc>
                <w:tc>
                  <w:tcPr>
                    <w:tcW w:w="1647" w:type="pct"/>
                    <w:shd w:val="clear" w:color="auto" w:fill="auto"/>
                  </w:tcPr>
                  <w:p>
                    <w:pPr>
                      <w:jc w:val="right"/>
                    </w:pPr>
                    <w:r>
                      <w:t>6,651,121.50</w:t>
                    </w:r>
                  </w:p>
                </w:tc>
                <w:tc>
                  <w:tcPr>
                    <w:tcW w:w="1653" w:type="pct"/>
                    <w:shd w:val="clear" w:color="auto" w:fill="auto"/>
                  </w:tcPr>
                  <w:p>
                    <w:pPr>
                      <w:jc w:val="right"/>
                    </w:pPr>
                    <w:r>
                      <w:t>6,651,121.50</w:t>
                    </w:r>
                  </w:p>
                </w:tc>
              </w:tr>
            </w:sdtContent>
          </w:sdt>
          <w:sdt>
            <w:sdtPr>
              <w:rPr>
                <w:rFonts w:hint="eastAsia"/>
              </w:rPr>
              <w:alias w:val="其他应收款按款项性质分类情况明细"/>
              <w:tag w:val="_GBC_936b797bf5094f7da8db3da3acd1de8c"/>
              <w:id w:val="49854789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备用金</w:t>
                    </w:r>
                  </w:p>
                </w:tc>
                <w:tc>
                  <w:tcPr>
                    <w:tcW w:w="1647" w:type="pct"/>
                    <w:shd w:val="clear" w:color="auto" w:fill="auto"/>
                  </w:tcPr>
                  <w:p>
                    <w:pPr>
                      <w:jc w:val="right"/>
                    </w:pPr>
                    <w:r>
                      <w:t>3,640,812.00</w:t>
                    </w:r>
                  </w:p>
                </w:tc>
                <w:tc>
                  <w:tcPr>
                    <w:tcW w:w="1653" w:type="pct"/>
                    <w:shd w:val="clear" w:color="auto" w:fill="auto"/>
                  </w:tcPr>
                  <w:p>
                    <w:pPr>
                      <w:jc w:val="right"/>
                    </w:pPr>
                    <w:r>
                      <w:t>4,018,786.60</w:t>
                    </w:r>
                  </w:p>
                </w:tc>
              </w:tr>
            </w:sdtContent>
          </w:sdt>
          <w:sdt>
            <w:sdtPr>
              <w:rPr>
                <w:rFonts w:hint="eastAsia"/>
              </w:rPr>
              <w:alias w:val="其他应收款按款项性质分类情况明细"/>
              <w:tag w:val="_GBC_936b797bf5094f7da8db3da3acd1de8c"/>
              <w:id w:val="-140436800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住房公积金贷款按揭保证金</w:t>
                    </w:r>
                  </w:p>
                </w:tc>
                <w:tc>
                  <w:tcPr>
                    <w:tcW w:w="1647" w:type="pct"/>
                    <w:shd w:val="clear" w:color="auto" w:fill="auto"/>
                  </w:tcPr>
                  <w:p>
                    <w:pPr>
                      <w:jc w:val="right"/>
                    </w:pPr>
                    <w:r>
                      <w:t>2,000,000.00</w:t>
                    </w:r>
                  </w:p>
                </w:tc>
                <w:tc>
                  <w:tcPr>
                    <w:tcW w:w="1653" w:type="pct"/>
                    <w:shd w:val="clear" w:color="auto" w:fill="auto"/>
                  </w:tcPr>
                  <w:p>
                    <w:pPr>
                      <w:jc w:val="right"/>
                    </w:pPr>
                    <w:r>
                      <w:t>2,864,000.00</w:t>
                    </w:r>
                  </w:p>
                </w:tc>
              </w:tr>
            </w:sdtContent>
          </w:sdt>
          <w:sdt>
            <w:sdtPr>
              <w:rPr>
                <w:rFonts w:hint="eastAsia"/>
              </w:rPr>
              <w:alias w:val="其他应收款按款项性质分类情况明细"/>
              <w:tag w:val="_GBC_936b797bf5094f7da8db3da3acd1de8c"/>
              <w:id w:val="130751806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其他</w:t>
                    </w:r>
                  </w:p>
                </w:tc>
                <w:tc>
                  <w:tcPr>
                    <w:tcW w:w="1647" w:type="pct"/>
                    <w:shd w:val="clear" w:color="auto" w:fill="auto"/>
                  </w:tcPr>
                  <w:p>
                    <w:pPr>
                      <w:jc w:val="right"/>
                    </w:pPr>
                    <w:r>
                      <w:t>9,139,305.45</w:t>
                    </w:r>
                  </w:p>
                </w:tc>
                <w:tc>
                  <w:tcPr>
                    <w:tcW w:w="1653" w:type="pct"/>
                    <w:shd w:val="clear" w:color="auto" w:fill="auto"/>
                  </w:tcPr>
                  <w:p>
                    <w:pPr>
                      <w:jc w:val="right"/>
                    </w:pPr>
                    <w:r>
                      <w:t>14,692,120.10</w:t>
                    </w:r>
                  </w:p>
                </w:tc>
              </w:tr>
            </w:sdtContent>
          </w:sdt>
          <w:sdt>
            <w:sdtPr>
              <w:rPr>
                <w:rFonts w:hint="eastAsia"/>
              </w:rPr>
              <w:alias w:val="其他应收款按款项性质分类情况明细"/>
              <w:tag w:val="_GBC_936b797bf5094f7da8db3da3acd1de8c"/>
              <w:id w:val="-80785372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小计</w:t>
                    </w:r>
                  </w:p>
                </w:tc>
                <w:tc>
                  <w:tcPr>
                    <w:tcW w:w="1647" w:type="pct"/>
                    <w:shd w:val="clear" w:color="auto" w:fill="auto"/>
                  </w:tcPr>
                  <w:p>
                    <w:pPr>
                      <w:jc w:val="right"/>
                    </w:pPr>
                    <w:r>
                      <w:t>66,804,450.52</w:t>
                    </w:r>
                  </w:p>
                </w:tc>
                <w:tc>
                  <w:tcPr>
                    <w:tcW w:w="1653" w:type="pct"/>
                    <w:shd w:val="clear" w:color="auto" w:fill="auto"/>
                  </w:tcPr>
                  <w:p>
                    <w:pPr>
                      <w:jc w:val="right"/>
                    </w:pPr>
                    <w:r>
                      <w:t>73,708,055.02</w:t>
                    </w:r>
                  </w:p>
                </w:tc>
              </w:tr>
            </w:sdtContent>
          </w:sdt>
          <w:sdt>
            <w:sdtPr>
              <w:rPr>
                <w:rFonts w:hint="eastAsia"/>
              </w:rPr>
              <w:alias w:val="其他应收款按款项性质分类情况明细"/>
              <w:tag w:val="_GBC_936b797bf5094f7da8db3da3acd1de8c"/>
              <w:id w:val="157655041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减：坏账准备</w:t>
                    </w:r>
                  </w:p>
                </w:tc>
                <w:tc>
                  <w:tcPr>
                    <w:tcW w:w="1647" w:type="pct"/>
                    <w:shd w:val="clear" w:color="auto" w:fill="auto"/>
                  </w:tcPr>
                  <w:p>
                    <w:pPr>
                      <w:jc w:val="right"/>
                    </w:pPr>
                    <w:r>
                      <w:t>15,939,113.00</w:t>
                    </w:r>
                  </w:p>
                </w:tc>
                <w:tc>
                  <w:tcPr>
                    <w:tcW w:w="1653" w:type="pct"/>
                    <w:shd w:val="clear" w:color="auto" w:fill="auto"/>
                  </w:tcPr>
                  <w:p>
                    <w:pPr>
                      <w:jc w:val="right"/>
                    </w:pPr>
                    <w:r>
                      <w:t>15,939,113.00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9d40156f33b4b6398b236a0f6461a23"/>
                <w:id w:val="432559692"/>
                <w:lock w:val="sdtLocked"/>
              </w:sdtPr>
              <w:sdtContent>
                <w:tc>
                  <w:tcPr>
                    <w:tcW w:w="1700" w:type="pct"/>
                    <w:shd w:val="clear" w:color="auto" w:fill="auto"/>
                  </w:tcPr>
                  <w:p>
                    <w:pPr>
                      <w:jc w:val="center"/>
                    </w:pPr>
                    <w:r>
                      <w:t>合计</w:t>
                    </w:r>
                  </w:p>
                </w:tc>
              </w:sdtContent>
            </w:sdt>
            <w:tc>
              <w:tcPr>
                <w:tcW w:w="1647" w:type="pct"/>
                <w:shd w:val="clear" w:color="auto" w:fill="auto"/>
              </w:tcPr>
              <w:p>
                <w:pPr>
                  <w:jc w:val="right"/>
                </w:pPr>
                <w:r>
                  <w:t>50,865,337.52</w:t>
                </w:r>
              </w:p>
            </w:tc>
            <w:tc>
              <w:tcPr>
                <w:tcW w:w="1653" w:type="pct"/>
                <w:shd w:val="clear" w:color="auto" w:fill="auto"/>
              </w:tcPr>
              <w:p>
                <w:pPr>
                  <w:jc w:val="right"/>
                </w:pPr>
                <w:r>
                  <w:t>57,768,942.02</w:t>
                </w:r>
              </w:p>
            </w:tc>
          </w:tr>
        </w:tbl>
        <w:p>
          <w:pPr>
            <w:pStyle w:val="114"/>
          </w:pPr>
        </w:p>
      </w:sdtContent>
    </w:sdt>
    <w:sdt>
      <w:sdtPr>
        <w:rPr>
          <w:rFonts w:hint="eastAsia" w:ascii="宋体" w:hAnsi="宋体" w:cs="宋体"/>
          <w:b w:val="0"/>
          <w:bCs w:val="0"/>
          <w:kern w:val="0"/>
          <w:szCs w:val="24"/>
        </w:rPr>
        <w:alias w:val="模块:坏账准备计提情况"/>
        <w:tag w:val="_SEC_5ff83398df8949c88f89340b5b0e52f6"/>
        <w:id w:val="1970092740"/>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6"/>
            </w:numPr>
            <w:tabs>
              <w:tab w:val="left" w:pos="560"/>
            </w:tabs>
            <w:rPr>
              <w:rFonts w:ascii="宋体" w:hAnsi="宋体"/>
            </w:rPr>
          </w:pPr>
          <w:bookmarkStart w:id="152" w:name="_Hlk10469799"/>
          <w:r>
            <w:rPr>
              <w:rFonts w:hint="eastAsia" w:ascii="宋体" w:hAnsi="宋体"/>
            </w:rPr>
            <w:t>坏账准备计提情况</w:t>
          </w:r>
        </w:p>
        <w:sdt>
          <w:sdtPr>
            <w:alias w:val="是否适用：其他应收款坏账准备调节表[双击切换]"/>
            <w:tag w:val="_GBC_29d0c5a1588a4f6589b1f8148c9ef180"/>
            <w:id w:val="26443828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ind w:right="105" w:rightChars="50"/>
            <w:jc w:val="right"/>
          </w:pPr>
          <w:r>
            <w:rPr>
              <w:rFonts w:hint="eastAsia"/>
            </w:rPr>
            <w:t>单位：</w:t>
          </w:r>
          <w:sdt>
            <w:sdtPr>
              <w:rPr>
                <w:rFonts w:hint="eastAsia"/>
              </w:rPr>
              <w:alias w:val="单位：其他应收款坏账准备调节表"/>
              <w:tag w:val="_GBC_c65b82e3cfaf4fde8d75eac8c9a6e9f9"/>
              <w:id w:val="1665665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21289195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1560"/>
            <w:gridCol w:w="1985"/>
            <w:gridCol w:w="1985"/>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0df16deeb9614db49d9aa88a31229d9a"/>
                <w:id w:val="1138221785"/>
                <w:lock w:val="sdtLocked"/>
              </w:sdtPr>
              <w:sdtEndPr>
                <w:rPr>
                  <w:rFonts w:ascii="宋体" w:hAnsi="宋体" w:eastAsia="宋体"/>
                </w:rPr>
              </w:sdtEndPr>
              <w:sdtContent>
                <w:tc>
                  <w:tcPr>
                    <w:tcW w:w="1001" w:type="pct"/>
                    <w:vMerge w:val="restar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坏账准备</w:t>
                    </w:r>
                  </w:p>
                </w:tc>
              </w:sdtContent>
            </w:sdt>
            <w:sdt>
              <w:sdtPr>
                <w:rPr>
                  <w:rFonts w:ascii="宋体" w:hAnsi="宋体" w:eastAsia="宋体"/>
                </w:rPr>
                <w:tag w:val="_PLD_f47baed0f5d14c0486b4530b2aa1cb4c"/>
                <w:id w:val="-72737431"/>
                <w:lock w:val="sdtLocked"/>
              </w:sdtPr>
              <w:sdtEndPr>
                <w:rPr>
                  <w:rFonts w:ascii="宋体" w:hAnsi="宋体" w:eastAsia="宋体"/>
                </w:rPr>
              </w:sdtEndPr>
              <w:sdtContent>
                <w:tc>
                  <w:tcPr>
                    <w:tcW w:w="862"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第一阶段</w:t>
                    </w:r>
                  </w:p>
                </w:tc>
              </w:sdtContent>
            </w:sdt>
            <w:sdt>
              <w:sdtPr>
                <w:rPr>
                  <w:rFonts w:ascii="宋体" w:hAnsi="宋体" w:eastAsia="宋体"/>
                </w:rPr>
                <w:tag w:val="_PLD_a29dd4725bec4eb78b246b92252a24df"/>
                <w:id w:val="-1957549409"/>
                <w:lock w:val="sdtLocked"/>
              </w:sdtPr>
              <w:sdtEndPr>
                <w:rPr>
                  <w:rFonts w:ascii="宋体" w:hAnsi="宋体" w:eastAsia="宋体"/>
                </w:rPr>
              </w:sdtEndPr>
              <w:sdtContent>
                <w:tc>
                  <w:tcPr>
                    <w:tcW w:w="1097"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第二阶段</w:t>
                    </w:r>
                  </w:p>
                </w:tc>
              </w:sdtContent>
            </w:sdt>
            <w:sdt>
              <w:sdtPr>
                <w:rPr>
                  <w:rFonts w:ascii="宋体" w:hAnsi="宋体" w:eastAsia="宋体"/>
                </w:rPr>
                <w:tag w:val="_PLD_c495a5d3c56f4cb9a0bd5cc9cc9b5410"/>
                <w:id w:val="1779597727"/>
                <w:lock w:val="sdtLocked"/>
              </w:sdtPr>
              <w:sdtEndPr>
                <w:rPr>
                  <w:rFonts w:ascii="宋体" w:hAnsi="宋体" w:eastAsia="宋体"/>
                </w:rPr>
              </w:sdtEndPr>
              <w:sdtContent>
                <w:tc>
                  <w:tcPr>
                    <w:tcW w:w="1097"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第三阶段</w:t>
                    </w:r>
                  </w:p>
                </w:tc>
              </w:sdtContent>
            </w:sdt>
            <w:sdt>
              <w:sdtPr>
                <w:rPr>
                  <w:rFonts w:ascii="宋体" w:hAnsi="宋体" w:eastAsia="宋体"/>
                </w:rPr>
                <w:tag w:val="_PLD_0dc8bab0b7424c1295b83fcc97ca7554"/>
                <w:id w:val="-54933874"/>
                <w:lock w:val="sdtLocked"/>
              </w:sdtPr>
              <w:sdtEndPr>
                <w:rPr>
                  <w:rFonts w:ascii="宋体" w:hAnsi="宋体" w:eastAsia="宋体"/>
                </w:rPr>
              </w:sdtEndPr>
              <w:sdtContent>
                <w:tc>
                  <w:tcPr>
                    <w:tcW w:w="943" w:type="pct"/>
                    <w:vMerge w:val="restar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pct"/>
                <w:vMerge w:val="continue"/>
                <w:vAlign w:val="center"/>
              </w:tcPr>
              <w:p>
                <w:pPr>
                  <w:jc w:val="center"/>
                  <w:rPr>
                    <w:color w:val="008000"/>
                  </w:rPr>
                </w:pPr>
              </w:p>
            </w:tc>
            <w:sdt>
              <w:sdtPr>
                <w:rPr>
                  <w:rFonts w:ascii="宋体" w:hAnsi="宋体" w:eastAsia="宋体"/>
                </w:rPr>
                <w:tag w:val="_PLD_08f8b6a1fd974f0d8ae0c04f27849740"/>
                <w:id w:val="-1734934540"/>
                <w:lock w:val="sdtLocked"/>
              </w:sdtPr>
              <w:sdtEndPr>
                <w:rPr>
                  <w:rFonts w:ascii="宋体" w:hAnsi="宋体" w:eastAsia="宋体"/>
                </w:rPr>
              </w:sdtEndPr>
              <w:sdtContent>
                <w:tc>
                  <w:tcPr>
                    <w:tcW w:w="862"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未来12个月预期信用损失</w:t>
                    </w:r>
                  </w:p>
                </w:tc>
              </w:sdtContent>
            </w:sdt>
            <w:sdt>
              <w:sdtPr>
                <w:rPr>
                  <w:rFonts w:ascii="宋体" w:hAnsi="宋体" w:eastAsia="宋体"/>
                </w:rPr>
                <w:tag w:val="_PLD_c85cfe8f6d6a4ab0af13d30e76cd7800"/>
                <w:id w:val="-1501191201"/>
                <w:lock w:val="sdtLocked"/>
              </w:sdtPr>
              <w:sdtEndPr>
                <w:rPr>
                  <w:rFonts w:ascii="宋体" w:hAnsi="宋体" w:eastAsia="宋体"/>
                </w:rPr>
              </w:sdtEndPr>
              <w:sdtContent>
                <w:tc>
                  <w:tcPr>
                    <w:tcW w:w="1097"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整个存续期预期信用损失(未发生信用减值)</w:t>
                    </w:r>
                  </w:p>
                </w:tc>
              </w:sdtContent>
            </w:sdt>
            <w:sdt>
              <w:sdtPr>
                <w:rPr>
                  <w:rFonts w:ascii="宋体" w:hAnsi="宋体" w:eastAsia="宋体"/>
                </w:rPr>
                <w:tag w:val="_PLD_2df6c7466f224906aa04a411975e6f79"/>
                <w:id w:val="-192847192"/>
                <w:lock w:val="sdtLocked"/>
              </w:sdtPr>
              <w:sdtEndPr>
                <w:rPr>
                  <w:rFonts w:ascii="宋体" w:hAnsi="宋体" w:eastAsia="宋体"/>
                </w:rPr>
              </w:sdtEndPr>
              <w:sdtContent>
                <w:tc>
                  <w:tcPr>
                    <w:tcW w:w="1097" w:type="pct"/>
                    <w:vAlign w:val="center"/>
                  </w:tcPr>
                  <w:p>
                    <w:pPr>
                      <w:pStyle w:val="195"/>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整个存续期预期信用损失(已发生信用减值)</w:t>
                    </w:r>
                  </w:p>
                </w:tc>
              </w:sdtContent>
            </w:sdt>
            <w:tc>
              <w:tcPr>
                <w:tcW w:w="943" w:type="pct"/>
                <w:vMerge w:val="continue"/>
              </w:tcPr>
              <w:p>
                <w:pPr>
                  <w:jc w:val="center"/>
                  <w:rPr>
                    <w:color w:val="008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2d320061b2c04b43aa4ffcb4160cc3e9"/>
                <w:id w:val="670215384"/>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ascii="宋体" w:hAnsi="宋体" w:eastAsia="宋体" w:cs="宋体"/>
                        <w:sz w:val="21"/>
                        <w:szCs w:val="21"/>
                        <w:lang w:eastAsia="zh-CN"/>
                      </w:rPr>
                      <w:t>2023年</w:t>
                    </w:r>
                    <w:r>
                      <w:rPr>
                        <w:rFonts w:hint="eastAsia" w:ascii="宋体" w:hAnsi="宋体" w:eastAsia="宋体" w:cs="宋体"/>
                        <w:sz w:val="21"/>
                        <w:szCs w:val="21"/>
                        <w:lang w:eastAsia="zh-CN"/>
                      </w:rPr>
                      <w:t>1月1日余额</w:t>
                    </w:r>
                  </w:p>
                </w:tc>
              </w:sdtContent>
            </w:sdt>
            <w:tc>
              <w:tcPr>
                <w:tcW w:w="862" w:type="pct"/>
                <w:vAlign w:val="center"/>
              </w:tcPr>
              <w:p>
                <w:pPr>
                  <w:jc w:val="right"/>
                </w:pPr>
                <w:r>
                  <w:t>126,972.98</w:t>
                </w:r>
              </w:p>
            </w:tc>
            <w:tc>
              <w:tcPr>
                <w:tcW w:w="1097" w:type="pct"/>
                <w:vAlign w:val="center"/>
              </w:tcPr>
              <w:p>
                <w:pPr>
                  <w:jc w:val="right"/>
                </w:pPr>
                <w:r>
                  <w:t>-</w:t>
                </w:r>
              </w:p>
            </w:tc>
            <w:tc>
              <w:tcPr>
                <w:tcW w:w="1097" w:type="pct"/>
                <w:vAlign w:val="center"/>
              </w:tcPr>
              <w:p>
                <w:pPr>
                  <w:jc w:val="right"/>
                </w:pPr>
                <w:r>
                  <w:t>15,812,140.02</w:t>
                </w:r>
              </w:p>
            </w:tc>
            <w:tc>
              <w:tcPr>
                <w:tcW w:w="943" w:type="pct"/>
                <w:vAlign w:val="center"/>
              </w:tcPr>
              <w:p>
                <w:pPr>
                  <w:jc w:val="right"/>
                </w:pPr>
                <w:r>
                  <w:t>15,939,113.00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87947ae743a54051a279d9db76e17d3e"/>
                <w:id w:val="898942977"/>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2023年1月1日余额在本期</w:t>
                    </w:r>
                  </w:p>
                </w:tc>
              </w:sdtContent>
            </w:sdt>
            <w:tc>
              <w:tcPr>
                <w:tcW w:w="862" w:type="pct"/>
              </w:tcPr>
              <w:p>
                <w:pPr>
                  <w:jc w:val="right"/>
                </w:pPr>
              </w:p>
            </w:tc>
            <w:tc>
              <w:tcPr>
                <w:tcW w:w="1097" w:type="pct"/>
              </w:tcPr>
              <w:p>
                <w:pPr>
                  <w:jc w:val="right"/>
                </w:pPr>
              </w:p>
            </w:tc>
            <w:tc>
              <w:tcPr>
                <w:tcW w:w="1097" w:type="pct"/>
              </w:tcPr>
              <w:p>
                <w:pPr>
                  <w:jc w:val="right"/>
                </w:pPr>
              </w:p>
            </w:tc>
            <w:tc>
              <w:tcPr>
                <w:tcW w:w="943" w:type="pct"/>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038143b9e2e34542b73dcfc1430d95cc"/>
                <w:id w:val="760421966"/>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--转入第二阶段</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a76d00fce3fe4d29be0ddd475d30b2c0"/>
                <w:id w:val="-274490635"/>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--转入第三阶段</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7f587129b9194265b30ab5ac06c73ae1"/>
                <w:id w:val="177550150"/>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--转回第二阶段</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7b7c467e47354ee5a30772a2b1c39114"/>
                <w:id w:val="1355918167"/>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--转回第一阶段</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539b03f459c4452c8b986b7b696cbc3f"/>
                <w:id w:val="-2028019688"/>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本期计提</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pct"/>
                <w:vAlign w:val="center"/>
              </w:tcPr>
              <w:sdt>
                <w:sdtPr>
                  <w:rPr>
                    <w:rFonts w:hint="eastAsia" w:ascii="宋体" w:hAnsi="宋体" w:eastAsia="宋体"/>
                    <w:sz w:val="21"/>
                    <w:szCs w:val="21"/>
                    <w:lang w:eastAsia="zh-CN"/>
                  </w:rPr>
                  <w:tag w:val="_PLD_ddcd4306bc5c4cc89da3fd6a733c0801"/>
                  <w:id w:val="1660818481"/>
                  <w:lock w:val="sdtLocked"/>
                </w:sdtPr>
                <w:sdtEndPr>
                  <w:rPr>
                    <w:rFonts w:hint="eastAsia" w:ascii="宋体" w:hAnsi="宋体" w:eastAsia="宋体"/>
                    <w:sz w:val="21"/>
                    <w:szCs w:val="21"/>
                    <w:lang w:eastAsia="zh-CN"/>
                  </w:rPr>
                </w:sdtEndPr>
                <w:sdtContent>
                  <w:p>
                    <w:pPr>
                      <w:pStyle w:val="195"/>
                      <w:spacing w:after="0" w:line="240" w:lineRule="auto"/>
                      <w:jc w:val="both"/>
                      <w:rPr>
                        <w:rFonts w:ascii="宋体" w:hAnsi="宋体" w:eastAsia="宋体"/>
                        <w:sz w:val="21"/>
                        <w:szCs w:val="21"/>
                      </w:rPr>
                    </w:pPr>
                    <w:r>
                      <w:rPr>
                        <w:rFonts w:hint="eastAsia" w:ascii="宋体" w:hAnsi="宋体" w:eastAsia="宋体"/>
                        <w:sz w:val="21"/>
                        <w:szCs w:val="21"/>
                        <w:lang w:eastAsia="zh-CN"/>
                      </w:rPr>
                      <w:t>本期转回</w:t>
                    </w:r>
                  </w:p>
                </w:sdtContent>
              </w:sdt>
            </w:tc>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1c4657ced479496a86e3dc375f285889"/>
                <w:id w:val="-128863856"/>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本期转销</w:t>
                    </w:r>
                  </w:p>
                </w:tc>
              </w:sdtContent>
            </w:sdt>
            <w:tc>
              <w:tcPr>
                <w:tcW w:w="862" w:type="pct"/>
                <w:vAlign w:val="center"/>
              </w:tcPr>
              <w:p>
                <w:pPr>
                  <w:jc w:val="right"/>
                </w:pPr>
                <w:r>
                  <w:t>-</w:t>
                </w:r>
              </w:p>
            </w:tc>
            <w:tc>
              <w:tcPr>
                <w:tcW w:w="1097" w:type="pct"/>
                <w:vAlign w:val="center"/>
              </w:tcPr>
              <w:p>
                <w:pPr>
                  <w:jc w:val="right"/>
                </w:pPr>
                <w:r>
                  <w:t>-</w:t>
                </w:r>
              </w:p>
            </w:tc>
            <w:tc>
              <w:tcPr>
                <w:tcW w:w="1097" w:type="pct"/>
                <w:vAlign w:val="center"/>
              </w:tcPr>
              <w:p>
                <w:pPr>
                  <w:jc w:val="right"/>
                </w:pPr>
                <w:r>
                  <w:t>-</w:t>
                </w:r>
              </w:p>
            </w:tc>
            <w:tc>
              <w:tcPr>
                <w:tcW w:w="943" w:type="pct"/>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pct"/>
                <w:vAlign w:val="center"/>
              </w:tcPr>
              <w:sdt>
                <w:sdtPr>
                  <w:rPr>
                    <w:rFonts w:hint="eastAsia" w:ascii="宋体" w:hAnsi="宋体" w:eastAsia="宋体"/>
                    <w:sz w:val="21"/>
                    <w:szCs w:val="21"/>
                    <w:lang w:eastAsia="zh-CN"/>
                  </w:rPr>
                  <w:tag w:val="_PLD_8a1f66e013df42ccbcaccfe3645b25ea"/>
                  <w:id w:val="1458994345"/>
                  <w:lock w:val="sdtLocked"/>
                </w:sdtPr>
                <w:sdtEndPr>
                  <w:rPr>
                    <w:rFonts w:hint="eastAsia" w:ascii="宋体" w:hAnsi="宋体" w:eastAsia="宋体"/>
                    <w:sz w:val="21"/>
                    <w:szCs w:val="21"/>
                    <w:lang w:eastAsia="zh-CN"/>
                  </w:rPr>
                </w:sdtEndPr>
                <w:sdtContent>
                  <w:p>
                    <w:pPr>
                      <w:pStyle w:val="195"/>
                      <w:spacing w:after="0" w:line="240" w:lineRule="auto"/>
                      <w:jc w:val="both"/>
                      <w:rPr>
                        <w:rFonts w:ascii="宋体" w:hAnsi="宋体" w:eastAsia="宋体"/>
                        <w:sz w:val="21"/>
                        <w:szCs w:val="21"/>
                      </w:rPr>
                    </w:pPr>
                    <w:r>
                      <w:rPr>
                        <w:rFonts w:hint="eastAsia" w:ascii="宋体" w:hAnsi="宋体" w:eastAsia="宋体"/>
                        <w:sz w:val="21"/>
                        <w:szCs w:val="21"/>
                        <w:lang w:eastAsia="zh-CN"/>
                      </w:rPr>
                      <w:t>本期核销</w:t>
                    </w:r>
                  </w:p>
                </w:sdtContent>
              </w:sdt>
            </w:tc>
            <w:tc>
              <w:tcPr>
                <w:tcW w:w="862" w:type="pct"/>
              </w:tcPr>
              <w:p>
                <w:pPr>
                  <w:jc w:val="right"/>
                </w:pPr>
              </w:p>
            </w:tc>
            <w:tc>
              <w:tcPr>
                <w:tcW w:w="1097" w:type="pct"/>
              </w:tcPr>
              <w:p>
                <w:pPr>
                  <w:jc w:val="right"/>
                </w:pPr>
              </w:p>
            </w:tc>
            <w:tc>
              <w:tcPr>
                <w:tcW w:w="1097" w:type="pct"/>
              </w:tcPr>
              <w:p>
                <w:pPr>
                  <w:jc w:val="right"/>
                </w:pPr>
              </w:p>
            </w:tc>
            <w:tc>
              <w:tcPr>
                <w:tcW w:w="943" w:type="pct"/>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80203c10cb0c468dbd7a48669ddd0f63"/>
                <w:id w:val="-1277953611"/>
                <w:lock w:val="sdtLocked"/>
              </w:sdtPr>
              <w:sdtEndPr>
                <w:rPr>
                  <w:rFonts w:ascii="宋体" w:hAnsi="宋体" w:eastAsia="宋体"/>
                </w:rPr>
              </w:sdtEndPr>
              <w:sdtContent>
                <w:tc>
                  <w:tcPr>
                    <w:tcW w:w="1001" w:type="pct"/>
                    <w:vAlign w:val="center"/>
                  </w:tcPr>
                  <w:p>
                    <w:pPr>
                      <w:pStyle w:val="195"/>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其他变动</w:t>
                    </w:r>
                  </w:p>
                </w:tc>
              </w:sdtContent>
            </w:sdt>
            <w:tc>
              <w:tcPr>
                <w:tcW w:w="862" w:type="pct"/>
              </w:tcPr>
              <w:p>
                <w:pPr>
                  <w:jc w:val="right"/>
                </w:pPr>
              </w:p>
            </w:tc>
            <w:tc>
              <w:tcPr>
                <w:tcW w:w="1097" w:type="pct"/>
              </w:tcPr>
              <w:p>
                <w:pPr>
                  <w:jc w:val="right"/>
                </w:pPr>
              </w:p>
            </w:tc>
            <w:tc>
              <w:tcPr>
                <w:tcW w:w="1097" w:type="pct"/>
              </w:tcPr>
              <w:p>
                <w:pPr>
                  <w:jc w:val="right"/>
                </w:pPr>
              </w:p>
            </w:tc>
            <w:tc>
              <w:tcPr>
                <w:tcW w:w="943" w:type="pct"/>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bb669c94f1734a70be90735195c143c3"/>
                <w:id w:val="845297431"/>
                <w:lock w:val="sdtLocked"/>
              </w:sdtPr>
              <w:sdtEndPr>
                <w:rPr>
                  <w:rFonts w:ascii="宋体" w:hAnsi="宋体" w:eastAsia="宋体"/>
                </w:rPr>
              </w:sdtEndPr>
              <w:sdtContent>
                <w:tc>
                  <w:tcPr>
                    <w:tcW w:w="1001" w:type="pct"/>
                    <w:vAlign w:val="center"/>
                  </w:tcPr>
                  <w:p>
                    <w:pPr>
                      <w:pStyle w:val="195"/>
                      <w:spacing w:after="0" w:line="240" w:lineRule="auto"/>
                      <w:rPr>
                        <w:rFonts w:ascii="宋体" w:hAnsi="宋体" w:eastAsia="宋体" w:cs="宋体"/>
                        <w:sz w:val="21"/>
                        <w:szCs w:val="21"/>
                        <w:lang w:eastAsia="zh-CN"/>
                      </w:rPr>
                    </w:pPr>
                    <w:r>
                      <w:rPr>
                        <w:rFonts w:ascii="宋体" w:hAnsi="宋体" w:eastAsia="宋体" w:cs="宋体"/>
                        <w:sz w:val="21"/>
                        <w:szCs w:val="21"/>
                        <w:lang w:eastAsia="zh-CN"/>
                      </w:rPr>
                      <w:t>2023年6月30日</w:t>
                    </w:r>
                    <w:r>
                      <w:rPr>
                        <w:rFonts w:hint="eastAsia" w:ascii="宋体" w:hAnsi="宋体" w:eastAsia="宋体" w:cs="宋体"/>
                        <w:sz w:val="21"/>
                        <w:szCs w:val="21"/>
                        <w:lang w:eastAsia="zh-CN"/>
                      </w:rPr>
                      <w:t>余额</w:t>
                    </w:r>
                  </w:p>
                </w:tc>
              </w:sdtContent>
            </w:sdt>
            <w:tc>
              <w:tcPr>
                <w:tcW w:w="862" w:type="pct"/>
                <w:vAlign w:val="center"/>
              </w:tcPr>
              <w:p>
                <w:pPr>
                  <w:jc w:val="right"/>
                </w:pPr>
                <w:r>
                  <w:t>126,972.98</w:t>
                </w:r>
              </w:p>
            </w:tc>
            <w:tc>
              <w:tcPr>
                <w:tcW w:w="1097" w:type="pct"/>
                <w:vAlign w:val="center"/>
              </w:tcPr>
              <w:p>
                <w:pPr>
                  <w:jc w:val="right"/>
                </w:pPr>
                <w:r>
                  <w:t>-</w:t>
                </w:r>
              </w:p>
            </w:tc>
            <w:tc>
              <w:tcPr>
                <w:tcW w:w="1097" w:type="pct"/>
                <w:vAlign w:val="center"/>
              </w:tcPr>
              <w:p>
                <w:pPr>
                  <w:jc w:val="right"/>
                </w:pPr>
                <w:r>
                  <w:t>15,812,140.02</w:t>
                </w:r>
              </w:p>
            </w:tc>
            <w:tc>
              <w:tcPr>
                <w:tcW w:w="943" w:type="pct"/>
                <w:vAlign w:val="center"/>
              </w:tcPr>
              <w:p>
                <w:pPr>
                  <w:jc w:val="right"/>
                </w:pPr>
                <w:r>
                  <w:t>15,939,113.00</w:t>
                </w:r>
              </w:p>
            </w:tc>
          </w:tr>
        </w:tbl>
        <w:p>
          <w:pPr>
            <w:pStyle w:val="114"/>
          </w:pPr>
        </w:p>
        <w:p>
          <w:pPr>
            <w:pStyle w:val="170"/>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85226065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18857552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152"/>
    <w:sdt>
      <w:sdtPr>
        <w:rPr>
          <w:rFonts w:hint="eastAsia" w:ascii="宋体" w:hAnsi="宋体" w:cs="宋体"/>
          <w:b w:val="0"/>
          <w:bCs w:val="0"/>
          <w:kern w:val="0"/>
          <w:szCs w:val="24"/>
        </w:rPr>
        <w:alias w:val="模块:坏账准备的情况"/>
        <w:tag w:val="_SEC_93dacca8700c43aaba11477ef4689aa6"/>
        <w:id w:val="780930088"/>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6"/>
            </w:numPr>
            <w:tabs>
              <w:tab w:val="left" w:pos="560"/>
            </w:tabs>
            <w:rPr>
              <w:rFonts w:ascii="宋体" w:hAnsi="宋体"/>
            </w:rPr>
          </w:pPr>
          <w:bookmarkStart w:id="153" w:name="_Hlk10469877"/>
          <w:r>
            <w:rPr>
              <w:rFonts w:hint="eastAsia" w:ascii="宋体" w:hAnsi="宋体"/>
            </w:rPr>
            <w:t>坏账准备的情况</w:t>
          </w:r>
        </w:p>
        <w:sdt>
          <w:sdtPr>
            <w:alias w:val="是否适用：其他应收款坏账准备[双击切换]"/>
            <w:tag w:val="_GBC_b3f4f88802a54b1da539ba2563000c5c"/>
            <w:id w:val="-121094819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r>
            <w:rPr>
              <w:rFonts w:hint="eastAsia"/>
            </w:rPr>
            <w:t>其中本期坏账准备转回或收回金额重要的：</w:t>
          </w:r>
        </w:p>
        <w:sdt>
          <w:sdtPr>
            <w:alias w:val="是否适用：其中本期其他应收账款坏账准备收回或转回金额重要的[双击切换]"/>
            <w:tag w:val="_GBC_766264a4e81b4ae6885d7f965ebbcd08"/>
            <w:id w:val="1209525328"/>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3"/>
    <w:sdt>
      <w:sdtPr>
        <w:rPr>
          <w:rFonts w:hint="eastAsia" w:ascii="宋体" w:hAnsi="宋体" w:cs="宋体"/>
          <w:b w:val="0"/>
          <w:bCs w:val="0"/>
          <w:kern w:val="0"/>
          <w:szCs w:val="24"/>
        </w:rPr>
        <w:alias w:val="模块:本报告期实际核销的其他应收款情况"/>
        <w:tag w:val="_GBC_ca12851378c64f09a5335b8a527df46f"/>
        <w:id w:val="-369533902"/>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本期实际核销的其他应收款情况</w:t>
          </w:r>
        </w:p>
        <w:sdt>
          <w:sdtPr>
            <w:alias w:val="是否适用：本期实际核销的其他应收款情况[双击切换]"/>
            <w:tag w:val="_GBC_99c0ad513e2447ba8b2267c169be5583"/>
            <w:id w:val="-18246479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p>
          <w:pPr>
            <w:pStyle w:val="114"/>
          </w:pPr>
        </w:p>
      </w:sdtContent>
    </w:sdt>
    <w:sdt>
      <w:sdtPr>
        <w:rPr>
          <w:rFonts w:hint="eastAsia" w:ascii="宋体" w:hAnsi="宋体" w:cs="宋体"/>
          <w:b w:val="0"/>
          <w:bCs w:val="0"/>
          <w:kern w:val="0"/>
          <w:szCs w:val="24"/>
        </w:rPr>
        <w:alias w:val="模块:按欠款方归集的期末余额其中前五名的其他应收款单位情况"/>
        <w:tag w:val="_GBC_a83a3fc7866445d68738701d3998ac0b"/>
        <w:id w:val="1209306591"/>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按欠款方归集的期末余额前五名的其他应收款情况</w:t>
          </w:r>
        </w:p>
        <w:sdt>
          <w:sdtPr>
            <w:alias w:val="是否适用：按欠款方归集的期末余额前五名的其他应收款情况[双击切换]"/>
            <w:tag w:val="_GBC_1ad831584f90441b93cce7d9b7baa3c9"/>
            <w:id w:val="117923856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其他应收账款前五名欠款情况"/>
              <w:tag w:val="_GBC_1f85b3036b0644cbaf6c33311b7f159d"/>
              <w:id w:val="1317996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2048180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484"/>
            <w:gridCol w:w="1301"/>
            <w:gridCol w:w="1500"/>
            <w:gridCol w:w="1276"/>
            <w:gridCol w:w="1710"/>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6d371f7abd044db6abe05c7f74810d89"/>
                <w:id w:val="-158771232"/>
                <w:lock w:val="sdtLocked"/>
              </w:sdtPr>
              <w:sdtContent>
                <w:tc>
                  <w:tcPr>
                    <w:tcW w:w="865" w:type="pct"/>
                    <w:vAlign w:val="center"/>
                  </w:tcPr>
                  <w:p>
                    <w:pPr>
                      <w:ind w:right="105"/>
                      <w:jc w:val="center"/>
                    </w:pPr>
                    <w:r>
                      <w:rPr>
                        <w:rFonts w:hint="eastAsia"/>
                      </w:rPr>
                      <w:t>单位名称</w:t>
                    </w:r>
                  </w:p>
                </w:tc>
              </w:sdtContent>
            </w:sdt>
            <w:sdt>
              <w:sdtPr>
                <w:tag w:val="_PLD_538171446ab849ca976672ecf5055c60"/>
                <w:id w:val="2029139580"/>
                <w:lock w:val="sdtLocked"/>
              </w:sdtPr>
              <w:sdtContent>
                <w:tc>
                  <w:tcPr>
                    <w:tcW w:w="762" w:type="pct"/>
                    <w:vAlign w:val="center"/>
                  </w:tcPr>
                  <w:p>
                    <w:pPr>
                      <w:ind w:right="73"/>
                      <w:jc w:val="center"/>
                    </w:pPr>
                    <w:r>
                      <w:rPr>
                        <w:rFonts w:hint="eastAsia"/>
                      </w:rPr>
                      <w:t>款项的性质</w:t>
                    </w:r>
                  </w:p>
                </w:tc>
              </w:sdtContent>
            </w:sdt>
            <w:sdt>
              <w:sdtPr>
                <w:tag w:val="_PLD_9561b3d624ee40c28568fb322a981ebc"/>
                <w:id w:val="-2106249210"/>
                <w:lock w:val="sdtLocked"/>
              </w:sdtPr>
              <w:sdtContent>
                <w:tc>
                  <w:tcPr>
                    <w:tcW w:w="690" w:type="pct"/>
                    <w:vAlign w:val="center"/>
                  </w:tcPr>
                  <w:p>
                    <w:pPr>
                      <w:ind w:right="73"/>
                      <w:jc w:val="center"/>
                    </w:pPr>
                    <w:r>
                      <w:rPr>
                        <w:rFonts w:hint="eastAsia"/>
                      </w:rPr>
                      <w:t>期末余额</w:t>
                    </w:r>
                  </w:p>
                </w:tc>
              </w:sdtContent>
            </w:sdt>
            <w:sdt>
              <w:sdtPr>
                <w:tag w:val="_PLD_a97392b37d5d4c709a23cfdece48161b"/>
                <w:id w:val="-1614046558"/>
                <w:lock w:val="sdtLocked"/>
              </w:sdtPr>
              <w:sdtContent>
                <w:tc>
                  <w:tcPr>
                    <w:tcW w:w="748" w:type="pct"/>
                    <w:vAlign w:val="center"/>
                  </w:tcPr>
                  <w:p>
                    <w:pPr>
                      <w:ind w:right="73"/>
                      <w:jc w:val="center"/>
                    </w:pPr>
                    <w:r>
                      <w:rPr>
                        <w:rFonts w:hint="eastAsia"/>
                      </w:rPr>
                      <w:t>账龄</w:t>
                    </w:r>
                  </w:p>
                </w:tc>
              </w:sdtContent>
            </w:sdt>
            <w:sdt>
              <w:sdtPr>
                <w:tag w:val="_PLD_e2774c827e314521821234a0e399c2c1"/>
                <w:id w:val="-1494408161"/>
                <w:lock w:val="sdtLocked"/>
              </w:sdtPr>
              <w:sdtContent>
                <w:tc>
                  <w:tcPr>
                    <w:tcW w:w="992" w:type="pct"/>
                    <w:vAlign w:val="center"/>
                  </w:tcPr>
                  <w:p>
                    <w:pPr>
                      <w:jc w:val="center"/>
                    </w:pPr>
                    <w:r>
                      <w:rPr>
                        <w:rFonts w:hint="eastAsia"/>
                      </w:rPr>
                      <w:t>占其他应收款期末余额合计数的比例(</w:t>
                    </w:r>
                    <w:r>
                      <w:t>%)</w:t>
                    </w:r>
                  </w:p>
                </w:tc>
              </w:sdtContent>
            </w:sdt>
            <w:sdt>
              <w:sdtPr>
                <w:tag w:val="_PLD_ac7ac1a39d1a46eb9269fc6979d54f6f"/>
                <w:id w:val="160203944"/>
                <w:lock w:val="sdtLocked"/>
              </w:sdtPr>
              <w:sdtContent>
                <w:tc>
                  <w:tcPr>
                    <w:tcW w:w="943" w:type="pct"/>
                    <w:vAlign w:val="center"/>
                  </w:tcPr>
                  <w:p>
                    <w:pPr>
                      <w:jc w:val="center"/>
                    </w:pPr>
                    <w:r>
                      <w:rPr>
                        <w:rFonts w:hint="eastAsia"/>
                      </w:rPr>
                      <w:t>坏账准备</w:t>
                    </w:r>
                  </w:p>
                  <w:p>
                    <w:pPr>
                      <w:jc w:val="center"/>
                    </w:pPr>
                    <w:r>
                      <w:rPr>
                        <w:rFonts w:hint="eastAsia"/>
                      </w:rPr>
                      <w:t>期末余额</w:t>
                    </w:r>
                  </w:p>
                </w:tc>
              </w:sdtContent>
            </w:sdt>
          </w:tr>
          <w:sdt>
            <w:sdtPr>
              <w:rPr>
                <w:rFonts w:hint="eastAsia"/>
              </w:rPr>
              <w:alias w:val="其他应收款欠款户"/>
              <w:tag w:val="_GBC_a3b4ad6ea89146a79c37c3807ef7a6fd"/>
              <w:id w:val="-2049361618"/>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65" w:type="pct"/>
                  </w:tcPr>
                  <w:p>
                    <w:pPr>
                      <w:ind w:right="105"/>
                    </w:pPr>
                    <w:r>
                      <w:t>江苏省宜兴市公路管理处</w:t>
                    </w:r>
                  </w:p>
                </w:tc>
                <w:tc>
                  <w:tcPr>
                    <w:tcW w:w="762" w:type="pct"/>
                  </w:tcPr>
                  <w:p>
                    <w:pPr>
                      <w:ind w:right="73"/>
                    </w:pPr>
                    <w:r>
                      <w:t>投资清算往来款</w:t>
                    </w:r>
                  </w:p>
                </w:tc>
                <w:tc>
                  <w:tcPr>
                    <w:tcW w:w="690" w:type="pct"/>
                  </w:tcPr>
                  <w:p>
                    <w:pPr>
                      <w:ind w:right="73"/>
                      <w:jc w:val="right"/>
                    </w:pPr>
                    <w:r>
                      <w:t>15,812,140.02</w:t>
                    </w:r>
                  </w:p>
                </w:tc>
                <w:tc>
                  <w:tcPr>
                    <w:tcW w:w="748" w:type="pct"/>
                  </w:tcPr>
                  <w:p>
                    <w:pPr>
                      <w:ind w:right="73"/>
                    </w:pPr>
                    <w:r>
                      <w:t> 3年以上</w:t>
                    </w:r>
                  </w:p>
                </w:tc>
                <w:tc>
                  <w:tcPr>
                    <w:tcW w:w="992" w:type="pct"/>
                  </w:tcPr>
                  <w:p>
                    <w:pPr>
                      <w:jc w:val="right"/>
                    </w:pPr>
                    <w:r>
                      <w:t>23.67%</w:t>
                    </w:r>
                  </w:p>
                </w:tc>
                <w:tc>
                  <w:tcPr>
                    <w:tcW w:w="943" w:type="pct"/>
                  </w:tcPr>
                  <w:p>
                    <w:pPr>
                      <w:jc w:val="right"/>
                    </w:pPr>
                    <w:r>
                      <w:t>15,812,140.02</w:t>
                    </w:r>
                  </w:p>
                </w:tc>
              </w:tr>
            </w:sdtContent>
          </w:sdt>
          <w:sdt>
            <w:sdtPr>
              <w:rPr>
                <w:rFonts w:hint="eastAsia"/>
              </w:rPr>
              <w:alias w:val="其他应收款欠款户"/>
              <w:tag w:val="_GBC_a3b4ad6ea89146a79c37c3807ef7a6fd"/>
              <w:id w:val="-478989999"/>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65" w:type="pct"/>
                  </w:tcPr>
                  <w:p>
                    <w:pPr>
                      <w:ind w:right="105"/>
                    </w:pPr>
                    <w:r>
                      <w:t>中国建筑第八工程局有限公司</w:t>
                    </w:r>
                  </w:p>
                </w:tc>
                <w:tc>
                  <w:tcPr>
                    <w:tcW w:w="762" w:type="pct"/>
                  </w:tcPr>
                  <w:p>
                    <w:pPr>
                      <w:ind w:right="73"/>
                    </w:pPr>
                    <w:r>
                      <w:t>工程预借款</w:t>
                    </w:r>
                  </w:p>
                </w:tc>
                <w:tc>
                  <w:tcPr>
                    <w:tcW w:w="690" w:type="pct"/>
                  </w:tcPr>
                  <w:p>
                    <w:pPr>
                      <w:ind w:right="73"/>
                      <w:jc w:val="right"/>
                    </w:pPr>
                    <w:r>
                      <w:t>6,088,716.00</w:t>
                    </w:r>
                  </w:p>
                </w:tc>
                <w:tc>
                  <w:tcPr>
                    <w:tcW w:w="748" w:type="pct"/>
                  </w:tcPr>
                  <w:p>
                    <w:pPr>
                      <w:ind w:right="73"/>
                    </w:pPr>
                    <w:r>
                      <w:t>1年以内，3年以上</w:t>
                    </w:r>
                  </w:p>
                </w:tc>
                <w:tc>
                  <w:tcPr>
                    <w:tcW w:w="992" w:type="pct"/>
                  </w:tcPr>
                  <w:p>
                    <w:pPr>
                      <w:jc w:val="right"/>
                    </w:pPr>
                    <w:r>
                      <w:t>9.11%</w:t>
                    </w:r>
                  </w:p>
                </w:tc>
                <w:tc>
                  <w:tcPr>
                    <w:tcW w:w="943" w:type="pct"/>
                  </w:tcPr>
                  <w:p>
                    <w:pPr>
                      <w:jc w:val="right"/>
                    </w:pPr>
                  </w:p>
                </w:tc>
              </w:tr>
            </w:sdtContent>
          </w:sdt>
          <w:sdt>
            <w:sdtPr>
              <w:rPr>
                <w:rFonts w:hint="eastAsia"/>
              </w:rPr>
              <w:alias w:val="其他应收款欠款户"/>
              <w:tag w:val="_GBC_a3b4ad6ea89146a79c37c3807ef7a6fd"/>
              <w:id w:val="896246887"/>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65" w:type="pct"/>
                  </w:tcPr>
                  <w:p>
                    <w:pPr>
                      <w:ind w:right="105"/>
                    </w:pPr>
                    <w:r>
                      <w:t>江苏洛德股权投资基金管理有限公司（“洛德基金公司”）</w:t>
                    </w:r>
                  </w:p>
                </w:tc>
                <w:tc>
                  <w:tcPr>
                    <w:tcW w:w="762" w:type="pct"/>
                  </w:tcPr>
                  <w:p>
                    <w:pPr>
                      <w:ind w:right="73"/>
                    </w:pPr>
                    <w:r>
                      <w:t>违约赔偿金</w:t>
                    </w:r>
                  </w:p>
                </w:tc>
                <w:tc>
                  <w:tcPr>
                    <w:tcW w:w="690" w:type="pct"/>
                  </w:tcPr>
                  <w:p>
                    <w:pPr>
                      <w:ind w:right="73"/>
                      <w:jc w:val="right"/>
                    </w:pPr>
                    <w:r>
                      <w:t>16,598,493.35</w:t>
                    </w:r>
                  </w:p>
                </w:tc>
                <w:tc>
                  <w:tcPr>
                    <w:tcW w:w="748" w:type="pct"/>
                  </w:tcPr>
                  <w:p>
                    <w:pPr>
                      <w:ind w:right="73"/>
                    </w:pPr>
                    <w:r>
                      <w:t>2-3年</w:t>
                    </w:r>
                  </w:p>
                </w:tc>
                <w:tc>
                  <w:tcPr>
                    <w:tcW w:w="992" w:type="pct"/>
                  </w:tcPr>
                  <w:p>
                    <w:pPr>
                      <w:jc w:val="right"/>
                    </w:pPr>
                    <w:r>
                      <w:t>24.85%</w:t>
                    </w:r>
                  </w:p>
                </w:tc>
                <w:tc>
                  <w:tcPr>
                    <w:tcW w:w="943" w:type="pct"/>
                  </w:tcPr>
                  <w:p>
                    <w:pPr>
                      <w:jc w:val="right"/>
                    </w:pPr>
                  </w:p>
                </w:tc>
              </w:tr>
            </w:sdtContent>
          </w:sdt>
          <w:sdt>
            <w:sdtPr>
              <w:rPr>
                <w:rFonts w:hint="eastAsia"/>
              </w:rPr>
              <w:alias w:val="其他应收款欠款户"/>
              <w:tag w:val="_GBC_a3b4ad6ea89146a79c37c3807ef7a6fd"/>
              <w:id w:val="1668130673"/>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65" w:type="pct"/>
                  </w:tcPr>
                  <w:p>
                    <w:pPr>
                      <w:ind w:right="105"/>
                    </w:pPr>
                    <w:r>
                      <w:t>苏州市住房置业担保有限公司</w:t>
                    </w:r>
                  </w:p>
                </w:tc>
                <w:tc>
                  <w:tcPr>
                    <w:tcW w:w="762" w:type="pct"/>
                  </w:tcPr>
                  <w:p>
                    <w:pPr>
                      <w:ind w:right="73"/>
                    </w:pPr>
                    <w:r>
                      <w:t>保证金</w:t>
                    </w:r>
                  </w:p>
                </w:tc>
                <w:tc>
                  <w:tcPr>
                    <w:tcW w:w="690" w:type="pct"/>
                  </w:tcPr>
                  <w:p>
                    <w:pPr>
                      <w:ind w:right="73"/>
                      <w:jc w:val="right"/>
                    </w:pPr>
                    <w:r>
                      <w:t>2,000,000.00</w:t>
                    </w:r>
                  </w:p>
                </w:tc>
                <w:tc>
                  <w:tcPr>
                    <w:tcW w:w="748" w:type="pct"/>
                  </w:tcPr>
                  <w:p>
                    <w:pPr>
                      <w:ind w:right="73"/>
                    </w:pPr>
                    <w:r>
                      <w:t> 1-3年</w:t>
                    </w:r>
                  </w:p>
                </w:tc>
                <w:tc>
                  <w:tcPr>
                    <w:tcW w:w="992" w:type="pct"/>
                  </w:tcPr>
                  <w:p>
                    <w:pPr>
                      <w:jc w:val="right"/>
                    </w:pPr>
                    <w:r>
                      <w:t>2.99%</w:t>
                    </w:r>
                  </w:p>
                </w:tc>
                <w:tc>
                  <w:tcPr>
                    <w:tcW w:w="943" w:type="pct"/>
                  </w:tcPr>
                  <w:p>
                    <w:pPr>
                      <w:jc w:val="right"/>
                    </w:pPr>
                  </w:p>
                </w:tc>
              </w:tr>
            </w:sdtContent>
          </w:sdt>
          <w:sdt>
            <w:sdtPr>
              <w:rPr>
                <w:rFonts w:hint="eastAsia"/>
              </w:rPr>
              <w:alias w:val="其他应收款欠款户"/>
              <w:tag w:val="_GBC_a3b4ad6ea89146a79c37c3807ef7a6fd"/>
              <w:id w:val="223648059"/>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65" w:type="pct"/>
                  </w:tcPr>
                  <w:p>
                    <w:pPr>
                      <w:ind w:right="105"/>
                    </w:pPr>
                    <w:r>
                      <w:t>昆山利泽天然气销售有限公司</w:t>
                    </w:r>
                  </w:p>
                </w:tc>
                <w:tc>
                  <w:tcPr>
                    <w:tcW w:w="762" w:type="pct"/>
                  </w:tcPr>
                  <w:p>
                    <w:pPr>
                      <w:ind w:right="73"/>
                    </w:pPr>
                    <w:r>
                      <w:t>押金</w:t>
                    </w:r>
                  </w:p>
                </w:tc>
                <w:tc>
                  <w:tcPr>
                    <w:tcW w:w="690" w:type="pct"/>
                  </w:tcPr>
                  <w:p>
                    <w:pPr>
                      <w:ind w:right="73"/>
                      <w:jc w:val="right"/>
                    </w:pPr>
                    <w:r>
                      <w:t>890,000.00</w:t>
                    </w:r>
                  </w:p>
                </w:tc>
                <w:tc>
                  <w:tcPr>
                    <w:tcW w:w="748" w:type="pct"/>
                  </w:tcPr>
                  <w:p>
                    <w:pPr>
                      <w:ind w:right="73"/>
                    </w:pPr>
                    <w:r>
                      <w:t>1年以内</w:t>
                    </w:r>
                  </w:p>
                </w:tc>
                <w:tc>
                  <w:tcPr>
                    <w:tcW w:w="992" w:type="pct"/>
                  </w:tcPr>
                  <w:p>
                    <w:pPr>
                      <w:jc w:val="right"/>
                    </w:pPr>
                    <w:r>
                      <w:t>1.33%</w:t>
                    </w:r>
                  </w:p>
                </w:tc>
                <w:tc>
                  <w:tcPr>
                    <w:tcW w:w="943" w:type="pct"/>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f229cb1d3424499a96c618f3911226c3"/>
                <w:id w:val="-583137420"/>
                <w:lock w:val="sdtLocked"/>
              </w:sdtPr>
              <w:sdtContent>
                <w:tc>
                  <w:tcPr>
                    <w:tcW w:w="865" w:type="pct"/>
                  </w:tcPr>
                  <w:p>
                    <w:pPr>
                      <w:ind w:right="105"/>
                      <w:jc w:val="center"/>
                    </w:pPr>
                    <w:r>
                      <w:rPr>
                        <w:rFonts w:hint="eastAsia"/>
                      </w:rPr>
                      <w:t>合计</w:t>
                    </w:r>
                  </w:p>
                </w:tc>
              </w:sdtContent>
            </w:sdt>
            <w:tc>
              <w:tcPr>
                <w:tcW w:w="762" w:type="pct"/>
              </w:tcPr>
              <w:p>
                <w:pPr>
                  <w:ind w:right="73"/>
                  <w:jc w:val="center"/>
                </w:pPr>
                <w:r>
                  <w:t> </w:t>
                </w:r>
              </w:p>
            </w:tc>
            <w:tc>
              <w:tcPr>
                <w:tcW w:w="690" w:type="pct"/>
              </w:tcPr>
              <w:p>
                <w:pPr>
                  <w:ind w:right="73"/>
                  <w:jc w:val="right"/>
                </w:pPr>
                <w:r>
                  <w:t>41,389,349.37</w:t>
                </w:r>
              </w:p>
            </w:tc>
            <w:tc>
              <w:tcPr>
                <w:tcW w:w="748" w:type="pct"/>
              </w:tcPr>
              <w:p>
                <w:pPr>
                  <w:ind w:right="73"/>
                  <w:jc w:val="center"/>
                </w:pPr>
                <w:r>
                  <w:t> </w:t>
                </w:r>
              </w:p>
            </w:tc>
            <w:tc>
              <w:tcPr>
                <w:tcW w:w="992" w:type="pct"/>
              </w:tcPr>
              <w:p>
                <w:pPr>
                  <w:jc w:val="right"/>
                </w:pPr>
                <w:r>
                  <w:t>61.95%</w:t>
                </w:r>
              </w:p>
            </w:tc>
            <w:tc>
              <w:tcPr>
                <w:tcW w:w="943" w:type="pct"/>
              </w:tcPr>
              <w:p>
                <w:pPr>
                  <w:jc w:val="right"/>
                </w:pPr>
                <w:r>
                  <w:t>15,812,140.02</w:t>
                </w:r>
              </w:p>
            </w:tc>
          </w:tr>
        </w:tbl>
        <w:p>
          <w:pPr>
            <w:snapToGrid w:val="0"/>
            <w:spacing w:line="240" w:lineRule="atLeast"/>
          </w:pPr>
        </w:p>
      </w:sdtContent>
    </w:sdt>
    <w:sdt>
      <w:sdtPr>
        <w:rPr>
          <w:rFonts w:hint="eastAsia" w:ascii="宋体" w:hAnsi="宋体" w:cs="宋体"/>
          <w:b w:val="0"/>
          <w:bCs w:val="0"/>
          <w:kern w:val="0"/>
          <w:szCs w:val="24"/>
        </w:rPr>
        <w:alias w:val="模块:按应收金额确认的政府补助"/>
        <w:tag w:val="_GBC_0b136aef44064ce4880a47aef5cda04d"/>
        <w:id w:val="-479077129"/>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6"/>
            </w:numPr>
            <w:tabs>
              <w:tab w:val="left" w:pos="560"/>
            </w:tabs>
            <w:rPr>
              <w:rFonts w:ascii="宋体" w:hAnsi="宋体"/>
            </w:rPr>
          </w:pPr>
          <w:r>
            <w:rPr>
              <w:rFonts w:hint="eastAsia" w:ascii="宋体" w:hAnsi="宋体"/>
            </w:rPr>
            <w:t>涉及政府补助的应收款项</w:t>
          </w:r>
        </w:p>
        <w:sdt>
          <w:sdtPr>
            <w:alias w:val="是否适用：涉及政府补助的应收款项[双击切换]"/>
            <w:tag w:val="_GBC_bfa30ddd81f643f9b7a3d1064d505e6a"/>
            <w:id w:val="-515468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73268e67b3d94deab59672a03d2cbd2a"/>
        <w:id w:val="-1611045598"/>
        <w:lock w:val="sdtLocked"/>
        <w:placeholder>
          <w:docPart w:val="GBC22222222222222222222222222222"/>
        </w:placeholder>
      </w:sdtPr>
      <w:sdtEndPr>
        <w:rPr>
          <w:rFonts w:ascii="宋体" w:hAnsi="宋体" w:cs="宋体"/>
          <w:b w:val="0"/>
          <w:bCs w:val="0"/>
          <w:kern w:val="0"/>
          <w:szCs w:val="21"/>
        </w:rPr>
      </w:sdtEndPr>
      <w:sdtContent>
        <w:p>
          <w:pPr>
            <w:pStyle w:val="118"/>
            <w:numPr>
              <w:ilvl w:val="3"/>
              <w:numId w:val="56"/>
            </w:numPr>
            <w:tabs>
              <w:tab w:val="left" w:pos="560"/>
            </w:tabs>
            <w:rPr>
              <w:rFonts w:ascii="宋体" w:hAnsi="宋体"/>
              <w:kern w:val="0"/>
            </w:rPr>
          </w:pPr>
          <w:r>
            <w:rPr>
              <w:rFonts w:hint="eastAsia" w:ascii="宋体" w:hAnsi="宋体"/>
              <w:kern w:val="0"/>
            </w:rPr>
            <w:t>因金融资产</w:t>
          </w:r>
          <w:r>
            <w:rPr>
              <w:rFonts w:hint="eastAsia" w:ascii="宋体" w:hAnsi="宋体"/>
            </w:rPr>
            <w:t>转移</w:t>
          </w:r>
          <w:r>
            <w:rPr>
              <w:rFonts w:hint="eastAsia" w:ascii="宋体" w:hAnsi="宋体"/>
              <w:kern w:val="0"/>
            </w:rPr>
            <w:t>而终止确认的其他应收款</w:t>
          </w:r>
        </w:p>
        <w:sdt>
          <w:sdtPr>
            <w:rPr>
              <w:rFonts w:hint="eastAsia"/>
            </w:rPr>
            <w:alias w:val="是否适用：因金融资产转移而终止确认的其他应收款[双击切换]"/>
            <w:tag w:val="_GBC_0451c8b8783146d3a8ab851341e7f35b"/>
            <w:id w:val="1216857916"/>
            <w:lock w:val="sdtLocked"/>
            <w:placeholder>
              <w:docPart w:val="GBC22222222222222222222222222222"/>
            </w:placeholder>
          </w:sdtPr>
          <w:sdtEndPr>
            <w:rPr>
              <w:rFonts w:hint="eastAsia"/>
            </w:rPr>
          </w:sdtEndPr>
          <w:sdtContent>
            <w:p>
              <w:pPr>
                <w:ind w:right="57"/>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bookmarkStart w:id="154" w:name="_Hlk142590028"/>
      <w:bookmarkEnd w:id="154"/>
    </w:p>
    <w:sdt>
      <w:sdtPr>
        <w:rPr>
          <w:rFonts w:hint="eastAsia" w:ascii="宋体" w:hAnsi="宋体" w:cs="宋体"/>
          <w:b w:val="0"/>
          <w:bCs w:val="0"/>
          <w:kern w:val="0"/>
          <w:szCs w:val="24"/>
        </w:rPr>
        <w:alias w:val="模块:转移其他应收款且继续涉入形成的资产、负债金额的说明"/>
        <w:tag w:val="_GBC_05496beed0c54ab3b5c0e91297ee374e"/>
        <w:id w:val="1707682415"/>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3"/>
              <w:numId w:val="56"/>
            </w:numPr>
            <w:tabs>
              <w:tab w:val="left" w:pos="560"/>
            </w:tabs>
            <w:rPr>
              <w:rFonts w:ascii="宋体" w:hAnsi="宋体"/>
              <w:kern w:val="0"/>
            </w:rPr>
          </w:pPr>
          <w:r>
            <w:rPr>
              <w:rFonts w:hint="eastAsia" w:ascii="宋体" w:hAnsi="宋体"/>
              <w:kern w:val="0"/>
            </w:rPr>
            <w:t>转移其他应收款且继续涉入形成的资产、负债的金额</w:t>
          </w:r>
        </w:p>
        <w:sdt>
          <w:sdtPr>
            <w:rPr>
              <w:rFonts w:hint="eastAsia"/>
            </w:rPr>
            <w:alias w:val="是否适用：转移其他应收款且继续涉入形成的资产、负债的金额[双击切换]"/>
            <w:tag w:val="_GBC_e74d63017ee7420b83e7544117beeac6"/>
            <w:id w:val="78416213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b/>
          <w:bCs/>
        </w:rPr>
        <w:alias w:val="模块:其他应收款其他说明"/>
        <w:tag w:val="_GBC_de4246046d754793a6a2db96dd5bb245"/>
        <w:id w:val="464318764"/>
        <w:lock w:val="sdtLocked"/>
        <w:placeholder>
          <w:docPart w:val="GBC22222222222222222222222222222"/>
        </w:placeholder>
      </w:sdtPr>
      <w:sdtEndPr>
        <w:rPr>
          <w:rFonts w:hint="eastAsia"/>
          <w:b w:val="0"/>
          <w:bCs w:val="0"/>
        </w:rPr>
      </w:sdtEndPr>
      <w:sdtContent>
        <w:p>
          <w:pPr>
            <w:pStyle w:val="114"/>
          </w:pPr>
          <w:r>
            <w:rPr>
              <w:rFonts w:hint="eastAsia"/>
            </w:rPr>
            <w:t>其他</w:t>
          </w:r>
          <w:r>
            <w:t>说明：</w:t>
          </w:r>
        </w:p>
        <w:sdt>
          <w:sdtPr>
            <w:alias w:val="是否适用：其他应收款的其他说明[双击切换]"/>
            <w:tag w:val="_GBC_55d570440c184744bd13a4938ba488d1"/>
            <w:id w:val="97471334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rPr>
          <w:rFonts w:ascii="宋体" w:hAnsi="宋体"/>
        </w:rPr>
      </w:pPr>
      <w:r>
        <w:rPr>
          <w:rFonts w:hint="eastAsia" w:ascii="宋体" w:hAnsi="宋体"/>
        </w:rPr>
        <w:t>存货</w:t>
      </w:r>
    </w:p>
    <w:sdt>
      <w:sdtPr>
        <w:rPr>
          <w:rFonts w:hint="eastAsia" w:ascii="宋体" w:hAnsi="宋体" w:cs="宋体"/>
          <w:b w:val="0"/>
          <w:bCs w:val="0"/>
          <w:kern w:val="0"/>
          <w:szCs w:val="22"/>
        </w:rPr>
        <w:alias w:val="模块:存货分类 "/>
        <w:tag w:val="_GBC_1953ea50f68542df9fa36d84b994cf17"/>
        <w:id w:val="275680377"/>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57"/>
            </w:numPr>
            <w:tabs>
              <w:tab w:val="left" w:pos="630"/>
            </w:tabs>
            <w:rPr>
              <w:rFonts w:ascii="宋体" w:hAnsi="宋体"/>
            </w:rPr>
          </w:pPr>
          <w:bookmarkStart w:id="155" w:name="_Hlk10470159"/>
          <w:r>
            <w:rPr>
              <w:rFonts w:hint="eastAsia" w:ascii="宋体" w:hAnsi="宋体"/>
            </w:rPr>
            <w:t>存货分类</w:t>
          </w:r>
        </w:p>
        <w:sdt>
          <w:sdtPr>
            <w:alias w:val="是否适用：存货分类[双击切换]"/>
            <w:tag w:val="_GBC_06c46a03a226418fb8e5e84326c47750"/>
            <w:id w:val="-197166946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存货分类"/>
              <w:tag w:val="_GBC_cc6e1ec3be0141cbb25cf999a897b29b"/>
              <w:id w:val="1852213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14027120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657"/>
            <w:gridCol w:w="1761"/>
            <w:gridCol w:w="600"/>
            <w:gridCol w:w="1761"/>
            <w:gridCol w:w="1761"/>
            <w:gridCol w:w="594"/>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48d855cd658044389f8d1cbe0016be78"/>
                <w:id w:val="1905339417"/>
                <w:lock w:val="sdtLocked"/>
              </w:sdtPr>
              <w:sdtContent>
                <w:tc>
                  <w:tcPr>
                    <w:tcW w:w="369" w:type="pct"/>
                    <w:vMerge w:val="restart"/>
                    <w:vAlign w:val="center"/>
                  </w:tcPr>
                  <w:p>
                    <w:pPr>
                      <w:jc w:val="center"/>
                    </w:pPr>
                    <w:r>
                      <w:rPr>
                        <w:rFonts w:hint="eastAsia"/>
                      </w:rPr>
                      <w:t>项目</w:t>
                    </w:r>
                  </w:p>
                </w:tc>
              </w:sdtContent>
            </w:sdt>
            <w:sdt>
              <w:sdtPr>
                <w:tag w:val="_PLD_586606f595aa4fff8214f9b6209260b6"/>
                <w:id w:val="213014308"/>
                <w:lock w:val="sdtLocked"/>
              </w:sdtPr>
              <w:sdtContent>
                <w:tc>
                  <w:tcPr>
                    <w:tcW w:w="2317" w:type="pct"/>
                    <w:gridSpan w:val="3"/>
                    <w:vAlign w:val="center"/>
                  </w:tcPr>
                  <w:p>
                    <w:pPr>
                      <w:jc w:val="center"/>
                    </w:pPr>
                    <w:r>
                      <w:rPr>
                        <w:rFonts w:hint="eastAsia"/>
                      </w:rPr>
                      <w:t>期末余额</w:t>
                    </w:r>
                  </w:p>
                </w:tc>
              </w:sdtContent>
            </w:sdt>
            <w:sdt>
              <w:sdtPr>
                <w:tag w:val="_PLD_a1bbc97888494137a790328386c2b9d8"/>
                <w:id w:val="1355619820"/>
                <w:lock w:val="sdtLocked"/>
              </w:sdtPr>
              <w:sdtContent>
                <w:tc>
                  <w:tcPr>
                    <w:tcW w:w="2314" w:type="pct"/>
                    <w:gridSpan w:val="3"/>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369" w:type="pct"/>
                <w:vMerge w:val="continue"/>
              </w:tcPr>
              <w:p>
                <w:pPr>
                  <w:ind w:right="5"/>
                  <w:jc w:val="center"/>
                </w:pPr>
              </w:p>
            </w:tc>
            <w:sdt>
              <w:sdtPr>
                <w:tag w:val="_PLD_60368d835c2843d99b5061f4c84f8d8e"/>
                <w:id w:val="745921927"/>
                <w:lock w:val="sdtLocked"/>
              </w:sdtPr>
              <w:sdtContent>
                <w:tc>
                  <w:tcPr>
                    <w:tcW w:w="990" w:type="pct"/>
                    <w:vAlign w:val="center"/>
                  </w:tcPr>
                  <w:p>
                    <w:pPr>
                      <w:ind w:right="5"/>
                      <w:jc w:val="center"/>
                    </w:pPr>
                    <w:r>
                      <w:rPr>
                        <w:rFonts w:hint="eastAsia"/>
                      </w:rPr>
                      <w:t>账面余额</w:t>
                    </w:r>
                  </w:p>
                </w:tc>
              </w:sdtContent>
            </w:sdt>
            <w:tc>
              <w:tcPr>
                <w:tcW w:w="337" w:type="pct"/>
                <w:vAlign w:val="center"/>
              </w:tcPr>
              <w:p>
                <w:pPr>
                  <w:ind w:right="5"/>
                  <w:jc w:val="center"/>
                </w:pPr>
                <w:sdt>
                  <w:sdtPr>
                    <w:tag w:val="_PLD_b5c53ce2a5004db988af9e72594f6b6a"/>
                    <w:id w:val="-432433778"/>
                    <w:lock w:val="sdtLocked"/>
                  </w:sdtPr>
                  <w:sdtContent>
                    <w:r>
                      <w:rPr>
                        <w:rFonts w:hint="eastAsia"/>
                      </w:rPr>
                      <w:t>存货跌价准备</w:t>
                    </w:r>
                    <w:r>
                      <w:t>/合同履约成本减值准备</w:t>
                    </w:r>
                  </w:sdtContent>
                </w:sdt>
              </w:p>
            </w:tc>
            <w:sdt>
              <w:sdtPr>
                <w:tag w:val="_PLD_f2691cf723784fbcbc9a900f61c6e250"/>
                <w:id w:val="-884398197"/>
                <w:lock w:val="sdtLocked"/>
              </w:sdtPr>
              <w:sdtContent>
                <w:tc>
                  <w:tcPr>
                    <w:tcW w:w="990" w:type="pct"/>
                    <w:vAlign w:val="center"/>
                  </w:tcPr>
                  <w:p>
                    <w:pPr>
                      <w:ind w:right="5"/>
                      <w:jc w:val="center"/>
                    </w:pPr>
                    <w:r>
                      <w:rPr>
                        <w:rFonts w:hint="eastAsia"/>
                      </w:rPr>
                      <w:t>账面价值</w:t>
                    </w:r>
                  </w:p>
                </w:tc>
              </w:sdtContent>
            </w:sdt>
            <w:sdt>
              <w:sdtPr>
                <w:tag w:val="_PLD_df34ec94af0b441bab962cb42fe65b1a"/>
                <w:id w:val="1266888046"/>
                <w:lock w:val="sdtLocked"/>
              </w:sdtPr>
              <w:sdtContent>
                <w:tc>
                  <w:tcPr>
                    <w:tcW w:w="990" w:type="pct"/>
                    <w:vAlign w:val="center"/>
                  </w:tcPr>
                  <w:p>
                    <w:pPr>
                      <w:ind w:right="5"/>
                      <w:jc w:val="center"/>
                    </w:pPr>
                    <w:r>
                      <w:rPr>
                        <w:rFonts w:hint="eastAsia"/>
                      </w:rPr>
                      <w:t>账面余额</w:t>
                    </w:r>
                  </w:p>
                </w:tc>
              </w:sdtContent>
            </w:sdt>
            <w:tc>
              <w:tcPr>
                <w:tcW w:w="334" w:type="pct"/>
                <w:vAlign w:val="center"/>
              </w:tcPr>
              <w:p>
                <w:pPr>
                  <w:ind w:right="5"/>
                  <w:jc w:val="center"/>
                </w:pPr>
                <w:sdt>
                  <w:sdtPr>
                    <w:tag w:val="_PLD_7a42c47b54924b47b9e161d8fd9fb840"/>
                    <w:id w:val="744842838"/>
                    <w:lock w:val="sdtLocked"/>
                  </w:sdtPr>
                  <w:sdtContent>
                    <w:r>
                      <w:rPr>
                        <w:rFonts w:hint="eastAsia"/>
                      </w:rPr>
                      <w:t>存货跌价准备</w:t>
                    </w:r>
                    <w:r>
                      <w:t>/合同履约成本减值准备</w:t>
                    </w:r>
                  </w:sdtContent>
                </w:sdt>
              </w:p>
            </w:tc>
            <w:sdt>
              <w:sdtPr>
                <w:tag w:val="_PLD_0db3a7f82db34583bb111dc2a8e88f8c"/>
                <w:id w:val="993690048"/>
                <w:lock w:val="sdtLocked"/>
              </w:sdtPr>
              <w:sdtContent>
                <w:tc>
                  <w:tcPr>
                    <w:tcW w:w="990" w:type="pct"/>
                    <w:vAlign w:val="center"/>
                  </w:tcPr>
                  <w:p>
                    <w:pPr>
                      <w:ind w:right="5"/>
                      <w:jc w:val="center"/>
                    </w:pPr>
                    <w:r>
                      <w:rPr>
                        <w:rFonts w:hint="eastAsia"/>
                      </w:rPr>
                      <w:t>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369" w:type="pct"/>
              </w:tcPr>
              <w:p>
                <w:pPr>
                  <w:ind w:right="5"/>
                </w:pPr>
                <w:r>
                  <w:rPr>
                    <w:rFonts w:hint="eastAsia"/>
                  </w:rPr>
                  <w:t>房地产开发成本</w:t>
                </w:r>
              </w:p>
            </w:tc>
            <w:tc>
              <w:tcPr>
                <w:tcW w:w="990" w:type="pct"/>
                <w:vAlign w:val="center"/>
              </w:tcPr>
              <w:p>
                <w:pPr>
                  <w:ind w:right="5"/>
                  <w:jc w:val="right"/>
                </w:pPr>
                <w:r>
                  <w:t>420,767,993.43</w:t>
                </w:r>
              </w:p>
            </w:tc>
            <w:tc>
              <w:tcPr>
                <w:tcW w:w="337" w:type="pct"/>
                <w:vAlign w:val="center"/>
              </w:tcPr>
              <w:p>
                <w:pPr>
                  <w:ind w:right="5"/>
                  <w:jc w:val="right"/>
                </w:pPr>
                <w:r>
                  <w:t>-</w:t>
                </w:r>
              </w:p>
            </w:tc>
            <w:tc>
              <w:tcPr>
                <w:tcW w:w="990" w:type="pct"/>
                <w:vAlign w:val="center"/>
              </w:tcPr>
              <w:p>
                <w:pPr>
                  <w:ind w:right="5"/>
                  <w:jc w:val="right"/>
                </w:pPr>
                <w:r>
                  <w:t>420,767,993.43</w:t>
                </w:r>
              </w:p>
            </w:tc>
            <w:tc>
              <w:tcPr>
                <w:tcW w:w="990" w:type="pct"/>
                <w:vAlign w:val="center"/>
              </w:tcPr>
              <w:p>
                <w:pPr>
                  <w:ind w:right="5"/>
                  <w:jc w:val="right"/>
                </w:pPr>
                <w:r>
                  <w:t>407,901,256.91</w:t>
                </w:r>
              </w:p>
            </w:tc>
            <w:tc>
              <w:tcPr>
                <w:tcW w:w="334" w:type="pct"/>
                <w:vAlign w:val="center"/>
              </w:tcPr>
              <w:p>
                <w:pPr>
                  <w:ind w:right="5"/>
                  <w:jc w:val="right"/>
                </w:pPr>
                <w:r>
                  <w:t>-</w:t>
                </w:r>
              </w:p>
            </w:tc>
            <w:tc>
              <w:tcPr>
                <w:tcW w:w="990" w:type="pct"/>
                <w:vAlign w:val="center"/>
              </w:tcPr>
              <w:p>
                <w:pPr>
                  <w:ind w:right="5"/>
                  <w:jc w:val="right"/>
                </w:pPr>
                <w:r>
                  <w:t>407,901,256.91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369" w:type="pct"/>
              </w:tcPr>
              <w:p>
                <w:pPr>
                  <w:ind w:right="5"/>
                </w:pPr>
                <w:r>
                  <w:rPr>
                    <w:rFonts w:hint="eastAsia"/>
                  </w:rPr>
                  <w:t>房地产开发产品</w:t>
                </w:r>
              </w:p>
            </w:tc>
            <w:tc>
              <w:tcPr>
                <w:tcW w:w="990" w:type="pct"/>
                <w:vAlign w:val="center"/>
              </w:tcPr>
              <w:p>
                <w:pPr>
                  <w:ind w:right="5"/>
                  <w:jc w:val="right"/>
                </w:pPr>
                <w:r>
                  <w:t>1,962,884,144.63</w:t>
                </w:r>
              </w:p>
            </w:tc>
            <w:tc>
              <w:tcPr>
                <w:tcW w:w="337" w:type="pct"/>
                <w:vAlign w:val="center"/>
              </w:tcPr>
              <w:p>
                <w:pPr>
                  <w:ind w:right="5"/>
                  <w:jc w:val="right"/>
                </w:pPr>
                <w:r>
                  <w:t>-</w:t>
                </w:r>
              </w:p>
            </w:tc>
            <w:tc>
              <w:tcPr>
                <w:tcW w:w="990" w:type="pct"/>
                <w:vAlign w:val="center"/>
              </w:tcPr>
              <w:p>
                <w:pPr>
                  <w:ind w:right="5"/>
                  <w:jc w:val="right"/>
                </w:pPr>
                <w:r>
                  <w:t>1,962,884,144.63</w:t>
                </w:r>
              </w:p>
            </w:tc>
            <w:tc>
              <w:tcPr>
                <w:tcW w:w="990" w:type="pct"/>
                <w:vAlign w:val="center"/>
              </w:tcPr>
              <w:p>
                <w:pPr>
                  <w:ind w:right="5"/>
                  <w:jc w:val="right"/>
                </w:pPr>
                <w:r>
                  <w:t>2,156,279,927.97</w:t>
                </w:r>
              </w:p>
            </w:tc>
            <w:tc>
              <w:tcPr>
                <w:tcW w:w="334" w:type="pct"/>
                <w:vAlign w:val="center"/>
              </w:tcPr>
              <w:p>
                <w:pPr>
                  <w:ind w:right="5"/>
                  <w:jc w:val="right"/>
                </w:pPr>
                <w:r>
                  <w:t>-</w:t>
                </w:r>
              </w:p>
            </w:tc>
            <w:tc>
              <w:tcPr>
                <w:tcW w:w="990" w:type="pct"/>
                <w:vAlign w:val="center"/>
              </w:tcPr>
              <w:p>
                <w:pPr>
                  <w:ind w:right="5"/>
                  <w:jc w:val="right"/>
                </w:pPr>
                <w:r>
                  <w:t>2,156,279,927.97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369" w:type="pct"/>
              </w:tcPr>
              <w:p>
                <w:pPr>
                  <w:ind w:right="5"/>
                </w:pPr>
                <w:r>
                  <w:rPr>
                    <w:rFonts w:hint="eastAsia"/>
                  </w:rPr>
                  <w:t>材料物资</w:t>
                </w:r>
              </w:p>
            </w:tc>
            <w:tc>
              <w:tcPr>
                <w:tcW w:w="990" w:type="pct"/>
                <w:vAlign w:val="center"/>
              </w:tcPr>
              <w:p>
                <w:pPr>
                  <w:ind w:right="5"/>
                  <w:jc w:val="right"/>
                </w:pPr>
                <w:r>
                  <w:t>4,679,619.00</w:t>
                </w:r>
              </w:p>
            </w:tc>
            <w:tc>
              <w:tcPr>
                <w:tcW w:w="337" w:type="pct"/>
                <w:vAlign w:val="center"/>
              </w:tcPr>
              <w:p>
                <w:pPr>
                  <w:ind w:right="5"/>
                  <w:jc w:val="right"/>
                </w:pPr>
                <w:r>
                  <w:t>-</w:t>
                </w:r>
              </w:p>
            </w:tc>
            <w:tc>
              <w:tcPr>
                <w:tcW w:w="990" w:type="pct"/>
                <w:vAlign w:val="center"/>
              </w:tcPr>
              <w:p>
                <w:pPr>
                  <w:ind w:right="5"/>
                  <w:jc w:val="right"/>
                </w:pPr>
                <w:r>
                  <w:t>4,679,619.00</w:t>
                </w:r>
              </w:p>
            </w:tc>
            <w:tc>
              <w:tcPr>
                <w:tcW w:w="990" w:type="pct"/>
                <w:vAlign w:val="center"/>
              </w:tcPr>
              <w:p>
                <w:pPr>
                  <w:ind w:right="5"/>
                  <w:jc w:val="right"/>
                </w:pPr>
                <w:r>
                  <w:t>4,414,772.75</w:t>
                </w:r>
              </w:p>
            </w:tc>
            <w:tc>
              <w:tcPr>
                <w:tcW w:w="334" w:type="pct"/>
                <w:vAlign w:val="center"/>
              </w:tcPr>
              <w:p>
                <w:pPr>
                  <w:ind w:right="5"/>
                  <w:jc w:val="right"/>
                </w:pPr>
                <w:r>
                  <w:t>-</w:t>
                </w:r>
              </w:p>
            </w:tc>
            <w:tc>
              <w:tcPr>
                <w:tcW w:w="990" w:type="pct"/>
                <w:vAlign w:val="center"/>
              </w:tcPr>
              <w:p>
                <w:pPr>
                  <w:ind w:right="5"/>
                  <w:jc w:val="right"/>
                </w:pPr>
                <w:r>
                  <w:t>4,414,772.75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369" w:type="pct"/>
              </w:tcPr>
              <w:p>
                <w:pPr>
                  <w:autoSpaceDE w:val="0"/>
                  <w:autoSpaceDN w:val="0"/>
                  <w:adjustRightInd w:val="0"/>
                </w:pPr>
                <w:r>
                  <w:rPr>
                    <w:rFonts w:hint="eastAsia"/>
                  </w:rPr>
                  <w:t>油品</w:t>
                </w:r>
              </w:p>
            </w:tc>
            <w:tc>
              <w:tcPr>
                <w:tcW w:w="990" w:type="pct"/>
                <w:vAlign w:val="center"/>
              </w:tcPr>
              <w:p>
                <w:pPr>
                  <w:jc w:val="right"/>
                </w:pPr>
                <w:r>
                  <w:t>15,588,188.90</w:t>
                </w:r>
              </w:p>
            </w:tc>
            <w:tc>
              <w:tcPr>
                <w:tcW w:w="337" w:type="pct"/>
                <w:vAlign w:val="center"/>
              </w:tcPr>
              <w:p>
                <w:pPr>
                  <w:jc w:val="right"/>
                </w:pPr>
                <w:r>
                  <w:t>-</w:t>
                </w:r>
              </w:p>
            </w:tc>
            <w:tc>
              <w:tcPr>
                <w:tcW w:w="990" w:type="pct"/>
                <w:vAlign w:val="center"/>
              </w:tcPr>
              <w:p>
                <w:pPr>
                  <w:jc w:val="right"/>
                </w:pPr>
                <w:r>
                  <w:t>15,588,188.90</w:t>
                </w:r>
              </w:p>
            </w:tc>
            <w:tc>
              <w:tcPr>
                <w:tcW w:w="990" w:type="pct"/>
                <w:vAlign w:val="center"/>
              </w:tcPr>
              <w:p>
                <w:pPr>
                  <w:ind w:right="5"/>
                  <w:jc w:val="right"/>
                </w:pPr>
                <w:r>
                  <w:t>16,422,158.22</w:t>
                </w:r>
              </w:p>
            </w:tc>
            <w:tc>
              <w:tcPr>
                <w:tcW w:w="334" w:type="pct"/>
                <w:vAlign w:val="center"/>
              </w:tcPr>
              <w:p>
                <w:pPr>
                  <w:ind w:right="5"/>
                  <w:jc w:val="right"/>
                </w:pPr>
                <w:r>
                  <w:t>-</w:t>
                </w:r>
              </w:p>
            </w:tc>
            <w:tc>
              <w:tcPr>
                <w:tcW w:w="990" w:type="pct"/>
                <w:vAlign w:val="center"/>
              </w:tcPr>
              <w:p>
                <w:pPr>
                  <w:ind w:right="5"/>
                  <w:jc w:val="right"/>
                </w:pPr>
                <w:r>
                  <w:t>16,422,158.22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414" w:hRule="atLeast"/>
            </w:trPr>
            <w:tc>
              <w:tcPr>
                <w:tcW w:w="369" w:type="pct"/>
              </w:tcPr>
              <w:p>
                <w:pPr>
                  <w:autoSpaceDE w:val="0"/>
                  <w:autoSpaceDN w:val="0"/>
                  <w:adjustRightInd w:val="0"/>
                </w:pPr>
                <w:r>
                  <w:t> </w:t>
                </w:r>
                <w:r>
                  <w:rPr>
                    <w:rFonts w:hint="eastAsia"/>
                  </w:rPr>
                  <w:t>合计</w:t>
                </w:r>
              </w:p>
            </w:tc>
            <w:tc>
              <w:tcPr>
                <w:tcW w:w="990" w:type="pct"/>
                <w:vAlign w:val="center"/>
              </w:tcPr>
              <w:p>
                <w:pPr>
                  <w:jc w:val="right"/>
                </w:pPr>
                <w:r>
                  <w:t>2,403,919,945.96</w:t>
                </w:r>
              </w:p>
            </w:tc>
            <w:tc>
              <w:tcPr>
                <w:tcW w:w="337" w:type="pct"/>
                <w:vAlign w:val="center"/>
              </w:tcPr>
              <w:p>
                <w:pPr>
                  <w:jc w:val="right"/>
                </w:pPr>
                <w:r>
                  <w:t>-</w:t>
                </w:r>
              </w:p>
            </w:tc>
            <w:tc>
              <w:tcPr>
                <w:tcW w:w="990" w:type="pct"/>
                <w:vAlign w:val="center"/>
              </w:tcPr>
              <w:p>
                <w:pPr>
                  <w:jc w:val="right"/>
                </w:pPr>
                <w:r>
                  <w:t>2,403,919,945.96</w:t>
                </w:r>
              </w:p>
            </w:tc>
            <w:tc>
              <w:tcPr>
                <w:tcW w:w="990" w:type="pct"/>
                <w:vAlign w:val="center"/>
              </w:tcPr>
              <w:p>
                <w:pPr>
                  <w:ind w:right="5"/>
                  <w:jc w:val="right"/>
                </w:pPr>
                <w:r>
                  <w:t>2,585,018,115.85</w:t>
                </w:r>
              </w:p>
            </w:tc>
            <w:tc>
              <w:tcPr>
                <w:tcW w:w="334" w:type="pct"/>
                <w:vAlign w:val="center"/>
              </w:tcPr>
              <w:p>
                <w:pPr>
                  <w:ind w:right="5"/>
                  <w:jc w:val="right"/>
                </w:pPr>
                <w:r>
                  <w:t>-</w:t>
                </w:r>
              </w:p>
            </w:tc>
            <w:tc>
              <w:tcPr>
                <w:tcW w:w="990" w:type="pct"/>
                <w:vAlign w:val="center"/>
              </w:tcPr>
              <w:p>
                <w:pPr>
                  <w:ind w:right="5"/>
                  <w:jc w:val="right"/>
                </w:pPr>
                <w:r>
                  <w:t>2,585,018,115.85</w:t>
                </w:r>
              </w:p>
            </w:tc>
          </w:tr>
        </w:tbl>
        <w:p>
          <w:pPr>
            <w:overflowPunct w:val="0"/>
            <w:adjustRightInd w:val="0"/>
            <w:snapToGrid w:val="0"/>
            <w:rPr>
              <w:rFonts w:ascii="Arial" w:hAnsi="Arial" w:eastAsia="微软雅黑" w:cs="Arial"/>
              <w:color w:val="000000" w:themeColor="text1"/>
              <w:kern w:val="2"/>
              <w14:textFill>
                <w14:solidFill>
                  <w14:schemeClr w14:val="tx1"/>
                </w14:solidFill>
              </w14:textFill>
            </w:rPr>
          </w:pPr>
          <w:r>
            <w:rPr>
              <w:rFonts w:hint="eastAsia" w:ascii="Arial" w:hAnsi="Arial" w:eastAsia="微软雅黑" w:cs="Arial"/>
              <w:color w:val="000000" w:themeColor="text1"/>
              <w:kern w:val="2"/>
              <w14:textFill>
                <w14:solidFill>
                  <w14:schemeClr w14:val="tx1"/>
                </w14:solidFill>
              </w14:textFill>
            </w:rPr>
            <w:t>房地产开发成本列示如下：</w:t>
          </w:r>
        </w:p>
        <w:p>
          <w:pPr>
            <w:overflowPunct w:val="0"/>
            <w:adjustRightInd w:val="0"/>
            <w:snapToGrid w:val="0"/>
            <w:ind w:left="4320"/>
            <w:jc w:val="right"/>
            <w:rPr>
              <w:rFonts w:ascii="Arial" w:hAnsi="Arial" w:eastAsia="微软雅黑" w:cs="Arial"/>
              <w:color w:val="000000" w:themeColor="text1"/>
              <w:kern w:val="2"/>
              <w14:textFill>
                <w14:solidFill>
                  <w14:schemeClr w14:val="tx1"/>
                </w14:solidFill>
              </w14:textFill>
            </w:rPr>
          </w:pPr>
        </w:p>
        <w:tbl>
          <w:tblPr>
            <w:tblStyle w:val="412"/>
            <w:tblW w:w="9135" w:type="dxa"/>
            <w:tblInd w:w="0" w:type="dxa"/>
            <w:tblLayout w:type="fixed"/>
            <w:tblCellMar>
              <w:top w:w="0" w:type="dxa"/>
              <w:left w:w="0" w:type="dxa"/>
              <w:bottom w:w="0" w:type="dxa"/>
              <w:right w:w="0" w:type="dxa"/>
            </w:tblCellMar>
          </w:tblPr>
          <w:tblGrid>
            <w:gridCol w:w="9135"/>
          </w:tblGrid>
          <w:tr>
            <w:tblPrEx>
              <w:tblCellMar>
                <w:top w:w="0" w:type="dxa"/>
                <w:left w:w="0" w:type="dxa"/>
                <w:bottom w:w="0" w:type="dxa"/>
                <w:right w:w="0" w:type="dxa"/>
              </w:tblCellMar>
            </w:tblPrEx>
            <w:tc>
              <w:tcPr>
                <w:tcW w:w="9128" w:type="dxa"/>
              </w:tcPr>
              <w:tbl>
                <w:tblPr>
                  <w:tblStyle w:val="414"/>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56" w:type="dxa"/>
                  </w:tblCellMar>
                </w:tblPr>
                <w:tblGrid>
                  <w:gridCol w:w="2381"/>
                  <w:gridCol w:w="1455"/>
                  <w:gridCol w:w="1246"/>
                  <w:gridCol w:w="1246"/>
                  <w:gridCol w:w="1246"/>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381" w:type="dxa"/>
                      <w:vAlign w:val="center"/>
                    </w:tcPr>
                    <w:p>
                      <w:pPr>
                        <w:widowControl w:val="0"/>
                        <w:snapToGrid w:val="0"/>
                        <w:ind w:left="283" w:right="-57" w:hanging="142"/>
                        <w:rPr>
                          <w:rFonts w:ascii="Arial" w:hAnsi="Arial" w:eastAsia="微软雅黑" w:cs="Times New Roman"/>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项目名称</w:t>
                      </w:r>
                    </w:p>
                  </w:tc>
                  <w:tc>
                    <w:tcPr>
                      <w:tcW w:w="1455"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最近一期</w:t>
                      </w:r>
                    </w:p>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开工时间</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预计下批</w:t>
                      </w:r>
                    </w:p>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竣工时间</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预计总投资</w:t>
                      </w:r>
                    </w:p>
                  </w:tc>
                  <w:tc>
                    <w:tcPr>
                      <w:tcW w:w="1246" w:type="dxa"/>
                      <w:vAlign w:val="center"/>
                    </w:tcPr>
                    <w:p>
                      <w:pPr>
                        <w:widowControl w:val="0"/>
                        <w:snapToGrid w:val="0"/>
                        <w:ind w:left="-41"/>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2022</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br w:type="textWrapping"/>
                      </w:r>
                      <w:r>
                        <w:rPr>
                          <w:rFonts w:ascii="Arial" w:hAnsi="Arial" w:eastAsia="微软雅黑"/>
                          <w:color w:val="000000" w:themeColor="text1"/>
                          <w:kern w:val="2"/>
                          <w:sz w:val="14"/>
                          <w:szCs w:val="20"/>
                          <w14:textFill>
                            <w14:solidFill>
                              <w14:schemeClr w14:val="tx1"/>
                            </w14:solidFill>
                          </w14:textFill>
                        </w:rPr>
                        <w:t>12</w:t>
                      </w:r>
                      <w:r>
                        <w:rPr>
                          <w:rFonts w:hint="eastAsia" w:ascii="Arial" w:hAnsi="Arial" w:eastAsia="微软雅黑"/>
                          <w:color w:val="000000" w:themeColor="text1"/>
                          <w:kern w:val="2"/>
                          <w:sz w:val="14"/>
                          <w:szCs w:val="20"/>
                          <w14:textFill>
                            <w14:solidFill>
                              <w14:schemeClr w14:val="tx1"/>
                            </w14:solidFill>
                          </w14:textFill>
                        </w:rPr>
                        <w:t>月</w:t>
                      </w:r>
                      <w:r>
                        <w:rPr>
                          <w:rFonts w:ascii="Arial" w:hAnsi="Arial" w:eastAsia="微软雅黑"/>
                          <w:color w:val="000000" w:themeColor="text1"/>
                          <w:kern w:val="2"/>
                          <w:sz w:val="14"/>
                          <w:szCs w:val="20"/>
                          <w14:textFill>
                            <w14:solidFill>
                              <w14:schemeClr w14:val="tx1"/>
                            </w14:solidFill>
                          </w14:textFill>
                        </w:rPr>
                        <w:t>31</w:t>
                      </w:r>
                      <w:r>
                        <w:rPr>
                          <w:rFonts w:hint="eastAsia" w:ascii="Arial" w:hAnsi="Arial" w:eastAsia="微软雅黑"/>
                          <w:color w:val="000000" w:themeColor="text1"/>
                          <w:kern w:val="2"/>
                          <w:sz w:val="14"/>
                          <w:szCs w:val="20"/>
                          <w14:textFill>
                            <w14:solidFill>
                              <w14:schemeClr w14:val="tx1"/>
                            </w14:solidFill>
                          </w14:textFill>
                        </w:rPr>
                        <w:t>日</w:t>
                      </w:r>
                    </w:p>
                  </w:tc>
                  <w:tc>
                    <w:tcPr>
                      <w:tcW w:w="1246" w:type="dxa"/>
                      <w:vAlign w:val="center"/>
                    </w:tcPr>
                    <w:p>
                      <w:pPr>
                        <w:widowControl w:val="0"/>
                        <w:snapToGrid w:val="0"/>
                        <w:ind w:left="-41"/>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2023</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br w:type="textWrapping"/>
                      </w:r>
                      <w:r>
                        <w:rPr>
                          <w:rFonts w:ascii="Arial" w:hAnsi="Arial" w:eastAsia="微软雅黑"/>
                          <w:color w:val="000000" w:themeColor="text1"/>
                          <w:kern w:val="2"/>
                          <w:sz w:val="14"/>
                          <w:szCs w:val="20"/>
                          <w14:textFill>
                            <w14:solidFill>
                              <w14:schemeClr w14:val="tx1"/>
                            </w14:solidFill>
                          </w14:textFill>
                        </w:rPr>
                        <w:t>6</w:t>
                      </w:r>
                      <w:r>
                        <w:rPr>
                          <w:rFonts w:hint="eastAsia" w:ascii="Arial" w:hAnsi="Arial" w:eastAsia="微软雅黑"/>
                          <w:color w:val="000000" w:themeColor="text1"/>
                          <w:kern w:val="2"/>
                          <w:sz w:val="14"/>
                          <w:szCs w:val="20"/>
                          <w14:textFill>
                            <w14:solidFill>
                              <w14:schemeClr w14:val="tx1"/>
                            </w14:solidFill>
                          </w14:textFill>
                        </w:rPr>
                        <w:t>月</w:t>
                      </w:r>
                      <w:r>
                        <w:rPr>
                          <w:rFonts w:ascii="Arial" w:hAnsi="Arial" w:eastAsia="微软雅黑"/>
                          <w:color w:val="000000" w:themeColor="text1"/>
                          <w:kern w:val="2"/>
                          <w:sz w:val="14"/>
                          <w:szCs w:val="20"/>
                          <w14:textFill>
                            <w14:solidFill>
                              <w14:schemeClr w14:val="tx1"/>
                            </w14:solidFill>
                          </w14:textFill>
                        </w:rPr>
                        <w:t>30</w:t>
                      </w:r>
                      <w:r>
                        <w:rPr>
                          <w:rFonts w:hint="eastAsia" w:ascii="Arial" w:hAnsi="Arial" w:eastAsia="微软雅黑"/>
                          <w:color w:val="000000" w:themeColor="text1"/>
                          <w:kern w:val="2"/>
                          <w:sz w:val="14"/>
                          <w:szCs w:val="20"/>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38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宝华镇鸿堰社区</w:t>
                      </w:r>
                      <w:r>
                        <w:rPr>
                          <w:rFonts w:ascii="Arial" w:hAnsi="Arial" w:eastAsia="微软雅黑"/>
                          <w:color w:val="000000" w:themeColor="text1"/>
                          <w:kern w:val="2"/>
                          <w:sz w:val="14"/>
                          <w:szCs w:val="20"/>
                          <w14:textFill>
                            <w14:solidFill>
                              <w14:schemeClr w14:val="tx1"/>
                            </w14:solidFill>
                          </w14:textFill>
                        </w:rPr>
                        <w:t>A</w:t>
                      </w:r>
                      <w:r>
                        <w:rPr>
                          <w:rFonts w:hint="eastAsia" w:ascii="Arial" w:hAnsi="Arial" w:eastAsia="微软雅黑"/>
                          <w:color w:val="000000" w:themeColor="text1"/>
                          <w:kern w:val="2"/>
                          <w:sz w:val="14"/>
                          <w:szCs w:val="20"/>
                          <w14:textFill>
                            <w14:solidFill>
                              <w14:schemeClr w14:val="tx1"/>
                            </w14:solidFill>
                          </w14:textFill>
                        </w:rPr>
                        <w:t>地块项目</w:t>
                      </w:r>
                    </w:p>
                  </w:tc>
                  <w:tc>
                    <w:tcPr>
                      <w:tcW w:w="1455"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2018</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09</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暂缓</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2,455,800,000.00</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374,070,824.63</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384,664,189.10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38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花桥镇核心区项目</w:t>
                      </w:r>
                    </w:p>
                  </w:tc>
                  <w:tc>
                    <w:tcPr>
                      <w:tcW w:w="1455"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2012</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12</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2025</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12</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3,089,100,000.00</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33,830,432.28</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36,103,804.33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38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合计</w:t>
                      </w:r>
                    </w:p>
                  </w:tc>
                  <w:tc>
                    <w:tcPr>
                      <w:tcW w:w="1455"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5,544,900,000.00 </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407,901,256.91</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3"/>
                          <w:szCs w:val="20"/>
                          <w14:textFill>
                            <w14:solidFill>
                              <w14:schemeClr w14:val="tx1"/>
                            </w14:solidFill>
                          </w14:textFill>
                        </w:rPr>
                        <w:t>420,767,993.43</w:t>
                      </w:r>
                      <w:r>
                        <w:rPr>
                          <w:rFonts w:ascii="Arial" w:hAnsi="Arial" w:eastAsia="微软雅黑"/>
                          <w:color w:val="000000" w:themeColor="text1"/>
                          <w:kern w:val="2"/>
                          <w:sz w:val="14"/>
                          <w:szCs w:val="20"/>
                          <w14:textFill>
                            <w14:solidFill>
                              <w14:schemeClr w14:val="tx1"/>
                            </w14:solidFill>
                          </w14:textFill>
                        </w:rPr>
                        <w:t xml:space="preserve"> </w:t>
                      </w:r>
                    </w:p>
                  </w:tc>
                </w:tr>
              </w:tbl>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6"/>
                    <w:szCs w:val="20"/>
                    <w14:textFill>
                      <w14:solidFill>
                        <w14:schemeClr w14:val="tx1"/>
                      </w14:solidFill>
                    </w14:textFill>
                  </w:rPr>
                  <w:t> </w:t>
                </w:r>
              </w:p>
            </w:tc>
          </w:tr>
        </w:tbl>
        <w:p>
          <w:pPr>
            <w:overflowPunct w:val="0"/>
            <w:adjustRightInd w:val="0"/>
            <w:snapToGrid w:val="0"/>
            <w:rPr>
              <w:rFonts w:ascii="Arial" w:hAnsi="Arial" w:eastAsia="微软雅黑" w:cs="Arial"/>
              <w:color w:val="000000" w:themeColor="text1"/>
              <w:kern w:val="2"/>
              <w:sz w:val="12"/>
              <w:szCs w:val="12"/>
              <w14:textFill>
                <w14:solidFill>
                  <w14:schemeClr w14:val="tx1"/>
                </w14:solidFill>
              </w14:textFill>
            </w:rPr>
          </w:pPr>
        </w:p>
        <w:p>
          <w:pPr>
            <w:overflowPunct w:val="0"/>
            <w:adjustRightInd w:val="0"/>
            <w:snapToGrid w:val="0"/>
            <w:jc w:val="both"/>
            <w:textAlignment w:val="baseline"/>
            <w:rPr>
              <w:rFonts w:ascii="Arial" w:hAnsi="Arial" w:eastAsia="微软雅黑" w:cs="Arial"/>
              <w:color w:val="000000" w:themeColor="text1"/>
              <w:sz w:val="22"/>
              <w:szCs w:val="22"/>
              <w14:textFill>
                <w14:solidFill>
                  <w14:schemeClr w14:val="tx1"/>
                </w14:solidFill>
              </w14:textFill>
            </w:rPr>
          </w:pPr>
          <w:r>
            <w:rPr>
              <w:rFonts w:hint="eastAsia" w:ascii="Arial" w:hAnsi="Arial" w:eastAsia="微软雅黑" w:cs="Arial"/>
              <w:color w:val="000000" w:themeColor="text1"/>
              <w14:textFill>
                <w14:solidFill>
                  <w14:schemeClr w14:val="tx1"/>
                </w14:solidFill>
              </w14:textFill>
            </w:rPr>
            <w:t>房地产开发产品列示如下：</w:t>
          </w:r>
        </w:p>
        <w:p>
          <w:pPr>
            <w:overflowPunct w:val="0"/>
            <w:adjustRightInd w:val="0"/>
            <w:snapToGrid w:val="0"/>
            <w:ind w:left="4320"/>
            <w:jc w:val="right"/>
            <w:rPr>
              <w:rFonts w:ascii="Arial" w:hAnsi="Arial" w:eastAsia="微软雅黑" w:cs="Arial"/>
              <w:color w:val="000000" w:themeColor="text1"/>
              <w:kern w:val="2"/>
              <w:sz w:val="16"/>
              <w:szCs w:val="16"/>
              <w14:textFill>
                <w14:solidFill>
                  <w14:schemeClr w14:val="tx1"/>
                </w14:solidFill>
              </w14:textFill>
            </w:rPr>
          </w:pPr>
        </w:p>
        <w:tbl>
          <w:tblPr>
            <w:tblStyle w:val="412"/>
            <w:tblW w:w="9135" w:type="dxa"/>
            <w:tblInd w:w="0" w:type="dxa"/>
            <w:tblLayout w:type="fixed"/>
            <w:tblCellMar>
              <w:top w:w="0" w:type="dxa"/>
              <w:left w:w="0" w:type="dxa"/>
              <w:bottom w:w="0" w:type="dxa"/>
              <w:right w:w="0" w:type="dxa"/>
            </w:tblCellMar>
          </w:tblPr>
          <w:tblGrid>
            <w:gridCol w:w="9135"/>
          </w:tblGrid>
          <w:tr>
            <w:tblPrEx>
              <w:tblCellMar>
                <w:top w:w="0" w:type="dxa"/>
                <w:left w:w="0" w:type="dxa"/>
                <w:bottom w:w="0" w:type="dxa"/>
                <w:right w:w="0" w:type="dxa"/>
              </w:tblCellMar>
            </w:tblPrEx>
            <w:tc>
              <w:tcPr>
                <w:tcW w:w="9128" w:type="dxa"/>
              </w:tcPr>
              <w:tbl>
                <w:tblPr>
                  <w:tblStyle w:val="414"/>
                  <w:tblW w:w="8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56" w:type="dxa"/>
                  </w:tblCellMar>
                </w:tblPr>
                <w:tblGrid>
                  <w:gridCol w:w="2551"/>
                  <w:gridCol w:w="1246"/>
                  <w:gridCol w:w="1246"/>
                  <w:gridCol w:w="1246"/>
                  <w:gridCol w:w="1246"/>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s="Times New Roman"/>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项目名称</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最近一期</w:t>
                      </w:r>
                    </w:p>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竣工时间</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2023</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br w:type="textWrapping"/>
                      </w:r>
                      <w:r>
                        <w:rPr>
                          <w:rFonts w:ascii="Arial" w:hAnsi="Arial" w:eastAsia="微软雅黑"/>
                          <w:color w:val="000000" w:themeColor="text1"/>
                          <w:kern w:val="2"/>
                          <w:sz w:val="14"/>
                          <w:szCs w:val="20"/>
                          <w14:textFill>
                            <w14:solidFill>
                              <w14:schemeClr w14:val="tx1"/>
                            </w14:solidFill>
                          </w14:textFill>
                        </w:rPr>
                        <w:t>1</w:t>
                      </w:r>
                      <w:r>
                        <w:rPr>
                          <w:rFonts w:hint="eastAsia" w:ascii="Arial" w:hAnsi="Arial" w:eastAsia="微软雅黑"/>
                          <w:color w:val="000000" w:themeColor="text1"/>
                          <w:kern w:val="2"/>
                          <w:sz w:val="14"/>
                          <w:szCs w:val="20"/>
                          <w14:textFill>
                            <w14:solidFill>
                              <w14:schemeClr w14:val="tx1"/>
                            </w14:solidFill>
                          </w14:textFill>
                        </w:rPr>
                        <w:t>月</w:t>
                      </w:r>
                      <w:r>
                        <w:rPr>
                          <w:rFonts w:ascii="Arial" w:hAnsi="Arial" w:eastAsia="微软雅黑"/>
                          <w:color w:val="000000" w:themeColor="text1"/>
                          <w:kern w:val="2"/>
                          <w:sz w:val="14"/>
                          <w:szCs w:val="20"/>
                          <w14:textFill>
                            <w14:solidFill>
                              <w14:schemeClr w14:val="tx1"/>
                            </w14:solidFill>
                          </w14:textFill>
                        </w:rPr>
                        <w:t>1</w:t>
                      </w:r>
                      <w:r>
                        <w:rPr>
                          <w:rFonts w:hint="eastAsia" w:ascii="Arial" w:hAnsi="Arial" w:eastAsia="微软雅黑"/>
                          <w:color w:val="000000" w:themeColor="text1"/>
                          <w:kern w:val="2"/>
                          <w:sz w:val="14"/>
                          <w:szCs w:val="20"/>
                          <w14:textFill>
                            <w14:solidFill>
                              <w14:schemeClr w14:val="tx1"/>
                            </w14:solidFill>
                          </w14:textFill>
                        </w:rPr>
                        <w:t>日</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本期增加</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本期减少</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2023</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br w:type="textWrapping"/>
                      </w:r>
                      <w:r>
                        <w:rPr>
                          <w:rFonts w:ascii="Arial" w:hAnsi="Arial" w:eastAsia="微软雅黑"/>
                          <w:color w:val="000000" w:themeColor="text1"/>
                          <w:kern w:val="2"/>
                          <w:sz w:val="14"/>
                          <w:szCs w:val="20"/>
                          <w14:textFill>
                            <w14:solidFill>
                              <w14:schemeClr w14:val="tx1"/>
                            </w14:solidFill>
                          </w14:textFill>
                        </w:rPr>
                        <w:t>6</w:t>
                      </w:r>
                      <w:r>
                        <w:rPr>
                          <w:rFonts w:hint="eastAsia" w:ascii="Arial" w:hAnsi="Arial" w:eastAsia="微软雅黑"/>
                          <w:color w:val="000000" w:themeColor="text1"/>
                          <w:kern w:val="2"/>
                          <w:sz w:val="14"/>
                          <w:szCs w:val="20"/>
                          <w14:textFill>
                            <w14:solidFill>
                              <w14:schemeClr w14:val="tx1"/>
                            </w14:solidFill>
                          </w14:textFill>
                        </w:rPr>
                        <w:t>月</w:t>
                      </w:r>
                      <w:r>
                        <w:rPr>
                          <w:rFonts w:ascii="Arial" w:hAnsi="Arial" w:eastAsia="微软雅黑"/>
                          <w:color w:val="000000" w:themeColor="text1"/>
                          <w:kern w:val="2"/>
                          <w:sz w:val="14"/>
                          <w:szCs w:val="20"/>
                          <w14:textFill>
                            <w14:solidFill>
                              <w14:schemeClr w14:val="tx1"/>
                            </w14:solidFill>
                          </w14:textFill>
                        </w:rPr>
                        <w:t>30</w:t>
                      </w:r>
                      <w:r>
                        <w:rPr>
                          <w:rFonts w:hint="eastAsia" w:ascii="Arial" w:hAnsi="Arial" w:eastAsia="微软雅黑"/>
                          <w:color w:val="000000" w:themeColor="text1"/>
                          <w:kern w:val="2"/>
                          <w:sz w:val="14"/>
                          <w:szCs w:val="20"/>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苏州庆园</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2013</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12</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343,297,798.08</w:t>
                      </w:r>
                    </w:p>
                  </w:tc>
                  <w:tc>
                    <w:tcPr>
                      <w:tcW w:w="1246" w:type="dxa"/>
                      <w:vAlign w:val="center"/>
                    </w:tcPr>
                    <w:p>
                      <w:pPr>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w:t>
                      </w:r>
                    </w:p>
                  </w:tc>
                  <w:tc>
                    <w:tcPr>
                      <w:tcW w:w="1246" w:type="dxa"/>
                      <w:vAlign w:val="center"/>
                    </w:tcPr>
                    <w:p>
                      <w:pPr>
                        <w:jc w:val="right"/>
                        <w:textAlignment w:val="center"/>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126,545,872.33 </w:t>
                      </w:r>
                    </w:p>
                  </w:tc>
                  <w:tc>
                    <w:tcPr>
                      <w:tcW w:w="1246" w:type="dxa"/>
                      <w:vAlign w:val="center"/>
                    </w:tcPr>
                    <w:p>
                      <w:pPr>
                        <w:jc w:val="right"/>
                        <w:textAlignment w:val="center"/>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216,751,925.75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宝华镇鸿堰社区</w:t>
                      </w:r>
                      <w:r>
                        <w:rPr>
                          <w:rFonts w:ascii="Arial" w:hAnsi="Arial" w:eastAsia="微软雅黑"/>
                          <w:color w:val="000000" w:themeColor="text1"/>
                          <w:kern w:val="2"/>
                          <w:sz w:val="14"/>
                          <w:szCs w:val="20"/>
                          <w14:textFill>
                            <w14:solidFill>
                              <w14:schemeClr w14:val="tx1"/>
                            </w14:solidFill>
                          </w14:textFill>
                        </w:rPr>
                        <w:t>B</w:t>
                      </w:r>
                      <w:r>
                        <w:rPr>
                          <w:rFonts w:hint="eastAsia" w:ascii="Arial" w:hAnsi="Arial" w:eastAsia="微软雅黑"/>
                          <w:color w:val="000000" w:themeColor="text1"/>
                          <w:kern w:val="2"/>
                          <w:sz w:val="14"/>
                          <w:szCs w:val="20"/>
                          <w14:textFill>
                            <w14:solidFill>
                              <w14:schemeClr w14:val="tx1"/>
                            </w14:solidFill>
                          </w14:textFill>
                        </w:rPr>
                        <w:t>地块</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2016</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11</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150,292,421.02</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11,861,725.27</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138,430,695.75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花桥镇核心项目</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2019</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12</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424,619,519.56</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14,743,485.61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409,876,033.95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苏州市南门路</w:t>
                      </w:r>
                      <w:r>
                        <w:rPr>
                          <w:rFonts w:ascii="Arial" w:hAnsi="Arial" w:eastAsia="微软雅黑"/>
                          <w:color w:val="000000" w:themeColor="text1"/>
                          <w:kern w:val="2"/>
                          <w:sz w:val="14"/>
                          <w:szCs w:val="20"/>
                          <w14:textFill>
                            <w14:solidFill>
                              <w14:schemeClr w14:val="tx1"/>
                            </w14:solidFill>
                          </w14:textFill>
                        </w:rPr>
                        <w:t>G25</w:t>
                      </w:r>
                      <w:r>
                        <w:rPr>
                          <w:rFonts w:hint="eastAsia" w:ascii="Arial" w:hAnsi="Arial" w:eastAsia="微软雅黑"/>
                          <w:color w:val="000000" w:themeColor="text1"/>
                          <w:kern w:val="2"/>
                          <w:sz w:val="14"/>
                          <w:szCs w:val="20"/>
                          <w14:textFill>
                            <w14:solidFill>
                              <w14:schemeClr w14:val="tx1"/>
                            </w14:solidFill>
                          </w14:textFill>
                        </w:rPr>
                        <w:t>项目</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2022</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09</w:t>
                      </w:r>
                      <w:r>
                        <w:rPr>
                          <w:rFonts w:hint="eastAsia" w:ascii="Arial" w:hAnsi="Arial" w:eastAsia="微软雅黑"/>
                          <w:color w:val="000000" w:themeColor="text1"/>
                          <w:kern w:val="2"/>
                          <w:sz w:val="14"/>
                          <w:szCs w:val="20"/>
                          <w14:textFill>
                            <w14:solidFill>
                              <w14:schemeClr w14:val="tx1"/>
                            </w14:solidFill>
                          </w14:textFill>
                        </w:rPr>
                        <w:t>月</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36,417,209.99</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21,328,500.46</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15,088,709.53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瀚瑞中心</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2021</w:t>
                      </w:r>
                      <w:r>
                        <w:rPr>
                          <w:rFonts w:hint="eastAsia" w:ascii="Arial" w:hAnsi="Arial" w:eastAsia="微软雅黑"/>
                          <w:color w:val="000000" w:themeColor="text1"/>
                          <w:kern w:val="2"/>
                          <w:sz w:val="14"/>
                          <w:szCs w:val="20"/>
                          <w14:textFill>
                            <w14:solidFill>
                              <w14:schemeClr w14:val="tx1"/>
                            </w14:solidFill>
                          </w14:textFill>
                        </w:rPr>
                        <w:t>年</w:t>
                      </w:r>
                      <w:r>
                        <w:rPr>
                          <w:rFonts w:ascii="Arial" w:hAnsi="Arial" w:eastAsia="微软雅黑"/>
                          <w:color w:val="000000" w:themeColor="text1"/>
                          <w:kern w:val="2"/>
                          <w:sz w:val="14"/>
                          <w:szCs w:val="20"/>
                          <w14:textFill>
                            <w14:solidFill>
                              <w14:schemeClr w14:val="tx1"/>
                            </w14:solidFill>
                          </w14:textFill>
                        </w:rPr>
                        <w:t>06</w:t>
                      </w:r>
                      <w:r>
                        <w:rPr>
                          <w:rFonts w:hint="eastAsia" w:ascii="Arial" w:hAnsi="Arial" w:eastAsia="微软雅黑"/>
                          <w:color w:val="000000" w:themeColor="text1"/>
                          <w:kern w:val="2"/>
                          <w:sz w:val="14"/>
                          <w:szCs w:val="20"/>
                          <w14:textFill>
                            <w14:solidFill>
                              <w14:schemeClr w14:val="tx1"/>
                            </w14:solidFill>
                          </w14:textFill>
                        </w:rPr>
                        <w:t>月</w:t>
                      </w:r>
                      <w:r>
                        <w:rPr>
                          <w:rFonts w:ascii="Arial" w:hAnsi="Arial" w:eastAsia="微软雅黑"/>
                          <w:color w:val="000000" w:themeColor="text1"/>
                          <w:kern w:val="2"/>
                          <w:sz w:val="14"/>
                          <w:szCs w:val="20"/>
                          <w14:textFill>
                            <w14:solidFill>
                              <w14:schemeClr w14:val="tx1"/>
                            </w14:solidFill>
                          </w14:textFill>
                        </w:rPr>
                        <w:t> </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1,201,652,979.32</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26,748,396.17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45,664,595.84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1,182,736,779.65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56" w:type="dxa"/>
                    </w:tblCellMar>
                  </w:tblPrEx>
                  <w:trPr>
                    <w:trHeight w:val="244" w:hRule="atLeast"/>
                  </w:trPr>
                  <w:tc>
                    <w:tcPr>
                      <w:tcW w:w="2551" w:type="dxa"/>
                      <w:vAlign w:val="center"/>
                    </w:tcPr>
                    <w:p>
                      <w:pPr>
                        <w:widowControl w:val="0"/>
                        <w:snapToGrid w:val="0"/>
                        <w:ind w:left="283" w:right="-57" w:hanging="142"/>
                        <w:rPr>
                          <w:rFonts w:ascii="Arial" w:hAnsi="Arial" w:eastAsia="微软雅黑"/>
                          <w:color w:val="000000" w:themeColor="text1"/>
                          <w:kern w:val="2"/>
                          <w:szCs w:val="20"/>
                          <w14:textFill>
                            <w14:solidFill>
                              <w14:schemeClr w14:val="tx1"/>
                            </w14:solidFill>
                          </w14:textFill>
                        </w:rPr>
                      </w:pPr>
                      <w:r>
                        <w:rPr>
                          <w:rFonts w:hint="eastAsia" w:ascii="Arial" w:hAnsi="Arial" w:eastAsia="微软雅黑"/>
                          <w:color w:val="000000" w:themeColor="text1"/>
                          <w:kern w:val="2"/>
                          <w:sz w:val="14"/>
                          <w:szCs w:val="20"/>
                          <w14:textFill>
                            <w14:solidFill>
                              <w14:schemeClr w14:val="tx1"/>
                            </w14:solidFill>
                          </w14:textFill>
                        </w:rPr>
                        <w:t>合计</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w:t>
                      </w:r>
                    </w:p>
                  </w:tc>
                  <w:tc>
                    <w:tcPr>
                      <w:tcW w:w="1246" w:type="dxa"/>
                      <w:vAlign w:val="center"/>
                    </w:tcPr>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2,156,279,927.97</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26,748,396.17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4"/>
                          <w:szCs w:val="20"/>
                          <w14:textFill>
                            <w14:solidFill>
                              <w14:schemeClr w14:val="tx1"/>
                            </w14:solidFill>
                          </w14:textFill>
                        </w:rPr>
                        <w:t xml:space="preserve">220,144,179.51 </w:t>
                      </w:r>
                    </w:p>
                  </w:tc>
                  <w:tc>
                    <w:tcPr>
                      <w:tcW w:w="1246" w:type="dxa"/>
                      <w:vAlign w:val="center"/>
                    </w:tcPr>
                    <w:p>
                      <w:pPr>
                        <w:widowControl w:val="0"/>
                        <w:snapToGrid w:val="0"/>
                        <w:jc w:val="right"/>
                        <w:rPr>
                          <w:rFonts w:ascii="Arial" w:hAnsi="Arial" w:eastAsia="微软雅黑"/>
                          <w:color w:val="000000" w:themeColor="text1"/>
                          <w:kern w:val="2"/>
                          <w:sz w:val="14"/>
                          <w:szCs w:val="20"/>
                          <w14:textFill>
                            <w14:solidFill>
                              <w14:schemeClr w14:val="tx1"/>
                            </w14:solidFill>
                          </w14:textFill>
                        </w:rPr>
                      </w:pPr>
                      <w:r>
                        <w:rPr>
                          <w:rFonts w:ascii="Arial" w:hAnsi="Arial" w:eastAsia="微软雅黑"/>
                          <w:color w:val="000000" w:themeColor="text1"/>
                          <w:kern w:val="2"/>
                          <w:sz w:val="13"/>
                          <w:szCs w:val="20"/>
                          <w14:textFill>
                            <w14:solidFill>
                              <w14:schemeClr w14:val="tx1"/>
                            </w14:solidFill>
                          </w14:textFill>
                        </w:rPr>
                        <w:t>1,962,884,144.63</w:t>
                      </w:r>
                    </w:p>
                  </w:tc>
                </w:tr>
              </w:tbl>
              <w:p>
                <w:pPr>
                  <w:widowControl w:val="0"/>
                  <w:snapToGrid w:val="0"/>
                  <w:jc w:val="right"/>
                  <w:rPr>
                    <w:rFonts w:ascii="Arial" w:hAnsi="Arial" w:eastAsia="微软雅黑"/>
                    <w:color w:val="000000" w:themeColor="text1"/>
                    <w:kern w:val="2"/>
                    <w:szCs w:val="20"/>
                    <w14:textFill>
                      <w14:solidFill>
                        <w14:schemeClr w14:val="tx1"/>
                      </w14:solidFill>
                    </w14:textFill>
                  </w:rPr>
                </w:pPr>
                <w:r>
                  <w:rPr>
                    <w:rFonts w:ascii="Arial" w:hAnsi="Arial" w:eastAsia="微软雅黑"/>
                    <w:color w:val="000000" w:themeColor="text1"/>
                    <w:kern w:val="2"/>
                    <w:sz w:val="6"/>
                    <w:szCs w:val="20"/>
                    <w14:textFill>
                      <w14:solidFill>
                        <w14:schemeClr w14:val="tx1"/>
                      </w14:solidFill>
                    </w14:textFill>
                  </w:rPr>
                  <w:t> </w:t>
                </w:r>
              </w:p>
            </w:tc>
          </w:tr>
        </w:tbl>
        <w:p>
          <w:pPr>
            <w:pStyle w:val="114"/>
          </w:pPr>
        </w:p>
      </w:sdtContent>
    </w:sdt>
    <w:bookmarkEnd w:id="155"/>
    <w:sdt>
      <w:sdtPr>
        <w:rPr>
          <w:rFonts w:hint="eastAsia" w:ascii="宋体" w:hAnsi="宋体" w:cs="宋体"/>
          <w:b w:val="0"/>
          <w:bCs w:val="0"/>
          <w:kern w:val="0"/>
          <w:szCs w:val="24"/>
        </w:rPr>
        <w:alias w:val="模块:存货跌价准备"/>
        <w:tag w:val="_GBC_d00b46c41ac84794bd1f7b10e97923a0"/>
        <w:id w:val="-2114197391"/>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57"/>
            </w:numPr>
            <w:tabs>
              <w:tab w:val="left" w:pos="630"/>
            </w:tabs>
            <w:rPr>
              <w:rFonts w:ascii="宋体" w:hAnsi="宋体"/>
            </w:rPr>
          </w:pPr>
          <w:bookmarkStart w:id="156" w:name="_Hlk10470459"/>
          <w:r>
            <w:rPr>
              <w:rFonts w:hint="eastAsia" w:ascii="宋体" w:hAnsi="宋体"/>
            </w:rPr>
            <w:t>存货跌价准备及合同履约成本减值准备</w:t>
          </w:r>
        </w:p>
        <w:sdt>
          <w:sdtPr>
            <w:alias w:val="是否适用：存货跌价准备[双击切换]"/>
            <w:tag w:val="_GBC_b9bd4a0fa089468ebded8bb61a86fbae"/>
            <w:id w:val="170744176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6"/>
    <w:sdt>
      <w:sdtPr>
        <w:rPr>
          <w:rFonts w:hint="eastAsia" w:ascii="宋体" w:hAnsi="宋体" w:cs="宋体"/>
          <w:b w:val="0"/>
          <w:bCs w:val="0"/>
          <w:kern w:val="0"/>
          <w:szCs w:val="24"/>
        </w:rPr>
        <w:alias w:val="模块:存货期末余额含有借款费用资本化金额的说明："/>
        <w:tag w:val="_GBC_dc559aaf0bf0428386e2f7f2cdeb43ec"/>
        <w:id w:val="1666355309"/>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57"/>
            </w:numPr>
            <w:tabs>
              <w:tab w:val="left" w:pos="630"/>
            </w:tabs>
            <w:rPr>
              <w:rFonts w:ascii="宋体" w:hAnsi="宋体"/>
            </w:rPr>
          </w:pPr>
          <w:r>
            <w:rPr>
              <w:rFonts w:hint="eastAsia" w:ascii="宋体" w:hAnsi="宋体"/>
            </w:rPr>
            <w:t>存货期末余额含有借款费用资本化金额的说明</w:t>
          </w:r>
        </w:p>
        <w:sdt>
          <w:sdtPr>
            <w:rPr>
              <w:rFonts w:hint="eastAsia"/>
            </w:rPr>
            <w:alias w:val="是否适用：存货期末余额含有借款费用资本化金额的说明[双击切换]"/>
            <w:tag w:val="_GBC_c4216db560c643b38b29d44401d464c9"/>
            <w:id w:val="-1784648232"/>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bookmarkStart w:id="157" w:name="_Hlk142640286"/>
      <w:bookmarkEnd w:id="157"/>
    </w:p>
    <w:sdt>
      <w:sdtPr>
        <w:rPr>
          <w:rFonts w:hint="eastAsia" w:ascii="宋体" w:hAnsi="宋体" w:cs="宋体"/>
          <w:b w:val="0"/>
          <w:bCs w:val="0"/>
          <w:kern w:val="0"/>
          <w:szCs w:val="24"/>
        </w:rPr>
        <w:alias w:val="模块:合同履约成本本期摊销金额的说明"/>
        <w:tag w:val="_SEC_8c46917973d94083a642ad0ca746d3cd"/>
        <w:id w:val="2084331325"/>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57"/>
            </w:numPr>
            <w:tabs>
              <w:tab w:val="left" w:pos="630"/>
            </w:tabs>
            <w:rPr>
              <w:rFonts w:ascii="宋体" w:hAnsi="宋体"/>
            </w:rPr>
          </w:pPr>
          <w:bookmarkStart w:id="158" w:name="_Hlk10470641"/>
          <w:r>
            <w:rPr>
              <w:rFonts w:hint="eastAsia" w:ascii="宋体" w:hAnsi="宋体"/>
            </w:rPr>
            <w:t>合同履约成本本期摊销金额的说明</w:t>
          </w:r>
        </w:p>
        <w:sdt>
          <w:sdtPr>
            <w:alias w:val="是否适用：合同履约成本本期摊销金额的说明[双击切换]"/>
            <w:tag w:val="_GBC_cd3513a7790e48d4a2a156e8ad6a629a"/>
            <w:id w:val="11904071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8"/>
    <w:p>
      <w:pPr>
        <w:pStyle w:val="114"/>
      </w:pPr>
    </w:p>
    <w:sdt>
      <w:sdtPr>
        <w:rPr>
          <w:rFonts w:hint="eastAsia"/>
        </w:rPr>
        <w:alias w:val="模块:存货的其他说明"/>
        <w:tag w:val="_SEC_96c2195df56b4f3eb6049f39e6923486"/>
        <w:id w:val="933641055"/>
        <w:lock w:val="sdtLocked"/>
        <w:placeholder>
          <w:docPart w:val="GBC22222222222222222222222222222"/>
        </w:placeholder>
      </w:sdtPr>
      <w:sdtEndPr>
        <w:rPr>
          <w:rFonts w:hint="default"/>
        </w:rPr>
      </w:sdtEndPr>
      <w:sdtContent>
        <w:p>
          <w:pPr>
            <w:pStyle w:val="114"/>
          </w:pPr>
          <w:r>
            <w:rPr>
              <w:rFonts w:hint="eastAsia"/>
            </w:rPr>
            <w:t>其他说明：</w:t>
          </w:r>
        </w:p>
        <w:sdt>
          <w:sdtPr>
            <w:alias w:val="是否适用：存货的其他说明[双击切换]"/>
            <w:tag w:val="_GBC_bd31680428a448ecb64fdd4cbab90a42"/>
            <w:id w:val="25301524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合同资产"/>
        <w:tag w:val="_SEC_9eb3b6c88c0a41f7a3f6a2f43946f06c"/>
        <w:id w:val="-1365136654"/>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rPr>
          </w:pPr>
          <w:bookmarkStart w:id="159" w:name="_Hlk10470760"/>
          <w:r>
            <w:rPr>
              <w:rFonts w:hint="eastAsia" w:ascii="宋体" w:hAnsi="宋体"/>
            </w:rPr>
            <w:t>合同资产</w:t>
          </w:r>
        </w:p>
        <w:p>
          <w:pPr>
            <w:pStyle w:val="118"/>
            <w:numPr>
              <w:ilvl w:val="3"/>
              <w:numId w:val="58"/>
            </w:numPr>
            <w:ind w:left="426" w:hanging="426"/>
            <w:rPr>
              <w:rFonts w:ascii="宋体" w:hAnsi="宋体"/>
            </w:rPr>
          </w:pPr>
          <w:r>
            <w:rPr>
              <w:rFonts w:hint="eastAsia" w:ascii="宋体" w:hAnsi="宋体"/>
            </w:rPr>
            <w:t>合同资产情况</w:t>
          </w:r>
        </w:p>
        <w:sdt>
          <w:sdtPr>
            <w:alias w:val="是否适用：合同资产情况[双击切换]"/>
            <w:tag w:val="_GBC_d77156d135184e21a21238cac863494c"/>
            <w:id w:val="-26954739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9"/>
    <w:sdt>
      <w:sdtPr>
        <w:rPr>
          <w:rFonts w:hint="eastAsia" w:ascii="宋体" w:hAnsi="宋体" w:cs="宋体"/>
          <w:b w:val="0"/>
          <w:bCs w:val="0"/>
          <w:kern w:val="0"/>
          <w:szCs w:val="24"/>
        </w:rPr>
        <w:alias w:val="模块:报告期内账面价值发生重大变动的金额和原因"/>
        <w:tag w:val="_SEC_e8c350da8e69479e93eb03226371923c"/>
        <w:id w:val="1905265696"/>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8"/>
            </w:numPr>
            <w:ind w:left="426" w:hanging="426"/>
            <w:rPr>
              <w:rFonts w:ascii="宋体" w:hAnsi="宋体"/>
            </w:rPr>
          </w:pPr>
          <w:bookmarkStart w:id="160" w:name="_Hlk10470932"/>
          <w:bookmarkStart w:id="161" w:name="_Hlk10470942"/>
          <w:r>
            <w:rPr>
              <w:rFonts w:hint="eastAsia" w:ascii="宋体" w:hAnsi="宋体"/>
            </w:rPr>
            <w:t>报告期内账面价值发生重大变动的金额和原因</w:t>
          </w:r>
          <w:bookmarkEnd w:id="160"/>
        </w:p>
        <w:sdt>
          <w:sdtPr>
            <w:alias w:val="是否适用：合同资产账面价值发生重大变动[双击切换]"/>
            <w:tag w:val="_GBC_4cdeacc1c4f24682b8d7fe35b510e9c1"/>
            <w:id w:val="186702030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1"/>
    <w:sdt>
      <w:sdtPr>
        <w:rPr>
          <w:rFonts w:hint="eastAsia" w:ascii="宋体" w:hAnsi="宋体" w:cs="宋体"/>
          <w:b w:val="0"/>
          <w:bCs w:val="0"/>
          <w:kern w:val="0"/>
          <w:szCs w:val="21"/>
        </w:rPr>
        <w:alias w:val="模块:本期合同资产计提减值准备情况"/>
        <w:tag w:val="_SEC_bf3d6e0971b243878381353846199645"/>
        <w:id w:val="1577773646"/>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8"/>
            </w:numPr>
            <w:ind w:left="426" w:hanging="426"/>
            <w:rPr>
              <w:rFonts w:ascii="宋体" w:hAnsi="宋体"/>
              <w:szCs w:val="21"/>
            </w:rPr>
          </w:pPr>
          <w:bookmarkStart w:id="162" w:name="_Hlk10470956"/>
          <w:bookmarkStart w:id="163" w:name="_Hlk10470966"/>
          <w:r>
            <w:rPr>
              <w:rFonts w:hint="eastAsia" w:ascii="宋体" w:hAnsi="宋体"/>
              <w:szCs w:val="21"/>
            </w:rPr>
            <w:t>本期合同资产计提减值准备情况</w:t>
          </w:r>
          <w:bookmarkEnd w:id="162"/>
        </w:p>
        <w:sdt>
          <w:sdtPr>
            <w:alias w:val="是否适用：合同资产减值准备[双击切换]"/>
            <w:tag w:val="_GBC_47f239b7a5d442b0a0a358017de09567"/>
            <w:id w:val="2020430204"/>
            <w:lock w:val="sdtLocked"/>
            <w:placeholder>
              <w:docPart w:val="GBC22222222222222222222222222222"/>
            </w:placeholder>
          </w:sdtPr>
          <w:sdtContent>
            <w:p>
              <w:pPr>
                <w:autoSpaceDE w:val="0"/>
                <w:autoSpaceDN w:val="0"/>
                <w:adjustRightInd w:val="0"/>
                <w:ind w:right="105" w:rightChars="5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ind w:right="105" w:rightChars="50"/>
          </w:pPr>
        </w:p>
        <w:p>
          <w:pPr>
            <w:pStyle w:val="114"/>
          </w:pPr>
        </w:p>
      </w:sdtContent>
    </w:sdt>
    <w:bookmarkEnd w:id="163"/>
    <w:sdt>
      <w:sdtPr>
        <w:rPr>
          <w:rFonts w:hint="eastAsia"/>
        </w:rPr>
        <w:alias w:val="模块:其他说明："/>
        <w:tag w:val="_SEC_5b10981ad765434eb8d30a4d75bff071"/>
        <w:id w:val="-1191753132"/>
        <w:lock w:val="sdtLocked"/>
        <w:placeholder>
          <w:docPart w:val="GBC22222222222222222222222222222"/>
        </w:placeholder>
      </w:sdtPr>
      <w:sdtEndPr>
        <w:rPr>
          <w:rFonts w:hint="default"/>
        </w:rPr>
      </w:sdtEndPr>
      <w:sdtContent>
        <w:p>
          <w:pPr>
            <w:pStyle w:val="114"/>
          </w:pPr>
          <w:bookmarkStart w:id="164" w:name="_Hlk10471002"/>
          <w:bookmarkStart w:id="165" w:name="_Hlk10471011"/>
          <w:r>
            <w:rPr>
              <w:rFonts w:hint="eastAsia"/>
            </w:rPr>
            <w:t>其他说明：</w:t>
          </w:r>
          <w:bookmarkEnd w:id="164"/>
        </w:p>
        <w:sdt>
          <w:sdtPr>
            <w:alias w:val="是否适用：合同资产其他说明[双击切换]"/>
            <w:tag w:val="_GBC_06cd3c0f93454d76bd0c7e20322e8a49"/>
            <w:id w:val="19396701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5"/>
    <w:p>
      <w:pPr>
        <w:pStyle w:val="114"/>
      </w:pPr>
    </w:p>
    <w:sdt>
      <w:sdtPr>
        <w:rPr>
          <w:rFonts w:hint="eastAsia" w:ascii="宋体" w:hAnsi="宋体" w:cs="宋体"/>
          <w:b w:val="0"/>
          <w:bCs w:val="0"/>
          <w:kern w:val="0"/>
          <w:szCs w:val="24"/>
        </w:rPr>
        <w:alias w:val="模块:划分为持有待售的资产"/>
        <w:tag w:val="_GBC_b8017c342539428893a6ec198dd061b3"/>
        <w:id w:val="344297700"/>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rPr>
          </w:pPr>
          <w:r>
            <w:rPr>
              <w:rFonts w:hint="eastAsia" w:ascii="宋体" w:hAnsi="宋体"/>
            </w:rPr>
            <w:t>持有待售资产</w:t>
          </w:r>
        </w:p>
        <w:sdt>
          <w:sdtPr>
            <w:alias w:val="是否适用：划分为持有待售的资产[双击切换]"/>
            <w:tag w:val="_GBC_a6517e0f93e04b1caa2e45201c8133b1"/>
            <w:id w:val="-9648793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ind w:right="210"/>
      </w:pPr>
    </w:p>
    <w:sdt>
      <w:sdtPr>
        <w:rPr>
          <w:rFonts w:hint="eastAsia" w:ascii="宋体" w:hAnsi="宋体" w:cs="宋体"/>
          <w:b w:val="0"/>
          <w:bCs w:val="0"/>
          <w:kern w:val="0"/>
          <w:szCs w:val="24"/>
        </w:rPr>
        <w:alias w:val="模块:一年内到期的非流动资产"/>
        <w:tag w:val="_GBC_73afc3711ce24918b57d8c069abaf5c5"/>
        <w:id w:val="26628702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rPr>
          </w:pPr>
          <w:bookmarkStart w:id="166" w:name="_Hlk10471081"/>
          <w:r>
            <w:rPr>
              <w:rFonts w:hint="eastAsia" w:ascii="宋体" w:hAnsi="宋体"/>
            </w:rPr>
            <w:t>一年内到期的非流动资产</w:t>
          </w:r>
        </w:p>
        <w:sdt>
          <w:sdtPr>
            <w:alias w:val="是否适用：一年内到期的非流动资产[双击切换]"/>
            <w:tag w:val="_GBC_3c3df002388d4bbe8dd8d4df7fe26ebc"/>
            <w:id w:val="-78311523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210"/>
            <w:jc w:val="right"/>
          </w:pPr>
          <w:r>
            <w:rPr>
              <w:rFonts w:hint="eastAsia"/>
            </w:rPr>
            <w:t>单位：</w:t>
          </w:r>
          <w:sdt>
            <w:sdtPr>
              <w:rPr>
                <w:rFonts w:hint="eastAsia"/>
              </w:rPr>
              <w:alias w:val="单位：财务附注：一年内到期的非流动资产"/>
              <w:tag w:val="_GBC_14922dae03f44c28ac9ffa1215012f9c"/>
              <w:id w:val="274608670"/>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2401729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8"/>
            <w:gridCol w:w="2898"/>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dd3ecdefaa34ef4b20ed16dfc08362c"/>
                <w:id w:val="-2042898261"/>
                <w:lock w:val="sdtLocked"/>
              </w:sdtPr>
              <w:sdtContent>
                <w:tc>
                  <w:tcPr>
                    <w:tcW w:w="1816" w:type="pct"/>
                    <w:shd w:val="clear" w:color="auto" w:fill="auto"/>
                    <w:vAlign w:val="center"/>
                  </w:tcPr>
                  <w:p>
                    <w:pPr>
                      <w:jc w:val="center"/>
                    </w:pPr>
                    <w:r>
                      <w:rPr>
                        <w:rFonts w:hint="eastAsia"/>
                      </w:rPr>
                      <w:t>项目</w:t>
                    </w:r>
                  </w:p>
                </w:tc>
              </w:sdtContent>
            </w:sdt>
            <w:sdt>
              <w:sdtPr>
                <w:tag w:val="_PLD_480b5377d1d84a9c8b0deaaf24f342ff"/>
                <w:id w:val="-2125527856"/>
                <w:lock w:val="sdtLocked"/>
              </w:sdtPr>
              <w:sdtContent>
                <w:tc>
                  <w:tcPr>
                    <w:tcW w:w="1601" w:type="pct"/>
                    <w:shd w:val="clear" w:color="auto" w:fill="auto"/>
                    <w:vAlign w:val="center"/>
                  </w:tcPr>
                  <w:p>
                    <w:pPr>
                      <w:jc w:val="center"/>
                    </w:pPr>
                    <w:r>
                      <w:rPr>
                        <w:rFonts w:hint="eastAsia"/>
                      </w:rPr>
                      <w:t>期末余额</w:t>
                    </w:r>
                  </w:p>
                </w:tc>
              </w:sdtContent>
            </w:sdt>
            <w:sdt>
              <w:sdtPr>
                <w:tag w:val="_PLD_a67b2de4a1a3451da84cbef4312398ed"/>
                <w:id w:val="-102651554"/>
                <w:lock w:val="sdtLocked"/>
              </w:sdtPr>
              <w:sdtContent>
                <w:tc>
                  <w:tcPr>
                    <w:tcW w:w="1582" w:type="pct"/>
                    <w:shd w:val="clear" w:color="auto" w:fill="auto"/>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03d4bc68cf84ff392cc97c55b902406"/>
                <w:id w:val="-613288988"/>
                <w:lock w:val="sdtLocked"/>
              </w:sdtPr>
              <w:sdtContent>
                <w:tc>
                  <w:tcPr>
                    <w:tcW w:w="1816" w:type="pct"/>
                    <w:shd w:val="clear" w:color="auto" w:fill="auto"/>
                    <w:vAlign w:val="center"/>
                  </w:tcPr>
                  <w:p>
                    <w:r>
                      <w:rPr>
                        <w:rFonts w:hint="eastAsia"/>
                      </w:rPr>
                      <w:t>一年内到期的债权投资</w:t>
                    </w:r>
                  </w:p>
                </w:tc>
              </w:sdtContent>
            </w:sdt>
            <w:tc>
              <w:tcPr>
                <w:tcW w:w="1601" w:type="pct"/>
                <w:shd w:val="clear" w:color="auto" w:fill="auto"/>
                <w:vAlign w:val="center"/>
              </w:tcPr>
              <w:p>
                <w:pPr>
                  <w:jc w:val="right"/>
                </w:pPr>
                <w:r>
                  <w:rPr>
                    <w:rFonts w:hint="eastAsia"/>
                  </w:rPr>
                  <w:t>-</w:t>
                </w:r>
              </w:p>
            </w:tc>
            <w:tc>
              <w:tcPr>
                <w:tcW w:w="1582" w:type="pct"/>
                <w:shd w:val="clear" w:color="auto" w:fill="auto"/>
                <w:vAlign w:val="center"/>
              </w:tcPr>
              <w:p>
                <w:pPr>
                  <w:jc w:val="right"/>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fd63677aa394648b423225e51efe77a"/>
                <w:id w:val="-587843089"/>
                <w:lock w:val="sdtLocked"/>
              </w:sdtPr>
              <w:sdtContent>
                <w:tc>
                  <w:tcPr>
                    <w:tcW w:w="1816" w:type="pct"/>
                    <w:shd w:val="clear" w:color="auto" w:fill="auto"/>
                    <w:vAlign w:val="center"/>
                  </w:tcPr>
                  <w:p>
                    <w:r>
                      <w:rPr>
                        <w:rFonts w:hint="eastAsia"/>
                      </w:rPr>
                      <w:t>一年内到期的其他债权投资</w:t>
                    </w:r>
                  </w:p>
                </w:tc>
              </w:sdtContent>
            </w:sdt>
            <w:tc>
              <w:tcPr>
                <w:tcW w:w="1601" w:type="pct"/>
                <w:shd w:val="clear" w:color="auto" w:fill="auto"/>
                <w:vAlign w:val="center"/>
              </w:tcPr>
              <w:p>
                <w:pPr>
                  <w:jc w:val="right"/>
                </w:pPr>
                <w:r>
                  <w:rPr>
                    <w:rFonts w:hint="eastAsia"/>
                  </w:rPr>
                  <w:t>-</w:t>
                </w:r>
              </w:p>
            </w:tc>
            <w:tc>
              <w:tcPr>
                <w:tcW w:w="1582" w:type="pct"/>
                <w:shd w:val="clear" w:color="auto" w:fill="auto"/>
                <w:vAlign w:val="center"/>
              </w:tcPr>
              <w:p>
                <w:pPr>
                  <w:jc w:val="right"/>
                </w:pPr>
                <w:r>
                  <w:rPr>
                    <w:rFonts w:hint="eastAsia"/>
                  </w:rPr>
                  <w:t>-</w:t>
                </w:r>
              </w:p>
            </w:tc>
          </w:tr>
          <w:sdt>
            <w:sdtPr>
              <w:rPr>
                <w:rFonts w:hint="eastAsia"/>
              </w:rPr>
              <w:alias w:val="一年内到期的非流动资产明细"/>
              <w:tag w:val="_GBC_28cb8da7835241e682eaaa567efa24ff"/>
              <w:id w:val="-83098056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一年内到期的长期应收款</w:t>
                    </w:r>
                  </w:p>
                </w:tc>
                <w:tc>
                  <w:tcPr>
                    <w:tcW w:w="1601" w:type="pct"/>
                    <w:shd w:val="clear" w:color="auto" w:fill="auto"/>
                  </w:tcPr>
                  <w:p>
                    <w:pPr>
                      <w:snapToGrid w:val="0"/>
                      <w:jc w:val="right"/>
                    </w:pPr>
                    <w:r>
                      <w:t>62,000,000.00</w:t>
                    </w:r>
                  </w:p>
                </w:tc>
                <w:tc>
                  <w:tcPr>
                    <w:tcW w:w="1582" w:type="pct"/>
                    <w:shd w:val="clear" w:color="auto" w:fill="auto"/>
                  </w:tcPr>
                  <w:p>
                    <w:pPr>
                      <w:snapToGrid w:val="0"/>
                      <w:jc w:val="right"/>
                    </w:pPr>
                    <w:r>
                      <w:t>62,000,000.00</w:t>
                    </w:r>
                  </w:p>
                </w:tc>
              </w:tr>
            </w:sdtContent>
          </w:sdt>
          <w:sdt>
            <w:sdtPr>
              <w:rPr>
                <w:rFonts w:hint="eastAsia"/>
              </w:rPr>
              <w:alias w:val="一年内到期的非流动资产明细"/>
              <w:tag w:val="_GBC_28cb8da7835241e682eaaa567efa24ff"/>
              <w:id w:val="107292988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p>
                </w:tc>
                <w:tc>
                  <w:tcPr>
                    <w:tcW w:w="1601" w:type="pct"/>
                    <w:shd w:val="clear" w:color="auto" w:fill="auto"/>
                  </w:tcPr>
                  <w:p>
                    <w:pPr>
                      <w:snapToGrid w:val="0"/>
                      <w:jc w:val="right"/>
                    </w:pPr>
                  </w:p>
                </w:tc>
                <w:tc>
                  <w:tcPr>
                    <w:tcW w:w="1582" w:type="pct"/>
                    <w:shd w:val="clear" w:color="auto" w:fill="auto"/>
                  </w:tcPr>
                  <w:p>
                    <w:pPr>
                      <w:snapToGrid w:val="0"/>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87fc28d4c564bc397743399f82b936a"/>
                <w:id w:val="1659961569"/>
                <w:lock w:val="sdtLocked"/>
              </w:sdtPr>
              <w:sdtContent>
                <w:tc>
                  <w:tcPr>
                    <w:tcW w:w="1816" w:type="pct"/>
                    <w:shd w:val="clear" w:color="auto" w:fill="auto"/>
                    <w:vAlign w:val="bottom"/>
                  </w:tcPr>
                  <w:p>
                    <w:pPr>
                      <w:snapToGrid w:val="0"/>
                      <w:ind w:left="-107" w:leftChars="-51"/>
                      <w:jc w:val="center"/>
                    </w:pPr>
                    <w:r>
                      <w:rPr>
                        <w:rFonts w:hint="eastAsia"/>
                      </w:rPr>
                      <w:t>合计</w:t>
                    </w:r>
                  </w:p>
                </w:tc>
              </w:sdtContent>
            </w:sdt>
            <w:tc>
              <w:tcPr>
                <w:tcW w:w="1601" w:type="pct"/>
                <w:shd w:val="clear" w:color="auto" w:fill="auto"/>
              </w:tcPr>
              <w:p>
                <w:pPr>
                  <w:snapToGrid w:val="0"/>
                  <w:jc w:val="right"/>
                </w:pPr>
                <w:r>
                  <w:t>62,000,000.00</w:t>
                </w:r>
              </w:p>
            </w:tc>
            <w:tc>
              <w:tcPr>
                <w:tcW w:w="1582" w:type="pct"/>
                <w:shd w:val="clear" w:color="auto" w:fill="auto"/>
              </w:tcPr>
              <w:p>
                <w:pPr>
                  <w:snapToGrid w:val="0"/>
                  <w:jc w:val="right"/>
                </w:pPr>
                <w:r>
                  <w:t>62,000,000.00</w:t>
                </w:r>
              </w:p>
            </w:tc>
          </w:tr>
        </w:tbl>
        <w:p>
          <w:pPr>
            <w:ind w:right="210"/>
          </w:pPr>
        </w:p>
        <w:p>
          <w:pPr>
            <w:ind w:right="210"/>
          </w:pPr>
          <w:r>
            <w:rPr>
              <w:rFonts w:hint="eastAsia"/>
            </w:rPr>
            <w:t>期末重要的债权投资和其他债权投资：</w:t>
          </w:r>
        </w:p>
        <w:sdt>
          <w:sdtPr>
            <w:alias w:val="是否适用：一年内到期的非流动资产中重要的债权投资[双击切换]"/>
            <w:tag w:val="_GBC_48bf54d20bb74c9aaa661a2407efce08"/>
            <w:id w:val="-253371075"/>
            <w:lock w:val="sdtLocked"/>
          </w:sdtPr>
          <w:sdtContent>
            <w:p>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210"/>
          </w:pPr>
          <w:r>
            <w:rPr>
              <w:rFonts w:hint="eastAsia"/>
            </w:rPr>
            <w:t>其他说明：</w:t>
          </w:r>
        </w:p>
        <w:sdt>
          <w:sdtPr>
            <w:alias w:val="一年内到期的非流动资产其他说明"/>
            <w:tag w:val="_GBC_b46cca262d82450dafd7a3161c7d790e"/>
            <w:id w:val="-725675051"/>
            <w:lock w:val="sdtLocked"/>
          </w:sdtPr>
          <w:sdtContent>
            <w:p>
              <w:pPr>
                <w:ind w:right="210"/>
              </w:pPr>
              <w:r>
                <w:rPr>
                  <w:rFonts w:hint="eastAsia"/>
                </w:rPr>
                <w:t>不适用</w:t>
              </w:r>
            </w:p>
          </w:sdtContent>
        </w:sdt>
        <w:p>
          <w:pPr>
            <w:ind w:right="210"/>
          </w:pPr>
        </w:p>
      </w:sdtContent>
    </w:sdt>
    <w:bookmarkEnd w:id="166"/>
    <w:p>
      <w:pPr>
        <w:ind w:right="210"/>
      </w:pPr>
    </w:p>
    <w:sdt>
      <w:sdtPr>
        <w:rPr>
          <w:rFonts w:hint="eastAsia" w:ascii="宋体" w:hAnsi="宋体" w:cs="宋体"/>
          <w:b w:val="0"/>
          <w:bCs w:val="0"/>
          <w:kern w:val="0"/>
          <w:szCs w:val="24"/>
        </w:rPr>
        <w:alias w:val="模块:其他流动资产"/>
        <w:tag w:val="_GBC_e29fd29bee934fc3ab8325cf3625b905"/>
        <w:id w:val="793634323"/>
        <w:lock w:val="sdtLocked"/>
        <w:placeholder>
          <w:docPart w:val="GBC22222222222222222222222222222"/>
        </w:placeholder>
      </w:sdtPr>
      <w:sdtEndPr>
        <w:rPr>
          <w:rFonts w:hint="eastAsia" w:cs="宋体" w:asciiTheme="minorEastAsia" w:hAnsiTheme="minorEastAsia" w:eastAsiaTheme="minorEastAsia"/>
          <w:b w:val="0"/>
          <w:bCs w:val="0"/>
          <w:kern w:val="0"/>
          <w:szCs w:val="21"/>
        </w:rPr>
      </w:sdtEndPr>
      <w:sdtContent>
        <w:p>
          <w:pPr>
            <w:pStyle w:val="4"/>
            <w:numPr>
              <w:ilvl w:val="0"/>
              <w:numId w:val="51"/>
            </w:numPr>
            <w:tabs>
              <w:tab w:val="left" w:pos="504"/>
            </w:tabs>
            <w:rPr>
              <w:rFonts w:ascii="宋体" w:hAnsi="宋体"/>
            </w:rPr>
          </w:pPr>
          <w:bookmarkStart w:id="167" w:name="_Hlk10471163"/>
          <w:r>
            <w:rPr>
              <w:rFonts w:hint="eastAsia" w:ascii="宋体" w:hAnsi="宋体"/>
            </w:rPr>
            <w:t>其他流动资产</w:t>
          </w:r>
        </w:p>
        <w:sdt>
          <w:sdtPr>
            <w:alias w:val="是否适用：其他流动资产[双击切换]"/>
            <w:tag w:val="_GBC_7733d50365e24328b41020152f88028d"/>
            <w:id w:val="101256755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其他流动资产"/>
              <w:tag w:val="_GBC_d0c62fc75d164678ad203d9ddb106538"/>
              <w:id w:val="654572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5690781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7"/>
            <w:gridCol w:w="2917"/>
            <w:gridCol w:w="2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sdt>
              <w:sdtPr>
                <w:tag w:val="_PLD_15bbfc7d41df4300abcae2e424cc6572"/>
                <w:id w:val="780150152"/>
              </w:sdtPr>
              <w:sdtContent>
                <w:tc>
                  <w:tcPr>
                    <w:tcW w:w="1816" w:type="pct"/>
                    <w:shd w:val="clear" w:color="auto" w:fill="auto"/>
                    <w:vAlign w:val="center"/>
                  </w:tcPr>
                  <w:p>
                    <w:pPr>
                      <w:jc w:val="center"/>
                    </w:pPr>
                    <w:r>
                      <w:rPr>
                        <w:rFonts w:hint="eastAsia"/>
                      </w:rPr>
                      <w:t>项目</w:t>
                    </w:r>
                  </w:p>
                </w:tc>
              </w:sdtContent>
            </w:sdt>
            <w:sdt>
              <w:sdtPr>
                <w:tag w:val="_PLD_d2a222194eae4e958db2401139170ea2"/>
                <w:id w:val="854380632"/>
              </w:sdtPr>
              <w:sdtContent>
                <w:tc>
                  <w:tcPr>
                    <w:tcW w:w="1612" w:type="pct"/>
                    <w:shd w:val="clear" w:color="auto" w:fill="auto"/>
                    <w:vAlign w:val="center"/>
                  </w:tcPr>
                  <w:p>
                    <w:pPr>
                      <w:jc w:val="center"/>
                    </w:pPr>
                    <w:r>
                      <w:rPr>
                        <w:rFonts w:hint="eastAsia"/>
                      </w:rPr>
                      <w:t>期末余额</w:t>
                    </w:r>
                  </w:p>
                </w:tc>
              </w:sdtContent>
            </w:sdt>
            <w:sdt>
              <w:sdtPr>
                <w:tag w:val="_PLD_0f3815799e9d4216b9506517d8e9b90c"/>
                <w:id w:val="660966663"/>
              </w:sdtPr>
              <w:sdtContent>
                <w:tc>
                  <w:tcPr>
                    <w:tcW w:w="1572" w:type="pct"/>
                    <w:shd w:val="clear" w:color="auto" w:fill="auto"/>
                    <w:vAlign w:val="center"/>
                  </w:tcPr>
                  <w:p>
                    <w:pPr>
                      <w:jc w:val="center"/>
                    </w:pPr>
                    <w:r>
                      <w:rPr>
                        <w:rFonts w:hint="eastAsia"/>
                      </w:rPr>
                      <w:t>期初余额</w:t>
                    </w:r>
                  </w:p>
                </w:tc>
              </w:sdtContent>
            </w:sdt>
          </w:tr>
          <w:sdt>
            <w:sdtPr>
              <w:rPr>
                <w:rFonts w:hint="eastAsia"/>
              </w:rPr>
              <w:alias w:val="其他流动资产明细"/>
              <w:tag w:val="_TUP_0bae324e6bd3444492796087e454ca12"/>
              <w:id w:val="-1630164581"/>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应收保理款</w:t>
                    </w:r>
                  </w:p>
                </w:tc>
                <w:tc>
                  <w:tcPr>
                    <w:tcW w:w="1612" w:type="pct"/>
                    <w:shd w:val="clear" w:color="auto" w:fill="auto"/>
                  </w:tcPr>
                  <w:p>
                    <w:pPr>
                      <w:snapToGrid w:val="0"/>
                      <w:jc w:val="right"/>
                    </w:pPr>
                    <w:r>
                      <w:t>891,833,730.22</w:t>
                    </w:r>
                  </w:p>
                </w:tc>
                <w:tc>
                  <w:tcPr>
                    <w:tcW w:w="1572" w:type="pct"/>
                    <w:shd w:val="clear" w:color="auto" w:fill="auto"/>
                  </w:tcPr>
                  <w:p>
                    <w:pPr>
                      <w:snapToGrid w:val="0"/>
                      <w:jc w:val="right"/>
                    </w:pPr>
                    <w:r>
                      <w:t>973,773,182.66</w:t>
                    </w:r>
                  </w:p>
                </w:tc>
              </w:tr>
            </w:sdtContent>
          </w:sdt>
          <w:sdt>
            <w:sdtPr>
              <w:rPr>
                <w:rFonts w:hint="eastAsia"/>
              </w:rPr>
              <w:alias w:val="其他流动资产明细"/>
              <w:tag w:val="_TUP_0bae324e6bd3444492796087e454ca12"/>
              <w:id w:val="-280488186"/>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待抵扣进项税</w:t>
                    </w:r>
                  </w:p>
                </w:tc>
                <w:tc>
                  <w:tcPr>
                    <w:tcW w:w="1612" w:type="pct"/>
                    <w:shd w:val="clear" w:color="auto" w:fill="auto"/>
                  </w:tcPr>
                  <w:p>
                    <w:pPr>
                      <w:snapToGrid w:val="0"/>
                      <w:jc w:val="right"/>
                    </w:pPr>
                    <w:r>
                      <w:t>4,229,964.01</w:t>
                    </w:r>
                  </w:p>
                </w:tc>
                <w:tc>
                  <w:tcPr>
                    <w:tcW w:w="1572" w:type="pct"/>
                    <w:shd w:val="clear" w:color="auto" w:fill="auto"/>
                  </w:tcPr>
                  <w:p>
                    <w:pPr>
                      <w:snapToGrid w:val="0"/>
                      <w:jc w:val="right"/>
                    </w:pPr>
                    <w:r>
                      <w:t>4,875,858.47</w:t>
                    </w:r>
                  </w:p>
                </w:tc>
              </w:tr>
            </w:sdtContent>
          </w:sdt>
          <w:sdt>
            <w:sdtPr>
              <w:rPr>
                <w:rFonts w:hint="eastAsia"/>
              </w:rPr>
              <w:alias w:val="其他流动资产明细"/>
              <w:tag w:val="_TUP_0bae324e6bd3444492796087e454ca12"/>
              <w:id w:val="2104140672"/>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预缴企业所得税</w:t>
                    </w:r>
                  </w:p>
                </w:tc>
                <w:tc>
                  <w:tcPr>
                    <w:tcW w:w="1612" w:type="pct"/>
                    <w:shd w:val="clear" w:color="auto" w:fill="auto"/>
                  </w:tcPr>
                  <w:p>
                    <w:pPr>
                      <w:snapToGrid w:val="0"/>
                      <w:jc w:val="right"/>
                    </w:pPr>
                    <w:r>
                      <w:t>75,969,628.07</w:t>
                    </w:r>
                  </w:p>
                </w:tc>
                <w:tc>
                  <w:tcPr>
                    <w:tcW w:w="1572" w:type="pct"/>
                    <w:shd w:val="clear" w:color="auto" w:fill="auto"/>
                  </w:tcPr>
                  <w:p>
                    <w:pPr>
                      <w:snapToGrid w:val="0"/>
                      <w:jc w:val="right"/>
                    </w:pPr>
                    <w:r>
                      <w:t>101,375,057.01</w:t>
                    </w:r>
                  </w:p>
                </w:tc>
              </w:tr>
            </w:sdtContent>
          </w:sdt>
          <w:sdt>
            <w:sdtPr>
              <w:rPr>
                <w:rFonts w:hint="eastAsia"/>
              </w:rPr>
              <w:alias w:val="其他流动资产明细"/>
              <w:tag w:val="_TUP_0bae324e6bd3444492796087e454ca12"/>
              <w:id w:val="-790982223"/>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预缴房地产预售相关税金及附加</w:t>
                    </w:r>
                  </w:p>
                </w:tc>
                <w:tc>
                  <w:tcPr>
                    <w:tcW w:w="1612" w:type="pct"/>
                    <w:shd w:val="clear" w:color="auto" w:fill="auto"/>
                  </w:tcPr>
                  <w:p>
                    <w:pPr>
                      <w:snapToGrid w:val="0"/>
                      <w:jc w:val="right"/>
                    </w:pPr>
                    <w:r>
                      <w:t>55,242,440.67</w:t>
                    </w:r>
                  </w:p>
                </w:tc>
                <w:tc>
                  <w:tcPr>
                    <w:tcW w:w="1572" w:type="pct"/>
                    <w:shd w:val="clear" w:color="auto" w:fill="auto"/>
                  </w:tcPr>
                  <w:p>
                    <w:pPr>
                      <w:snapToGrid w:val="0"/>
                      <w:jc w:val="right"/>
                    </w:pPr>
                    <w:r>
                      <w:t>51,953,777.70</w:t>
                    </w:r>
                  </w:p>
                </w:tc>
              </w:tr>
            </w:sdtContent>
          </w:sdt>
          <w:sdt>
            <w:sdtPr>
              <w:rPr>
                <w:rFonts w:hint="eastAsia"/>
              </w:rPr>
              <w:alias w:val="其他流动资产明细"/>
              <w:tag w:val="_TUP_0bae324e6bd3444492796087e454ca12"/>
              <w:id w:val="-1883010301"/>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pct"/>
                    <w:shd w:val="clear" w:color="auto" w:fill="auto"/>
                  </w:tcPr>
                  <w:p>
                    <w:pPr>
                      <w:snapToGrid w:val="0"/>
                      <w:ind w:left="-107" w:leftChars="-51"/>
                    </w:pPr>
                    <w:r>
                      <w:rPr>
                        <w:rFonts w:hint="eastAsia"/>
                      </w:rPr>
                      <w:t>其他</w:t>
                    </w:r>
                  </w:p>
                </w:tc>
                <w:tc>
                  <w:tcPr>
                    <w:tcW w:w="1612" w:type="pct"/>
                    <w:shd w:val="clear" w:color="auto" w:fill="auto"/>
                  </w:tcPr>
                  <w:p>
                    <w:pPr>
                      <w:snapToGrid w:val="0"/>
                      <w:jc w:val="right"/>
                    </w:pPr>
                    <w:r>
                      <w:t>97,009.25</w:t>
                    </w:r>
                  </w:p>
                </w:tc>
                <w:tc>
                  <w:tcPr>
                    <w:tcW w:w="1572" w:type="pct"/>
                    <w:shd w:val="clear" w:color="auto" w:fill="auto"/>
                  </w:tcPr>
                  <w:p>
                    <w:pPr>
                      <w:snapToGrid w:val="0"/>
                      <w:jc w:val="right"/>
                    </w:pPr>
                    <w:r>
                      <w:t>141,037.42</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6c346d1d68d4f27847794dad182ef24"/>
                <w:id w:val="1062984592"/>
                <w:lock w:val="sdtLocked"/>
              </w:sdtPr>
              <w:sdtContent>
                <w:tc>
                  <w:tcPr>
                    <w:tcW w:w="1816" w:type="pct"/>
                    <w:shd w:val="clear" w:color="auto" w:fill="auto"/>
                    <w:vAlign w:val="center"/>
                  </w:tcPr>
                  <w:p>
                    <w:pPr>
                      <w:snapToGrid w:val="0"/>
                      <w:ind w:left="-107" w:leftChars="-51"/>
                    </w:pPr>
                    <w:r>
                      <w:rPr>
                        <w:rFonts w:hint="eastAsia"/>
                      </w:rPr>
                      <w:t>合计</w:t>
                    </w:r>
                  </w:p>
                </w:tc>
              </w:sdtContent>
            </w:sdt>
            <w:tc>
              <w:tcPr>
                <w:tcW w:w="1612" w:type="pct"/>
                <w:shd w:val="clear" w:color="auto" w:fill="auto"/>
              </w:tcPr>
              <w:p>
                <w:pPr>
                  <w:snapToGrid w:val="0"/>
                  <w:jc w:val="right"/>
                </w:pPr>
                <w:r>
                  <w:t>1,027,372,772.22</w:t>
                </w:r>
              </w:p>
            </w:tc>
            <w:tc>
              <w:tcPr>
                <w:tcW w:w="1572" w:type="pct"/>
                <w:shd w:val="clear" w:color="auto" w:fill="auto"/>
              </w:tcPr>
              <w:p>
                <w:pPr>
                  <w:snapToGrid w:val="0"/>
                  <w:jc w:val="right"/>
                </w:pPr>
                <w:r>
                  <w:t>1,132,118,913.26</w:t>
                </w:r>
              </w:p>
            </w:tc>
          </w:tr>
        </w:tbl>
        <w:p>
          <w:pPr>
            <w:pStyle w:val="114"/>
          </w:pPr>
          <w:r>
            <w:rPr>
              <w:rFonts w:hint="eastAsia"/>
            </w:rPr>
            <w:t>其他说明：</w:t>
          </w:r>
        </w:p>
        <w:sdt>
          <w:sdtPr>
            <w:rPr>
              <w:rFonts w:hint="eastAsia" w:asciiTheme="minorEastAsia" w:hAnsiTheme="minorEastAsia" w:eastAsiaTheme="minorEastAsia"/>
            </w:rPr>
            <w:alias w:val="其他流动资产说明"/>
            <w:tag w:val="_GBC_7955e529151148f394eed0e26977270b"/>
            <w:id w:val="-1726205842"/>
            <w:lock w:val="sdtLocked"/>
            <w:placeholder>
              <w:docPart w:val="GBC22222222222222222222222222222"/>
            </w:placeholder>
          </w:sdtPr>
          <w:sdtEndPr>
            <w:rPr>
              <w:rFonts w:hint="eastAsia" w:asciiTheme="minorEastAsia" w:hAnsiTheme="minorEastAsia" w:eastAsiaTheme="minorEastAsia"/>
            </w:rPr>
          </w:sdtEndPr>
          <w:sdtContent>
            <w:p>
              <w:pPr>
                <w:overflowPunct w:val="0"/>
                <w:adjustRightInd w:val="0"/>
                <w:snapToGrid w:val="0"/>
                <w:ind w:left="142" w:hanging="993"/>
                <w:textAlignment w:val="baseline"/>
                <w:rPr>
                  <w:rFonts w:cs="Arial"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rPr>
                <w:t xml:space="preserve">           </w:t>
              </w:r>
              <w:r>
                <w:rPr>
                  <w:rFonts w:hint="eastAsia" w:cs="Arial" w:asciiTheme="minorEastAsia" w:hAnsiTheme="minorEastAsia" w:eastAsiaTheme="minorEastAsia"/>
                  <w:color w:val="000000" w:themeColor="text1"/>
                  <w14:textFill>
                    <w14:solidFill>
                      <w14:schemeClr w14:val="tx1"/>
                    </w14:solidFill>
                  </w14:textFill>
                </w:rPr>
                <w:t>于</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日，应收保理款为本集团的子公司宁沪商业保理（广州）有限公司（以下简称“宁沪保理公司”）保理业务产生，应收保理款实际年利率为</w:t>
              </w:r>
              <w:r>
                <w:rPr>
                  <w:rFonts w:cs="Arial" w:asciiTheme="minorEastAsia" w:hAnsiTheme="minorEastAsia" w:eastAsiaTheme="minorEastAsia"/>
                  <w:color w:val="000000" w:themeColor="text1"/>
                  <w14:textFill>
                    <w14:solidFill>
                      <w14:schemeClr w14:val="tx1"/>
                    </w14:solidFill>
                  </w14:textFill>
                </w:rPr>
                <w:t>6.00% - 8.20%</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31</w:t>
              </w:r>
              <w:r>
                <w:rPr>
                  <w:rFonts w:hint="eastAsia" w:cs="Arial" w:asciiTheme="minorEastAsia" w:hAnsiTheme="minorEastAsia" w:eastAsiaTheme="minorEastAsia"/>
                  <w:color w:val="000000" w:themeColor="text1"/>
                  <w14:textFill>
                    <w14:solidFill>
                      <w14:schemeClr w14:val="tx1"/>
                    </w14:solidFill>
                  </w14:textFill>
                </w:rPr>
                <w:t>日：</w:t>
              </w:r>
              <w:r>
                <w:rPr>
                  <w:rFonts w:cs="Arial" w:asciiTheme="minorEastAsia" w:hAnsiTheme="minorEastAsia" w:eastAsiaTheme="minorEastAsia"/>
                  <w:color w:val="000000" w:themeColor="text1"/>
                  <w14:textFill>
                    <w14:solidFill>
                      <w14:schemeClr w14:val="tx1"/>
                    </w14:solidFill>
                  </w14:textFill>
                </w:rPr>
                <w:t>6.00% - 7.80%</w:t>
              </w:r>
              <w:r>
                <w:rPr>
                  <w:rFonts w:hint="eastAsia" w:cs="Arial" w:asciiTheme="minorEastAsia" w:hAnsiTheme="minorEastAsia" w:eastAsiaTheme="minorEastAsia"/>
                  <w:color w:val="000000" w:themeColor="text1"/>
                  <w14:textFill>
                    <w14:solidFill>
                      <w14:schemeClr w14:val="tx1"/>
                    </w14:solidFill>
                  </w14:textFill>
                </w:rPr>
                <w:t>）。于</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日，本集团无账龄超过</w:t>
              </w:r>
              <w:r>
                <w:rPr>
                  <w:rFonts w:cs="Arial" w:asciiTheme="minorEastAsia" w:hAnsiTheme="minorEastAsia" w:eastAsiaTheme="minorEastAsia"/>
                  <w:color w:val="000000" w:themeColor="text1"/>
                  <w14:textFill>
                    <w14:solidFill>
                      <w14:schemeClr w14:val="tx1"/>
                    </w14:solidFill>
                  </w14:textFill>
                </w:rPr>
                <w:t>1</w:t>
              </w:r>
              <w:r>
                <w:rPr>
                  <w:rFonts w:hint="eastAsia" w:cs="Arial" w:asciiTheme="minorEastAsia" w:hAnsiTheme="minorEastAsia" w:eastAsiaTheme="minorEastAsia"/>
                  <w:color w:val="000000" w:themeColor="text1"/>
                  <w14:textFill>
                    <w14:solidFill>
                      <w14:schemeClr w14:val="tx1"/>
                    </w14:solidFill>
                  </w14:textFill>
                </w:rPr>
                <w:t>年的重要应收保理款（</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31</w:t>
              </w:r>
              <w:r>
                <w:rPr>
                  <w:rFonts w:hint="eastAsia" w:cs="Arial" w:asciiTheme="minorEastAsia" w:hAnsiTheme="minorEastAsia" w:eastAsiaTheme="minorEastAsia"/>
                  <w:color w:val="000000" w:themeColor="text1"/>
                  <w14:textFill>
                    <w14:solidFill>
                      <w14:schemeClr w14:val="tx1"/>
                    </w14:solidFill>
                  </w14:textFill>
                </w:rPr>
                <w:t>日：无）。</w:t>
              </w:r>
            </w:p>
          </w:sdtContent>
        </w:sdt>
      </w:sdtContent>
    </w:sdt>
    <w:bookmarkEnd w:id="167"/>
    <w:p>
      <w:pPr>
        <w:ind w:right="210"/>
      </w:pPr>
    </w:p>
    <w:sdt>
      <w:sdtPr>
        <w:rPr>
          <w:rFonts w:hint="eastAsia" w:ascii="宋体" w:hAnsi="宋体" w:cs="宋体"/>
          <w:b w:val="0"/>
          <w:bCs w:val="0"/>
          <w:kern w:val="0"/>
          <w:szCs w:val="24"/>
        </w:rPr>
        <w:alias w:val="模块:债权投资债权投资情况"/>
        <w:tag w:val="_SEC_949cb4eb7a744418a5a5c6266b7029c9"/>
        <w:id w:val="117118501"/>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rPr>
          </w:pPr>
          <w:bookmarkStart w:id="168" w:name="_Hlk10471390"/>
          <w:r>
            <w:rPr>
              <w:rFonts w:hint="eastAsia" w:ascii="宋体" w:hAnsi="宋体"/>
            </w:rPr>
            <w:t>债权投资</w:t>
          </w:r>
        </w:p>
        <w:p>
          <w:pPr>
            <w:pStyle w:val="118"/>
            <w:numPr>
              <w:ilvl w:val="3"/>
              <w:numId w:val="59"/>
            </w:numPr>
            <w:ind w:left="426" w:hanging="426"/>
            <w:rPr>
              <w:rFonts w:ascii="宋体" w:hAnsi="宋体"/>
            </w:rPr>
          </w:pPr>
          <w:r>
            <w:rPr>
              <w:rFonts w:hint="eastAsia" w:ascii="宋体" w:hAnsi="宋体"/>
            </w:rPr>
            <w:t>债权投资情况</w:t>
          </w:r>
        </w:p>
        <w:sdt>
          <w:sdtPr>
            <w:alias w:val="是否适用：以摊余成本计量的长期债权投资[双击切换]"/>
            <w:tag w:val="_GBC_22cb0188d98c4d37a97e0c6a9e34e10d"/>
            <w:id w:val="-55223768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8"/>
    <w:sdt>
      <w:sdtPr>
        <w:rPr>
          <w:rFonts w:hint="eastAsia" w:ascii="宋体" w:hAnsi="宋体" w:cs="宋体"/>
          <w:b w:val="0"/>
          <w:bCs w:val="0"/>
          <w:kern w:val="0"/>
          <w:szCs w:val="24"/>
        </w:rPr>
        <w:alias w:val="模块:期末重要的债权投资"/>
        <w:tag w:val="_SEC_b1d789cc522341caa1c75b1a7b84351c"/>
        <w:id w:val="1621871344"/>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9"/>
            </w:numPr>
            <w:ind w:left="426" w:hanging="426"/>
            <w:rPr>
              <w:rFonts w:ascii="宋体" w:hAnsi="宋体"/>
            </w:rPr>
          </w:pPr>
          <w:bookmarkStart w:id="169" w:name="_Hlk10471440"/>
          <w:bookmarkStart w:id="170" w:name="_Hlk10471450"/>
          <w:r>
            <w:rPr>
              <w:rFonts w:hint="eastAsia" w:ascii="宋体" w:hAnsi="宋体"/>
            </w:rPr>
            <w:t>期末重要的债权投资</w:t>
          </w:r>
          <w:bookmarkEnd w:id="169"/>
        </w:p>
        <w:sdt>
          <w:sdtPr>
            <w:alias w:val="是否适用：重要的债权投资[双击切换]"/>
            <w:tag w:val="_GBC_0ff84ccc1d234704b93c4e33c0d575ce"/>
            <w:id w:val="-56803675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0"/>
    <w:sdt>
      <w:sdtPr>
        <w:rPr>
          <w:rFonts w:hint="eastAsia" w:ascii="宋体" w:hAnsi="宋体" w:cs="宋体"/>
          <w:b w:val="0"/>
          <w:bCs w:val="0"/>
          <w:kern w:val="0"/>
          <w:szCs w:val="24"/>
        </w:rPr>
        <w:alias w:val="模块:减值准备计提情况"/>
        <w:tag w:val="_SEC_bff86b17d4774a4a9f8a3329635b5429"/>
        <w:id w:val="-98924598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59"/>
            </w:numPr>
            <w:ind w:left="426" w:hanging="426"/>
            <w:rPr>
              <w:rFonts w:ascii="宋体" w:hAnsi="宋体"/>
            </w:rPr>
          </w:pPr>
          <w:bookmarkStart w:id="171" w:name="_Hlk10471472"/>
          <w:bookmarkStart w:id="172" w:name="_Hlk10471485"/>
          <w:r>
            <w:rPr>
              <w:rFonts w:hint="eastAsia" w:ascii="宋体" w:hAnsi="宋体" w:cs="宋体"/>
              <w:kern w:val="0"/>
              <w:szCs w:val="24"/>
            </w:rPr>
            <w:t>减值准备计提情况</w:t>
          </w:r>
          <w:bookmarkEnd w:id="171"/>
        </w:p>
        <w:sdt>
          <w:sdtPr>
            <w:alias w:val="是否适用：债权投资减值准备调节表[双击切换]"/>
            <w:tag w:val="_GBC_415a5cd43ad14136b13ac09b150da06f"/>
            <w:id w:val="-8369178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210"/>
          </w:pPr>
        </w:p>
        <w:p>
          <w:pPr>
            <w:ind w:right="210"/>
          </w:pPr>
        </w:p>
      </w:sdtContent>
    </w:sdt>
    <w:bookmarkEnd w:id="172"/>
    <w:sdt>
      <w:sdtPr>
        <w:rPr>
          <w:rFonts w:hint="eastAsia" w:ascii="宋体" w:hAnsi="宋体" w:cs="宋体"/>
          <w:b w:val="0"/>
          <w:bCs w:val="0"/>
          <w:kern w:val="0"/>
          <w:szCs w:val="21"/>
        </w:rPr>
        <w:alias w:val="模块:其他债权投资"/>
        <w:tag w:val="_SEC_1af1e8e9eab94f10811b4e7aa91aa24d"/>
        <w:id w:val="-1747633922"/>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173" w:name="_Hlk10471652"/>
          <w:r>
            <w:rPr>
              <w:rFonts w:hint="eastAsia" w:ascii="宋体" w:hAnsi="宋体"/>
              <w:szCs w:val="21"/>
            </w:rPr>
            <w:t>其他债权投资</w:t>
          </w:r>
        </w:p>
        <w:p>
          <w:pPr>
            <w:pStyle w:val="118"/>
            <w:numPr>
              <w:ilvl w:val="3"/>
              <w:numId w:val="60"/>
            </w:numPr>
            <w:ind w:left="426" w:hanging="426"/>
            <w:rPr>
              <w:rFonts w:ascii="宋体" w:hAnsi="宋体"/>
            </w:rPr>
          </w:pPr>
          <w:r>
            <w:rPr>
              <w:rFonts w:hint="eastAsia" w:ascii="宋体" w:hAnsi="宋体"/>
            </w:rPr>
            <w:t>其他债权投资情况</w:t>
          </w:r>
        </w:p>
        <w:sdt>
          <w:sdtPr>
            <w:alias w:val="是否适用：其他债权投资情况[双击切换]"/>
            <w:tag w:val="_GBC_a2d99fd3a665497694c6ad6801c54a4f"/>
            <w:id w:val="161360644"/>
            <w:lock w:val="sdtLocked"/>
            <w:placeholder>
              <w:docPart w:val="GBC22222222222222222222222222222"/>
            </w:placeholder>
          </w:sdtPr>
          <w:sdtContent>
            <w:p>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3"/>
    <w:sdt>
      <w:sdtPr>
        <w:rPr>
          <w:rFonts w:hint="eastAsia" w:ascii="宋体" w:hAnsi="宋体" w:cs="宋体"/>
          <w:b w:val="0"/>
          <w:bCs w:val="0"/>
          <w:kern w:val="0"/>
          <w:szCs w:val="24"/>
        </w:rPr>
        <w:alias w:val="模块:期末重要的其他债权投资"/>
        <w:tag w:val="_SEC_052112d020944ec8b923dd106b2a0cbf"/>
        <w:id w:val="-140969509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60"/>
            </w:numPr>
            <w:ind w:left="426" w:hanging="426"/>
            <w:rPr>
              <w:rFonts w:ascii="宋体" w:hAnsi="宋体"/>
            </w:rPr>
          </w:pPr>
          <w:bookmarkStart w:id="174" w:name="_Hlk10471670"/>
          <w:bookmarkStart w:id="175" w:name="_Hlk10471680"/>
          <w:r>
            <w:rPr>
              <w:rFonts w:hint="eastAsia" w:ascii="宋体" w:hAnsi="宋体"/>
            </w:rPr>
            <w:t>期末重要的其他债权投资</w:t>
          </w:r>
          <w:bookmarkEnd w:id="174"/>
        </w:p>
        <w:sdt>
          <w:sdtPr>
            <w:alias w:val="是否适用：重要的其他债权投资[双击切换]"/>
            <w:tag w:val="_GBC_e8808db892544b1ead740cddc4156455"/>
            <w:id w:val="-62563055"/>
            <w:lock w:val="sdtLocked"/>
            <w:placeholder>
              <w:docPart w:val="GBC22222222222222222222222222222"/>
            </w:placeholder>
          </w:sdtPr>
          <w:sdtContent>
            <w:p>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5"/>
    <w:sdt>
      <w:sdtPr>
        <w:rPr>
          <w:rFonts w:hint="eastAsia" w:ascii="宋体" w:hAnsi="宋体" w:cs="宋体"/>
          <w:b w:val="0"/>
          <w:bCs w:val="0"/>
          <w:kern w:val="0"/>
          <w:szCs w:val="24"/>
        </w:rPr>
        <w:alias w:val="模块:减值准备计提情况"/>
        <w:tag w:val="_SEC_a18c2d8250c64daf904816a57fe286bd"/>
        <w:id w:val="-17565356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60"/>
            </w:numPr>
            <w:ind w:left="426" w:hanging="426"/>
            <w:rPr>
              <w:rFonts w:ascii="宋体" w:hAnsi="宋体"/>
            </w:rPr>
          </w:pPr>
          <w:bookmarkStart w:id="176" w:name="_Hlk10471703"/>
          <w:bookmarkStart w:id="177" w:name="_Hlk10471716"/>
          <w:bookmarkStart w:id="178" w:name="_Hlk533848073"/>
          <w:r>
            <w:rPr>
              <w:rFonts w:hint="eastAsia" w:ascii="宋体" w:hAnsi="宋体" w:cs="宋体"/>
              <w:kern w:val="0"/>
              <w:szCs w:val="24"/>
            </w:rPr>
            <w:t>减值准备计提情况</w:t>
          </w:r>
          <w:bookmarkEnd w:id="176"/>
        </w:p>
        <w:sdt>
          <w:sdtPr>
            <w:alias w:val="是否适用：其他债权投资减值准备调节表[双击切换]"/>
            <w:tag w:val="_GBC_038e4a0a4815442e91a9309c128001c1"/>
            <w:id w:val="5134984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210"/>
          </w:pPr>
        </w:p>
        <w:p>
          <w:pPr>
            <w:pStyle w:val="114"/>
          </w:pPr>
        </w:p>
      </w:sdtContent>
    </w:sdt>
    <w:bookmarkEnd w:id="177"/>
    <w:bookmarkEnd w:id="178"/>
    <w:sdt>
      <w:sdtPr>
        <w:rPr>
          <w:rFonts w:hint="eastAsia"/>
        </w:rPr>
        <w:alias w:val="模块:其他说明："/>
        <w:tag w:val="_SEC_a6d7d62dd24747a08e0a132cf37e100c"/>
        <w:id w:val="-868447928"/>
        <w:lock w:val="sdtLocked"/>
        <w:placeholder>
          <w:docPart w:val="GBC22222222222222222222222222222"/>
        </w:placeholder>
      </w:sdtPr>
      <w:sdtEndPr>
        <w:rPr>
          <w:rFonts w:hint="default"/>
        </w:rPr>
      </w:sdtEndPr>
      <w:sdtContent>
        <w:p>
          <w:pPr>
            <w:pStyle w:val="114"/>
          </w:pPr>
          <w:bookmarkStart w:id="179" w:name="_Hlk533848097"/>
          <w:bookmarkStart w:id="180" w:name="_Hlk10471761"/>
          <w:r>
            <w:rPr>
              <w:rFonts w:hint="eastAsia"/>
            </w:rPr>
            <w:t>其他说明：</w:t>
          </w:r>
          <w:bookmarkEnd w:id="179"/>
        </w:p>
        <w:sdt>
          <w:sdtPr>
            <w:alias w:val="是否适用：其他债权投资其他说明[双击切换]"/>
            <w:tag w:val="_GBC_e37f3e78626b4cd0ad52d68ae2fcdecb"/>
            <w:id w:val="-93112176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0"/>
    <w:p>
      <w:pPr>
        <w:pStyle w:val="114"/>
      </w:pPr>
    </w:p>
    <w:p>
      <w:pPr>
        <w:pStyle w:val="4"/>
        <w:numPr>
          <w:ilvl w:val="0"/>
          <w:numId w:val="51"/>
        </w:numPr>
        <w:tabs>
          <w:tab w:val="left" w:pos="504"/>
        </w:tabs>
        <w:rPr>
          <w:rFonts w:ascii="宋体" w:hAnsi="宋体"/>
          <w:szCs w:val="21"/>
        </w:rPr>
      </w:pPr>
      <w:r>
        <w:rPr>
          <w:rFonts w:hint="eastAsia" w:ascii="宋体" w:hAnsi="宋体"/>
          <w:szCs w:val="21"/>
        </w:rPr>
        <w:t>长期应收款</w:t>
      </w:r>
    </w:p>
    <w:sdt>
      <w:sdtPr>
        <w:rPr>
          <w:rFonts w:hint="eastAsia" w:ascii="宋体" w:hAnsi="宋体" w:cs="宋体"/>
          <w:b w:val="0"/>
          <w:bCs w:val="0"/>
          <w:kern w:val="0"/>
          <w:szCs w:val="24"/>
        </w:rPr>
        <w:alias w:val="模块:长期应收款"/>
        <w:tag w:val="_GBC_2642a454002a499399e1b643b91ef1ad"/>
        <w:id w:val="-411153796"/>
        <w:lock w:val="sdtLocked"/>
        <w:placeholder>
          <w:docPart w:val="GBC22222222222222222222222222222"/>
        </w:placeholder>
      </w:sdtPr>
      <w:sdtEndPr>
        <w:rPr>
          <w:rFonts w:hint="default" w:ascii="Cambria" w:hAnsi="Cambria" w:cs="Times New Roman"/>
          <w:b/>
          <w:bCs/>
          <w:color w:val="FF0000"/>
          <w:kern w:val="2"/>
          <w:szCs w:val="28"/>
        </w:rPr>
      </w:sdtEndPr>
      <w:sdtContent>
        <w:p>
          <w:pPr>
            <w:pStyle w:val="5"/>
            <w:numPr>
              <w:ilvl w:val="0"/>
              <w:numId w:val="61"/>
            </w:numPr>
            <w:rPr>
              <w:rFonts w:ascii="宋体" w:hAnsi="宋体"/>
            </w:rPr>
          </w:pPr>
          <w:r>
            <w:rPr>
              <w:rFonts w:hint="eastAsia" w:ascii="宋体" w:hAnsi="宋体"/>
            </w:rPr>
            <w:t>长期应收款情况</w:t>
          </w:r>
        </w:p>
        <w:sdt>
          <w:sdtPr>
            <w:alias w:val="是否适用：长期应收款情况[双击切换]"/>
            <w:tag w:val="_GBC_03ba5a75d6d541f4a60fba2b18c9d548"/>
            <w:id w:val="-513139687"/>
            <w:lock w:val="sdtLocked"/>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长期应收款"/>
              <w:tag w:val="_GBC_95baf3ea634a4a60970b09906c240d55"/>
              <w:id w:val="1251853963"/>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长期应收款"/>
              <w:tag w:val="_GBC_fe21d7e81e5548d09e30637bd81155e1"/>
              <w:id w:val="87103569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1571"/>
            <w:gridCol w:w="367"/>
            <w:gridCol w:w="1571"/>
            <w:gridCol w:w="1571"/>
            <w:gridCol w:w="367"/>
            <w:gridCol w:w="1573"/>
            <w:gridCol w:w="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8e80648375054a09a15bfc6f9a7fb093"/>
                <w:id w:val="881126977"/>
                <w:lock w:val="sdtLocked"/>
              </w:sdtPr>
              <w:sdtEndPr>
                <w:rPr>
                  <w:sz w:val="18"/>
                  <w:szCs w:val="18"/>
                </w:rPr>
              </w:sdtEndPr>
              <w:sdtContent>
                <w:tc>
                  <w:tcPr>
                    <w:tcW w:w="788"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项目</w:t>
                    </w:r>
                  </w:p>
                </w:tc>
              </w:sdtContent>
            </w:sdt>
            <w:sdt>
              <w:sdtPr>
                <w:rPr>
                  <w:sz w:val="18"/>
                  <w:szCs w:val="18"/>
                </w:rPr>
                <w:tag w:val="_PLD_e9a93d1c2d6847be992e152b686ed22d"/>
                <w:id w:val="-1672415052"/>
                <w:lock w:val="sdtLocked"/>
              </w:sdtPr>
              <w:sdtEndPr>
                <w:rPr>
                  <w:sz w:val="18"/>
                  <w:szCs w:val="18"/>
                </w:rPr>
              </w:sdtEndPr>
              <w:sdtContent>
                <w:tc>
                  <w:tcPr>
                    <w:tcW w:w="193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期末余额</w:t>
                    </w:r>
                  </w:p>
                </w:tc>
              </w:sdtContent>
            </w:sdt>
            <w:sdt>
              <w:sdtPr>
                <w:rPr>
                  <w:sz w:val="18"/>
                  <w:szCs w:val="18"/>
                </w:rPr>
                <w:tag w:val="_PLD_f41f953b597d46848a98bb222c5ebb8e"/>
                <w:id w:val="-2123450424"/>
                <w:lock w:val="sdtLocked"/>
              </w:sdtPr>
              <w:sdtEndPr>
                <w:rPr>
                  <w:sz w:val="18"/>
                  <w:szCs w:val="18"/>
                </w:rPr>
              </w:sdtEndPr>
              <w:sdtContent>
                <w:tc>
                  <w:tcPr>
                    <w:tcW w:w="194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期初余额</w:t>
                    </w:r>
                  </w:p>
                </w:tc>
              </w:sdtContent>
            </w:sdt>
            <w:sdt>
              <w:sdtPr>
                <w:rPr>
                  <w:sz w:val="18"/>
                  <w:szCs w:val="18"/>
                </w:rPr>
                <w:tag w:val="_PLD_e23d00708e6c434eac89cf07e5b896e2"/>
                <w:id w:val="-364289031"/>
                <w:lock w:val="sdtLocked"/>
              </w:sdtPr>
              <w:sdtEndPr>
                <w:rPr>
                  <w:sz w:val="18"/>
                  <w:szCs w:val="18"/>
                </w:rPr>
              </w:sdtEndPr>
              <w:sdtContent>
                <w:tc>
                  <w:tcPr>
                    <w:tcW w:w="333"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折现率区间</w:t>
                    </w:r>
                  </w:p>
                </w:tc>
              </w:sdtContent>
            </w:sdt>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1" w:type="dxa"/>
                <w:bottom w:w="0" w:type="dxa"/>
                <w:right w:w="31" w:type="dxa"/>
              </w:tblCellMar>
            </w:tblPrEx>
            <w:trPr>
              <w:cantSplit/>
            </w:trPr>
            <w:tc>
              <w:tcPr>
                <w:tcW w:w="788" w:type="pct"/>
                <w:vMerge w:val="continue"/>
                <w:tcBorders>
                  <w:left w:val="single" w:color="auto" w:sz="4" w:space="0"/>
                  <w:bottom w:val="single" w:color="auto" w:sz="6" w:space="0"/>
                  <w:right w:val="single" w:color="auto" w:sz="4" w:space="0"/>
                </w:tcBorders>
                <w:shd w:val="clear" w:color="auto" w:fill="auto"/>
                <w:vAlign w:val="center"/>
              </w:tcPr>
              <w:p>
                <w:pPr>
                  <w:jc w:val="center"/>
                  <w:rPr>
                    <w:sz w:val="18"/>
                    <w:szCs w:val="18"/>
                  </w:rPr>
                </w:pPr>
              </w:p>
            </w:tc>
            <w:sdt>
              <w:sdtPr>
                <w:rPr>
                  <w:sz w:val="18"/>
                  <w:szCs w:val="18"/>
                </w:rPr>
                <w:tag w:val="_PLD_93de35b749ff4ac9a6b3c5ec236ed585"/>
                <w:id w:val="-1487776741"/>
                <w:lock w:val="sdtLocked"/>
              </w:sdtPr>
              <w:sdtEndPr>
                <w:rPr>
                  <w:sz w:val="18"/>
                  <w:szCs w:val="18"/>
                </w:rPr>
              </w:sdtEndPr>
              <w:sdtContent>
                <w:tc>
                  <w:tcPr>
                    <w:tcW w:w="868" w:type="pct"/>
                    <w:tcBorders>
                      <w:left w:val="single" w:color="auto" w:sz="4" w:space="0"/>
                      <w:bottom w:val="single" w:color="auto" w:sz="6" w:space="0"/>
                    </w:tcBorders>
                    <w:shd w:val="clear" w:color="auto" w:fill="auto"/>
                    <w:vAlign w:val="center"/>
                  </w:tcPr>
                  <w:p>
                    <w:pPr>
                      <w:jc w:val="center"/>
                      <w:rPr>
                        <w:sz w:val="18"/>
                        <w:szCs w:val="18"/>
                      </w:rPr>
                    </w:pPr>
                    <w:r>
                      <w:rPr>
                        <w:rFonts w:hint="eastAsia"/>
                        <w:sz w:val="18"/>
                        <w:szCs w:val="18"/>
                      </w:rPr>
                      <w:t>账面余额</w:t>
                    </w:r>
                  </w:p>
                </w:tc>
              </w:sdtContent>
            </w:sdt>
            <w:sdt>
              <w:sdtPr>
                <w:rPr>
                  <w:sz w:val="18"/>
                  <w:szCs w:val="18"/>
                </w:rPr>
                <w:tag w:val="_PLD_eccd0387c0f24fa5a972b6cd6e1d4d30"/>
                <w:id w:val="-166707146"/>
                <w:lock w:val="sdtLocked"/>
              </w:sdtPr>
              <w:sdtEndPr>
                <w:rPr>
                  <w:sz w:val="18"/>
                  <w:szCs w:val="18"/>
                </w:rPr>
              </w:sdtEndPr>
              <w:sdtContent>
                <w:tc>
                  <w:tcPr>
                    <w:tcW w:w="203" w:type="pct"/>
                    <w:tcBorders>
                      <w:bottom w:val="single" w:color="auto" w:sz="6" w:space="0"/>
                    </w:tcBorders>
                    <w:shd w:val="clear" w:color="auto" w:fill="auto"/>
                    <w:vAlign w:val="center"/>
                  </w:tcPr>
                  <w:p>
                    <w:pPr>
                      <w:jc w:val="center"/>
                      <w:rPr>
                        <w:sz w:val="18"/>
                        <w:szCs w:val="18"/>
                      </w:rPr>
                    </w:pPr>
                    <w:r>
                      <w:rPr>
                        <w:rFonts w:hint="eastAsia"/>
                        <w:sz w:val="18"/>
                        <w:szCs w:val="18"/>
                      </w:rPr>
                      <w:t>坏账准备</w:t>
                    </w:r>
                  </w:p>
                </w:tc>
              </w:sdtContent>
            </w:sdt>
            <w:sdt>
              <w:sdtPr>
                <w:rPr>
                  <w:sz w:val="18"/>
                  <w:szCs w:val="18"/>
                </w:rPr>
                <w:tag w:val="_PLD_9016cddeb6f34d55a584d277237a8ac1"/>
                <w:id w:val="-1454785893"/>
                <w:lock w:val="sdtLocked"/>
              </w:sdtPr>
              <w:sdtEndPr>
                <w:rPr>
                  <w:sz w:val="18"/>
                  <w:szCs w:val="18"/>
                </w:rPr>
              </w:sdtEndPr>
              <w:sdtContent>
                <w:tc>
                  <w:tcPr>
                    <w:tcW w:w="868" w:type="pct"/>
                    <w:tcBorders>
                      <w:bottom w:val="single" w:color="auto" w:sz="6" w:space="0"/>
                    </w:tcBorders>
                    <w:shd w:val="clear" w:color="auto" w:fill="auto"/>
                    <w:vAlign w:val="center"/>
                  </w:tcPr>
                  <w:p>
                    <w:pPr>
                      <w:jc w:val="center"/>
                      <w:rPr>
                        <w:sz w:val="18"/>
                        <w:szCs w:val="18"/>
                      </w:rPr>
                    </w:pPr>
                    <w:r>
                      <w:rPr>
                        <w:rFonts w:hint="eastAsia"/>
                        <w:sz w:val="18"/>
                        <w:szCs w:val="18"/>
                      </w:rPr>
                      <w:t>账面价值</w:t>
                    </w:r>
                  </w:p>
                </w:tc>
              </w:sdtContent>
            </w:sdt>
            <w:sdt>
              <w:sdtPr>
                <w:rPr>
                  <w:sz w:val="18"/>
                  <w:szCs w:val="18"/>
                </w:rPr>
                <w:tag w:val="_PLD_db7d979714524efcab7433361aaac461"/>
                <w:id w:val="531390881"/>
                <w:lock w:val="sdtLocked"/>
              </w:sdtPr>
              <w:sdtEndPr>
                <w:rPr>
                  <w:sz w:val="18"/>
                  <w:szCs w:val="18"/>
                </w:rPr>
              </w:sdtEndPr>
              <w:sdtContent>
                <w:tc>
                  <w:tcPr>
                    <w:tcW w:w="868" w:type="pct"/>
                    <w:tcBorders>
                      <w:bottom w:val="single" w:color="auto" w:sz="6" w:space="0"/>
                    </w:tcBorders>
                    <w:shd w:val="clear" w:color="auto" w:fill="auto"/>
                    <w:vAlign w:val="center"/>
                  </w:tcPr>
                  <w:p>
                    <w:pPr>
                      <w:jc w:val="center"/>
                      <w:rPr>
                        <w:sz w:val="18"/>
                        <w:szCs w:val="18"/>
                      </w:rPr>
                    </w:pPr>
                    <w:r>
                      <w:rPr>
                        <w:rFonts w:hint="eastAsia"/>
                        <w:sz w:val="18"/>
                        <w:szCs w:val="18"/>
                      </w:rPr>
                      <w:t>账面余额</w:t>
                    </w:r>
                  </w:p>
                </w:tc>
              </w:sdtContent>
            </w:sdt>
            <w:sdt>
              <w:sdtPr>
                <w:rPr>
                  <w:sz w:val="18"/>
                  <w:szCs w:val="18"/>
                </w:rPr>
                <w:tag w:val="_PLD_395cf962072c462fb83f42db9e225402"/>
                <w:id w:val="-1327735868"/>
                <w:lock w:val="sdtLocked"/>
              </w:sdtPr>
              <w:sdtEndPr>
                <w:rPr>
                  <w:sz w:val="18"/>
                  <w:szCs w:val="18"/>
                </w:rPr>
              </w:sdtEndPr>
              <w:sdtContent>
                <w:tc>
                  <w:tcPr>
                    <w:tcW w:w="203" w:type="pct"/>
                    <w:tcBorders>
                      <w:bottom w:val="single" w:color="auto" w:sz="6" w:space="0"/>
                    </w:tcBorders>
                    <w:shd w:val="clear" w:color="auto" w:fill="auto"/>
                    <w:vAlign w:val="center"/>
                  </w:tcPr>
                  <w:p>
                    <w:pPr>
                      <w:jc w:val="center"/>
                      <w:rPr>
                        <w:sz w:val="18"/>
                        <w:szCs w:val="18"/>
                      </w:rPr>
                    </w:pPr>
                    <w:r>
                      <w:rPr>
                        <w:rFonts w:hint="eastAsia"/>
                        <w:sz w:val="18"/>
                        <w:szCs w:val="18"/>
                      </w:rPr>
                      <w:t>坏账准备</w:t>
                    </w:r>
                  </w:p>
                </w:tc>
              </w:sdtContent>
            </w:sdt>
            <w:sdt>
              <w:sdtPr>
                <w:rPr>
                  <w:sz w:val="18"/>
                  <w:szCs w:val="18"/>
                </w:rPr>
                <w:tag w:val="_PLD_505b96d943e341af8e22763be8ab91c7"/>
                <w:id w:val="-1174801925"/>
                <w:lock w:val="sdtLocked"/>
              </w:sdtPr>
              <w:sdtEndPr>
                <w:rPr>
                  <w:sz w:val="18"/>
                  <w:szCs w:val="18"/>
                </w:rPr>
              </w:sdtEndPr>
              <w:sdtContent>
                <w:tc>
                  <w:tcPr>
                    <w:tcW w:w="869" w:type="pct"/>
                    <w:tcBorders>
                      <w:bottom w:val="single" w:color="auto" w:sz="6" w:space="0"/>
                      <w:right w:val="single" w:color="auto" w:sz="4" w:space="0"/>
                    </w:tcBorders>
                    <w:shd w:val="clear" w:color="auto" w:fill="auto"/>
                    <w:vAlign w:val="center"/>
                  </w:tcPr>
                  <w:p>
                    <w:pPr>
                      <w:jc w:val="center"/>
                      <w:rPr>
                        <w:sz w:val="18"/>
                        <w:szCs w:val="18"/>
                      </w:rPr>
                    </w:pPr>
                    <w:r>
                      <w:rPr>
                        <w:rFonts w:hint="eastAsia"/>
                        <w:sz w:val="18"/>
                        <w:szCs w:val="18"/>
                      </w:rPr>
                      <w:t>账面价值</w:t>
                    </w:r>
                  </w:p>
                </w:tc>
              </w:sdtContent>
            </w:sdt>
            <w:tc>
              <w:tcPr>
                <w:tcW w:w="333" w:type="pct"/>
                <w:vMerge w:val="continue"/>
                <w:tcBorders>
                  <w:left w:val="single" w:color="auto" w:sz="4" w:space="0"/>
                  <w:bottom w:val="single" w:color="auto" w:sz="6" w:space="0"/>
                  <w:right w:val="single" w:color="auto" w:sz="4" w:space="0"/>
                </w:tcBorders>
                <w:shd w:val="clear" w:color="auto" w:fill="auto"/>
              </w:tcPr>
              <w:p>
                <w:pPr>
                  <w:jc w:val="center"/>
                  <w:rPr>
                    <w:sz w:val="18"/>
                    <w:szCs w:val="18"/>
                  </w:rPr>
                </w:pPr>
              </w:p>
            </w:tc>
          </w:tr>
          <w:sdt>
            <w:sdtPr>
              <w:rPr>
                <w:sz w:val="18"/>
                <w:szCs w:val="18"/>
              </w:rPr>
              <w:alias w:val="长期应收款情况明细"/>
              <w:tag w:val="_GBC_5a41f105be7341e4bda68c15cf69c9e0"/>
              <w:id w:val="1861539675"/>
              <w:lock w:val="sdtLocked"/>
              <w:placeholder>
                <w:docPart w:val="DefaultPlaceholder_-1854013440"/>
              </w:placeholder>
            </w:sdtPr>
            <w:sdtEndPr>
              <w:rPr>
                <w:sz w:val="18"/>
                <w:szCs w:val="18"/>
              </w:rPr>
            </w:sdtEndPr>
            <w:sdtContent>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1" w:type="dxa"/>
                    <w:bottom w:w="0" w:type="dxa"/>
                    <w:right w:w="31" w:type="dxa"/>
                  </w:tblCellMar>
                </w:tblPrEx>
                <w:trPr>
                  <w:cantSplit/>
                </w:trPr>
                <w:tc>
                  <w:tcPr>
                    <w:tcW w:w="788" w:type="pct"/>
                    <w:shd w:val="clear" w:color="auto" w:fill="auto"/>
                  </w:tcPr>
                  <w:p>
                    <w:pPr>
                      <w:rPr>
                        <w:sz w:val="18"/>
                        <w:szCs w:val="18"/>
                      </w:rPr>
                    </w:pPr>
                    <w:r>
                      <w:rPr>
                        <w:rFonts w:hint="eastAsia"/>
                        <w:sz w:val="18"/>
                        <w:szCs w:val="18"/>
                      </w:rPr>
                      <w:t>销售房产应收款</w:t>
                    </w:r>
                  </w:p>
                </w:tc>
                <w:tc>
                  <w:tcPr>
                    <w:tcW w:w="868" w:type="pct"/>
                    <w:shd w:val="clear" w:color="auto" w:fill="auto"/>
                  </w:tcPr>
                  <w:p>
                    <w:pPr>
                      <w:jc w:val="right"/>
                      <w:rPr>
                        <w:sz w:val="18"/>
                        <w:szCs w:val="18"/>
                      </w:rPr>
                    </w:pPr>
                    <w:r>
                      <w:rPr>
                        <w:sz w:val="18"/>
                        <w:szCs w:val="18"/>
                      </w:rPr>
                      <w:t>185,606,300.00</w:t>
                    </w:r>
                  </w:p>
                </w:tc>
                <w:tc>
                  <w:tcPr>
                    <w:tcW w:w="203" w:type="pct"/>
                    <w:shd w:val="clear" w:color="auto" w:fill="auto"/>
                  </w:tcPr>
                  <w:p>
                    <w:pPr>
                      <w:jc w:val="right"/>
                      <w:rPr>
                        <w:sz w:val="18"/>
                        <w:szCs w:val="18"/>
                      </w:rPr>
                    </w:pPr>
                    <w:r>
                      <w:rPr>
                        <w:sz w:val="18"/>
                        <w:szCs w:val="18"/>
                      </w:rPr>
                      <w:t>-</w:t>
                    </w:r>
                  </w:p>
                </w:tc>
                <w:tc>
                  <w:tcPr>
                    <w:tcW w:w="868" w:type="pct"/>
                    <w:shd w:val="clear" w:color="auto" w:fill="auto"/>
                  </w:tcPr>
                  <w:p>
                    <w:pPr>
                      <w:jc w:val="right"/>
                      <w:rPr>
                        <w:sz w:val="18"/>
                        <w:szCs w:val="18"/>
                      </w:rPr>
                    </w:pPr>
                    <w:r>
                      <w:rPr>
                        <w:sz w:val="18"/>
                        <w:szCs w:val="18"/>
                      </w:rPr>
                      <w:t>185,606,300.00</w:t>
                    </w:r>
                  </w:p>
                </w:tc>
                <w:tc>
                  <w:tcPr>
                    <w:tcW w:w="868" w:type="pct"/>
                    <w:shd w:val="clear" w:color="auto" w:fill="auto"/>
                    <w:vAlign w:val="center"/>
                  </w:tcPr>
                  <w:p>
                    <w:pPr>
                      <w:jc w:val="right"/>
                      <w:rPr>
                        <w:sz w:val="18"/>
                        <w:szCs w:val="18"/>
                      </w:rPr>
                    </w:pPr>
                    <w:r>
                      <w:rPr>
                        <w:sz w:val="18"/>
                        <w:szCs w:val="18"/>
                      </w:rPr>
                      <w:t>185,606,300.00</w:t>
                    </w:r>
                  </w:p>
                </w:tc>
                <w:tc>
                  <w:tcPr>
                    <w:tcW w:w="203" w:type="pct"/>
                    <w:shd w:val="clear" w:color="auto" w:fill="auto"/>
                  </w:tcPr>
                  <w:p>
                    <w:pPr>
                      <w:jc w:val="right"/>
                      <w:rPr>
                        <w:sz w:val="18"/>
                        <w:szCs w:val="18"/>
                      </w:rPr>
                    </w:pPr>
                    <w:r>
                      <w:rPr>
                        <w:sz w:val="18"/>
                        <w:szCs w:val="18"/>
                      </w:rPr>
                      <w:t>-</w:t>
                    </w:r>
                  </w:p>
                </w:tc>
                <w:tc>
                  <w:tcPr>
                    <w:tcW w:w="869" w:type="pct"/>
                    <w:tcBorders>
                      <w:right w:val="single" w:color="auto" w:sz="4" w:space="0"/>
                    </w:tcBorders>
                    <w:shd w:val="clear" w:color="auto" w:fill="auto"/>
                    <w:vAlign w:val="center"/>
                  </w:tcPr>
                  <w:p>
                    <w:pPr>
                      <w:jc w:val="right"/>
                      <w:rPr>
                        <w:sz w:val="18"/>
                        <w:szCs w:val="18"/>
                      </w:rPr>
                    </w:pPr>
                    <w:r>
                      <w:rPr>
                        <w:sz w:val="18"/>
                        <w:szCs w:val="18"/>
                      </w:rPr>
                      <w:t>185,606,300.00</w:t>
                    </w:r>
                  </w:p>
                </w:tc>
                <w:tc>
                  <w:tcPr>
                    <w:tcW w:w="333" w:type="pct"/>
                    <w:tcBorders>
                      <w:left w:val="single" w:color="auto" w:sz="4" w:space="0"/>
                    </w:tcBorders>
                    <w:shd w:val="clear" w:color="auto" w:fill="auto"/>
                  </w:tcPr>
                  <w:p>
                    <w:pPr>
                      <w:rPr>
                        <w:sz w:val="18"/>
                        <w:szCs w:val="18"/>
                      </w:rPr>
                    </w:pPr>
                    <w:r>
                      <w:rPr>
                        <w:sz w:val="18"/>
                        <w:szCs w:val="18"/>
                      </w:rPr>
                      <w:t>3.65%</w:t>
                    </w:r>
                  </w:p>
                </w:tc>
              </w:tr>
            </w:sdtContent>
          </w:sdt>
          <w:sdt>
            <w:sdtPr>
              <w:rPr>
                <w:sz w:val="18"/>
                <w:szCs w:val="18"/>
              </w:rPr>
              <w:alias w:val="长期应收款情况明细"/>
              <w:tag w:val="_GBC_5a41f105be7341e4bda68c15cf69c9e0"/>
              <w:id w:val="-1673715108"/>
              <w:lock w:val="sdtLocked"/>
            </w:sdtPr>
            <w:sdtEndPr>
              <w:rPr>
                <w:sz w:val="18"/>
                <w:szCs w:val="18"/>
              </w:rPr>
            </w:sdtEndPr>
            <w:sdtContent>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1" w:type="dxa"/>
                    <w:bottom w:w="0" w:type="dxa"/>
                    <w:right w:w="31" w:type="dxa"/>
                  </w:tblCellMar>
                </w:tblPrEx>
                <w:trPr>
                  <w:cantSplit/>
                </w:trPr>
                <w:tc>
                  <w:tcPr>
                    <w:tcW w:w="788" w:type="pct"/>
                    <w:shd w:val="clear" w:color="auto" w:fill="auto"/>
                  </w:tcPr>
                  <w:p>
                    <w:pPr>
                      <w:rPr>
                        <w:sz w:val="18"/>
                        <w:szCs w:val="18"/>
                      </w:rPr>
                    </w:pPr>
                    <w:r>
                      <w:rPr>
                        <w:rFonts w:hint="eastAsia"/>
                        <w:sz w:val="18"/>
                        <w:szCs w:val="18"/>
                      </w:rPr>
                      <w:t>减：未实现融资收益</w:t>
                    </w:r>
                  </w:p>
                </w:tc>
                <w:tc>
                  <w:tcPr>
                    <w:tcW w:w="868" w:type="pct"/>
                    <w:shd w:val="clear" w:color="auto" w:fill="auto"/>
                    <w:vAlign w:val="center"/>
                  </w:tcPr>
                  <w:p>
                    <w:pPr>
                      <w:jc w:val="right"/>
                      <w:rPr>
                        <w:sz w:val="18"/>
                        <w:szCs w:val="18"/>
                      </w:rPr>
                    </w:pPr>
                    <w:r>
                      <w:rPr>
                        <w:sz w:val="18"/>
                        <w:szCs w:val="18"/>
                      </w:rPr>
                      <w:t>-11,701,724.91</w:t>
                    </w:r>
                  </w:p>
                </w:tc>
                <w:tc>
                  <w:tcPr>
                    <w:tcW w:w="203" w:type="pct"/>
                    <w:shd w:val="clear" w:color="auto" w:fill="auto"/>
                    <w:vAlign w:val="center"/>
                  </w:tcPr>
                  <w:p>
                    <w:pPr>
                      <w:jc w:val="right"/>
                      <w:rPr>
                        <w:sz w:val="18"/>
                        <w:szCs w:val="18"/>
                      </w:rPr>
                    </w:pPr>
                    <w:r>
                      <w:rPr>
                        <w:sz w:val="18"/>
                        <w:szCs w:val="18"/>
                      </w:rPr>
                      <w:t>-</w:t>
                    </w:r>
                  </w:p>
                </w:tc>
                <w:tc>
                  <w:tcPr>
                    <w:tcW w:w="868" w:type="pct"/>
                    <w:shd w:val="clear" w:color="auto" w:fill="auto"/>
                    <w:vAlign w:val="center"/>
                  </w:tcPr>
                  <w:p>
                    <w:pPr>
                      <w:jc w:val="right"/>
                      <w:rPr>
                        <w:sz w:val="18"/>
                        <w:szCs w:val="18"/>
                      </w:rPr>
                    </w:pPr>
                    <w:r>
                      <w:rPr>
                        <w:sz w:val="18"/>
                        <w:szCs w:val="18"/>
                      </w:rPr>
                      <w:t>-11,701,724.91</w:t>
                    </w:r>
                  </w:p>
                </w:tc>
                <w:tc>
                  <w:tcPr>
                    <w:tcW w:w="868" w:type="pct"/>
                    <w:shd w:val="clear" w:color="auto" w:fill="auto"/>
                    <w:vAlign w:val="center"/>
                  </w:tcPr>
                  <w:p>
                    <w:pPr>
                      <w:jc w:val="right"/>
                      <w:rPr>
                        <w:sz w:val="18"/>
                        <w:szCs w:val="18"/>
                      </w:rPr>
                    </w:pPr>
                    <w:r>
                      <w:rPr>
                        <w:sz w:val="18"/>
                        <w:szCs w:val="18"/>
                      </w:rPr>
                      <w:t>-11,701,724.91</w:t>
                    </w:r>
                  </w:p>
                </w:tc>
                <w:tc>
                  <w:tcPr>
                    <w:tcW w:w="203" w:type="pct"/>
                    <w:shd w:val="clear" w:color="auto" w:fill="auto"/>
                    <w:vAlign w:val="center"/>
                  </w:tcPr>
                  <w:p>
                    <w:pPr>
                      <w:jc w:val="right"/>
                      <w:rPr>
                        <w:sz w:val="18"/>
                        <w:szCs w:val="18"/>
                      </w:rPr>
                    </w:pPr>
                    <w:r>
                      <w:rPr>
                        <w:sz w:val="18"/>
                        <w:szCs w:val="18"/>
                      </w:rPr>
                      <w:t>-</w:t>
                    </w:r>
                  </w:p>
                </w:tc>
                <w:tc>
                  <w:tcPr>
                    <w:tcW w:w="869" w:type="pct"/>
                    <w:tcBorders>
                      <w:right w:val="single" w:color="auto" w:sz="4" w:space="0"/>
                    </w:tcBorders>
                    <w:shd w:val="clear" w:color="auto" w:fill="auto"/>
                    <w:vAlign w:val="center"/>
                  </w:tcPr>
                  <w:p>
                    <w:pPr>
                      <w:jc w:val="right"/>
                      <w:rPr>
                        <w:sz w:val="18"/>
                        <w:szCs w:val="18"/>
                      </w:rPr>
                    </w:pPr>
                    <w:r>
                      <w:rPr>
                        <w:sz w:val="18"/>
                        <w:szCs w:val="18"/>
                      </w:rPr>
                      <w:t>-11,701,724.91</w:t>
                    </w:r>
                  </w:p>
                </w:tc>
                <w:tc>
                  <w:tcPr>
                    <w:tcW w:w="333" w:type="pct"/>
                    <w:tcBorders>
                      <w:left w:val="single" w:color="auto" w:sz="4" w:space="0"/>
                    </w:tcBorders>
                    <w:shd w:val="clear" w:color="auto" w:fill="auto"/>
                    <w:vAlign w:val="center"/>
                  </w:tcPr>
                  <w:p>
                    <w:pPr>
                      <w:jc w:val="right"/>
                      <w:rPr>
                        <w:sz w:val="18"/>
                        <w:szCs w:val="18"/>
                      </w:rPr>
                    </w:pPr>
                  </w:p>
                </w:tc>
              </w:tr>
            </w:sdtContent>
          </w:sdt>
          <w:sdt>
            <w:sdtPr>
              <w:rPr>
                <w:sz w:val="18"/>
                <w:szCs w:val="18"/>
              </w:rPr>
              <w:alias w:val="长期应收款情况明细"/>
              <w:tag w:val="_GBC_5a41f105be7341e4bda68c15cf69c9e0"/>
              <w:id w:val="-1477607143"/>
              <w:lock w:val="sdtLocked"/>
              <w:placeholder>
                <w:docPart w:val="DefaultPlaceholder_-1854013440"/>
              </w:placeholder>
            </w:sdtPr>
            <w:sdtEndPr>
              <w:rPr>
                <w:sz w:val="18"/>
                <w:szCs w:val="18"/>
              </w:rPr>
            </w:sdtEndPr>
            <w:sdtContent>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1" w:type="dxa"/>
                    <w:bottom w:w="0" w:type="dxa"/>
                    <w:right w:w="31" w:type="dxa"/>
                  </w:tblCellMar>
                </w:tblPrEx>
                <w:trPr>
                  <w:cantSplit/>
                </w:trPr>
                <w:tc>
                  <w:tcPr>
                    <w:tcW w:w="788" w:type="pct"/>
                    <w:shd w:val="clear" w:color="auto" w:fill="auto"/>
                  </w:tcPr>
                  <w:p>
                    <w:pPr>
                      <w:rPr>
                        <w:sz w:val="18"/>
                        <w:szCs w:val="18"/>
                      </w:rPr>
                    </w:pPr>
                    <w:r>
                      <w:rPr>
                        <w:rFonts w:hint="eastAsia"/>
                        <w:sz w:val="18"/>
                        <w:szCs w:val="18"/>
                      </w:rPr>
                      <w:t>减：一年内到期部分</w:t>
                    </w:r>
                  </w:p>
                </w:tc>
                <w:tc>
                  <w:tcPr>
                    <w:tcW w:w="868" w:type="pct"/>
                    <w:shd w:val="clear" w:color="auto" w:fill="auto"/>
                  </w:tcPr>
                  <w:p>
                    <w:pPr>
                      <w:jc w:val="right"/>
                      <w:rPr>
                        <w:sz w:val="18"/>
                        <w:szCs w:val="18"/>
                      </w:rPr>
                    </w:pPr>
                    <w:r>
                      <w:rPr>
                        <w:sz w:val="18"/>
                        <w:szCs w:val="18"/>
                      </w:rPr>
                      <w:t>-62,000,000.00</w:t>
                    </w:r>
                  </w:p>
                </w:tc>
                <w:tc>
                  <w:tcPr>
                    <w:tcW w:w="203" w:type="pct"/>
                    <w:shd w:val="clear" w:color="auto" w:fill="auto"/>
                  </w:tcPr>
                  <w:p>
                    <w:pPr>
                      <w:jc w:val="right"/>
                      <w:rPr>
                        <w:sz w:val="18"/>
                        <w:szCs w:val="18"/>
                      </w:rPr>
                    </w:pPr>
                  </w:p>
                </w:tc>
                <w:tc>
                  <w:tcPr>
                    <w:tcW w:w="868" w:type="pct"/>
                    <w:shd w:val="clear" w:color="auto" w:fill="auto"/>
                  </w:tcPr>
                  <w:p>
                    <w:pPr>
                      <w:jc w:val="right"/>
                      <w:rPr>
                        <w:sz w:val="18"/>
                        <w:szCs w:val="18"/>
                      </w:rPr>
                    </w:pPr>
                    <w:r>
                      <w:rPr>
                        <w:sz w:val="18"/>
                        <w:szCs w:val="18"/>
                      </w:rPr>
                      <w:t>-62,000,000.00</w:t>
                    </w:r>
                  </w:p>
                </w:tc>
                <w:tc>
                  <w:tcPr>
                    <w:tcW w:w="868" w:type="pct"/>
                    <w:shd w:val="clear" w:color="auto" w:fill="auto"/>
                    <w:vAlign w:val="center"/>
                  </w:tcPr>
                  <w:p>
                    <w:pPr>
                      <w:jc w:val="right"/>
                      <w:rPr>
                        <w:sz w:val="18"/>
                        <w:szCs w:val="18"/>
                      </w:rPr>
                    </w:pPr>
                    <w:r>
                      <w:rPr>
                        <w:sz w:val="18"/>
                        <w:szCs w:val="18"/>
                      </w:rPr>
                      <w:t>-62,000,000.00</w:t>
                    </w:r>
                  </w:p>
                </w:tc>
                <w:tc>
                  <w:tcPr>
                    <w:tcW w:w="203" w:type="pct"/>
                    <w:shd w:val="clear" w:color="auto" w:fill="auto"/>
                  </w:tcPr>
                  <w:p>
                    <w:pPr>
                      <w:jc w:val="right"/>
                      <w:rPr>
                        <w:sz w:val="18"/>
                        <w:szCs w:val="18"/>
                      </w:rPr>
                    </w:pPr>
                  </w:p>
                </w:tc>
                <w:tc>
                  <w:tcPr>
                    <w:tcW w:w="869" w:type="pct"/>
                    <w:tcBorders>
                      <w:right w:val="single" w:color="auto" w:sz="4" w:space="0"/>
                    </w:tcBorders>
                    <w:shd w:val="clear" w:color="auto" w:fill="auto"/>
                    <w:vAlign w:val="center"/>
                  </w:tcPr>
                  <w:p>
                    <w:pPr>
                      <w:jc w:val="right"/>
                      <w:rPr>
                        <w:sz w:val="18"/>
                        <w:szCs w:val="18"/>
                      </w:rPr>
                    </w:pPr>
                    <w:r>
                      <w:rPr>
                        <w:sz w:val="18"/>
                        <w:szCs w:val="18"/>
                      </w:rPr>
                      <w:t>-62,000,000.00</w:t>
                    </w:r>
                  </w:p>
                </w:tc>
                <w:tc>
                  <w:tcPr>
                    <w:tcW w:w="333" w:type="pct"/>
                    <w:tcBorders>
                      <w:left w:val="single" w:color="auto" w:sz="4" w:space="0"/>
                    </w:tcBorders>
                    <w:shd w:val="clear" w:color="auto" w:fill="auto"/>
                  </w:tcPr>
                  <w:p>
                    <w:pPr>
                      <w:rPr>
                        <w:sz w:val="18"/>
                        <w:szCs w:val="18"/>
                      </w:rPr>
                    </w:pPr>
                  </w:p>
                </w:tc>
              </w:tr>
            </w:sdtContent>
          </w:sdt>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1" w:type="dxa"/>
                <w:bottom w:w="0" w:type="dxa"/>
                <w:right w:w="31" w:type="dxa"/>
              </w:tblCellMar>
            </w:tblPrEx>
            <w:trPr>
              <w:cantSplit/>
            </w:trPr>
            <w:sdt>
              <w:sdtPr>
                <w:rPr>
                  <w:sz w:val="18"/>
                  <w:szCs w:val="18"/>
                </w:rPr>
                <w:tag w:val="_PLD_8bf46c35ccf64076b70a8027cfc753dc"/>
                <w:id w:val="1744841639"/>
                <w:lock w:val="sdtLocked"/>
              </w:sdtPr>
              <w:sdtEndPr>
                <w:rPr>
                  <w:sz w:val="18"/>
                  <w:szCs w:val="18"/>
                </w:rPr>
              </w:sdtEndPr>
              <w:sdtContent>
                <w:tc>
                  <w:tcPr>
                    <w:tcW w:w="788" w:type="pct"/>
                    <w:shd w:val="clear" w:color="auto" w:fill="auto"/>
                    <w:vAlign w:val="center"/>
                  </w:tcPr>
                  <w:p>
                    <w:pPr>
                      <w:jc w:val="center"/>
                      <w:rPr>
                        <w:sz w:val="18"/>
                        <w:szCs w:val="18"/>
                      </w:rPr>
                    </w:pPr>
                    <w:r>
                      <w:rPr>
                        <w:rFonts w:hint="eastAsia"/>
                        <w:sz w:val="18"/>
                        <w:szCs w:val="18"/>
                      </w:rPr>
                      <w:t>合计</w:t>
                    </w:r>
                  </w:p>
                </w:tc>
              </w:sdtContent>
            </w:sdt>
            <w:tc>
              <w:tcPr>
                <w:tcW w:w="868" w:type="pct"/>
                <w:shd w:val="clear" w:color="auto" w:fill="auto"/>
              </w:tcPr>
              <w:p>
                <w:pPr>
                  <w:jc w:val="right"/>
                  <w:rPr>
                    <w:sz w:val="18"/>
                    <w:szCs w:val="18"/>
                  </w:rPr>
                </w:pPr>
                <w:r>
                  <w:rPr>
                    <w:sz w:val="18"/>
                    <w:szCs w:val="18"/>
                  </w:rPr>
                  <w:t>111,904,575.09</w:t>
                </w:r>
              </w:p>
            </w:tc>
            <w:tc>
              <w:tcPr>
                <w:tcW w:w="203" w:type="pct"/>
                <w:shd w:val="clear" w:color="auto" w:fill="auto"/>
              </w:tcPr>
              <w:p>
                <w:pPr>
                  <w:jc w:val="right"/>
                  <w:rPr>
                    <w:sz w:val="18"/>
                    <w:szCs w:val="18"/>
                  </w:rPr>
                </w:pPr>
                <w:r>
                  <w:rPr>
                    <w:sz w:val="18"/>
                    <w:szCs w:val="18"/>
                  </w:rPr>
                  <w:t>-</w:t>
                </w:r>
              </w:p>
            </w:tc>
            <w:tc>
              <w:tcPr>
                <w:tcW w:w="868" w:type="pct"/>
                <w:shd w:val="clear" w:color="auto" w:fill="auto"/>
              </w:tcPr>
              <w:p>
                <w:pPr>
                  <w:jc w:val="right"/>
                  <w:rPr>
                    <w:sz w:val="18"/>
                    <w:szCs w:val="18"/>
                  </w:rPr>
                </w:pPr>
                <w:r>
                  <w:rPr>
                    <w:sz w:val="18"/>
                    <w:szCs w:val="18"/>
                  </w:rPr>
                  <w:t>111,904,575.09</w:t>
                </w:r>
              </w:p>
            </w:tc>
            <w:tc>
              <w:tcPr>
                <w:tcW w:w="868" w:type="pct"/>
                <w:shd w:val="clear" w:color="auto" w:fill="auto"/>
              </w:tcPr>
              <w:p>
                <w:pPr>
                  <w:jc w:val="right"/>
                  <w:rPr>
                    <w:sz w:val="18"/>
                    <w:szCs w:val="18"/>
                  </w:rPr>
                </w:pPr>
                <w:r>
                  <w:rPr>
                    <w:sz w:val="18"/>
                    <w:szCs w:val="18"/>
                  </w:rPr>
                  <w:t>111,904,575.09</w:t>
                </w:r>
              </w:p>
            </w:tc>
            <w:tc>
              <w:tcPr>
                <w:tcW w:w="203" w:type="pct"/>
                <w:shd w:val="clear" w:color="auto" w:fill="auto"/>
              </w:tcPr>
              <w:p>
                <w:pPr>
                  <w:jc w:val="right"/>
                  <w:rPr>
                    <w:sz w:val="18"/>
                    <w:szCs w:val="18"/>
                  </w:rPr>
                </w:pPr>
                <w:r>
                  <w:rPr>
                    <w:sz w:val="18"/>
                    <w:szCs w:val="18"/>
                  </w:rPr>
                  <w:t>-</w:t>
                </w:r>
              </w:p>
            </w:tc>
            <w:tc>
              <w:tcPr>
                <w:tcW w:w="869" w:type="pct"/>
                <w:tcBorders>
                  <w:right w:val="single" w:color="auto" w:sz="4" w:space="0"/>
                </w:tcBorders>
                <w:shd w:val="clear" w:color="auto" w:fill="auto"/>
              </w:tcPr>
              <w:p>
                <w:pPr>
                  <w:jc w:val="right"/>
                  <w:rPr>
                    <w:sz w:val="18"/>
                    <w:szCs w:val="18"/>
                  </w:rPr>
                </w:pPr>
                <w:r>
                  <w:rPr>
                    <w:sz w:val="18"/>
                    <w:szCs w:val="18"/>
                  </w:rPr>
                  <w:t>111,904,575.09</w:t>
                </w:r>
              </w:p>
            </w:tc>
            <w:tc>
              <w:tcPr>
                <w:tcW w:w="333" w:type="pct"/>
                <w:tcBorders>
                  <w:left w:val="single" w:color="auto" w:sz="4" w:space="0"/>
                </w:tcBorders>
                <w:shd w:val="clear" w:color="auto" w:fill="auto"/>
              </w:tcPr>
              <w:p>
                <w:pPr>
                  <w:jc w:val="center"/>
                  <w:rPr>
                    <w:sz w:val="18"/>
                    <w:szCs w:val="18"/>
                  </w:rPr>
                </w:pPr>
                <w:r>
                  <w:rPr>
                    <w:rFonts w:hint="eastAsia"/>
                    <w:sz w:val="18"/>
                    <w:szCs w:val="18"/>
                  </w:rPr>
                  <w:t>/</w:t>
                </w:r>
              </w:p>
            </w:tc>
          </w:tr>
        </w:tbl>
        <w:p>
          <w:pPr>
            <w:pStyle w:val="118"/>
            <w:rPr>
              <w:color w:val="FF0000"/>
            </w:rPr>
          </w:pPr>
        </w:p>
      </w:sdtContent>
    </w:sdt>
    <w:sdt>
      <w:sdtPr>
        <w:rPr>
          <w:rFonts w:hint="eastAsia" w:ascii="宋体" w:hAnsi="宋体" w:cs="宋体"/>
          <w:b w:val="0"/>
          <w:bCs w:val="0"/>
          <w:color w:val="FF0000"/>
          <w:kern w:val="0"/>
          <w:szCs w:val="21"/>
        </w:rPr>
        <w:alias w:val="模块:坏账准备计提情况"/>
        <w:tag w:val="_SEC_a0520f64d4bd49e5a3638a0386a233ee"/>
        <w:id w:val="2025597235"/>
        <w:lock w:val="sdtLocked"/>
        <w:placeholder>
          <w:docPart w:val="GBC22222222222222222222222222222"/>
        </w:placeholder>
      </w:sdtPr>
      <w:sdtEndPr>
        <w:rPr>
          <w:rFonts w:hint="default" w:ascii="宋体" w:hAnsi="宋体" w:cs="宋体"/>
          <w:b w:val="0"/>
          <w:bCs w:val="0"/>
          <w:color w:val="FF0000"/>
          <w:kern w:val="0"/>
          <w:szCs w:val="21"/>
        </w:rPr>
      </w:sdtEndPr>
      <w:sdtContent>
        <w:p>
          <w:pPr>
            <w:pStyle w:val="118"/>
            <w:numPr>
              <w:ilvl w:val="0"/>
              <w:numId w:val="61"/>
            </w:numPr>
            <w:rPr>
              <w:rFonts w:ascii="宋体" w:hAnsi="宋体"/>
              <w:szCs w:val="21"/>
            </w:rPr>
          </w:pPr>
          <w:bookmarkStart w:id="181" w:name="_Hlk10471933"/>
          <w:r>
            <w:rPr>
              <w:rFonts w:hint="eastAsia" w:ascii="宋体" w:hAnsi="宋体"/>
              <w:szCs w:val="21"/>
            </w:rPr>
            <w:t>坏账准备计提情况</w:t>
          </w:r>
        </w:p>
        <w:sdt>
          <w:sdtPr>
            <w:alias w:val="是否适用：长期应收款坏账准备调节表[双击切换]"/>
            <w:tag w:val="_GBC_f7e4bed7dbb84fbcb52f2226cf465bb3"/>
            <w:id w:val="-104120865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1"/>
    <w:p>
      <w:pPr>
        <w:rPr>
          <w:color w:val="FF0000"/>
        </w:rPr>
      </w:pPr>
    </w:p>
    <w:sdt>
      <w:sdtPr>
        <w:rPr>
          <w:rFonts w:hint="eastAsia" w:ascii="宋体" w:hAnsi="宋体" w:cs="宋体"/>
          <w:b w:val="0"/>
          <w:bCs w:val="0"/>
          <w:kern w:val="0"/>
          <w:szCs w:val="21"/>
        </w:rPr>
        <w:alias w:val="模块:因金融资产转移而终止确认的长期应收款"/>
        <w:tag w:val="_GBC_928896eb74ab465199673a59201d4a8b"/>
        <w:id w:val="-1805301940"/>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61"/>
            </w:numPr>
            <w:rPr>
              <w:rFonts w:ascii="宋体" w:hAnsi="宋体"/>
              <w:szCs w:val="21"/>
            </w:rPr>
          </w:pPr>
          <w:r>
            <w:rPr>
              <w:rFonts w:hint="eastAsia" w:ascii="宋体" w:hAnsi="宋体"/>
              <w:szCs w:val="21"/>
            </w:rPr>
            <w:t>因金融资产转移而</w:t>
          </w:r>
          <w:r>
            <w:rPr>
              <w:rFonts w:hint="eastAsia" w:ascii="宋体" w:hAnsi="宋体"/>
            </w:rPr>
            <w:t>终止</w:t>
          </w:r>
          <w:r>
            <w:rPr>
              <w:rFonts w:hint="eastAsia" w:ascii="宋体" w:hAnsi="宋体"/>
              <w:szCs w:val="21"/>
            </w:rPr>
            <w:t>确认的长期应收款</w:t>
          </w:r>
        </w:p>
        <w:sdt>
          <w:sdtPr>
            <w:rPr>
              <w:rFonts w:hint="eastAsia"/>
            </w:rPr>
            <w:alias w:val="是否适用：因金融资产转移而终止确认的长期应收款[双击切换]"/>
            <w:tag w:val="_GBC_f7aab2a321ef4781ad1595366bc02c5e"/>
            <w:id w:val="-544526404"/>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转移长期应收款且继续涉入形成的资产、负债金额"/>
        <w:tag w:val="_GBC_711f6e05c2eb42e595d774bdf837f823"/>
        <w:id w:val="-357741101"/>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61"/>
            </w:numPr>
            <w:rPr>
              <w:rFonts w:ascii="宋体" w:hAnsi="宋体"/>
            </w:rPr>
          </w:pPr>
          <w:r>
            <w:rPr>
              <w:rFonts w:hint="eastAsia" w:ascii="宋体" w:hAnsi="宋体"/>
            </w:rPr>
            <w:t>转移长期应收款且继续涉入形成的资产、负债金额</w:t>
          </w:r>
        </w:p>
        <w:sdt>
          <w:sdtPr>
            <w:rPr>
              <w:rFonts w:hint="eastAsia"/>
            </w:rPr>
            <w:alias w:val="是否适用：转移长期应收款且继续涉入形成的资产、负债金额[双击切换]"/>
            <w:tag w:val="_GBC_202f97bd4328472388c45157689d09e0"/>
            <w:id w:val="203754045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rPr>
        <w:alias w:val="模块:长期应收款的其他说明"/>
        <w:tag w:val="_GBC_2a6246644ca84dfdb1b5ecc95ea5c0c2"/>
        <w:id w:val="-318885795"/>
        <w:lock w:val="sdtLocked"/>
        <w:placeholder>
          <w:docPart w:val="GBC22222222222222222222222222222"/>
        </w:placeholder>
      </w:sdtPr>
      <w:sdtEndPr>
        <w:rPr>
          <w:rFonts w:hint="eastAsia"/>
        </w:rPr>
      </w:sdtEndPr>
      <w:sdtContent>
        <w:p>
          <w:pPr>
            <w:pStyle w:val="114"/>
          </w:pPr>
          <w:r>
            <w:rPr>
              <w:rFonts w:hint="eastAsia"/>
            </w:rPr>
            <w:t>其他说明：</w:t>
          </w:r>
        </w:p>
        <w:sdt>
          <w:sdtPr>
            <w:rPr>
              <w:rFonts w:hint="eastAsia"/>
            </w:rPr>
            <w:alias w:val="是否适用：长期应收款的其他说明[双击切换]"/>
            <w:tag w:val="_GBC_a368edfbd60c44cdaed5299529b44fa0"/>
            <w:id w:val="-62878511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长期股权投资</w:t>
      </w:r>
    </w:p>
    <w:p>
      <w:pPr>
        <w:pStyle w:val="114"/>
      </w:pPr>
      <w:sdt>
        <w:sdtPr>
          <w:rPr>
            <w:rFonts w:hint="eastAsia"/>
          </w:rPr>
          <w:alias w:val="是否适用：长期股权投资[双击切换]"/>
          <w:tag w:val="_GBC_bafa2cb2262c4c4ebc4eed8f4e4a81c6"/>
          <w:id w:val="-1570955898"/>
          <w:lock w:val="sdtConten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rPr>
        <w:alias w:val="模块:长期股权投资"/>
        <w:tag w:val="_GBC_e68906ccea2845f1856fe89f4de6c229"/>
        <w:id w:val="-438375346"/>
        <w:lock w:val="sdtLocked"/>
        <w:placeholder>
          <w:docPart w:val="GBC22222222222222222222222222222"/>
        </w:placeholder>
      </w:sdtPr>
      <w:sdtEndPr>
        <w:rPr>
          <w:rFonts w:hint="eastAsia"/>
        </w:rPr>
      </w:sdtEndPr>
      <w:sdtContent>
        <w:p>
          <w:pPr>
            <w:jc w:val="right"/>
          </w:pPr>
          <w:bookmarkStart w:id="182" w:name="_Hlk106375234"/>
          <w:r>
            <w:rPr>
              <w:rFonts w:hint="eastAsia"/>
            </w:rPr>
            <w:t>单位：</w:t>
          </w:r>
          <w:sdt>
            <w:sdtPr>
              <w:rPr>
                <w:rFonts w:hint="eastAsia"/>
              </w:rPr>
              <w:alias w:val="单位：财务附注：长期股权投资"/>
              <w:tag w:val="_GBC_63e30834d38e49658bec9056bc38e4e2"/>
              <w:id w:val="-576346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1573110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56"/>
            <w:gridCol w:w="760"/>
            <w:gridCol w:w="671"/>
            <w:gridCol w:w="787"/>
            <w:gridCol w:w="706"/>
            <w:gridCol w:w="711"/>
            <w:gridCol w:w="784"/>
            <w:gridCol w:w="775"/>
            <w:gridCol w:w="756"/>
            <w:gridCol w:w="771"/>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ajorEastAsia" w:hAnsiTheme="majorEastAsia" w:eastAsiaTheme="majorEastAsia"/>
                  <w:sz w:val="12"/>
                  <w:szCs w:val="12"/>
                </w:rPr>
                <w:tag w:val="_PLD_9e3ff129c80540828097585bec2a274a"/>
                <w:id w:val="-7299223"/>
                <w:lock w:val="sdtLocked"/>
              </w:sdtPr>
              <w:sdtEndPr>
                <w:rPr>
                  <w:rFonts w:asciiTheme="majorEastAsia" w:hAnsiTheme="majorEastAsia" w:eastAsiaTheme="majorEastAsia"/>
                  <w:sz w:val="12"/>
                  <w:szCs w:val="12"/>
                </w:rPr>
              </w:sdtEndPr>
              <w:sdtContent>
                <w:tc>
                  <w:tcPr>
                    <w:tcW w:w="453" w:type="pct"/>
                    <w:vMerge w:val="restart"/>
                    <w:tcBorders>
                      <w:top w:val="single" w:color="auto" w:sz="4" w:space="0"/>
                      <w:left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被投资单位</w:t>
                    </w:r>
                  </w:p>
                </w:tc>
              </w:sdtContent>
            </w:sdt>
            <w:sdt>
              <w:sdtPr>
                <w:rPr>
                  <w:rFonts w:asciiTheme="majorEastAsia" w:hAnsiTheme="majorEastAsia" w:eastAsiaTheme="majorEastAsia"/>
                  <w:sz w:val="12"/>
                  <w:szCs w:val="12"/>
                </w:rPr>
                <w:tag w:val="_PLD_1d8637e24bf6498db71869cd552b60a2"/>
                <w:id w:val="-851949429"/>
                <w:lock w:val="sdtLocked"/>
              </w:sdtPr>
              <w:sdtEndPr>
                <w:rPr>
                  <w:rFonts w:asciiTheme="majorEastAsia" w:hAnsiTheme="majorEastAsia" w:eastAsiaTheme="majorEastAsia"/>
                  <w:sz w:val="12"/>
                  <w:szCs w:val="12"/>
                </w:rPr>
              </w:sdtEndPr>
              <w:sdtContent>
                <w:tc>
                  <w:tcPr>
                    <w:tcW w:w="418" w:type="pct"/>
                    <w:vMerge w:val="restart"/>
                    <w:tcBorders>
                      <w:top w:val="single" w:color="auto" w:sz="4" w:space="0"/>
                      <w:left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期初</w:t>
                    </w:r>
                  </w:p>
                  <w:p>
                    <w:pPr>
                      <w:rPr>
                        <w:rFonts w:asciiTheme="majorEastAsia" w:hAnsiTheme="majorEastAsia" w:eastAsiaTheme="majorEastAsia"/>
                        <w:sz w:val="12"/>
                        <w:szCs w:val="12"/>
                      </w:rPr>
                    </w:pPr>
                    <w:r>
                      <w:rPr>
                        <w:rFonts w:hint="eastAsia" w:asciiTheme="majorEastAsia" w:hAnsiTheme="majorEastAsia" w:eastAsiaTheme="majorEastAsia"/>
                        <w:sz w:val="12"/>
                        <w:szCs w:val="12"/>
                      </w:rPr>
                      <w:t>余额</w:t>
                    </w:r>
                  </w:p>
                </w:tc>
              </w:sdtContent>
            </w:sdt>
            <w:sdt>
              <w:sdtPr>
                <w:rPr>
                  <w:rFonts w:asciiTheme="majorEastAsia" w:hAnsiTheme="majorEastAsia" w:eastAsiaTheme="majorEastAsia"/>
                  <w:sz w:val="12"/>
                  <w:szCs w:val="12"/>
                </w:rPr>
                <w:tag w:val="_PLD_edc952101e7b4fa483f7289f9b74dfdf"/>
                <w:id w:val="1108622292"/>
                <w:lock w:val="sdtLocked"/>
              </w:sdtPr>
              <w:sdtEndPr>
                <w:rPr>
                  <w:rFonts w:asciiTheme="majorEastAsia" w:hAnsiTheme="majorEastAsia" w:eastAsiaTheme="majorEastAsia"/>
                  <w:sz w:val="12"/>
                  <w:szCs w:val="12"/>
                </w:rPr>
              </w:sdtEndPr>
              <w:sdtContent>
                <w:tc>
                  <w:tcPr>
                    <w:tcW w:w="3288" w:type="pct"/>
                    <w:gridSpan w:val="8"/>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本期增减变动</w:t>
                    </w:r>
                  </w:p>
                </w:tc>
              </w:sdtContent>
            </w:sdt>
            <w:sdt>
              <w:sdtPr>
                <w:rPr>
                  <w:rFonts w:asciiTheme="majorEastAsia" w:hAnsiTheme="majorEastAsia" w:eastAsiaTheme="majorEastAsia"/>
                  <w:sz w:val="12"/>
                  <w:szCs w:val="12"/>
                </w:rPr>
                <w:tag w:val="_PLD_44cfcec128d9419fba83c50966e49235"/>
                <w:id w:val="-1841694052"/>
                <w:lock w:val="sdtLocked"/>
              </w:sdtPr>
              <w:sdtEndPr>
                <w:rPr>
                  <w:rFonts w:asciiTheme="majorEastAsia" w:hAnsiTheme="majorEastAsia" w:eastAsiaTheme="majorEastAsia"/>
                  <w:sz w:val="12"/>
                  <w:szCs w:val="12"/>
                </w:rPr>
              </w:sdtEndPr>
              <w:sdtContent>
                <w:tc>
                  <w:tcPr>
                    <w:tcW w:w="426" w:type="pct"/>
                    <w:vMerge w:val="restart"/>
                    <w:tcBorders>
                      <w:top w:val="single" w:color="auto" w:sz="4" w:space="0"/>
                      <w:left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期末</w:t>
                    </w:r>
                  </w:p>
                  <w:p>
                    <w:pPr>
                      <w:rPr>
                        <w:rFonts w:asciiTheme="majorEastAsia" w:hAnsiTheme="majorEastAsia" w:eastAsiaTheme="majorEastAsia"/>
                        <w:sz w:val="12"/>
                        <w:szCs w:val="12"/>
                      </w:rPr>
                    </w:pPr>
                    <w:r>
                      <w:rPr>
                        <w:rFonts w:hint="eastAsia" w:asciiTheme="majorEastAsia" w:hAnsiTheme="majorEastAsia" w:eastAsiaTheme="majorEastAsia"/>
                        <w:sz w:val="12"/>
                        <w:szCs w:val="12"/>
                      </w:rPr>
                      <w:t>余额</w:t>
                    </w:r>
                  </w:p>
                </w:tc>
              </w:sdtContent>
            </w:sdt>
            <w:sdt>
              <w:sdtPr>
                <w:rPr>
                  <w:rFonts w:asciiTheme="majorEastAsia" w:hAnsiTheme="majorEastAsia" w:eastAsiaTheme="majorEastAsia"/>
                  <w:sz w:val="12"/>
                  <w:szCs w:val="12"/>
                </w:rPr>
                <w:tag w:val="_PLD_34a3cc0844264226a50c84165c09bb9a"/>
                <w:id w:val="-1712714638"/>
                <w:lock w:val="sdtLocked"/>
              </w:sdtPr>
              <w:sdtEndPr>
                <w:rPr>
                  <w:rFonts w:asciiTheme="majorEastAsia" w:hAnsiTheme="majorEastAsia" w:eastAsiaTheme="majorEastAsia"/>
                  <w:sz w:val="12"/>
                  <w:szCs w:val="12"/>
                </w:rPr>
              </w:sdtEndPr>
              <w:sdtContent>
                <w:tc>
                  <w:tcPr>
                    <w:tcW w:w="414" w:type="pct"/>
                    <w:vMerge w:val="restart"/>
                    <w:tcBorders>
                      <w:top w:val="single" w:color="auto" w:sz="4" w:space="0"/>
                      <w:left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减值准备期末余额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vMerge w:val="continue"/>
                <w:tcBorders>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18" w:type="pct"/>
                <w:vMerge w:val="continue"/>
                <w:tcBorders>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sdt>
              <w:sdtPr>
                <w:rPr>
                  <w:rFonts w:asciiTheme="majorEastAsia" w:hAnsiTheme="majorEastAsia" w:eastAsiaTheme="majorEastAsia"/>
                  <w:sz w:val="12"/>
                  <w:szCs w:val="12"/>
                </w:rPr>
                <w:tag w:val="_PLD_f88446e104b7482db6830a46769bd8f6"/>
                <w:id w:val="-1143113998"/>
                <w:lock w:val="sdtLocked"/>
              </w:sdtPr>
              <w:sdtEndPr>
                <w:rPr>
                  <w:rFonts w:asciiTheme="majorEastAsia" w:hAnsiTheme="majorEastAsia" w:eastAsiaTheme="majorEastAsia"/>
                  <w:sz w:val="12"/>
                  <w:szCs w:val="12"/>
                </w:rPr>
              </w:sdtEndPr>
              <w:sdtContent>
                <w:tc>
                  <w:tcPr>
                    <w:tcW w:w="42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追加投资</w:t>
                    </w:r>
                  </w:p>
                </w:tc>
              </w:sdtContent>
            </w:sdt>
            <w:sdt>
              <w:sdtPr>
                <w:rPr>
                  <w:rFonts w:asciiTheme="majorEastAsia" w:hAnsiTheme="majorEastAsia" w:eastAsiaTheme="majorEastAsia"/>
                  <w:sz w:val="12"/>
                  <w:szCs w:val="12"/>
                </w:rPr>
                <w:tag w:val="_PLD_dc0d6646fb2e45ba8e5e07f2c6954c9f"/>
                <w:id w:val="2085720781"/>
                <w:lock w:val="sdtLocked"/>
              </w:sdtPr>
              <w:sdtEndPr>
                <w:rPr>
                  <w:rFonts w:asciiTheme="majorEastAsia" w:hAnsiTheme="majorEastAsia" w:eastAsiaTheme="majorEastAsia"/>
                  <w:sz w:val="12"/>
                  <w:szCs w:val="12"/>
                </w:rPr>
              </w:sdtEndPr>
              <w:sdtContent>
                <w:tc>
                  <w:tcPr>
                    <w:tcW w:w="37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减少投资</w:t>
                    </w:r>
                  </w:p>
                </w:tc>
              </w:sdtContent>
            </w:sdt>
            <w:sdt>
              <w:sdtPr>
                <w:rPr>
                  <w:rFonts w:asciiTheme="majorEastAsia" w:hAnsiTheme="majorEastAsia" w:eastAsiaTheme="majorEastAsia"/>
                  <w:sz w:val="12"/>
                  <w:szCs w:val="12"/>
                </w:rPr>
                <w:tag w:val="_PLD_098d9fcf9d5341879d534aa385508f23"/>
                <w:id w:val="367340782"/>
                <w:lock w:val="sdtLocked"/>
              </w:sdtPr>
              <w:sdtEndPr>
                <w:rPr>
                  <w:rFonts w:asciiTheme="majorEastAsia" w:hAnsiTheme="majorEastAsia" w:eastAsiaTheme="majorEastAsia"/>
                  <w:sz w:val="12"/>
                  <w:szCs w:val="12"/>
                </w:rPr>
              </w:sdtEndPr>
              <w:sdtContent>
                <w:tc>
                  <w:tcPr>
                    <w:tcW w:w="435"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权益法下确认的投资损益</w:t>
                    </w:r>
                  </w:p>
                </w:tc>
              </w:sdtContent>
            </w:sdt>
            <w:sdt>
              <w:sdtPr>
                <w:rPr>
                  <w:rFonts w:asciiTheme="majorEastAsia" w:hAnsiTheme="majorEastAsia" w:eastAsiaTheme="majorEastAsia"/>
                  <w:sz w:val="12"/>
                  <w:szCs w:val="12"/>
                </w:rPr>
                <w:tag w:val="_PLD_b66787b3a51d435899d94dbab1edade7"/>
                <w:id w:val="-307397343"/>
                <w:lock w:val="sdtLocked"/>
              </w:sdtPr>
              <w:sdtEndPr>
                <w:rPr>
                  <w:rFonts w:asciiTheme="majorEastAsia" w:hAnsiTheme="majorEastAsia" w:eastAsiaTheme="majorEastAsia"/>
                  <w:sz w:val="12"/>
                  <w:szCs w:val="12"/>
                </w:rPr>
              </w:sdtEndPr>
              <w:sdtContent>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其他综合收益调整</w:t>
                    </w:r>
                  </w:p>
                </w:tc>
              </w:sdtContent>
            </w:sdt>
            <w:sdt>
              <w:sdtPr>
                <w:rPr>
                  <w:rFonts w:asciiTheme="majorEastAsia" w:hAnsiTheme="majorEastAsia" w:eastAsiaTheme="majorEastAsia"/>
                  <w:sz w:val="12"/>
                  <w:szCs w:val="12"/>
                </w:rPr>
                <w:tag w:val="_PLD_59166394bf7143a6a5ce0d447326b1ac"/>
                <w:id w:val="-1244413812"/>
                <w:lock w:val="sdtLocked"/>
              </w:sdtPr>
              <w:sdtEndPr>
                <w:rPr>
                  <w:rFonts w:asciiTheme="majorEastAsia" w:hAnsiTheme="majorEastAsia" w:eastAsiaTheme="majorEastAsia"/>
                  <w:sz w:val="12"/>
                  <w:szCs w:val="12"/>
                </w:rPr>
              </w:sdtEndPr>
              <w:sdtContent>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其他权益变动</w:t>
                    </w:r>
                  </w:p>
                </w:tc>
              </w:sdtContent>
            </w:sdt>
            <w:sdt>
              <w:sdtPr>
                <w:rPr>
                  <w:rFonts w:asciiTheme="majorEastAsia" w:hAnsiTheme="majorEastAsia" w:eastAsiaTheme="majorEastAsia"/>
                  <w:sz w:val="12"/>
                  <w:szCs w:val="12"/>
                </w:rPr>
                <w:tag w:val="_PLD_cbd4cf48730a4934a58b86d2c27b6b08"/>
                <w:id w:val="738993741"/>
                <w:lock w:val="sdtLocked"/>
              </w:sdtPr>
              <w:sdtEndPr>
                <w:rPr>
                  <w:rFonts w:asciiTheme="majorEastAsia" w:hAnsiTheme="majorEastAsia" w:eastAsiaTheme="majorEastAsia"/>
                  <w:sz w:val="12"/>
                  <w:szCs w:val="12"/>
                </w:rPr>
              </w:sdtEndPr>
              <w:sdtContent>
                <w:tc>
                  <w:tcPr>
                    <w:tcW w:w="433"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宣告发放现金股利或利润</w:t>
                    </w:r>
                  </w:p>
                </w:tc>
              </w:sdtContent>
            </w:sdt>
            <w:sdt>
              <w:sdtPr>
                <w:rPr>
                  <w:rFonts w:asciiTheme="majorEastAsia" w:hAnsiTheme="majorEastAsia" w:eastAsiaTheme="majorEastAsia"/>
                  <w:sz w:val="12"/>
                  <w:szCs w:val="12"/>
                </w:rPr>
                <w:tag w:val="_PLD_4c0a72e8e14d4b319998bc5bde635ef0"/>
                <w:id w:val="-1249729730"/>
                <w:lock w:val="sdtLocked"/>
              </w:sdtPr>
              <w:sdtEndPr>
                <w:rPr>
                  <w:rFonts w:asciiTheme="majorEastAsia" w:hAnsiTheme="majorEastAsia" w:eastAsiaTheme="majorEastAsia"/>
                  <w:sz w:val="12"/>
                  <w:szCs w:val="12"/>
                </w:rPr>
              </w:sdtEndPr>
              <w:sdtContent>
                <w:tc>
                  <w:tcPr>
                    <w:tcW w:w="428"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计提减值准备</w:t>
                    </w:r>
                  </w:p>
                </w:tc>
              </w:sdtContent>
            </w:sdt>
            <w:sdt>
              <w:sdtPr>
                <w:rPr>
                  <w:rFonts w:asciiTheme="majorEastAsia" w:hAnsiTheme="majorEastAsia" w:eastAsiaTheme="majorEastAsia"/>
                  <w:sz w:val="12"/>
                  <w:szCs w:val="12"/>
                </w:rPr>
                <w:tag w:val="_PLD_ea8213b5ee1442f98996b6dfc1f9a9a4"/>
                <w:id w:val="-183136642"/>
                <w:lock w:val="sdtLocked"/>
              </w:sdtPr>
              <w:sdtEndPr>
                <w:rPr>
                  <w:rFonts w:asciiTheme="majorEastAsia" w:hAnsiTheme="majorEastAsia" w:eastAsiaTheme="majorEastAsia"/>
                  <w:sz w:val="12"/>
                  <w:szCs w:val="12"/>
                </w:rPr>
              </w:sdtEndPr>
              <w:sdtContent>
                <w:tc>
                  <w:tcPr>
                    <w:tcW w:w="418"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其他</w:t>
                    </w:r>
                  </w:p>
                </w:tc>
              </w:sdtContent>
            </w:sdt>
            <w:tc>
              <w:tcPr>
                <w:tcW w:w="426" w:type="pct"/>
                <w:vMerge w:val="continue"/>
                <w:tcBorders>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p>
            </w:tc>
            <w:tc>
              <w:tcPr>
                <w:tcW w:w="414" w:type="pct"/>
                <w:vMerge w:val="continue"/>
                <w:tcBorders>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ajorEastAsia" w:hAnsiTheme="majorEastAsia" w:eastAsiaTheme="majorEastAsia"/>
                  <w:sz w:val="12"/>
                  <w:szCs w:val="12"/>
                </w:rPr>
                <w:tag w:val="_PLD_8204b6b48bf546e3af5babc667d4c84c"/>
                <w:id w:val="-796991470"/>
                <w:lock w:val="sdtLocked"/>
              </w:sdtPr>
              <w:sdtEndPr>
                <w:rPr>
                  <w:rFonts w:asciiTheme="majorEastAsia" w:hAnsiTheme="majorEastAsia" w:eastAsiaTheme="majorEastAsia"/>
                  <w:sz w:val="12"/>
                  <w:szCs w:val="12"/>
                </w:rPr>
              </w:sdtEndPr>
              <w:sdtContent>
                <w:tc>
                  <w:tcPr>
                    <w:tcW w:w="5000" w:type="pct"/>
                    <w:gridSpan w:val="12"/>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hint="eastAsia" w:asciiTheme="majorEastAsia" w:hAnsiTheme="majorEastAsia" w:eastAsiaTheme="majorEastAsia"/>
                        <w:sz w:val="12"/>
                        <w:szCs w:val="12"/>
                      </w:rPr>
                      <w:t>一、合营企业</w:t>
                    </w:r>
                  </w:p>
                </w:tc>
              </w:sdtContent>
            </w:sdt>
          </w:tr>
          <w:sdt>
            <w:sdtPr>
              <w:rPr>
                <w:rFonts w:asciiTheme="majorEastAsia" w:hAnsiTheme="majorEastAsia" w:eastAsiaTheme="majorEastAsia"/>
                <w:sz w:val="12"/>
                <w:szCs w:val="12"/>
              </w:rPr>
              <w:alias w:val="合营企业投资信息明细"/>
              <w:tag w:val="_TUP_03aa82a9df984d7b8487d492b6106380"/>
              <w:id w:val="181521904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        江苏能投新城光伏发电有限公司（“能投新城”）</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9,921,731.43</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705,492.19</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10,627,223.62</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asciiTheme="majorEastAsia" w:hAnsiTheme="majorEastAsia" w:eastAsiaTheme="majorEastAsia"/>
                <w:sz w:val="12"/>
                <w:szCs w:val="12"/>
              </w:rPr>
              <w:alias w:val="合营企业投资信息明细"/>
              <w:tag w:val="_TUP_03aa82a9df984d7b8487d492b6106380"/>
              <w:id w:val="-1215579509"/>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26"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ajorEastAsia" w:hAnsiTheme="majorEastAsia" w:eastAsiaTheme="majorEastAsia"/>
                  <w:sz w:val="12"/>
                  <w:szCs w:val="12"/>
                </w:rPr>
                <w:tag w:val="_PLD_29b8b80db8a747689480382645b9fdb1"/>
                <w:id w:val="-1026476439"/>
                <w:lock w:val="sdtLocked"/>
              </w:sdtPr>
              <w:sdtEndPr>
                <w:rPr>
                  <w:rFonts w:asciiTheme="majorEastAsia" w:hAnsiTheme="majorEastAsia" w:eastAsiaTheme="majorEastAsia"/>
                  <w:sz w:val="12"/>
                  <w:szCs w:val="12"/>
                </w:rPr>
              </w:sdtEndPr>
              <w:sdtContent>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小计</w:t>
                    </w:r>
                  </w:p>
                </w:tc>
              </w:sdtContent>
            </w:sdt>
            <w:tc>
              <w:tcPr>
                <w:tcW w:w="418"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9,921,731.43</w:t>
                </w:r>
              </w:p>
            </w:tc>
            <w:tc>
              <w:tcPr>
                <w:tcW w:w="42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705,492.19</w:t>
                </w: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10,627,223.62</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ajorEastAsia" w:hAnsiTheme="majorEastAsia" w:eastAsiaTheme="majorEastAsia"/>
                  <w:sz w:val="12"/>
                  <w:szCs w:val="12"/>
                </w:rPr>
                <w:tag w:val="_PLD_0b6a8ff5b8594d3fa9d53755249b815f"/>
                <w:id w:val="-1243788168"/>
                <w:lock w:val="sdtLocked"/>
              </w:sdtPr>
              <w:sdtEndPr>
                <w:rPr>
                  <w:rFonts w:asciiTheme="majorEastAsia" w:hAnsiTheme="majorEastAsia" w:eastAsiaTheme="majorEastAsia"/>
                  <w:sz w:val="12"/>
                  <w:szCs w:val="12"/>
                </w:rPr>
              </w:sdtEndPr>
              <w:sdtContent>
                <w:tc>
                  <w:tcPr>
                    <w:tcW w:w="5000" w:type="pct"/>
                    <w:gridSpan w:val="12"/>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hint="eastAsia" w:asciiTheme="majorEastAsia" w:hAnsiTheme="majorEastAsia" w:eastAsiaTheme="majorEastAsia"/>
                        <w:sz w:val="12"/>
                        <w:szCs w:val="12"/>
                      </w:rPr>
                      <w:t>二、联营企业</w:t>
                    </w:r>
                  </w:p>
                </w:tc>
              </w:sdtContent>
            </w:sdt>
          </w:tr>
          <w:sdt>
            <w:sdtPr>
              <w:rPr>
                <w:rFonts w:hint="eastAsia" w:asciiTheme="majorEastAsia" w:hAnsiTheme="majorEastAsia" w:eastAsiaTheme="majorEastAsia"/>
                <w:sz w:val="12"/>
                <w:szCs w:val="12"/>
              </w:rPr>
              <w:alias w:val="联营企业投资信息明细"/>
              <w:tag w:val="_TUP_7b793873cf474c90a258ae813c0395d1"/>
              <w:id w:val="-95861815"/>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江苏悦鑫宁沪天然气有限公司 (“悦鑫宁沪公司”)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11,184,702.95</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639,871.52</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11,824,574.47</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855491861"/>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江苏现代路桥有限责任公司 (“现代路桥公司”)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222,484,332.65</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18,748,042.28</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241,232,374.93</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684817655"/>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江苏高速公路联网营运管理有限公司 (“联网公司”)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59,067,680.91</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2,379,646.21</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61,447,327.12</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91857483"/>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江苏扬子大桥股份有限公司 (“扬子大桥公司”)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2,194,739,782.25</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183,954,000.00</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22,487,569.28</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(34,190,139.60)</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2,366,991,211.93</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374580852"/>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洛德基金公司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22,663,621.20</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(1,496,984.01)</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21,166,637.19</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2027515324"/>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江苏交通文化传媒有限公司 (“文化传媒”)</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77,626,203.86</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3,061,205.71</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80,687,409.57</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540784560"/>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龙源东海风力发电有限公司（“龙源东海”）</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87,596,704.12</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5,540,849.89</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ind w:right="105"/>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93,137,554.01</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160505697"/>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紫金信托有限责任公司 (“紫金信托”)</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2,096,153,026.49</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25,757,162.99</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2,121,910,189.48</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884933914"/>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p>
                  <w:p>
                    <w:pPr>
                      <w:rPr>
                        <w:rFonts w:asciiTheme="majorEastAsia" w:hAnsiTheme="majorEastAsia" w:eastAsiaTheme="majorEastAsia"/>
                        <w:sz w:val="12"/>
                        <w:szCs w:val="12"/>
                      </w:rPr>
                    </w:pPr>
                  </w:p>
                  <w:p>
                    <w:pPr>
                      <w:rPr>
                        <w:rFonts w:asciiTheme="majorEastAsia" w:hAnsiTheme="majorEastAsia" w:eastAsiaTheme="majorEastAsia"/>
                        <w:sz w:val="12"/>
                        <w:szCs w:val="12"/>
                      </w:rPr>
                    </w:pPr>
                    <w:r>
                      <w:rPr>
                        <w:rFonts w:asciiTheme="majorEastAsia" w:hAnsiTheme="majorEastAsia" w:eastAsiaTheme="majorEastAsia"/>
                        <w:sz w:val="12"/>
                        <w:szCs w:val="12"/>
                      </w:rPr>
                      <w:t>江苏交通控股集团财务有限公司 (“集团财务公司”)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708,708,011.31</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19,353,687.50</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(12,500,000.00)</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715,561,698.81</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716014766"/>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苏州市高速公路管理有限公司 (“苏州高速管理”)</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2,154,938,923.37</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64,963,622.00</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2,219,902,545.37</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868945997"/>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苏州金陵南林饭店有限责任公司 (“南林饭店”)</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171,736,912.63</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r>
                      <w:rPr>
                        <w:rFonts w:hint="eastAsia" w:ascii="微软雅黑" w:hAnsi="微软雅黑" w:eastAsia="微软雅黑" w:cs="微软雅黑"/>
                        <w:sz w:val="12"/>
                        <w:szCs w:val="12"/>
                      </w:rPr>
                      <w:t> </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2,762,320.85</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174,499,233.48</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343834969"/>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三峡新能源南通有限公司(“三峡南通”)</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440,033,500.00</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30,457,586.64</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470,491,086.64</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852793921"/>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江苏沿江高速公路有限公司 (“沿江公司”)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2,804,128,690.35</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104,776,501.53</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2,908,905,191.88</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1056981349"/>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快鹿公司</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29,006,148.31</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128,799.20</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29,134,947.51</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364644617"/>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hint="eastAsia" w:asciiTheme="majorEastAsia" w:hAnsiTheme="majorEastAsia" w:eastAsiaTheme="majorEastAsia"/>
                        <w:sz w:val="12"/>
                        <w:szCs w:val="12"/>
                      </w:rPr>
                      <w:t>小计</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11,080,068,240.40</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461,026,312.31</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22,487,569.28</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(46,690,139.60)</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11,516,891,982.39</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sdt>
            <w:sdtPr>
              <w:rPr>
                <w:rFonts w:hint="eastAsia" w:asciiTheme="majorEastAsia" w:hAnsiTheme="majorEastAsia" w:eastAsiaTheme="majorEastAsia"/>
                <w:sz w:val="12"/>
                <w:szCs w:val="12"/>
              </w:rPr>
              <w:alias w:val="联营企业投资信息明细"/>
              <w:tag w:val="_TUP_7b793873cf474c90a258ae813c0395d1"/>
              <w:id w:val="-243953441"/>
              <w:lock w:val="sdtLocked"/>
            </w:sdtPr>
            <w:sdtEndPr>
              <w:rPr>
                <w:rFonts w:hint="default"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合计</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11,089,989,971.83</w:t>
                    </w:r>
                  </w:p>
                </w:tc>
                <w:tc>
                  <w:tcPr>
                    <w:tcW w:w="42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71"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5"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461,731,804.50</w:t>
                    </w:r>
                  </w:p>
                </w:tc>
                <w:tc>
                  <w:tcPr>
                    <w:tcW w:w="390"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22,487,569.28</w:t>
                    </w:r>
                  </w:p>
                </w:tc>
                <w:tc>
                  <w:tcPr>
                    <w:tcW w:w="39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33"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(46,690,139.60)</w:t>
                    </w:r>
                  </w:p>
                </w:tc>
                <w:tc>
                  <w:tcPr>
                    <w:tcW w:w="42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18"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426"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ajorEastAsia" w:hAnsiTheme="majorEastAsia" w:eastAsiaTheme="majorEastAsia"/>
                        <w:sz w:val="12"/>
                        <w:szCs w:val="12"/>
                      </w:rPr>
                    </w:pPr>
                    <w:r>
                      <w:rPr>
                        <w:rFonts w:asciiTheme="majorEastAsia" w:hAnsiTheme="majorEastAsia" w:eastAsiaTheme="majorEastAsia"/>
                        <w:sz w:val="12"/>
                        <w:szCs w:val="12"/>
                      </w:rPr>
                      <w:t>11,527,519,206.01</w:t>
                    </w:r>
                  </w:p>
                </w:tc>
                <w:tc>
                  <w:tcPr>
                    <w:tcW w:w="414" w:type="pct"/>
                    <w:tcBorders>
                      <w:top w:val="single" w:color="auto" w:sz="4" w:space="0"/>
                      <w:left w:val="single" w:color="auto" w:sz="4" w:space="0"/>
                      <w:bottom w:val="single" w:color="auto" w:sz="4" w:space="0"/>
                      <w:right w:val="single" w:color="auto" w:sz="4" w:space="0"/>
                    </w:tcBorders>
                    <w:shd w:val="clear" w:color="auto" w:fill="auto"/>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r>
            </w:sdtContent>
          </w:sdt>
        </w:tbl>
        <w:p>
          <w:pPr>
            <w:snapToGrid w:val="0"/>
            <w:spacing w:line="240" w:lineRule="atLeast"/>
          </w:pPr>
          <w:r>
            <w:rPr>
              <w:rFonts w:hint="eastAsia"/>
            </w:rPr>
            <w:t>其他说明</w:t>
          </w:r>
        </w:p>
        <w:sdt>
          <w:sdtPr>
            <w:rPr>
              <w:rFonts w:hint="eastAsia"/>
            </w:rPr>
            <w:tag w:val="_GBC_ccc3d8feeab24d0e8e4139f2a19cfa7c"/>
            <w:id w:val="1814752995"/>
            <w:lock w:val="sdtLocked"/>
            <w:placeholder>
              <w:docPart w:val="GBC22222222222222222222222222222"/>
            </w:placeholder>
          </w:sdtPr>
          <w:sdtEndPr>
            <w:rPr>
              <w:rFonts w:hint="default"/>
            </w:rPr>
          </w:sdtEndPr>
          <w:sdtContent>
            <w:sdt>
              <w:sdtPr>
                <w:alias w:val="长期股票投资的说明"/>
                <w:tag w:val="_GBC_492b53d02462408a924f069c70a16ce9"/>
                <w:id w:val="457002735"/>
                <w:lock w:val="sdtLocked"/>
                <w:placeholder>
                  <w:docPart w:val="GBC22222222222222222222222222222"/>
                </w:placeholder>
              </w:sdtPr>
              <w:sdtContent>
                <w:p>
                  <w:pPr>
                    <w:snapToGrid w:val="0"/>
                    <w:spacing w:line="240" w:lineRule="atLeast"/>
                  </w:pPr>
                  <w:r>
                    <w:t>注1： 以上被投资单位均为中国境内非上市公司，详细信息参见附注</w:t>
                  </w:r>
                  <w:r>
                    <w:rPr>
                      <w:rFonts w:hint="eastAsia"/>
                    </w:rPr>
                    <w:t>九</w:t>
                  </w:r>
                  <w:r>
                    <w:t>、3</w:t>
                  </w:r>
                  <w:r>
                    <w:rPr>
                      <w:rFonts w:hint="eastAsia" w:ascii="PMingLiU" w:hAnsi="PMingLiU" w:eastAsia="PMingLiU" w:cs="PMingLiU"/>
                    </w:rPr>
                    <w:t>。</w:t>
                  </w:r>
                </w:p>
              </w:sdtContent>
            </w:sdt>
          </w:sdtContent>
        </w:sdt>
      </w:sdtContent>
    </w:sdt>
    <w:bookmarkEnd w:id="182"/>
    <w:p>
      <w:pPr>
        <w:pStyle w:val="114"/>
      </w:pPr>
    </w:p>
    <w:sdt>
      <w:sdtPr>
        <w:rPr>
          <w:rFonts w:hint="eastAsia" w:ascii="宋体" w:hAnsi="宋体" w:cs="宋体"/>
          <w:b w:val="0"/>
          <w:bCs w:val="0"/>
          <w:kern w:val="0"/>
          <w:szCs w:val="21"/>
        </w:rPr>
        <w:alias w:val="模块:其他权益工具投资"/>
        <w:tag w:val="_SEC_a252a6b12c694a478cd66b63ece88d66"/>
        <w:id w:val="-472215556"/>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183" w:name="_Hlk10472053"/>
          <w:r>
            <w:rPr>
              <w:rFonts w:hint="eastAsia" w:ascii="宋体" w:hAnsi="宋体"/>
              <w:szCs w:val="21"/>
            </w:rPr>
            <w:t>其他权益工具投资</w:t>
          </w:r>
        </w:p>
        <w:p>
          <w:pPr>
            <w:pStyle w:val="118"/>
            <w:numPr>
              <w:ilvl w:val="3"/>
              <w:numId w:val="62"/>
            </w:numPr>
            <w:ind w:left="426" w:hanging="426"/>
            <w:rPr>
              <w:rFonts w:ascii="宋体" w:hAnsi="宋体"/>
            </w:rPr>
          </w:pPr>
          <w:bookmarkStart w:id="184" w:name="_Hlk532994936"/>
          <w:r>
            <w:rPr>
              <w:rFonts w:hint="eastAsia" w:ascii="宋体" w:hAnsi="宋体"/>
            </w:rPr>
            <w:t>其他权益工具投资情况</w:t>
          </w:r>
        </w:p>
        <w:sdt>
          <w:sdtPr>
            <w:alias w:val="是否适用：其他权益工具投资情况[双击切换]"/>
            <w:tag w:val="_GBC_d175ecfe27dc4b7592725426a352847c"/>
            <w:id w:val="-85164684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ind w:left="5880" w:right="105"/>
            <w:jc w:val="right"/>
          </w:pPr>
          <w:r>
            <w:rPr>
              <w:rFonts w:hint="eastAsia"/>
            </w:rPr>
            <w:t>单位：</w:t>
          </w:r>
          <w:sdt>
            <w:sdtPr>
              <w:rPr>
                <w:rFonts w:hint="eastAsia"/>
              </w:rPr>
              <w:alias w:val="单位：其他权益工具投资情况"/>
              <w:tag w:val="_GBC_5ba15972ed8942bcb12a0deb317c278c"/>
              <w:id w:val="-8966719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其他权益工具投资情况"/>
              <w:tag w:val="_GBC_8191cbe84b2c4761b07741ed60e5a890"/>
              <w:id w:val="-2108797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bookmarkEnd w:id="184"/>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0"/>
            <w:gridCol w:w="2688"/>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7475a7ed00c4147abad11fc989c691b"/>
                <w:id w:val="1979261142"/>
                <w:lock w:val="sdtLocked"/>
              </w:sdtPr>
              <w:sdtContent>
                <w:tc>
                  <w:tcPr>
                    <w:tcW w:w="2017" w:type="pct"/>
                    <w:shd w:val="clear" w:color="auto" w:fill="auto"/>
                    <w:vAlign w:val="center"/>
                  </w:tcPr>
                  <w:p>
                    <w:pPr>
                      <w:jc w:val="center"/>
                    </w:pPr>
                    <w:r>
                      <w:rPr>
                        <w:rFonts w:hint="eastAsia"/>
                      </w:rPr>
                      <w:t>项目</w:t>
                    </w:r>
                  </w:p>
                </w:tc>
              </w:sdtContent>
            </w:sdt>
            <w:sdt>
              <w:sdtPr>
                <w:tag w:val="_PLD_d7f2f3494b3446d8ae4631f63b2c7e8e"/>
                <w:id w:val="-9680018"/>
                <w:lock w:val="sdtLocked"/>
              </w:sdtPr>
              <w:sdtContent>
                <w:tc>
                  <w:tcPr>
                    <w:tcW w:w="1485" w:type="pct"/>
                    <w:shd w:val="clear" w:color="auto" w:fill="auto"/>
                    <w:vAlign w:val="center"/>
                  </w:tcPr>
                  <w:p>
                    <w:pPr>
                      <w:autoSpaceDE w:val="0"/>
                      <w:autoSpaceDN w:val="0"/>
                      <w:adjustRightInd w:val="0"/>
                      <w:snapToGrid w:val="0"/>
                      <w:spacing w:line="240" w:lineRule="atLeast"/>
                      <w:jc w:val="center"/>
                    </w:pPr>
                    <w:r>
                      <w:rPr>
                        <w:rFonts w:hint="eastAsia"/>
                      </w:rPr>
                      <w:t>期末余额</w:t>
                    </w:r>
                  </w:p>
                </w:tc>
              </w:sdtContent>
            </w:sdt>
            <w:sdt>
              <w:sdtPr>
                <w:tag w:val="_PLD_9f4168295fb3439f8426e5fe728b845b"/>
                <w:id w:val="295968648"/>
                <w:lock w:val="sdtLocked"/>
              </w:sdtPr>
              <w:sdtContent>
                <w:tc>
                  <w:tcPr>
                    <w:tcW w:w="1498" w:type="pct"/>
                    <w:shd w:val="clear" w:color="auto" w:fill="auto"/>
                    <w:vAlign w:val="center"/>
                  </w:tcPr>
                  <w:p>
                    <w:pPr>
                      <w:autoSpaceDE w:val="0"/>
                      <w:autoSpaceDN w:val="0"/>
                      <w:adjustRightInd w:val="0"/>
                      <w:snapToGrid w:val="0"/>
                      <w:spacing w:line="240" w:lineRule="atLeast"/>
                      <w:jc w:val="center"/>
                    </w:pPr>
                    <w:r>
                      <w:rPr>
                        <w:rFonts w:hint="eastAsia"/>
                      </w:rPr>
                      <w:t>期初余额</w:t>
                    </w:r>
                  </w:p>
                </w:tc>
              </w:sdtContent>
            </w:sdt>
          </w:tr>
          <w:sdt>
            <w:sdtPr>
              <w:alias w:val="其他权益工具投资明细"/>
              <w:tag w:val="_TUP_6afa3e8ae24c4d689dd00c7fc35b2c46"/>
              <w:id w:val="-25136254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pPr>
                      <w:pStyle w:val="114"/>
                    </w:pPr>
                    <w:r>
                      <w:t>江苏银行股份有限公司（“江苏银行”）</w:t>
                    </w:r>
                  </w:p>
                </w:tc>
                <w:tc>
                  <w:tcPr>
                    <w:tcW w:w="1485" w:type="pct"/>
                    <w:shd w:val="clear" w:color="auto" w:fill="auto"/>
                  </w:tcPr>
                  <w:p>
                    <w:pPr>
                      <w:jc w:val="right"/>
                    </w:pPr>
                    <w:r>
                      <w:t>5,754,100,380.00</w:t>
                    </w:r>
                  </w:p>
                </w:tc>
                <w:tc>
                  <w:tcPr>
                    <w:tcW w:w="1498" w:type="pct"/>
                    <w:shd w:val="clear" w:color="auto" w:fill="auto"/>
                  </w:tcPr>
                  <w:p>
                    <w:pPr>
                      <w:jc w:val="right"/>
                    </w:pPr>
                    <w:r>
                      <w:t>5,707,128,132.00</w:t>
                    </w:r>
                  </w:p>
                </w:tc>
              </w:tr>
            </w:sdtContent>
          </w:sdt>
          <w:sdt>
            <w:sdtPr>
              <w:alias w:val="其他权益工具投资明细"/>
              <w:tag w:val="_TUP_6afa3e8ae24c4d689dd00c7fc35b2c46"/>
              <w:id w:val="201780717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pPr>
                      <w:pStyle w:val="114"/>
                    </w:pPr>
                    <w:r>
                      <w:t>江苏金融租赁股份有限公司（“江苏租赁”）</w:t>
                    </w:r>
                  </w:p>
                </w:tc>
                <w:tc>
                  <w:tcPr>
                    <w:tcW w:w="1485" w:type="pct"/>
                    <w:shd w:val="clear" w:color="auto" w:fill="auto"/>
                  </w:tcPr>
                  <w:p>
                    <w:pPr>
                      <w:jc w:val="right"/>
                    </w:pPr>
                    <w:r>
                      <w:t>1,352,988,000.00</w:t>
                    </w:r>
                  </w:p>
                </w:tc>
                <w:tc>
                  <w:tcPr>
                    <w:tcW w:w="1498" w:type="pct"/>
                    <w:shd w:val="clear" w:color="auto" w:fill="auto"/>
                  </w:tcPr>
                  <w:p>
                    <w:pPr>
                      <w:jc w:val="right"/>
                    </w:pPr>
                    <w:r>
                      <w:t>1,282,320,000.00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e61ba0c2e3c4f1891477e6427f0532c"/>
                <w:id w:val="716477091"/>
                <w:lock w:val="sdtLocked"/>
              </w:sdtPr>
              <w:sdtContent>
                <w:tc>
                  <w:tcPr>
                    <w:tcW w:w="2017" w:type="pct"/>
                    <w:shd w:val="clear" w:color="auto" w:fill="auto"/>
                    <w:vAlign w:val="center"/>
                  </w:tcPr>
                  <w:p>
                    <w:pPr>
                      <w:jc w:val="center"/>
                    </w:pPr>
                    <w:r>
                      <w:rPr>
                        <w:rFonts w:hint="eastAsia"/>
                      </w:rPr>
                      <w:t>合计</w:t>
                    </w:r>
                  </w:p>
                </w:tc>
              </w:sdtContent>
            </w:sdt>
            <w:tc>
              <w:tcPr>
                <w:tcW w:w="1485" w:type="pct"/>
                <w:shd w:val="clear" w:color="auto" w:fill="auto"/>
              </w:tcPr>
              <w:p>
                <w:pPr>
                  <w:jc w:val="right"/>
                </w:pPr>
                <w:r>
                  <w:t>7,107,088,380.00</w:t>
                </w:r>
              </w:p>
            </w:tc>
            <w:tc>
              <w:tcPr>
                <w:tcW w:w="1498" w:type="pct"/>
                <w:shd w:val="clear" w:color="auto" w:fill="auto"/>
              </w:tcPr>
              <w:p>
                <w:pPr>
                  <w:jc w:val="right"/>
                </w:pPr>
                <w:r>
                  <w:t>6,989,448,132.00</w:t>
                </w:r>
              </w:p>
            </w:tc>
          </w:tr>
        </w:tbl>
        <w:p>
          <w:pPr>
            <w:pStyle w:val="114"/>
          </w:pPr>
        </w:p>
      </w:sdtContent>
    </w:sdt>
    <w:bookmarkEnd w:id="183"/>
    <w:sdt>
      <w:sdtPr>
        <w:rPr>
          <w:rFonts w:hint="eastAsia" w:ascii="宋体" w:hAnsi="宋体" w:cs="宋体"/>
          <w:b w:val="0"/>
          <w:bCs w:val="0"/>
          <w:kern w:val="0"/>
          <w:szCs w:val="24"/>
        </w:rPr>
        <w:alias w:val="模块:非交易性权益工具投资的情况"/>
        <w:tag w:val="_SEC_cfe1ba6c98894c1f8f64c41c9a5b8180"/>
        <w:id w:val="-710573588"/>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3"/>
              <w:numId w:val="62"/>
            </w:numPr>
            <w:ind w:left="426" w:hanging="426"/>
            <w:rPr>
              <w:rFonts w:ascii="宋体" w:hAnsi="宋体"/>
              <w:color w:val="FF0000"/>
            </w:rPr>
          </w:pPr>
          <w:bookmarkStart w:id="185" w:name="_Hlk10472075"/>
          <w:bookmarkStart w:id="186" w:name="_Hlk10472085"/>
          <w:r>
            <w:rPr>
              <w:rFonts w:hint="eastAsia" w:ascii="宋体" w:hAnsi="宋体"/>
            </w:rPr>
            <w:t>非交易性权益工具投资的情况</w:t>
          </w:r>
          <w:bookmarkEnd w:id="185"/>
        </w:p>
        <w:sdt>
          <w:sdtPr>
            <w:alias w:val="是否适用：非交易性权益工具投资情况[双击切换]"/>
            <w:tag w:val="_GBC_5bc286b941b942a6afabd12760854b2c"/>
            <w:id w:val="38299837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非交易性权益工具投资情况"/>
              <w:tag w:val="_GBC_24a73daa93104b4ea19d564a3c3c97e1"/>
              <w:id w:val="-1348098132"/>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非交易性权益工具投资情况"/>
              <w:tag w:val="_GBC_aa2f55d9b37b492197f09a2900567cae"/>
              <w:id w:val="-67526579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6"/>
            <w:gridCol w:w="1840"/>
            <w:gridCol w:w="1896"/>
            <w:gridCol w:w="2137"/>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06d252659634d18b7d4e58918fb73e5"/>
                <w:id w:val="898323437"/>
                <w:lock w:val="sdtLocked"/>
              </w:sdtPr>
              <w:sdtContent>
                <w:tc>
                  <w:tcPr>
                    <w:tcW w:w="876" w:type="pct"/>
                    <w:vAlign w:val="center"/>
                  </w:tcPr>
                  <w:p>
                    <w:pPr>
                      <w:jc w:val="center"/>
                    </w:pPr>
                    <w:r>
                      <w:rPr>
                        <w:rFonts w:hint="eastAsia"/>
                      </w:rPr>
                      <w:t>项目</w:t>
                    </w:r>
                  </w:p>
                </w:tc>
              </w:sdtContent>
            </w:sdt>
            <w:sdt>
              <w:sdtPr>
                <w:tag w:val="_PLD_e52742bf0c554cc1b48c5d5adef8e252"/>
                <w:id w:val="149960320"/>
                <w:lock w:val="sdtLocked"/>
              </w:sdtPr>
              <w:sdtContent>
                <w:tc>
                  <w:tcPr>
                    <w:tcW w:w="1055" w:type="pct"/>
                    <w:vAlign w:val="center"/>
                  </w:tcPr>
                  <w:p>
                    <w:pPr>
                      <w:jc w:val="center"/>
                    </w:pPr>
                    <w:r>
                      <w:rPr>
                        <w:rFonts w:hint="eastAsia"/>
                      </w:rPr>
                      <w:t>本期确认的股利收入</w:t>
                    </w:r>
                  </w:p>
                </w:tc>
              </w:sdtContent>
            </w:sdt>
            <w:sdt>
              <w:sdtPr>
                <w:tag w:val="_PLD_f2bab6835cbb4dca9c54431b8410da07"/>
                <w:id w:val="482047722"/>
                <w:lock w:val="sdtLocked"/>
              </w:sdtPr>
              <w:sdtContent>
                <w:tc>
                  <w:tcPr>
                    <w:tcW w:w="891" w:type="pct"/>
                    <w:vAlign w:val="center"/>
                  </w:tcPr>
                  <w:p>
                    <w:pPr>
                      <w:jc w:val="center"/>
                    </w:pPr>
                    <w:r>
                      <w:rPr>
                        <w:rFonts w:hint="eastAsia"/>
                      </w:rPr>
                      <w:t>累计利得</w:t>
                    </w:r>
                  </w:p>
                </w:tc>
              </w:sdtContent>
            </w:sdt>
            <w:sdt>
              <w:sdtPr>
                <w:tag w:val="_PLD_cd4f58ef44f64eaeada88bb43d9c1bca"/>
                <w:id w:val="1506556794"/>
                <w:lock w:val="sdtLocked"/>
              </w:sdtPr>
              <w:sdtContent>
                <w:tc>
                  <w:tcPr>
                    <w:tcW w:w="1219" w:type="pct"/>
                    <w:vAlign w:val="center"/>
                  </w:tcPr>
                  <w:p>
                    <w:pPr>
                      <w:jc w:val="center"/>
                    </w:pPr>
                    <w:r>
                      <w:rPr>
                        <w:rFonts w:hint="eastAsia"/>
                      </w:rPr>
                      <w:t>其他综合收益转入留存收益的金额</w:t>
                    </w:r>
                  </w:p>
                </w:tc>
              </w:sdtContent>
            </w:sdt>
            <w:sdt>
              <w:sdtPr>
                <w:tag w:val="_PLD_db388ca434e6444ab28298438291ce2a"/>
                <w:id w:val="421457992"/>
                <w:lock w:val="sdtLocked"/>
              </w:sdtPr>
              <w:sdtContent>
                <w:tc>
                  <w:tcPr>
                    <w:tcW w:w="955" w:type="pct"/>
                    <w:vAlign w:val="center"/>
                  </w:tcPr>
                  <w:p>
                    <w:pPr>
                      <w:jc w:val="center"/>
                    </w:pPr>
                    <w:r>
                      <w:rPr>
                        <w:rFonts w:hint="eastAsia"/>
                      </w:rPr>
                      <w:t>其他综合收益转入留存收益的原因</w:t>
                    </w:r>
                  </w:p>
                </w:tc>
              </w:sdtContent>
            </w:sdt>
          </w:tr>
          <w:sdt>
            <w:sdtPr>
              <w:rPr>
                <w:rFonts w:asciiTheme="minorHAnsi" w:hAnsiTheme="minorHAnsi" w:eastAsiaTheme="minorEastAsia" w:cstheme="minorBidi"/>
                <w:sz w:val="22"/>
                <w:szCs w:val="22"/>
                <w:lang w:val="en-GB"/>
              </w:rPr>
              <w:alias w:val="非交易性权益工具投资明细"/>
              <w:tag w:val="_TUP_14a75d39b9664231aa6975a07b0c79b1"/>
              <w:id w:val="1787626362"/>
              <w:lock w:val="sdtLocked"/>
            </w:sdtPr>
            <w:sdtEndPr>
              <w:rPr>
                <w:rFonts w:asciiTheme="minorHAnsi" w:hAnsiTheme="minorHAnsi" w:eastAsiaTheme="minorEastAsia" w:cstheme="minorBidi"/>
                <w:sz w:val="22"/>
                <w:szCs w:val="22"/>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pct"/>
                  </w:tcPr>
                  <w:p>
                    <w:r>
                      <w:rPr>
                        <w:rFonts w:hint="eastAsia" w:asciiTheme="minorHAnsi" w:hAnsiTheme="minorHAnsi" w:eastAsiaTheme="minorEastAsia" w:cstheme="minorBidi"/>
                        <w:sz w:val="22"/>
                        <w:szCs w:val="22"/>
                        <w:lang w:val="en-GB"/>
                      </w:rPr>
                      <w:t>江苏银行（注</w:t>
                    </w:r>
                    <w:r>
                      <w:rPr>
                        <w:rFonts w:asciiTheme="minorHAnsi" w:hAnsiTheme="minorHAnsi" w:eastAsiaTheme="minorEastAsia" w:cstheme="minorBidi"/>
                        <w:sz w:val="22"/>
                        <w:szCs w:val="22"/>
                        <w:lang w:val="en-GB"/>
                      </w:rPr>
                      <w:t>1）</w:t>
                    </w:r>
                  </w:p>
                </w:tc>
                <w:tc>
                  <w:tcPr>
                    <w:tcW w:w="1055" w:type="pct"/>
                  </w:tcPr>
                  <w:p>
                    <w:pPr>
                      <w:jc w:val="right"/>
                    </w:pPr>
                    <w:r>
                      <w:t xml:space="preserve">-   </w:t>
                    </w:r>
                  </w:p>
                </w:tc>
                <w:tc>
                  <w:tcPr>
                    <w:tcW w:w="891" w:type="pct"/>
                    <w:vAlign w:val="center"/>
                  </w:tcPr>
                  <w:p>
                    <w:pPr>
                      <w:jc w:val="right"/>
                    </w:pPr>
                    <w:r>
                      <w:t>1,124,569,552.56</w:t>
                    </w:r>
                  </w:p>
                </w:tc>
                <w:tc>
                  <w:tcPr>
                    <w:tcW w:w="1219" w:type="pct"/>
                  </w:tcPr>
                  <w:p>
                    <w:pPr>
                      <w:jc w:val="right"/>
                    </w:pPr>
                    <w:r>
                      <w:t>-</w:t>
                    </w:r>
                  </w:p>
                </w:tc>
                <w:tc>
                  <w:tcPr>
                    <w:tcW w:w="955" w:type="pct"/>
                  </w:tcPr>
                  <w:p>
                    <w:r>
                      <w:rPr>
                        <w:rFonts w:hint="eastAsia"/>
                      </w:rPr>
                      <w:t>不适用</w:t>
                    </w:r>
                  </w:p>
                </w:tc>
              </w:tr>
            </w:sdtContent>
          </w:sdt>
          <w:sdt>
            <w:sdtPr>
              <w:rPr>
                <w:rFonts w:asciiTheme="minorHAnsi" w:hAnsiTheme="minorHAnsi" w:eastAsiaTheme="minorEastAsia" w:cstheme="minorBidi"/>
                <w:sz w:val="22"/>
                <w:szCs w:val="22"/>
                <w:lang w:val="en-GB"/>
              </w:rPr>
              <w:alias w:val="非交易性权益工具投资明细"/>
              <w:tag w:val="_TUP_14a75d39b9664231aa6975a07b0c79b1"/>
              <w:id w:val="-1272160946"/>
              <w:lock w:val="sdtLocked"/>
            </w:sdtPr>
            <w:sdtEndPr>
              <w:rPr>
                <w:rFonts w:asciiTheme="minorHAnsi" w:hAnsiTheme="minorHAnsi" w:eastAsiaTheme="minorEastAsia" w:cstheme="minorBidi"/>
                <w:sz w:val="22"/>
                <w:szCs w:val="22"/>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pct"/>
                  </w:tcPr>
                  <w:p>
                    <w:r>
                      <w:rPr>
                        <w:rFonts w:hint="eastAsia" w:asciiTheme="minorHAnsi" w:hAnsiTheme="minorHAnsi" w:eastAsiaTheme="minorEastAsia" w:cstheme="minorBidi"/>
                        <w:sz w:val="22"/>
                        <w:szCs w:val="22"/>
                        <w:lang w:val="en-GB"/>
                      </w:rPr>
                      <w:t>江苏租赁（注2</w:t>
                    </w:r>
                    <w:r>
                      <w:rPr>
                        <w:rFonts w:asciiTheme="minorHAnsi" w:hAnsiTheme="minorHAnsi" w:eastAsiaTheme="minorEastAsia" w:cstheme="minorBidi"/>
                        <w:sz w:val="22"/>
                        <w:szCs w:val="22"/>
                        <w:lang w:val="en-GB"/>
                      </w:rPr>
                      <w:t>）</w:t>
                    </w:r>
                  </w:p>
                </w:tc>
                <w:tc>
                  <w:tcPr>
                    <w:tcW w:w="1055" w:type="pct"/>
                  </w:tcPr>
                  <w:p>
                    <w:pPr>
                      <w:jc w:val="right"/>
                    </w:pPr>
                    <w:r>
                      <w:t xml:space="preserve">81,900,000.00 </w:t>
                    </w:r>
                  </w:p>
                </w:tc>
                <w:tc>
                  <w:tcPr>
                    <w:tcW w:w="891" w:type="pct"/>
                    <w:vAlign w:val="center"/>
                  </w:tcPr>
                  <w:p>
                    <w:pPr>
                      <w:jc w:val="right"/>
                    </w:pPr>
                    <w:r>
                      <w:t>1,082,089,543.11</w:t>
                    </w:r>
                  </w:p>
                </w:tc>
                <w:tc>
                  <w:tcPr>
                    <w:tcW w:w="1219" w:type="pct"/>
                  </w:tcPr>
                  <w:p>
                    <w:pPr>
                      <w:jc w:val="right"/>
                    </w:pPr>
                    <w:r>
                      <w:t>-</w:t>
                    </w:r>
                  </w:p>
                </w:tc>
                <w:tc>
                  <w:tcPr>
                    <w:tcW w:w="955" w:type="pct"/>
                  </w:tcPr>
                  <w:p>
                    <w:r>
                      <w:rPr>
                        <w:rFonts w:hint="eastAsia"/>
                      </w:rPr>
                      <w:t>不适用</w:t>
                    </w:r>
                  </w:p>
                </w:tc>
              </w:tr>
            </w:sdtContent>
          </w:sdt>
        </w:tbl>
        <w:p>
          <w:pPr>
            <w:pStyle w:val="114"/>
          </w:pPr>
        </w:p>
        <w:p>
          <w:pPr>
            <w:pStyle w:val="114"/>
          </w:pPr>
        </w:p>
      </w:sdtContent>
    </w:sdt>
    <w:bookmarkEnd w:id="186"/>
    <w:sdt>
      <w:sdtPr>
        <w:rPr>
          <w:rFonts w:hint="eastAsia"/>
        </w:rPr>
        <w:alias w:val="模块:其他说明："/>
        <w:tag w:val="_SEC_e3d4d5136ad847a0a66a1c4edca28c29"/>
        <w:id w:val="1172456140"/>
        <w:lock w:val="sdtLocked"/>
        <w:placeholder>
          <w:docPart w:val="GBC22222222222222222222222222222"/>
        </w:placeholder>
      </w:sdtPr>
      <w:sdtEndPr>
        <w:rPr>
          <w:rFonts w:hint="default"/>
        </w:rPr>
      </w:sdtEndPr>
      <w:sdtContent>
        <w:p>
          <w:pPr>
            <w:pStyle w:val="114"/>
          </w:pPr>
          <w:bookmarkStart w:id="187" w:name="_Hlk10472110"/>
          <w:bookmarkStart w:id="188" w:name="_Hlk10472118"/>
          <w:r>
            <w:rPr>
              <w:rFonts w:hint="eastAsia"/>
            </w:rPr>
            <w:t>其他</w:t>
          </w:r>
          <w:r>
            <w:t>说明</w:t>
          </w:r>
          <w:r>
            <w:rPr>
              <w:rFonts w:hint="eastAsia"/>
            </w:rPr>
            <w:t>：</w:t>
          </w:r>
          <w:bookmarkEnd w:id="187"/>
        </w:p>
        <w:sdt>
          <w:sdtPr>
            <w:alias w:val="是否适用：其他权益工具投资其他说明[双击切换]"/>
            <w:tag w:val="_GBC_9bd79d8d324a4f4c984344781e18ee35"/>
            <w:id w:val="-203734626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权益工具投资其他说明"/>
            <w:tag w:val="_GBC_2ddf2f7c39904ba79afaefe2bbb25ad8"/>
            <w:id w:val="1692110271"/>
            <w:lock w:val="sdtLocked"/>
            <w:placeholder>
              <w:docPart w:val="GBC22222222222222222222222222222"/>
            </w:placeholder>
          </w:sdtPr>
          <w:sdtContent>
            <w:p>
              <w:pPr>
                <w:snapToGrid w:val="0"/>
                <w:spacing w:line="240" w:lineRule="atLeast"/>
              </w:pPr>
              <w:r>
                <w:rPr>
                  <w:rFonts w:hint="eastAsia"/>
                </w:rPr>
                <w:t>注</w:t>
              </w:r>
              <w:r>
                <w:t>1：</w:t>
              </w:r>
              <w:r>
                <w:tab/>
              </w:r>
              <w:r>
                <w:t>系本集团持有的A股上市公司江苏银行股份有限公司的普通股股权，江苏银行股份有限公司股票于2016年上市。本集团将其指定为以公允价值计量且其变动计入其他综合收益的金融资产，其公允价值的后续变动计入其他综合收益。</w:t>
              </w:r>
            </w:p>
            <w:p>
              <w:pPr>
                <w:snapToGrid w:val="0"/>
                <w:spacing w:line="240" w:lineRule="atLeast"/>
              </w:pPr>
            </w:p>
            <w:p>
              <w:pPr>
                <w:snapToGrid w:val="0"/>
                <w:spacing w:line="240" w:lineRule="atLeast"/>
              </w:pPr>
              <w:r>
                <w:rPr>
                  <w:rFonts w:hint="eastAsia"/>
                </w:rPr>
                <w:t>注</w:t>
              </w:r>
              <w:r>
                <w:t>2：</w:t>
              </w:r>
              <w:r>
                <w:tab/>
              </w:r>
              <w:r>
                <w:t>系本集团持有的A股上市公司江苏金融租赁股份有限公司的普通股股权，江苏租赁股票于2018年上市，本集团将其指定为以公允价值计量且其变动计入其他综合收益的金融资产，其公允价值的后续变动计入其他综合收益。</w:t>
              </w:r>
            </w:p>
          </w:sdtContent>
        </w:sdt>
      </w:sdtContent>
    </w:sdt>
    <w:bookmarkEnd w:id="188"/>
    <w:p>
      <w:pPr>
        <w:pStyle w:val="114"/>
      </w:pPr>
    </w:p>
    <w:sdt>
      <w:sdtPr>
        <w:rPr>
          <w:rFonts w:hint="eastAsia" w:ascii="宋体" w:hAnsi="宋体" w:cs="宋体"/>
          <w:b w:val="0"/>
          <w:bCs w:val="0"/>
          <w:kern w:val="0"/>
          <w:szCs w:val="21"/>
        </w:rPr>
        <w:alias w:val="模块:其他非流动金融资产"/>
        <w:tag w:val="_SEC_6895bb6903584ff780f3500311ed1560"/>
        <w:id w:val="-171981719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189" w:name="_Hlk10472259"/>
          <w:r>
            <w:rPr>
              <w:rFonts w:hint="eastAsia" w:ascii="宋体" w:hAnsi="宋体"/>
              <w:szCs w:val="21"/>
            </w:rPr>
            <w:t>其他非流动金融资产</w:t>
          </w:r>
        </w:p>
        <w:sdt>
          <w:sdtPr>
            <w:alias w:val="是否适用：其他非流动金融资产[双击切换]"/>
            <w:tag w:val="_GBC_39a16d6030db4b008bd8e70705c49dd5"/>
            <w:id w:val="-67973247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42"/>
            <w:ind w:left="420" w:firstLine="0" w:firstLineChars="0"/>
            <w:jc w:val="right"/>
            <w:rPr>
              <w:rFonts w:ascii="宋体" w:hAnsi="宋体"/>
            </w:rPr>
          </w:pPr>
          <w:r>
            <w:rPr>
              <w:rFonts w:hint="eastAsia" w:ascii="宋体" w:hAnsi="宋体"/>
            </w:rPr>
            <w:t>单位：</w:t>
          </w:r>
          <w:sdt>
            <w:sdtPr>
              <w:rPr>
                <w:rFonts w:hint="eastAsia" w:ascii="宋体" w:hAnsi="宋体"/>
              </w:rPr>
              <w:alias w:val="单位：其他非流动金融资产"/>
              <w:tag w:val="_GBC_5b71e344ee4a4b75b4e1ad6a64a64951"/>
              <w:id w:val="17442154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rPr>
            </w:sdtEndPr>
            <w:sdtContent>
              <w:r>
                <w:rPr>
                  <w:rFonts w:hint="eastAsia" w:ascii="宋体" w:hAnsi="宋体"/>
                </w:rPr>
                <w:t>元</w:t>
              </w:r>
            </w:sdtContent>
          </w:sdt>
          <w:r>
            <w:rPr>
              <w:rFonts w:hint="eastAsia" w:ascii="宋体" w:hAnsi="宋体"/>
            </w:rPr>
            <w:t xml:space="preserve">  币种：</w:t>
          </w:r>
          <w:sdt>
            <w:sdtPr>
              <w:rPr>
                <w:rFonts w:hint="eastAsia" w:ascii="宋体" w:hAnsi="宋体"/>
              </w:rPr>
              <w:alias w:val="币种：其他非流动金融资产"/>
              <w:tag w:val="_GBC_328ac62ac4c04ba5a240d189e78801d2"/>
              <w:id w:val="-3213493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rPr>
            </w:sdtEndPr>
            <w:sdtContent>
              <w:r>
                <w:rPr>
                  <w:rFonts w:hint="eastAsia" w:ascii="宋体" w:hAnsi="宋体"/>
                </w:rPr>
                <w:t>人民币</w:t>
              </w:r>
            </w:sdtContent>
          </w:sdt>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0"/>
            <w:gridCol w:w="2688"/>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68e897e0b6d4c33891110578462f85a"/>
                <w:id w:val="-1518919951"/>
                <w:lock w:val="sdtLocked"/>
              </w:sdtPr>
              <w:sdtContent>
                <w:tc>
                  <w:tcPr>
                    <w:tcW w:w="2017" w:type="pct"/>
                    <w:shd w:val="clear" w:color="auto" w:fill="auto"/>
                    <w:vAlign w:val="center"/>
                  </w:tcPr>
                  <w:p>
                    <w:pPr>
                      <w:jc w:val="center"/>
                    </w:pPr>
                    <w:r>
                      <w:rPr>
                        <w:rFonts w:hint="eastAsia"/>
                      </w:rPr>
                      <w:t>项目</w:t>
                    </w:r>
                  </w:p>
                </w:tc>
              </w:sdtContent>
            </w:sdt>
            <w:sdt>
              <w:sdtPr>
                <w:tag w:val="_PLD_1b9292064fbf4f529dddfa8a709ecb23"/>
                <w:id w:val="1295028626"/>
                <w:lock w:val="sdtLocked"/>
              </w:sdtPr>
              <w:sdtContent>
                <w:tc>
                  <w:tcPr>
                    <w:tcW w:w="1485" w:type="pct"/>
                    <w:shd w:val="clear" w:color="auto" w:fill="auto"/>
                    <w:vAlign w:val="center"/>
                  </w:tcPr>
                  <w:p>
                    <w:pPr>
                      <w:autoSpaceDE w:val="0"/>
                      <w:autoSpaceDN w:val="0"/>
                      <w:adjustRightInd w:val="0"/>
                      <w:snapToGrid w:val="0"/>
                      <w:spacing w:line="240" w:lineRule="atLeast"/>
                      <w:jc w:val="center"/>
                    </w:pPr>
                    <w:r>
                      <w:rPr>
                        <w:rFonts w:hint="eastAsia"/>
                      </w:rPr>
                      <w:t>期末余额</w:t>
                    </w:r>
                  </w:p>
                </w:tc>
              </w:sdtContent>
            </w:sdt>
            <w:sdt>
              <w:sdtPr>
                <w:tag w:val="_PLD_eb417a8c21ba4afd967834600316003d"/>
                <w:id w:val="-478452837"/>
                <w:lock w:val="sdtLocked"/>
              </w:sdtPr>
              <w:sdtContent>
                <w:tc>
                  <w:tcPr>
                    <w:tcW w:w="1498" w:type="pct"/>
                    <w:shd w:val="clear" w:color="auto" w:fill="auto"/>
                    <w:vAlign w:val="center"/>
                  </w:tcPr>
                  <w:p>
                    <w:pPr>
                      <w:autoSpaceDE w:val="0"/>
                      <w:autoSpaceDN w:val="0"/>
                      <w:adjustRightInd w:val="0"/>
                      <w:snapToGrid w:val="0"/>
                      <w:spacing w:line="240" w:lineRule="atLeast"/>
                      <w:jc w:val="center"/>
                    </w:pPr>
                    <w:r>
                      <w:rPr>
                        <w:rFonts w:hint="eastAsia"/>
                      </w:rPr>
                      <w:t>期初余额</w:t>
                    </w:r>
                  </w:p>
                </w:tc>
              </w:sdtContent>
            </w:sdt>
          </w:tr>
          <w:sdt>
            <w:sdtPr>
              <w:rPr>
                <w:rFonts w:asciiTheme="minorHAnsi" w:hAnsiTheme="minorHAnsi" w:eastAsiaTheme="minorEastAsia" w:cstheme="minorBidi"/>
                <w:sz w:val="22"/>
                <w:szCs w:val="22"/>
                <w:lang w:val="en-GB"/>
              </w:rPr>
              <w:alias w:val="其他非流动金融资产明细"/>
              <w:tag w:val="_TUP_ba201d1821ad43148235a005a3d4c647"/>
              <w:id w:val="-1701544658"/>
            </w:sdtPr>
            <w:sdtEndPr>
              <w:rPr>
                <w:rFonts w:asciiTheme="minorHAnsi" w:hAnsiTheme="minorHAnsi" w:eastAsiaTheme="minorEastAsia" w:cstheme="minorBidi"/>
                <w:sz w:val="22"/>
                <w:szCs w:val="22"/>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t>以公允价值计量且其变动计入当期损益的金融资产</w:t>
                    </w:r>
                  </w:p>
                </w:tc>
                <w:tc>
                  <w:tcPr>
                    <w:tcW w:w="1485" w:type="pct"/>
                    <w:shd w:val="clear" w:color="auto" w:fill="auto"/>
                  </w:tcPr>
                  <w:p>
                    <w:pPr>
                      <w:jc w:val="right"/>
                    </w:pPr>
                    <w:r>
                      <w:t>2,932,587,194.25</w:t>
                    </w:r>
                  </w:p>
                </w:tc>
                <w:tc>
                  <w:tcPr>
                    <w:tcW w:w="1498" w:type="pct"/>
                    <w:shd w:val="clear" w:color="auto" w:fill="auto"/>
                  </w:tcPr>
                  <w:p>
                    <w:pPr>
                      <w:jc w:val="right"/>
                    </w:pPr>
                    <w:r>
                      <w:t>2,877,355,787.11</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rPr>
                    <w:rFonts w:hint="eastAsia"/>
                  </w:rPr>
                  <w:t>其中：于合伙企业之股权投资</w:t>
                </w:r>
              </w:p>
            </w:tc>
            <w:tc>
              <w:tcPr>
                <w:tcW w:w="1485" w:type="pct"/>
                <w:shd w:val="clear" w:color="auto" w:fill="auto"/>
              </w:tcPr>
              <w:p>
                <w:pPr>
                  <w:jc w:val="right"/>
                  <w:rPr>
                    <w:highlight w:val="yellow"/>
                  </w:rPr>
                </w:pPr>
              </w:p>
            </w:tc>
            <w:tc>
              <w:tcPr>
                <w:tcW w:w="1498" w:type="pct"/>
                <w:shd w:val="clear" w:color="auto" w:fill="auto"/>
              </w:tcPr>
              <w:p>
                <w:pPr>
                  <w:jc w:val="right"/>
                  <w:rPr>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rPr>
                    <w:rFonts w:hint="eastAsia"/>
                  </w:rPr>
                  <w:t xml:space="preserve"> </w:t>
                </w:r>
                <w:r>
                  <w:t xml:space="preserve">     </w:t>
                </w:r>
                <w:r>
                  <w:rPr>
                    <w:rFonts w:hint="eastAsia"/>
                  </w:rPr>
                  <w:t>苏州工业园区国创开元二期投资中心</w:t>
                </w:r>
                <w:r>
                  <w:t xml:space="preserve"> (有限合伙)</w:t>
                </w:r>
              </w:p>
            </w:tc>
            <w:tc>
              <w:tcPr>
                <w:tcW w:w="1485" w:type="pct"/>
                <w:shd w:val="clear" w:color="auto" w:fill="auto"/>
              </w:tcPr>
              <w:p>
                <w:pPr>
                  <w:jc w:val="right"/>
                </w:pPr>
                <w:r>
                  <w:t>1,692,695,062.45</w:t>
                </w:r>
              </w:p>
            </w:tc>
            <w:tc>
              <w:tcPr>
                <w:tcW w:w="1498" w:type="pct"/>
                <w:shd w:val="clear" w:color="auto" w:fill="auto"/>
              </w:tcPr>
              <w:p>
                <w:pPr>
                  <w:jc w:val="right"/>
                </w:pPr>
                <w:r>
                  <w:t>1,686,932,351.72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rPr>
                    <w:rFonts w:hint="eastAsia"/>
                  </w:rPr>
                  <w:t xml:space="preserve"> </w:t>
                </w:r>
                <w:r>
                  <w:t xml:space="preserve">     </w:t>
                </w:r>
                <w:r>
                  <w:rPr>
                    <w:rFonts w:hint="eastAsia"/>
                  </w:rPr>
                  <w:t>南京洛德中北致远股权投资合伙企业</w:t>
                </w:r>
                <w:r>
                  <w:t xml:space="preserve"> (有限合伙)</w:t>
                </w:r>
              </w:p>
            </w:tc>
            <w:tc>
              <w:tcPr>
                <w:tcW w:w="1485" w:type="pct"/>
                <w:shd w:val="clear" w:color="auto" w:fill="auto"/>
              </w:tcPr>
              <w:p>
                <w:pPr>
                  <w:jc w:val="right"/>
                </w:pPr>
                <w:r>
                  <w:t>253,934,844.43</w:t>
                </w:r>
              </w:p>
            </w:tc>
            <w:tc>
              <w:tcPr>
                <w:tcW w:w="1498" w:type="pct"/>
                <w:shd w:val="clear" w:color="auto" w:fill="auto"/>
              </w:tcPr>
              <w:p>
                <w:pPr>
                  <w:jc w:val="right"/>
                </w:pPr>
                <w:r>
                  <w:t>257,357,110.04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rPr>
                    <w:rFonts w:hint="eastAsia"/>
                  </w:rPr>
                  <w:t>南京洛德汇智股权投资合伙企业</w:t>
                </w:r>
                <w:r>
                  <w:t xml:space="preserve"> (有限合伙)</w:t>
                </w:r>
              </w:p>
            </w:tc>
            <w:tc>
              <w:tcPr>
                <w:tcW w:w="1485" w:type="pct"/>
                <w:shd w:val="clear" w:color="auto" w:fill="auto"/>
              </w:tcPr>
              <w:p>
                <w:pPr>
                  <w:jc w:val="right"/>
                </w:pPr>
                <w:r>
                  <w:t>481,376,156.29</w:t>
                </w:r>
              </w:p>
            </w:tc>
            <w:tc>
              <w:tcPr>
                <w:tcW w:w="1498" w:type="pct"/>
                <w:shd w:val="clear" w:color="auto" w:fill="auto"/>
              </w:tcPr>
              <w:p>
                <w:pPr>
                  <w:jc w:val="right"/>
                </w:pPr>
                <w:r>
                  <w:t>460,425,716.91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rPr>
                    <w:rFonts w:hint="eastAsia"/>
                  </w:rPr>
                  <w:t xml:space="preserve"> </w:t>
                </w:r>
                <w:r>
                  <w:t xml:space="preserve">   </w:t>
                </w:r>
                <w:r>
                  <w:rPr>
                    <w:rFonts w:hint="eastAsia"/>
                  </w:rPr>
                  <w:t>可转换公司债券</w:t>
                </w:r>
              </w:p>
            </w:tc>
            <w:tc>
              <w:tcPr>
                <w:tcW w:w="1485" w:type="pct"/>
                <w:shd w:val="clear" w:color="auto" w:fill="auto"/>
              </w:tcPr>
              <w:p>
                <w:pPr>
                  <w:jc w:val="right"/>
                </w:pPr>
              </w:p>
            </w:tc>
            <w:tc>
              <w:tcPr>
                <w:tcW w:w="1498" w:type="pct"/>
                <w:shd w:val="clear" w:color="auto" w:fill="auto"/>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r>
                  <w:t xml:space="preserve">      </w:t>
                </w:r>
                <w:r>
                  <w:rPr>
                    <w:rFonts w:hint="eastAsia"/>
                  </w:rPr>
                  <w:t>江苏金融租赁股份有限公司</w:t>
                </w:r>
              </w:p>
            </w:tc>
            <w:tc>
              <w:tcPr>
                <w:tcW w:w="1485" w:type="pct"/>
                <w:shd w:val="clear" w:color="auto" w:fill="auto"/>
              </w:tcPr>
              <w:p>
                <w:pPr>
                  <w:jc w:val="right"/>
                </w:pPr>
                <w:r>
                  <w:t>504,581,131.08</w:t>
                </w:r>
              </w:p>
            </w:tc>
            <w:tc>
              <w:tcPr>
                <w:tcW w:w="1498" w:type="pct"/>
                <w:shd w:val="clear" w:color="auto" w:fill="auto"/>
              </w:tcPr>
              <w:p>
                <w:pPr>
                  <w:jc w:val="right"/>
                </w:pPr>
                <w:r>
                  <w:t>472,640,608.44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ab894f676854d2a96dbf6e1d97540a1"/>
                <w:id w:val="-1668857481"/>
                <w:lock w:val="sdtLocked"/>
              </w:sdtPr>
              <w:sdtContent>
                <w:tc>
                  <w:tcPr>
                    <w:tcW w:w="2017" w:type="pct"/>
                    <w:shd w:val="clear" w:color="auto" w:fill="auto"/>
                    <w:vAlign w:val="center"/>
                  </w:tcPr>
                  <w:p>
                    <w:pPr>
                      <w:jc w:val="center"/>
                    </w:pPr>
                    <w:r>
                      <w:rPr>
                        <w:rFonts w:hint="eastAsia"/>
                      </w:rPr>
                      <w:t>合计</w:t>
                    </w:r>
                  </w:p>
                </w:tc>
              </w:sdtContent>
            </w:sdt>
            <w:tc>
              <w:tcPr>
                <w:tcW w:w="1485" w:type="pct"/>
                <w:shd w:val="clear" w:color="auto" w:fill="auto"/>
              </w:tcPr>
              <w:p>
                <w:pPr>
                  <w:jc w:val="right"/>
                </w:pPr>
                <w:r>
                  <w:t>2,932,587,194.25</w:t>
                </w:r>
              </w:p>
            </w:tc>
            <w:tc>
              <w:tcPr>
                <w:tcW w:w="1498" w:type="pct"/>
                <w:shd w:val="clear" w:color="auto" w:fill="auto"/>
              </w:tcPr>
              <w:p>
                <w:pPr>
                  <w:jc w:val="right"/>
                </w:pPr>
                <w:r>
                  <w:t>2,877,355,787.11</w:t>
                </w:r>
              </w:p>
            </w:tc>
          </w:tr>
        </w:tbl>
        <w:p>
          <w:pPr>
            <w:pStyle w:val="114"/>
          </w:pPr>
          <w:r>
            <w:rPr>
              <w:rFonts w:hint="eastAsia"/>
            </w:rPr>
            <w:t>其他</w:t>
          </w:r>
          <w:r>
            <w:t>说明</w:t>
          </w:r>
          <w:r>
            <w:rPr>
              <w:rFonts w:hint="eastAsia"/>
            </w:rPr>
            <w:t>：</w:t>
          </w:r>
        </w:p>
        <w:sdt>
          <w:sdtPr>
            <w:alias w:val="其他非流动金融资产其他说明"/>
            <w:tag w:val="_GBC_37b8dcc3b7224862a4fd92cb9cb0847a"/>
            <w:id w:val="-1007977644"/>
            <w:lock w:val="sdtLocked"/>
            <w:placeholder>
              <w:docPart w:val="GBC22222222222222222222222222222"/>
            </w:placeholder>
          </w:sdtPr>
          <w:sdtContent>
            <w:p>
              <w:pPr>
                <w:snapToGrid w:val="0"/>
                <w:spacing w:line="240" w:lineRule="atLeast"/>
              </w:pPr>
              <w:r>
                <w:rPr>
                  <w:rFonts w:hint="eastAsia"/>
                </w:rPr>
                <w:t>不适用</w:t>
              </w:r>
            </w:p>
          </w:sdtContent>
        </w:sdt>
        <w:p>
          <w:pPr>
            <w:pStyle w:val="114"/>
          </w:pPr>
        </w:p>
      </w:sdtContent>
    </w:sdt>
    <w:bookmarkEnd w:id="189"/>
    <w:p>
      <w:pPr>
        <w:pStyle w:val="4"/>
        <w:numPr>
          <w:ilvl w:val="0"/>
          <w:numId w:val="51"/>
        </w:numPr>
        <w:tabs>
          <w:tab w:val="left" w:pos="504"/>
        </w:tabs>
        <w:rPr>
          <w:rFonts w:ascii="宋体" w:hAnsi="宋体"/>
          <w:szCs w:val="21"/>
        </w:rPr>
      </w:pPr>
      <w:r>
        <w:rPr>
          <w:rFonts w:hint="eastAsia" w:ascii="宋体" w:hAnsi="宋体"/>
          <w:szCs w:val="21"/>
        </w:rPr>
        <w:t>投资性房地产</w:t>
      </w:r>
    </w:p>
    <w:p>
      <w:pPr>
        <w:pStyle w:val="114"/>
      </w:pPr>
      <w:r>
        <w:t>投资性房地产</w:t>
      </w:r>
      <w:r>
        <w:rPr>
          <w:rFonts w:hint="eastAsia"/>
        </w:rPr>
        <w:t>计量模式</w:t>
      </w:r>
    </w:p>
    <w:sdt>
      <w:sdtPr>
        <w:rPr>
          <w:rFonts w:hint="eastAsia" w:ascii="宋体" w:hAnsi="宋体" w:cs="宋体"/>
          <w:b w:val="0"/>
          <w:bCs w:val="0"/>
          <w:kern w:val="0"/>
          <w:szCs w:val="21"/>
        </w:rPr>
        <w:alias w:val="选项模块:成本计量模式"/>
        <w:tag w:val="_GBC_f6dac261d9a74df7a48db85ed7768fd1"/>
        <w:id w:val="1294858675"/>
        <w:lock w:val="sdtLocked"/>
        <w:placeholder>
          <w:docPart w:val="GBC22222222222222222222222222222"/>
        </w:placeholder>
      </w:sdtPr>
      <w:sdtEndPr>
        <w:rPr>
          <w:rFonts w:hint="eastAsia" w:ascii="宋体" w:hAnsi="宋体" w:cstheme="minorBidi"/>
          <w:b w:val="0"/>
          <w:bCs w:val="0"/>
          <w:kern w:val="2"/>
          <w:szCs w:val="21"/>
        </w:rPr>
      </w:sdtEndPr>
      <w:sdtContent>
        <w:p>
          <w:pPr>
            <w:pStyle w:val="118"/>
            <w:numPr>
              <w:ilvl w:val="0"/>
              <w:numId w:val="63"/>
            </w:numPr>
            <w:tabs>
              <w:tab w:val="left" w:pos="616"/>
            </w:tabs>
            <w:rPr>
              <w:rFonts w:ascii="宋体" w:hAnsi="宋体"/>
              <w:szCs w:val="21"/>
            </w:rPr>
          </w:pPr>
          <w:r>
            <w:rPr>
              <w:rFonts w:hint="eastAsia" w:ascii="宋体" w:hAnsi="宋体"/>
              <w:szCs w:val="21"/>
            </w:rPr>
            <w:t>采用成本计量模式的投资性房地产</w:t>
          </w:r>
        </w:p>
        <w:p>
          <w:pPr>
            <w:jc w:val="right"/>
          </w:pPr>
          <w:r>
            <w:rPr>
              <w:rFonts w:hint="eastAsia"/>
            </w:rPr>
            <w:t>单位：</w:t>
          </w:r>
          <w:sdt>
            <w:sdtPr>
              <w:rPr>
                <w:rFonts w:hint="eastAsia"/>
              </w:rPr>
              <w:alias w:val="单位：财务附注：投资性房地产"/>
              <w:tag w:val="_GBC_3315dd1b9cb743c786e01b4b9e91b10d"/>
              <w:id w:val="1926622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投资性房地产"/>
              <w:tag w:val="_GBC_424f36c4f1bf48ce8d47b51437412ff8"/>
              <w:id w:val="752090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8"/>
            <w:gridCol w:w="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f82c9789feaf4b508c71ad4b5e91a0e5"/>
                <w:id w:val="936413269"/>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项目</w:t>
                    </w:r>
                  </w:p>
                </w:tc>
              </w:sdtContent>
            </w:sdt>
            <w:sdt>
              <w:sdtPr>
                <w:tag w:val="_PLD_9acf20e2f08a4439b18de021843e599c"/>
                <w:id w:val="-1855717111"/>
                <w:lock w:val="sdtLocked"/>
              </w:sdtPr>
              <w:sdtConten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房屋、建筑物</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9e97c75701d54838ab5408284eada7b8"/>
                <w:id w:val="40725476"/>
                <w:lock w:val="sdtLocked"/>
              </w:sdtPr>
              <w:sdtContent>
                <w:tc>
                  <w:tcPr>
                    <w:tcW w:w="4998" w:type="pct"/>
                    <w:gridSpan w:val="2"/>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一、账面原值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5b4a89b12d9f471d8810578431d22e03"/>
                <w:id w:val="1901330788"/>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t>1.</w:t>
                    </w:r>
                    <w:r>
                      <w:rPr>
                        <w:rFonts w:hint="eastAsia"/>
                      </w:rPr>
                      <w:t>期初余额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329,218,473.65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4b461d2e946a4f55b157b16d91096c9e"/>
                <w:id w:val="-1763064012"/>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t>2.</w:t>
                    </w:r>
                    <w:r>
                      <w:rPr>
                        <w:rFonts w:hint="eastAsia"/>
                      </w:rPr>
                      <w:t>本期增加金额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14,787,908.55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c60cea41253c44ec816cd397a5c68415"/>
                <w:id w:val="-1974661796"/>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rPr>
                        <w:rFonts w:hint="eastAsia"/>
                      </w:rPr>
                      <w:t>（1）存货\固定资产\在建工程转入</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r>
                  <w:t xml:space="preserve">  14,787,908.55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d251894485574bc58cf98bb5aa71739f"/>
                <w:id w:val="-763531902"/>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rPr>
                        <w:rFonts w:hint="eastAsia"/>
                      </w:rPr>
                      <w:t>3.本期减少金额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r>
                  <w:t>26,811,471.85</w:t>
                </w:r>
              </w:p>
            </w:tc>
          </w:tr>
          <w:sdt>
            <w:sdtPr>
              <w:alias w:val="采用成本计量模式的投资性房地产账面原值减少额明细"/>
              <w:tag w:val="_GBC_e7ec91568b9c4d2387547e1eea784bb4"/>
              <w:id w:val="159165618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rPr>
                        <w:rFonts w:hint="eastAsia"/>
                      </w:rPr>
                      <w:t>（</w:t>
                    </w:r>
                    <w:r>
                      <w:t>1）出售转出</w:t>
                    </w:r>
                  </w:p>
                </w:tc>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r>
                      <w:t>26,811,471.85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7daa9ce704e447019c8f969015d9d0e8"/>
                <w:id w:val="641700810"/>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rPr>
                        <w:rFonts w:hint="eastAsia"/>
                      </w:rPr>
                      <w:t>4.期末余额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r>
                  <w:t>317,194,910.35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2505d9f8bc20407e9f785ceb5e0a0801"/>
                <w:id w:val="379529895"/>
                <w:lock w:val="sdtLocked"/>
              </w:sdtPr>
              <w:sdtContent>
                <w:tc>
                  <w:tcPr>
                    <w:tcW w:w="4998" w:type="pct"/>
                    <w:gridSpan w:val="2"/>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二、累计折旧和累计摊销</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c947d0aa69174c1ba5672d010e59bdb7"/>
                <w:id w:val="-1813547295"/>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t>1.</w:t>
                    </w:r>
                    <w:r>
                      <w:rPr>
                        <w:rFonts w:hint="eastAsia"/>
                      </w:rPr>
                      <w:t>期初余额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20,417,230.12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3e1bff0629db41feb43d6eec30972301"/>
                <w:id w:val="-136416553"/>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t>2.</w:t>
                    </w:r>
                    <w:r>
                      <w:rPr>
                        <w:rFonts w:hint="eastAsia"/>
                      </w:rPr>
                      <w:t>本期增加金额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1,303,489.82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aede9f39a8904986a0db75860e8da677"/>
                <w:id w:val="-323974606"/>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rPr>
                        <w:rFonts w:hint="eastAsia"/>
                      </w:rPr>
                      <w:t>（1）计提或摊销</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cca29cb0e3b6444ab5e6af06b9935847"/>
                <w:id w:val="140158687"/>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t>3</w:t>
                    </w:r>
                    <w:r>
                      <w:rPr>
                        <w:rFonts w:hint="eastAsia"/>
                      </w:rPr>
                      <w:t>.期末余额</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tcPr>
              <w:p>
                <w:pPr>
                  <w:jc w:val="right"/>
                </w:pPr>
                <w:r>
                  <w:t>21,720,719.94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sdt>
              <w:sdtPr>
                <w:tag w:val="_PLD_dd5ff8f664da49d38ce3a1157275c392"/>
                <w:id w:val="341287027"/>
                <w:lock w:val="sdtLocked"/>
              </w:sdtPr>
              <w:sdtContent>
                <w:tc>
                  <w:tcPr>
                    <w:tcW w:w="4998" w:type="pct"/>
                    <w:gridSpan w:val="2"/>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三、账面价值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sdt>
              <w:sdtPr>
                <w:tag w:val="_PLD_9e2ff7b138194a18892eb08dcc0b7923"/>
                <w:id w:val="-1398822824"/>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t>1.</w:t>
                    </w:r>
                    <w:r>
                      <w:rPr>
                        <w:rFonts w:hint="eastAsia"/>
                      </w:rPr>
                      <w:t>期末账面价值</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295,474,190.41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sdt>
              <w:sdtPr>
                <w:tag w:val="_PLD_6e9e2eed2bfa45eb8258d1b408d860b3"/>
                <w:id w:val="-1476288940"/>
                <w:lock w:val="sdtLocked"/>
              </w:sdtPr>
              <w:sdtContent>
                <w:tc>
                  <w:tcPr>
                    <w:tcW w:w="2805" w:type="pct"/>
                    <w:tcBorders>
                      <w:top w:val="single" w:color="auto" w:sz="4" w:space="0"/>
                      <w:left w:val="single" w:color="auto" w:sz="4" w:space="0"/>
                      <w:bottom w:val="single" w:color="auto" w:sz="4" w:space="0"/>
                      <w:right w:val="single" w:color="auto" w:sz="4" w:space="0"/>
                    </w:tcBorders>
                    <w:shd w:val="clear" w:color="auto" w:fill="auto"/>
                  </w:tcPr>
                  <w:p>
                    <w:pPr>
                      <w:ind w:firstLine="315" w:firstLineChars="150"/>
                    </w:pPr>
                    <w:r>
                      <w:t>2.</w:t>
                    </w:r>
                    <w:r>
                      <w:rPr>
                        <w:rFonts w:hint="eastAsia"/>
                      </w:rPr>
                      <w:t>期初账面价值</w:t>
                    </w:r>
                  </w:p>
                </w:tc>
              </w:sdtContent>
            </w:sdt>
            <w:tc>
              <w:tcPr>
                <w:tcW w:w="219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308,801,243.53</w:t>
                </w:r>
              </w:p>
            </w:tc>
          </w:tr>
        </w:tbl>
        <w:p>
          <w:pPr>
            <w:pStyle w:val="114"/>
          </w:pPr>
        </w:p>
        <w:p>
          <w:pPr>
            <w:pStyle w:val="118"/>
            <w:numPr>
              <w:ilvl w:val="0"/>
              <w:numId w:val="63"/>
            </w:numPr>
            <w:tabs>
              <w:tab w:val="left" w:pos="616"/>
            </w:tabs>
            <w:rPr>
              <w:rFonts w:ascii="宋体" w:hAnsi="宋体"/>
              <w:szCs w:val="21"/>
            </w:rPr>
          </w:pPr>
          <w:r>
            <w:rPr>
              <w:rFonts w:hint="eastAsia" w:ascii="宋体" w:hAnsi="宋体"/>
              <w:szCs w:val="21"/>
            </w:rPr>
            <w:t>未办妥产权证书的投资性房地产情况：</w:t>
          </w:r>
        </w:p>
        <w:p>
          <w:pPr>
            <w:pStyle w:val="114"/>
          </w:pPr>
          <w:sdt>
            <w:sdtPr>
              <w:alias w:val="是否适用：未办妥产权证书的投资性房地产情况[双击切换]"/>
              <w:tag w:val="_GBC_6ea8ec03c59f4a3585f376319ae453c5"/>
              <w:id w:val="1419293275"/>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pPr>
            <w:ind w:left="-2" w:leftChars="-21" w:hanging="42" w:hangingChars="20"/>
          </w:pPr>
          <w:r>
            <w:rPr>
              <w:rFonts w:hint="eastAsia"/>
            </w:rPr>
            <w:t>其他说明</w:t>
          </w:r>
        </w:p>
        <w:sdt>
          <w:sdtPr>
            <w:alias w:val="是否适用：投资性房地产的说明[双击切换]"/>
            <w:tag w:val="_GBC_7c82892b5f364028897e5707cfcc5e86"/>
            <w:id w:val="-1249960547"/>
            <w:lock w:val="sdtLocked"/>
            <w:placeholder>
              <w:docPart w:val="GBC22222222222222222222222222222"/>
            </w:placeholder>
          </w:sdtPr>
          <w:sdtContent>
            <w:p>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ind w:right="283"/>
      </w:pPr>
    </w:p>
    <w:p>
      <w:pPr>
        <w:pStyle w:val="4"/>
        <w:numPr>
          <w:ilvl w:val="0"/>
          <w:numId w:val="51"/>
        </w:numPr>
        <w:tabs>
          <w:tab w:val="left" w:pos="504"/>
        </w:tabs>
        <w:rPr>
          <w:rFonts w:ascii="宋体" w:hAnsi="宋体"/>
          <w:szCs w:val="21"/>
        </w:rPr>
      </w:pPr>
      <w:r>
        <w:rPr>
          <w:rFonts w:hint="eastAsia" w:ascii="宋体" w:hAnsi="宋体"/>
          <w:szCs w:val="21"/>
        </w:rPr>
        <w:t>固定资产</w:t>
      </w:r>
    </w:p>
    <w:sdt>
      <w:sdtPr>
        <w:rPr>
          <w:rFonts w:hint="eastAsia" w:ascii="宋体" w:hAnsi="宋体" w:cs="宋体"/>
          <w:b w:val="0"/>
          <w:bCs w:val="0"/>
          <w:kern w:val="0"/>
          <w:szCs w:val="24"/>
        </w:rPr>
        <w:alias w:val="模块:固定资产项目列示"/>
        <w:tag w:val="_SEC_d216074d2ae442239dbb6f5f9b7a5d89"/>
        <w:id w:val="1749609130"/>
        <w:lock w:val="sdtLocked"/>
        <w:placeholder>
          <w:docPart w:val="GBC22222222222222222222222222222"/>
        </w:placeholder>
      </w:sdtPr>
      <w:sdtEndPr>
        <w:rPr>
          <w:rFonts w:hint="default" w:ascii="宋体" w:hAnsi="宋体" w:cs="宋体"/>
          <w:b w:val="0"/>
          <w:bCs w:val="0"/>
          <w:kern w:val="0"/>
          <w:szCs w:val="21"/>
        </w:rPr>
      </w:sdtEndPr>
      <w:sdtContent>
        <w:p>
          <w:pPr>
            <w:pStyle w:val="212"/>
            <w:tabs>
              <w:tab w:val="left" w:pos="588"/>
            </w:tabs>
            <w:rPr>
              <w:rFonts w:ascii="宋体" w:hAnsi="宋体"/>
            </w:rPr>
          </w:pPr>
          <w:bookmarkStart w:id="190" w:name="_Hlk10472369"/>
          <w:bookmarkEnd w:id="190"/>
          <w:bookmarkStart w:id="191" w:name="_Hlk10472389"/>
          <w:bookmarkStart w:id="192" w:name="_Hlk10472397"/>
          <w:r>
            <w:rPr>
              <w:rFonts w:hint="eastAsia" w:ascii="宋体" w:hAnsi="宋体"/>
            </w:rPr>
            <w:t>项目列示</w:t>
          </w:r>
        </w:p>
        <w:sdt>
          <w:sdtPr>
            <w:alias w:val="是否适用：固定资产分类列示[双击切换]"/>
            <w:tag w:val="_GBC_73d82e583dcc4330bebfeb83abd5f5bb"/>
            <w:id w:val="-1257979433"/>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固定资产分类列示"/>
              <w:tag w:val="_GBC_1ddbfde119544f109a3b12a48ffde12d"/>
              <w:id w:val="-962809431"/>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2166610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8"/>
            <w:gridCol w:w="2863"/>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242dd3761084b5fa8943b910dbdbe45"/>
                <w:id w:val="1152710224"/>
                <w:lock w:val="sdtLocked"/>
              </w:sdtPr>
              <w:sdtContent>
                <w:tc>
                  <w:tcPr>
                    <w:tcW w:w="1828" w:type="pct"/>
                    <w:shd w:val="clear" w:color="auto" w:fill="auto"/>
                    <w:vAlign w:val="center"/>
                  </w:tcPr>
                  <w:p>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1078361876"/>
                <w:lock w:val="sdtLocked"/>
              </w:sdtPr>
              <w:sdtContent>
                <w:tc>
                  <w:tcPr>
                    <w:tcW w:w="1582" w:type="pct"/>
                    <w:shd w:val="clear" w:color="auto" w:fill="auto"/>
                    <w:vAlign w:val="center"/>
                  </w:tcPr>
                  <w:p>
                    <w:pPr>
                      <w:jc w:val="center"/>
                    </w:pPr>
                    <w:r>
                      <w:rPr>
                        <w:rFonts w:hint="eastAsia"/>
                      </w:rPr>
                      <w:t>期末余额</w:t>
                    </w:r>
                  </w:p>
                </w:tc>
              </w:sdtContent>
            </w:sdt>
            <w:sdt>
              <w:sdtPr>
                <w:tag w:val="_PLD_ca4fd9ec8b6a43259f78c36475f04e58"/>
                <w:id w:val="1131754385"/>
                <w:lock w:val="sdtLocked"/>
              </w:sdtPr>
              <w:sdtContent>
                <w:tc>
                  <w:tcPr>
                    <w:tcW w:w="1590" w:type="pct"/>
                    <w:shd w:val="clear" w:color="auto" w:fill="auto"/>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22c53058dad410fa612baf9cbff9bc1"/>
                <w:id w:val="-1951540883"/>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tcPr>
              <w:p>
                <w:pPr>
                  <w:tabs>
                    <w:tab w:val="right" w:pos="3690"/>
                    <w:tab w:val="right" w:pos="5130"/>
                    <w:tab w:val="right" w:pos="6030"/>
                    <w:tab w:val="right" w:pos="7650"/>
                    <w:tab w:val="right" w:pos="9270"/>
                  </w:tabs>
                  <w:adjustRightInd w:val="0"/>
                  <w:snapToGrid w:val="0"/>
                  <w:jc w:val="right"/>
                </w:pPr>
                <w:r>
                  <w:t>7,784,659,466.21</w:t>
                </w:r>
              </w:p>
            </w:tc>
            <w:tc>
              <w:tcPr>
                <w:tcW w:w="1590" w:type="pct"/>
                <w:shd w:val="clear" w:color="auto" w:fill="auto"/>
              </w:tcPr>
              <w:p>
                <w:pPr>
                  <w:tabs>
                    <w:tab w:val="right" w:pos="3690"/>
                    <w:tab w:val="right" w:pos="5130"/>
                    <w:tab w:val="right" w:pos="6030"/>
                    <w:tab w:val="right" w:pos="7650"/>
                    <w:tab w:val="right" w:pos="9270"/>
                  </w:tabs>
                  <w:adjustRightInd w:val="0"/>
                  <w:snapToGrid w:val="0"/>
                  <w:jc w:val="right"/>
                </w:pPr>
                <w:r>
                  <w:t>8,045,978,815.98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f47b0a195064c638089bc384523b564"/>
                <w:id w:val="-1862037902"/>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tcPr>
              <w:p>
                <w:pPr>
                  <w:tabs>
                    <w:tab w:val="right" w:pos="3690"/>
                    <w:tab w:val="right" w:pos="5130"/>
                    <w:tab w:val="right" w:pos="6030"/>
                    <w:tab w:val="right" w:pos="7650"/>
                    <w:tab w:val="right" w:pos="9270"/>
                  </w:tabs>
                  <w:adjustRightInd w:val="0"/>
                  <w:snapToGrid w:val="0"/>
                  <w:jc w:val="right"/>
                </w:pPr>
                <w:r>
                  <w:t>-</w:t>
                </w:r>
              </w:p>
            </w:tc>
            <w:tc>
              <w:tcPr>
                <w:tcW w:w="1590" w:type="pct"/>
                <w:shd w:val="clear" w:color="auto" w:fill="auto"/>
              </w:tcPr>
              <w:p>
                <w:pPr>
                  <w:tabs>
                    <w:tab w:val="right" w:pos="3690"/>
                    <w:tab w:val="right" w:pos="5130"/>
                    <w:tab w:val="right" w:pos="6030"/>
                    <w:tab w:val="right" w:pos="7650"/>
                    <w:tab w:val="right" w:pos="9270"/>
                  </w:tabs>
                  <w:adjustRightInd w:val="0"/>
                  <w:snapToGrid w:val="0"/>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4125b2326324bf0b90cbe28b521a568"/>
                <w:id w:val="26533033"/>
                <w:lock w:val="sdtLocked"/>
              </w:sdtPr>
              <w:sdtContent>
                <w:tc>
                  <w:tcPr>
                    <w:tcW w:w="1828" w:type="pct"/>
                    <w:shd w:val="clear" w:color="auto" w:fill="auto"/>
                    <w:vAlign w:val="center"/>
                  </w:tcPr>
                  <w:p>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pPr>
                  <w:tabs>
                    <w:tab w:val="right" w:pos="3690"/>
                    <w:tab w:val="right" w:pos="5130"/>
                    <w:tab w:val="right" w:pos="6030"/>
                    <w:tab w:val="right" w:pos="7650"/>
                    <w:tab w:val="right" w:pos="9270"/>
                  </w:tabs>
                  <w:adjustRightInd w:val="0"/>
                  <w:snapToGrid w:val="0"/>
                  <w:jc w:val="right"/>
                </w:pPr>
                <w:r>
                  <w:t>7,784,659,466.21</w:t>
                </w:r>
              </w:p>
            </w:tc>
            <w:tc>
              <w:tcPr>
                <w:tcW w:w="1590" w:type="pct"/>
                <w:shd w:val="clear" w:color="auto" w:fill="auto"/>
              </w:tcPr>
              <w:p>
                <w:pPr>
                  <w:tabs>
                    <w:tab w:val="right" w:pos="3690"/>
                    <w:tab w:val="right" w:pos="5130"/>
                    <w:tab w:val="right" w:pos="6030"/>
                    <w:tab w:val="right" w:pos="7650"/>
                    <w:tab w:val="right" w:pos="9270"/>
                  </w:tabs>
                  <w:adjustRightInd w:val="0"/>
                  <w:snapToGrid w:val="0"/>
                  <w:jc w:val="right"/>
                </w:pPr>
                <w:r>
                  <w:t>8,045,978,815.98</w:t>
                </w:r>
              </w:p>
            </w:tc>
          </w:tr>
        </w:tbl>
        <w:p>
          <w:pPr>
            <w:pStyle w:val="208"/>
          </w:pPr>
        </w:p>
        <w:p>
          <w:pPr>
            <w:pStyle w:val="208"/>
          </w:pPr>
          <w:r>
            <w:rPr>
              <w:rFonts w:hint="eastAsia"/>
            </w:rPr>
            <w:t>其他说明：</w:t>
          </w:r>
          <w:bookmarkEnd w:id="191"/>
        </w:p>
        <w:p>
          <w:pPr>
            <w:pStyle w:val="208"/>
          </w:pPr>
          <w:sdt>
            <w:sdtPr>
              <w:alias w:val="固定资产分类列示其他说明"/>
              <w:tag w:val="_GBC_9028bab58a12485bb8ef4d316280f591"/>
              <w:id w:val="-1515608892"/>
              <w:lock w:val="sdtLocked"/>
              <w:placeholder>
                <w:docPart w:val="GBC22222222222222222222222222222"/>
              </w:placeholder>
            </w:sdtPr>
            <w:sdtContent>
              <w:r>
                <w:rPr>
                  <w:rFonts w:hint="eastAsia"/>
                </w:rPr>
                <w:t>不适用</w:t>
              </w:r>
            </w:sdtContent>
          </w:sdt>
        </w:p>
      </w:sdtContent>
    </w:sdt>
    <w:bookmarkEnd w:id="192"/>
    <w:p>
      <w:pPr>
        <w:pStyle w:val="208"/>
      </w:pPr>
    </w:p>
    <w:p>
      <w:pPr>
        <w:pStyle w:val="212"/>
        <w:tabs>
          <w:tab w:val="left" w:pos="588"/>
        </w:tabs>
        <w:rPr>
          <w:rFonts w:ascii="宋体" w:hAnsi="宋体"/>
        </w:rPr>
      </w:pPr>
      <w:r>
        <w:rPr>
          <w:rFonts w:hint="eastAsia" w:ascii="宋体" w:hAnsi="宋体"/>
        </w:rPr>
        <w:t>固定资产</w:t>
      </w:r>
    </w:p>
    <w:sdt>
      <w:sdtPr>
        <w:rPr>
          <w:rFonts w:hint="eastAsia" w:ascii="宋体" w:hAnsi="宋体" w:cs="宋体"/>
          <w:b w:val="0"/>
          <w:bCs w:val="0"/>
          <w:kern w:val="0"/>
          <w:szCs w:val="21"/>
        </w:rPr>
        <w:alias w:val="模块:固定资产情况"/>
        <w:tag w:val="_GBC_6b764c2f9af049ba98fb55c66fe083a9"/>
        <w:id w:val="2042249861"/>
        <w:lock w:val="sdtLocked"/>
        <w:placeholder>
          <w:docPart w:val="GBC22222222222222222222222222222"/>
        </w:placeholder>
      </w:sdtPr>
      <w:sdtEndPr>
        <w:rPr>
          <w:rFonts w:hint="eastAsia" w:ascii="宋体" w:hAnsi="宋体" w:cstheme="minorBidi"/>
          <w:b w:val="0"/>
          <w:bCs w:val="0"/>
          <w:kern w:val="2"/>
          <w:szCs w:val="21"/>
        </w:rPr>
      </w:sdtEndPr>
      <w:sdtContent>
        <w:p>
          <w:pPr>
            <w:pStyle w:val="212"/>
            <w:numPr>
              <w:ilvl w:val="0"/>
              <w:numId w:val="64"/>
            </w:numPr>
            <w:tabs>
              <w:tab w:val="left" w:pos="588"/>
            </w:tabs>
            <w:rPr>
              <w:rFonts w:ascii="宋体" w:hAnsi="宋体"/>
              <w:szCs w:val="21"/>
            </w:rPr>
          </w:pPr>
          <w:r>
            <w:rPr>
              <w:rFonts w:hint="eastAsia" w:ascii="宋体" w:hAnsi="宋体"/>
              <w:szCs w:val="21"/>
            </w:rPr>
            <w:t>固定资产情况</w:t>
          </w:r>
        </w:p>
        <w:sdt>
          <w:sdtPr>
            <w:alias w:val="是否适用：固定资产情况[双击切换]"/>
            <w:tag w:val="_GBC_dea1f620aab74d63b1372d831b5b450f"/>
            <w:id w:val="-711660233"/>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1181269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2450393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90"/>
            <w:gridCol w:w="1112"/>
            <w:gridCol w:w="1112"/>
            <w:gridCol w:w="1112"/>
            <w:gridCol w:w="1112"/>
            <w:gridCol w:w="981"/>
            <w:gridCol w:w="915"/>
            <w:gridCol w:w="981"/>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1741958de41447b7ac4cbd15ce893c6c"/>
                <w:id w:val="1171610376"/>
              </w:sdtPr>
              <w:sdtEndPr>
                <w:rPr>
                  <w:sz w:val="14"/>
                  <w:szCs w:val="14"/>
                </w:rPr>
              </w:sdtEndPr>
              <w:sdtContent>
                <w:tc>
                  <w:tcPr>
                    <w:tcW w:w="422" w:type="pct"/>
                    <w:shd w:val="clear" w:color="auto" w:fill="auto"/>
                    <w:vAlign w:val="center"/>
                  </w:tcPr>
                  <w:p>
                    <w:pPr>
                      <w:jc w:val="center"/>
                      <w:rPr>
                        <w:sz w:val="14"/>
                        <w:szCs w:val="14"/>
                      </w:rPr>
                    </w:pPr>
                    <w:r>
                      <w:rPr>
                        <w:rFonts w:hint="eastAsia"/>
                        <w:sz w:val="14"/>
                        <w:szCs w:val="14"/>
                      </w:rPr>
                      <w:t>项目</w:t>
                    </w:r>
                  </w:p>
                </w:tc>
              </w:sdtContent>
            </w:sdt>
            <w:sdt>
              <w:sdtPr>
                <w:rPr>
                  <w:rFonts w:hint="eastAsia"/>
                  <w:sz w:val="14"/>
                  <w:szCs w:val="14"/>
                </w:rPr>
                <w:alias w:val="固定资产情况明细-项目名称"/>
                <w:tag w:val="_GBC_936a8499167f477aab1a2942b2fdbdaf"/>
                <w:id w:val="-1548983869"/>
                <w:text/>
              </w:sdtPr>
              <w:sdtEndPr>
                <w:rPr>
                  <w:rFonts w:hint="eastAsia"/>
                  <w:sz w:val="14"/>
                  <w:szCs w:val="14"/>
                </w:rPr>
              </w:sdtEndPr>
              <w:sdtContent>
                <w:tc>
                  <w:tcPr>
                    <w:tcW w:w="599" w:type="pct"/>
                    <w:shd w:val="clear" w:color="auto" w:fill="auto"/>
                    <w:vAlign w:val="center"/>
                  </w:tcPr>
                  <w:p>
                    <w:pPr>
                      <w:jc w:val="center"/>
                      <w:rPr>
                        <w:sz w:val="14"/>
                        <w:szCs w:val="14"/>
                      </w:rPr>
                    </w:pPr>
                    <w:r>
                      <w:rPr>
                        <w:rFonts w:hint="eastAsia"/>
                        <w:sz w:val="14"/>
                        <w:szCs w:val="14"/>
                      </w:rPr>
                      <w:t>房屋及建筑物</w:t>
                    </w:r>
                  </w:p>
                </w:tc>
              </w:sdtContent>
            </w:sdt>
            <w:sdt>
              <w:sdtPr>
                <w:rPr>
                  <w:rFonts w:hint="eastAsia"/>
                  <w:sz w:val="14"/>
                  <w:szCs w:val="14"/>
                </w:rPr>
                <w:alias w:val="固定资产情况明细-项目名称"/>
                <w:tag w:val="_GBC_936a8499167f477aab1a2942b2fdbdaf"/>
                <w:id w:val="-945236983"/>
                <w:text/>
              </w:sdtPr>
              <w:sdtEndPr>
                <w:rPr>
                  <w:rFonts w:hint="eastAsia"/>
                  <w:sz w:val="14"/>
                  <w:szCs w:val="14"/>
                </w:rPr>
              </w:sdtEndPr>
              <w:sdtContent>
                <w:tc>
                  <w:tcPr>
                    <w:tcW w:w="599" w:type="pct"/>
                    <w:shd w:val="clear" w:color="auto" w:fill="auto"/>
                    <w:vAlign w:val="center"/>
                  </w:tcPr>
                  <w:p>
                    <w:pPr>
                      <w:jc w:val="center"/>
                      <w:rPr>
                        <w:sz w:val="14"/>
                        <w:szCs w:val="14"/>
                      </w:rPr>
                    </w:pPr>
                    <w:r>
                      <w:rPr>
                        <w:rFonts w:hint="eastAsia"/>
                        <w:sz w:val="14"/>
                        <w:szCs w:val="14"/>
                      </w:rPr>
                      <w:t>安全设施</w:t>
                    </w:r>
                  </w:p>
                </w:tc>
              </w:sdtContent>
            </w:sdt>
            <w:sdt>
              <w:sdtPr>
                <w:rPr>
                  <w:rFonts w:hint="eastAsia"/>
                  <w:sz w:val="14"/>
                  <w:szCs w:val="14"/>
                </w:rPr>
                <w:alias w:val="固定资产情况明细-项目名称"/>
                <w:tag w:val="_GBC_936a8499167f477aab1a2942b2fdbdaf"/>
                <w:id w:val="-1285965813"/>
                <w:text/>
              </w:sdtPr>
              <w:sdtEndPr>
                <w:rPr>
                  <w:rFonts w:hint="eastAsia"/>
                  <w:sz w:val="14"/>
                  <w:szCs w:val="14"/>
                </w:rPr>
              </w:sdtEndPr>
              <w:sdtContent>
                <w:tc>
                  <w:tcPr>
                    <w:tcW w:w="599" w:type="pct"/>
                    <w:shd w:val="clear" w:color="auto" w:fill="auto"/>
                    <w:vAlign w:val="center"/>
                  </w:tcPr>
                  <w:p>
                    <w:pPr>
                      <w:jc w:val="center"/>
                      <w:rPr>
                        <w:sz w:val="14"/>
                        <w:szCs w:val="14"/>
                      </w:rPr>
                    </w:pPr>
                    <w:r>
                      <w:rPr>
                        <w:rFonts w:hint="eastAsia"/>
                        <w:sz w:val="14"/>
                        <w:szCs w:val="14"/>
                      </w:rPr>
                      <w:t>监控设备、通讯设备、收费设备及附属设施</w:t>
                    </w:r>
                  </w:p>
                </w:tc>
              </w:sdtContent>
            </w:sdt>
            <w:sdt>
              <w:sdtPr>
                <w:rPr>
                  <w:rFonts w:hint="eastAsia"/>
                  <w:sz w:val="14"/>
                  <w:szCs w:val="14"/>
                </w:rPr>
                <w:alias w:val="固定资产情况明细-项目名称"/>
                <w:tag w:val="_GBC_936a8499167f477aab1a2942b2fdbdaf"/>
                <w:id w:val="-416942732"/>
                <w:text/>
              </w:sdtPr>
              <w:sdtEndPr>
                <w:rPr>
                  <w:rFonts w:hint="eastAsia"/>
                  <w:sz w:val="14"/>
                  <w:szCs w:val="14"/>
                </w:rPr>
              </w:sdtEndPr>
              <w:sdtContent>
                <w:tc>
                  <w:tcPr>
                    <w:tcW w:w="599" w:type="pct"/>
                    <w:shd w:val="clear" w:color="auto" w:fill="auto"/>
                    <w:vAlign w:val="center"/>
                  </w:tcPr>
                  <w:p>
                    <w:pPr>
                      <w:jc w:val="center"/>
                      <w:rPr>
                        <w:sz w:val="14"/>
                        <w:szCs w:val="14"/>
                      </w:rPr>
                    </w:pPr>
                    <w:r>
                      <w:rPr>
                        <w:rFonts w:hint="eastAsia"/>
                        <w:sz w:val="14"/>
                        <w:szCs w:val="14"/>
                      </w:rPr>
                      <w:t>机器设备</w:t>
                    </w:r>
                  </w:p>
                </w:tc>
              </w:sdtContent>
            </w:sdt>
            <w:sdt>
              <w:sdtPr>
                <w:rPr>
                  <w:rFonts w:hint="eastAsia"/>
                  <w:sz w:val="14"/>
                  <w:szCs w:val="14"/>
                </w:rPr>
                <w:alias w:val="固定资产情况明细-项目名称"/>
                <w:tag w:val="_GBC_936a8499167f477aab1a2942b2fdbdaf"/>
                <w:id w:val="-508671488"/>
                <w:text/>
              </w:sdtPr>
              <w:sdtEndPr>
                <w:rPr>
                  <w:rFonts w:hint="eastAsia"/>
                  <w:sz w:val="14"/>
                  <w:szCs w:val="14"/>
                </w:rPr>
              </w:sdtEndPr>
              <w:sdtContent>
                <w:tc>
                  <w:tcPr>
                    <w:tcW w:w="528" w:type="pct"/>
                    <w:shd w:val="clear" w:color="auto" w:fill="auto"/>
                    <w:vAlign w:val="center"/>
                  </w:tcPr>
                  <w:p>
                    <w:pPr>
                      <w:jc w:val="center"/>
                      <w:rPr>
                        <w:sz w:val="14"/>
                        <w:szCs w:val="14"/>
                      </w:rPr>
                    </w:pPr>
                    <w:r>
                      <w:rPr>
                        <w:rFonts w:hint="eastAsia"/>
                        <w:sz w:val="14"/>
                        <w:szCs w:val="14"/>
                      </w:rPr>
                      <w:t>电子设备</w:t>
                    </w:r>
                  </w:p>
                </w:tc>
              </w:sdtContent>
            </w:sdt>
            <w:sdt>
              <w:sdtPr>
                <w:rPr>
                  <w:rFonts w:hint="eastAsia"/>
                  <w:sz w:val="14"/>
                  <w:szCs w:val="14"/>
                </w:rPr>
                <w:alias w:val="固定资产情况明细-项目名称"/>
                <w:tag w:val="_GBC_936a8499167f477aab1a2942b2fdbdaf"/>
                <w:id w:val="934556768"/>
                <w:text/>
              </w:sdtPr>
              <w:sdtEndPr>
                <w:rPr>
                  <w:rFonts w:hint="eastAsia"/>
                  <w:sz w:val="14"/>
                  <w:szCs w:val="14"/>
                </w:rPr>
              </w:sdtEndPr>
              <w:sdtContent>
                <w:tc>
                  <w:tcPr>
                    <w:tcW w:w="493" w:type="pct"/>
                    <w:shd w:val="clear" w:color="auto" w:fill="auto"/>
                    <w:vAlign w:val="center"/>
                  </w:tcPr>
                  <w:p>
                    <w:pPr>
                      <w:jc w:val="center"/>
                      <w:rPr>
                        <w:sz w:val="14"/>
                        <w:szCs w:val="14"/>
                      </w:rPr>
                    </w:pPr>
                    <w:r>
                      <w:rPr>
                        <w:rFonts w:hint="eastAsia"/>
                        <w:sz w:val="14"/>
                        <w:szCs w:val="14"/>
                      </w:rPr>
                      <w:t>运输工具</w:t>
                    </w:r>
                  </w:p>
                </w:tc>
              </w:sdtContent>
            </w:sdt>
            <w:sdt>
              <w:sdtPr>
                <w:rPr>
                  <w:rFonts w:hint="eastAsia"/>
                  <w:sz w:val="14"/>
                  <w:szCs w:val="14"/>
                </w:rPr>
                <w:alias w:val="固定资产情况明细-项目名称"/>
                <w:tag w:val="_GBC_936a8499167f477aab1a2942b2fdbdaf"/>
                <w:id w:val="-1568252156"/>
                <w:text/>
              </w:sdtPr>
              <w:sdtEndPr>
                <w:rPr>
                  <w:rFonts w:hint="eastAsia"/>
                  <w:sz w:val="14"/>
                  <w:szCs w:val="14"/>
                </w:rPr>
              </w:sdtEndPr>
              <w:sdtContent>
                <w:tc>
                  <w:tcPr>
                    <w:tcW w:w="528" w:type="pct"/>
                    <w:shd w:val="clear" w:color="auto" w:fill="auto"/>
                    <w:vAlign w:val="center"/>
                  </w:tcPr>
                  <w:p>
                    <w:pPr>
                      <w:jc w:val="center"/>
                      <w:rPr>
                        <w:sz w:val="14"/>
                        <w:szCs w:val="14"/>
                      </w:rPr>
                    </w:pPr>
                    <w:r>
                      <w:rPr>
                        <w:rFonts w:hint="eastAsia"/>
                        <w:sz w:val="14"/>
                        <w:szCs w:val="14"/>
                      </w:rPr>
                      <w:t>家具及其他</w:t>
                    </w:r>
                  </w:p>
                </w:tc>
              </w:sdtContent>
            </w:sdt>
            <w:sdt>
              <w:sdtPr>
                <w:rPr>
                  <w:sz w:val="14"/>
                  <w:szCs w:val="14"/>
                </w:rPr>
                <w:tag w:val="_PLD_0b635f975b4949dbb798f88c3dcf1d8d"/>
                <w:id w:val="-2048439187"/>
              </w:sdtPr>
              <w:sdtEndPr>
                <w:rPr>
                  <w:sz w:val="14"/>
                  <w:szCs w:val="14"/>
                </w:rPr>
              </w:sdtEndPr>
              <w:sdtContent>
                <w:tc>
                  <w:tcPr>
                    <w:tcW w:w="634" w:type="pct"/>
                    <w:shd w:val="clear" w:color="auto" w:fill="auto"/>
                    <w:vAlign w:val="center"/>
                  </w:tcPr>
                  <w:p>
                    <w:pPr>
                      <w:jc w:val="center"/>
                      <w:rPr>
                        <w:sz w:val="14"/>
                        <w:szCs w:val="14"/>
                      </w:rPr>
                    </w:pPr>
                    <w:r>
                      <w:rPr>
                        <w:rFonts w:hint="eastAsia"/>
                        <w:sz w:val="14"/>
                        <w:szCs w:val="14"/>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e1d4e79d72fd45cc925f8729ecef795c"/>
                <w:id w:val="1145086456"/>
              </w:sdtPr>
              <w:sdtEndPr>
                <w:rPr>
                  <w:sz w:val="14"/>
                  <w:szCs w:val="14"/>
                </w:rPr>
              </w:sdtEndPr>
              <w:sdtContent>
                <w:tc>
                  <w:tcPr>
                    <w:tcW w:w="5000" w:type="pct"/>
                    <w:gridSpan w:val="9"/>
                    <w:shd w:val="clear" w:color="auto" w:fill="auto"/>
                  </w:tcPr>
                  <w:p>
                    <w:pPr>
                      <w:pStyle w:val="301"/>
                      <w:rPr>
                        <w:sz w:val="14"/>
                        <w:szCs w:val="14"/>
                      </w:rPr>
                    </w:pPr>
                    <w:r>
                      <w:rPr>
                        <w:rFonts w:hint="eastAsia"/>
                        <w:sz w:val="14"/>
                        <w:szCs w:val="14"/>
                      </w:rPr>
                      <w:t>一、账面原值：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76089fd0a4a0479c8c1f36c514cb7ecd"/>
                <w:id w:val="354629698"/>
              </w:sdtPr>
              <w:sdtEndPr>
                <w:rPr>
                  <w:sz w:val="14"/>
                  <w:szCs w:val="14"/>
                </w:rPr>
              </w:sdtEndPr>
              <w:sdtContent>
                <w:tc>
                  <w:tcPr>
                    <w:tcW w:w="422" w:type="pct"/>
                    <w:shd w:val="clear" w:color="auto" w:fill="auto"/>
                  </w:tcPr>
                  <w:p>
                    <w:pPr>
                      <w:ind w:firstLine="280" w:firstLineChars="200"/>
                      <w:rPr>
                        <w:sz w:val="14"/>
                        <w:szCs w:val="14"/>
                      </w:rPr>
                    </w:pPr>
                    <w:r>
                      <w:rPr>
                        <w:sz w:val="14"/>
                        <w:szCs w:val="14"/>
                      </w:rPr>
                      <w:t>1.</w:t>
                    </w:r>
                    <w:r>
                      <w:rPr>
                        <w:rFonts w:hint="eastAsia"/>
                        <w:sz w:val="14"/>
                        <w:szCs w:val="14"/>
                      </w:rPr>
                      <w:t>期初余额</w:t>
                    </w:r>
                  </w:p>
                </w:tc>
              </w:sdtContent>
            </w:sdt>
            <w:tc>
              <w:tcPr>
                <w:tcW w:w="599" w:type="pct"/>
                <w:shd w:val="clear" w:color="auto" w:fill="auto"/>
                <w:vAlign w:val="center"/>
              </w:tcPr>
              <w:p>
                <w:pPr>
                  <w:jc w:val="right"/>
                  <w:rPr>
                    <w:sz w:val="14"/>
                    <w:szCs w:val="14"/>
                  </w:rPr>
                </w:pPr>
                <w:r>
                  <w:rPr>
                    <w:sz w:val="14"/>
                    <w:szCs w:val="14"/>
                  </w:rPr>
                  <w:t>3,664,475,940.04</w:t>
                </w:r>
              </w:p>
            </w:tc>
            <w:tc>
              <w:tcPr>
                <w:tcW w:w="599" w:type="pct"/>
                <w:shd w:val="clear" w:color="auto" w:fill="auto"/>
                <w:vAlign w:val="center"/>
              </w:tcPr>
              <w:p>
                <w:pPr>
                  <w:jc w:val="right"/>
                  <w:rPr>
                    <w:sz w:val="14"/>
                    <w:szCs w:val="14"/>
                  </w:rPr>
                </w:pPr>
                <w:r>
                  <w:rPr>
                    <w:sz w:val="14"/>
                    <w:szCs w:val="14"/>
                  </w:rPr>
                  <w:t>1,135,688,268.40</w:t>
                </w:r>
              </w:p>
            </w:tc>
            <w:tc>
              <w:tcPr>
                <w:tcW w:w="599" w:type="pct"/>
                <w:shd w:val="clear" w:color="auto" w:fill="auto"/>
                <w:vAlign w:val="center"/>
              </w:tcPr>
              <w:p>
                <w:pPr>
                  <w:jc w:val="right"/>
                  <w:rPr>
                    <w:sz w:val="14"/>
                    <w:szCs w:val="14"/>
                  </w:rPr>
                </w:pPr>
                <w:r>
                  <w:rPr>
                    <w:sz w:val="14"/>
                    <w:szCs w:val="14"/>
                  </w:rPr>
                  <w:t>1,103,819,541.93</w:t>
                </w:r>
              </w:p>
            </w:tc>
            <w:tc>
              <w:tcPr>
                <w:tcW w:w="599" w:type="pct"/>
                <w:shd w:val="clear" w:color="auto" w:fill="auto"/>
                <w:vAlign w:val="center"/>
              </w:tcPr>
              <w:p>
                <w:pPr>
                  <w:jc w:val="right"/>
                  <w:rPr>
                    <w:sz w:val="14"/>
                    <w:szCs w:val="14"/>
                  </w:rPr>
                </w:pPr>
                <w:r>
                  <w:rPr>
                    <w:sz w:val="14"/>
                    <w:szCs w:val="14"/>
                  </w:rPr>
                  <w:t>5,363,523,950.86</w:t>
                </w:r>
              </w:p>
            </w:tc>
            <w:tc>
              <w:tcPr>
                <w:tcW w:w="528" w:type="pct"/>
                <w:shd w:val="clear" w:color="auto" w:fill="auto"/>
                <w:vAlign w:val="center"/>
              </w:tcPr>
              <w:p>
                <w:pPr>
                  <w:jc w:val="right"/>
                  <w:rPr>
                    <w:sz w:val="14"/>
                    <w:szCs w:val="14"/>
                  </w:rPr>
                </w:pPr>
                <w:r>
                  <w:rPr>
                    <w:sz w:val="14"/>
                    <w:szCs w:val="14"/>
                  </w:rPr>
                  <w:t>417,237,522.07</w:t>
                </w:r>
              </w:p>
            </w:tc>
            <w:tc>
              <w:tcPr>
                <w:tcW w:w="493" w:type="pct"/>
                <w:shd w:val="clear" w:color="auto" w:fill="auto"/>
                <w:vAlign w:val="center"/>
              </w:tcPr>
              <w:p>
                <w:pPr>
                  <w:jc w:val="right"/>
                  <w:rPr>
                    <w:sz w:val="14"/>
                    <w:szCs w:val="14"/>
                  </w:rPr>
                </w:pPr>
                <w:r>
                  <w:rPr>
                    <w:sz w:val="14"/>
                    <w:szCs w:val="14"/>
                  </w:rPr>
                  <w:t>63,727,170.66</w:t>
                </w:r>
              </w:p>
            </w:tc>
            <w:tc>
              <w:tcPr>
                <w:tcW w:w="528" w:type="pct"/>
                <w:shd w:val="clear" w:color="auto" w:fill="auto"/>
                <w:vAlign w:val="center"/>
              </w:tcPr>
              <w:p>
                <w:pPr>
                  <w:jc w:val="right"/>
                  <w:rPr>
                    <w:sz w:val="14"/>
                    <w:szCs w:val="14"/>
                  </w:rPr>
                </w:pPr>
                <w:r>
                  <w:rPr>
                    <w:sz w:val="14"/>
                    <w:szCs w:val="14"/>
                  </w:rPr>
                  <w:t>125,660,184.61</w:t>
                </w:r>
              </w:p>
            </w:tc>
            <w:tc>
              <w:tcPr>
                <w:tcW w:w="634" w:type="pct"/>
                <w:shd w:val="clear" w:color="auto" w:fill="auto"/>
                <w:vAlign w:val="center"/>
              </w:tcPr>
              <w:p>
                <w:pPr>
                  <w:jc w:val="right"/>
                  <w:rPr>
                    <w:sz w:val="14"/>
                    <w:szCs w:val="14"/>
                  </w:rPr>
                </w:pPr>
                <w:r>
                  <w:rPr>
                    <w:sz w:val="14"/>
                    <w:szCs w:val="14"/>
                  </w:rPr>
                  <w:t>11,874,132,578.57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ee436c0e086043f0a5f400c99fbf0df9"/>
                <w:id w:val="-1610582751"/>
              </w:sdtPr>
              <w:sdtEndPr>
                <w:rPr>
                  <w:sz w:val="14"/>
                  <w:szCs w:val="14"/>
                </w:rPr>
              </w:sdtEndPr>
              <w:sdtContent>
                <w:tc>
                  <w:tcPr>
                    <w:tcW w:w="422" w:type="pct"/>
                    <w:shd w:val="clear" w:color="auto" w:fill="auto"/>
                  </w:tcPr>
                  <w:p>
                    <w:pPr>
                      <w:ind w:firstLine="280" w:firstLineChars="200"/>
                      <w:rPr>
                        <w:sz w:val="14"/>
                        <w:szCs w:val="14"/>
                      </w:rPr>
                    </w:pPr>
                    <w:r>
                      <w:rPr>
                        <w:sz w:val="14"/>
                        <w:szCs w:val="14"/>
                      </w:rPr>
                      <w:t>2.</w:t>
                    </w:r>
                    <w:r>
                      <w:rPr>
                        <w:rFonts w:hint="eastAsia"/>
                        <w:sz w:val="14"/>
                        <w:szCs w:val="14"/>
                      </w:rPr>
                      <w:t>本期增加金额</w:t>
                    </w:r>
                  </w:p>
                </w:tc>
              </w:sdtContent>
            </w:sdt>
            <w:tc>
              <w:tcPr>
                <w:tcW w:w="599" w:type="pct"/>
                <w:shd w:val="clear" w:color="auto" w:fill="auto"/>
                <w:vAlign w:val="center"/>
              </w:tcPr>
              <w:p>
                <w:pPr>
                  <w:jc w:val="right"/>
                  <w:rPr>
                    <w:sz w:val="14"/>
                    <w:szCs w:val="14"/>
                  </w:rPr>
                </w:pPr>
                <w:r>
                  <w:rPr>
                    <w:sz w:val="14"/>
                    <w:szCs w:val="14"/>
                  </w:rPr>
                  <w:t>29,974,348.62</w:t>
                </w:r>
              </w:p>
            </w:tc>
            <w:tc>
              <w:tcPr>
                <w:tcW w:w="599" w:type="pct"/>
                <w:shd w:val="clear" w:color="auto" w:fill="auto"/>
                <w:vAlign w:val="center"/>
              </w:tcPr>
              <w:p>
                <w:pPr>
                  <w:jc w:val="right"/>
                  <w:rPr>
                    <w:sz w:val="14"/>
                    <w:szCs w:val="14"/>
                  </w:rPr>
                </w:pPr>
                <w:r>
                  <w:rPr>
                    <w:sz w:val="14"/>
                    <w:szCs w:val="14"/>
                  </w:rPr>
                  <w:t>104,060.07</w:t>
                </w:r>
              </w:p>
            </w:tc>
            <w:tc>
              <w:tcPr>
                <w:tcW w:w="599" w:type="pct"/>
                <w:shd w:val="clear" w:color="auto" w:fill="auto"/>
                <w:vAlign w:val="center"/>
              </w:tcPr>
              <w:p>
                <w:pPr>
                  <w:jc w:val="right"/>
                  <w:rPr>
                    <w:sz w:val="14"/>
                    <w:szCs w:val="14"/>
                  </w:rPr>
                </w:pPr>
                <w:r>
                  <w:rPr>
                    <w:sz w:val="14"/>
                    <w:szCs w:val="14"/>
                  </w:rPr>
                  <w:t>8,001,064.04</w:t>
                </w:r>
              </w:p>
            </w:tc>
            <w:tc>
              <w:tcPr>
                <w:tcW w:w="599" w:type="pct"/>
                <w:shd w:val="clear" w:color="auto" w:fill="auto"/>
                <w:vAlign w:val="center"/>
              </w:tcPr>
              <w:p>
                <w:pPr>
                  <w:jc w:val="right"/>
                  <w:rPr>
                    <w:sz w:val="14"/>
                    <w:szCs w:val="14"/>
                  </w:rPr>
                </w:pPr>
                <w:r>
                  <w:rPr>
                    <w:sz w:val="14"/>
                    <w:szCs w:val="14"/>
                  </w:rPr>
                  <w:t>10,093,185.66</w:t>
                </w:r>
              </w:p>
            </w:tc>
            <w:tc>
              <w:tcPr>
                <w:tcW w:w="528" w:type="pct"/>
                <w:shd w:val="clear" w:color="auto" w:fill="auto"/>
                <w:vAlign w:val="center"/>
              </w:tcPr>
              <w:p>
                <w:pPr>
                  <w:jc w:val="right"/>
                  <w:rPr>
                    <w:sz w:val="14"/>
                    <w:szCs w:val="14"/>
                  </w:rPr>
                </w:pPr>
                <w:r>
                  <w:rPr>
                    <w:sz w:val="14"/>
                    <w:szCs w:val="14"/>
                  </w:rPr>
                  <w:t>3,358,711.24</w:t>
                </w:r>
              </w:p>
            </w:tc>
            <w:tc>
              <w:tcPr>
                <w:tcW w:w="493" w:type="pct"/>
                <w:shd w:val="clear" w:color="auto" w:fill="auto"/>
                <w:vAlign w:val="center"/>
              </w:tcPr>
              <w:p>
                <w:pPr>
                  <w:jc w:val="right"/>
                  <w:rPr>
                    <w:sz w:val="14"/>
                    <w:szCs w:val="14"/>
                  </w:rPr>
                </w:pPr>
                <w:r>
                  <w:rPr>
                    <w:sz w:val="14"/>
                    <w:szCs w:val="14"/>
                  </w:rPr>
                  <w:t>165,564.00</w:t>
                </w:r>
              </w:p>
            </w:tc>
            <w:tc>
              <w:tcPr>
                <w:tcW w:w="528" w:type="pct"/>
                <w:shd w:val="clear" w:color="auto" w:fill="auto"/>
                <w:vAlign w:val="center"/>
              </w:tcPr>
              <w:p>
                <w:pPr>
                  <w:jc w:val="right"/>
                  <w:rPr>
                    <w:sz w:val="14"/>
                    <w:szCs w:val="14"/>
                  </w:rPr>
                </w:pPr>
                <w:r>
                  <w:rPr>
                    <w:sz w:val="14"/>
                    <w:szCs w:val="14"/>
                  </w:rPr>
                  <w:t>533,867.00</w:t>
                </w:r>
              </w:p>
            </w:tc>
            <w:tc>
              <w:tcPr>
                <w:tcW w:w="634" w:type="pct"/>
                <w:shd w:val="clear" w:color="auto" w:fill="auto"/>
                <w:vAlign w:val="center"/>
              </w:tcPr>
              <w:p>
                <w:pPr>
                  <w:jc w:val="right"/>
                  <w:rPr>
                    <w:sz w:val="14"/>
                    <w:szCs w:val="14"/>
                  </w:rPr>
                </w:pPr>
                <w:r>
                  <w:rPr>
                    <w:sz w:val="14"/>
                    <w:szCs w:val="14"/>
                  </w:rPr>
                  <w:t>52,230,800.63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52f208e0e9cd4154b48b25225e9d4e33"/>
                <w:id w:val="-796061116"/>
              </w:sdtPr>
              <w:sdtEndPr>
                <w:rPr>
                  <w:sz w:val="14"/>
                  <w:szCs w:val="14"/>
                </w:rPr>
              </w:sdtEndPr>
              <w:sdtContent>
                <w:tc>
                  <w:tcPr>
                    <w:tcW w:w="422" w:type="pct"/>
                    <w:shd w:val="clear" w:color="auto" w:fill="auto"/>
                  </w:tcPr>
                  <w:p>
                    <w:pPr>
                      <w:ind w:firstLine="420" w:firstLineChars="300"/>
                      <w:rPr>
                        <w:sz w:val="14"/>
                        <w:szCs w:val="14"/>
                      </w:rPr>
                    </w:pPr>
                    <w:r>
                      <w:rPr>
                        <w:rFonts w:hint="eastAsia"/>
                        <w:sz w:val="14"/>
                        <w:szCs w:val="14"/>
                      </w:rPr>
                      <w:t>（1）购置</w:t>
                    </w:r>
                  </w:p>
                </w:tc>
              </w:sdtContent>
            </w:sdt>
            <w:tc>
              <w:tcPr>
                <w:tcW w:w="599" w:type="pct"/>
                <w:shd w:val="clear" w:color="auto" w:fill="auto"/>
                <w:vAlign w:val="center"/>
              </w:tcPr>
              <w:p>
                <w:pPr>
                  <w:jc w:val="right"/>
                  <w:rPr>
                    <w:sz w:val="14"/>
                    <w:szCs w:val="14"/>
                  </w:rPr>
                </w:pPr>
                <w:r>
                  <w:rPr>
                    <w:sz w:val="14"/>
                    <w:szCs w:val="14"/>
                  </w:rPr>
                  <w:t>18,972,173.78</w:t>
                </w:r>
              </w:p>
            </w:tc>
            <w:tc>
              <w:tcPr>
                <w:tcW w:w="599" w:type="pct"/>
                <w:shd w:val="clear" w:color="auto" w:fill="auto"/>
                <w:vAlign w:val="center"/>
              </w:tcPr>
              <w:p>
                <w:pPr>
                  <w:jc w:val="right"/>
                  <w:rPr>
                    <w:sz w:val="14"/>
                    <w:szCs w:val="14"/>
                  </w:rPr>
                </w:pPr>
                <w:r>
                  <w:rPr>
                    <w:sz w:val="14"/>
                    <w:szCs w:val="14"/>
                  </w:rPr>
                  <w:t>104,060.07</w:t>
                </w:r>
              </w:p>
            </w:tc>
            <w:tc>
              <w:tcPr>
                <w:tcW w:w="599" w:type="pct"/>
                <w:shd w:val="clear" w:color="auto" w:fill="auto"/>
                <w:vAlign w:val="center"/>
              </w:tcPr>
              <w:p>
                <w:pPr>
                  <w:jc w:val="right"/>
                  <w:rPr>
                    <w:sz w:val="14"/>
                    <w:szCs w:val="14"/>
                  </w:rPr>
                </w:pPr>
                <w:r>
                  <w:rPr>
                    <w:sz w:val="14"/>
                    <w:szCs w:val="14"/>
                  </w:rPr>
                  <w:t>3,900,272.29</w:t>
                </w:r>
              </w:p>
            </w:tc>
            <w:tc>
              <w:tcPr>
                <w:tcW w:w="599" w:type="pct"/>
                <w:shd w:val="clear" w:color="auto" w:fill="auto"/>
                <w:vAlign w:val="center"/>
              </w:tcPr>
              <w:p>
                <w:pPr>
                  <w:jc w:val="right"/>
                  <w:rPr>
                    <w:sz w:val="14"/>
                    <w:szCs w:val="14"/>
                  </w:rPr>
                </w:pPr>
                <w:r>
                  <w:rPr>
                    <w:sz w:val="14"/>
                    <w:szCs w:val="14"/>
                  </w:rPr>
                  <w:t>10,093,185.66</w:t>
                </w:r>
              </w:p>
            </w:tc>
            <w:tc>
              <w:tcPr>
                <w:tcW w:w="528" w:type="pct"/>
                <w:shd w:val="clear" w:color="auto" w:fill="auto"/>
                <w:vAlign w:val="center"/>
              </w:tcPr>
              <w:p>
                <w:pPr>
                  <w:jc w:val="right"/>
                  <w:rPr>
                    <w:sz w:val="14"/>
                    <w:szCs w:val="14"/>
                  </w:rPr>
                </w:pPr>
                <w:r>
                  <w:rPr>
                    <w:sz w:val="14"/>
                    <w:szCs w:val="14"/>
                  </w:rPr>
                  <w:t>3,358,711.24</w:t>
                </w:r>
              </w:p>
            </w:tc>
            <w:tc>
              <w:tcPr>
                <w:tcW w:w="493" w:type="pct"/>
                <w:shd w:val="clear" w:color="auto" w:fill="auto"/>
                <w:vAlign w:val="center"/>
              </w:tcPr>
              <w:p>
                <w:pPr>
                  <w:jc w:val="right"/>
                  <w:rPr>
                    <w:sz w:val="14"/>
                    <w:szCs w:val="14"/>
                  </w:rPr>
                </w:pPr>
                <w:r>
                  <w:rPr>
                    <w:sz w:val="14"/>
                    <w:szCs w:val="14"/>
                  </w:rPr>
                  <w:t>165,564.00</w:t>
                </w:r>
              </w:p>
            </w:tc>
            <w:tc>
              <w:tcPr>
                <w:tcW w:w="528" w:type="pct"/>
                <w:shd w:val="clear" w:color="auto" w:fill="auto"/>
                <w:vAlign w:val="center"/>
              </w:tcPr>
              <w:p>
                <w:pPr>
                  <w:jc w:val="right"/>
                  <w:rPr>
                    <w:sz w:val="14"/>
                    <w:szCs w:val="14"/>
                  </w:rPr>
                </w:pPr>
                <w:r>
                  <w:rPr>
                    <w:sz w:val="14"/>
                    <w:szCs w:val="14"/>
                  </w:rPr>
                  <w:t>533,867.00</w:t>
                </w:r>
              </w:p>
            </w:tc>
            <w:tc>
              <w:tcPr>
                <w:tcW w:w="634" w:type="pct"/>
                <w:shd w:val="clear" w:color="auto" w:fill="auto"/>
                <w:vAlign w:val="center"/>
              </w:tcPr>
              <w:p>
                <w:pPr>
                  <w:jc w:val="right"/>
                  <w:rPr>
                    <w:sz w:val="14"/>
                    <w:szCs w:val="14"/>
                  </w:rPr>
                </w:pPr>
                <w:r>
                  <w:rPr>
                    <w:sz w:val="14"/>
                    <w:szCs w:val="14"/>
                  </w:rPr>
                  <w:t>37,127,834.04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c449c35eb24a41ae87b7fabcc7ac49f2"/>
                <w:id w:val="252868688"/>
              </w:sdtPr>
              <w:sdtEndPr>
                <w:rPr>
                  <w:sz w:val="14"/>
                  <w:szCs w:val="14"/>
                </w:rPr>
              </w:sdtEndPr>
              <w:sdtContent>
                <w:tc>
                  <w:tcPr>
                    <w:tcW w:w="422" w:type="pct"/>
                    <w:shd w:val="clear" w:color="auto" w:fill="auto"/>
                  </w:tcPr>
                  <w:p>
                    <w:pPr>
                      <w:ind w:firstLine="420" w:firstLineChars="300"/>
                      <w:rPr>
                        <w:sz w:val="14"/>
                        <w:szCs w:val="14"/>
                      </w:rPr>
                    </w:pPr>
                    <w:r>
                      <w:rPr>
                        <w:rFonts w:hint="eastAsia"/>
                        <w:sz w:val="14"/>
                        <w:szCs w:val="14"/>
                      </w:rPr>
                      <w:t>（2）在建工程转入</w:t>
                    </w:r>
                  </w:p>
                </w:tc>
              </w:sdtContent>
            </w:sdt>
            <w:tc>
              <w:tcPr>
                <w:tcW w:w="599" w:type="pct"/>
                <w:shd w:val="clear" w:color="auto" w:fill="auto"/>
                <w:vAlign w:val="center"/>
              </w:tcPr>
              <w:p>
                <w:pPr>
                  <w:jc w:val="right"/>
                  <w:rPr>
                    <w:sz w:val="14"/>
                    <w:szCs w:val="14"/>
                  </w:rPr>
                </w:pPr>
                <w:r>
                  <w:rPr>
                    <w:sz w:val="14"/>
                    <w:szCs w:val="14"/>
                  </w:rPr>
                  <w:t>11,002,174.84</w:t>
                </w:r>
              </w:p>
            </w:tc>
            <w:tc>
              <w:tcPr>
                <w:tcW w:w="599" w:type="pct"/>
                <w:shd w:val="clear" w:color="auto" w:fill="auto"/>
                <w:vAlign w:val="center"/>
              </w:tcPr>
              <w:p>
                <w:pPr>
                  <w:jc w:val="right"/>
                  <w:rPr>
                    <w:sz w:val="14"/>
                    <w:szCs w:val="14"/>
                  </w:rPr>
                </w:pPr>
                <w:r>
                  <w:rPr>
                    <w:rFonts w:hint="eastAsia"/>
                    <w:sz w:val="14"/>
                    <w:szCs w:val="14"/>
                  </w:rPr>
                  <w:t>-</w:t>
                </w:r>
              </w:p>
            </w:tc>
            <w:tc>
              <w:tcPr>
                <w:tcW w:w="599" w:type="pct"/>
                <w:shd w:val="clear" w:color="auto" w:fill="auto"/>
                <w:vAlign w:val="center"/>
              </w:tcPr>
              <w:p>
                <w:pPr>
                  <w:jc w:val="right"/>
                  <w:rPr>
                    <w:sz w:val="14"/>
                    <w:szCs w:val="14"/>
                  </w:rPr>
                </w:pPr>
                <w:r>
                  <w:rPr>
                    <w:sz w:val="14"/>
                    <w:szCs w:val="14"/>
                  </w:rPr>
                  <w:t>4,100,791.75</w:t>
                </w:r>
              </w:p>
            </w:tc>
            <w:tc>
              <w:tcPr>
                <w:tcW w:w="599" w:type="pct"/>
                <w:shd w:val="clear" w:color="auto" w:fill="auto"/>
                <w:vAlign w:val="center"/>
              </w:tcPr>
              <w:p>
                <w:pPr>
                  <w:jc w:val="right"/>
                  <w:rPr>
                    <w:sz w:val="14"/>
                    <w:szCs w:val="14"/>
                  </w:rPr>
                </w:pPr>
                <w:r>
                  <w:rPr>
                    <w:rFonts w:hint="eastAsia"/>
                    <w:sz w:val="14"/>
                    <w:szCs w:val="14"/>
                  </w:rPr>
                  <w:t>-</w:t>
                </w:r>
              </w:p>
            </w:tc>
            <w:tc>
              <w:tcPr>
                <w:tcW w:w="528" w:type="pct"/>
                <w:shd w:val="clear" w:color="auto" w:fill="auto"/>
                <w:vAlign w:val="center"/>
              </w:tcPr>
              <w:p>
                <w:pPr>
                  <w:jc w:val="right"/>
                  <w:rPr>
                    <w:sz w:val="14"/>
                    <w:szCs w:val="14"/>
                  </w:rPr>
                </w:pPr>
                <w:r>
                  <w:rPr>
                    <w:rFonts w:hint="eastAsia"/>
                    <w:sz w:val="14"/>
                    <w:szCs w:val="14"/>
                  </w:rPr>
                  <w:t>-</w:t>
                </w:r>
              </w:p>
            </w:tc>
            <w:tc>
              <w:tcPr>
                <w:tcW w:w="493" w:type="pct"/>
                <w:shd w:val="clear" w:color="auto" w:fill="auto"/>
                <w:vAlign w:val="center"/>
              </w:tcPr>
              <w:p>
                <w:pPr>
                  <w:jc w:val="right"/>
                  <w:rPr>
                    <w:sz w:val="14"/>
                    <w:szCs w:val="14"/>
                  </w:rPr>
                </w:pPr>
                <w:r>
                  <w:rPr>
                    <w:rFonts w:hint="eastAsia"/>
                    <w:sz w:val="14"/>
                    <w:szCs w:val="14"/>
                  </w:rPr>
                  <w:t>-</w:t>
                </w:r>
              </w:p>
            </w:tc>
            <w:tc>
              <w:tcPr>
                <w:tcW w:w="528" w:type="pct"/>
                <w:shd w:val="clear" w:color="auto" w:fill="auto"/>
                <w:vAlign w:val="center"/>
              </w:tcPr>
              <w:p>
                <w:pPr>
                  <w:jc w:val="right"/>
                  <w:rPr>
                    <w:sz w:val="14"/>
                    <w:szCs w:val="14"/>
                  </w:rPr>
                </w:pPr>
                <w:r>
                  <w:rPr>
                    <w:rFonts w:hint="eastAsia"/>
                    <w:sz w:val="14"/>
                    <w:szCs w:val="14"/>
                  </w:rPr>
                  <w:t>-</w:t>
                </w:r>
              </w:p>
            </w:tc>
            <w:tc>
              <w:tcPr>
                <w:tcW w:w="634" w:type="pct"/>
                <w:shd w:val="clear" w:color="auto" w:fill="auto"/>
                <w:vAlign w:val="center"/>
              </w:tcPr>
              <w:p>
                <w:pPr>
                  <w:jc w:val="right"/>
                  <w:rPr>
                    <w:sz w:val="14"/>
                    <w:szCs w:val="14"/>
                  </w:rPr>
                </w:pPr>
                <w:r>
                  <w:rPr>
                    <w:sz w:val="14"/>
                    <w:szCs w:val="14"/>
                  </w:rPr>
                  <w:t>15,102,966.59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dfb162daa7694866a1c4e80fabb81d52"/>
                <w:id w:val="-291827798"/>
              </w:sdtPr>
              <w:sdtEndPr>
                <w:rPr>
                  <w:sz w:val="14"/>
                  <w:szCs w:val="14"/>
                </w:rPr>
              </w:sdtEndPr>
              <w:sdtContent>
                <w:tc>
                  <w:tcPr>
                    <w:tcW w:w="422" w:type="pct"/>
                    <w:shd w:val="clear" w:color="auto" w:fill="auto"/>
                  </w:tcPr>
                  <w:p>
                    <w:pPr>
                      <w:ind w:firstLine="350" w:firstLineChars="250"/>
                      <w:rPr>
                        <w:sz w:val="14"/>
                        <w:szCs w:val="14"/>
                      </w:rPr>
                    </w:pPr>
                    <w:r>
                      <w:rPr>
                        <w:rFonts w:hint="eastAsia"/>
                        <w:sz w:val="14"/>
                        <w:szCs w:val="14"/>
                      </w:rPr>
                      <w:t>3.本期减少金额</w:t>
                    </w:r>
                  </w:p>
                </w:tc>
              </w:sdtContent>
            </w:sdt>
            <w:tc>
              <w:tcPr>
                <w:tcW w:w="599" w:type="pct"/>
                <w:shd w:val="clear" w:color="auto" w:fill="auto"/>
                <w:vAlign w:val="center"/>
              </w:tcPr>
              <w:p>
                <w:pPr>
                  <w:jc w:val="right"/>
                  <w:rPr>
                    <w:sz w:val="14"/>
                    <w:szCs w:val="14"/>
                  </w:rPr>
                </w:pPr>
                <w:r>
                  <w:rPr>
                    <w:sz w:val="14"/>
                    <w:szCs w:val="14"/>
                  </w:rPr>
                  <w:t>4,570,741.73</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575,120.00</w:t>
                </w:r>
              </w:p>
            </w:tc>
            <w:tc>
              <w:tcPr>
                <w:tcW w:w="599" w:type="pct"/>
                <w:shd w:val="clear" w:color="auto" w:fill="auto"/>
                <w:vAlign w:val="center"/>
              </w:tcPr>
              <w:p>
                <w:pPr>
                  <w:jc w:val="right"/>
                  <w:rPr>
                    <w:sz w:val="14"/>
                    <w:szCs w:val="14"/>
                  </w:rPr>
                </w:pPr>
                <w:r>
                  <w:rPr>
                    <w:sz w:val="14"/>
                    <w:szCs w:val="14"/>
                  </w:rPr>
                  <w:t>11,150.00</w:t>
                </w:r>
              </w:p>
            </w:tc>
            <w:tc>
              <w:tcPr>
                <w:tcW w:w="528" w:type="pct"/>
                <w:shd w:val="clear" w:color="auto" w:fill="auto"/>
                <w:vAlign w:val="center"/>
              </w:tcPr>
              <w:p>
                <w:pPr>
                  <w:jc w:val="right"/>
                  <w:rPr>
                    <w:sz w:val="14"/>
                    <w:szCs w:val="14"/>
                  </w:rPr>
                </w:pPr>
                <w:r>
                  <w:rPr>
                    <w:sz w:val="14"/>
                    <w:szCs w:val="14"/>
                  </w:rPr>
                  <w:t>193,747.15</w:t>
                </w:r>
              </w:p>
            </w:tc>
            <w:tc>
              <w:tcPr>
                <w:tcW w:w="493" w:type="pct"/>
                <w:shd w:val="clear" w:color="auto" w:fill="auto"/>
                <w:vAlign w:val="center"/>
              </w:tcPr>
              <w:p>
                <w:pPr>
                  <w:jc w:val="right"/>
                  <w:rPr>
                    <w:sz w:val="14"/>
                    <w:szCs w:val="14"/>
                  </w:rPr>
                </w:pPr>
                <w:r>
                  <w:rPr>
                    <w:sz w:val="14"/>
                    <w:szCs w:val="14"/>
                  </w:rPr>
                  <w:t>162,284.00</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5,513,042.88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fee37578c2514ed28988969e830aeae7"/>
                <w:id w:val="1173148004"/>
              </w:sdtPr>
              <w:sdtEndPr>
                <w:rPr>
                  <w:sz w:val="14"/>
                  <w:szCs w:val="14"/>
                </w:rPr>
              </w:sdtEndPr>
              <w:sdtContent>
                <w:tc>
                  <w:tcPr>
                    <w:tcW w:w="422" w:type="pct"/>
                    <w:shd w:val="clear" w:color="auto" w:fill="auto"/>
                  </w:tcPr>
                  <w:p>
                    <w:pPr>
                      <w:ind w:firstLine="420" w:firstLineChars="300"/>
                      <w:rPr>
                        <w:sz w:val="14"/>
                        <w:szCs w:val="14"/>
                      </w:rPr>
                    </w:pPr>
                    <w:r>
                      <w:rPr>
                        <w:rFonts w:hint="eastAsia"/>
                        <w:sz w:val="14"/>
                        <w:szCs w:val="14"/>
                      </w:rPr>
                      <w:t>（1）处置或报废</w:t>
                    </w:r>
                  </w:p>
                </w:tc>
              </w:sdtContent>
            </w:sdt>
            <w:tc>
              <w:tcPr>
                <w:tcW w:w="599" w:type="pct"/>
                <w:shd w:val="clear" w:color="auto" w:fill="auto"/>
                <w:vAlign w:val="center"/>
              </w:tcPr>
              <w:p>
                <w:pPr>
                  <w:jc w:val="right"/>
                  <w:rPr>
                    <w:sz w:val="14"/>
                    <w:szCs w:val="14"/>
                  </w:rPr>
                </w:pPr>
                <w:r>
                  <w:rPr>
                    <w:sz w:val="14"/>
                    <w:szCs w:val="14"/>
                  </w:rPr>
                  <w:t>4,570,741.73</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575,120.00</w:t>
                </w:r>
              </w:p>
            </w:tc>
            <w:tc>
              <w:tcPr>
                <w:tcW w:w="599" w:type="pct"/>
                <w:shd w:val="clear" w:color="auto" w:fill="auto"/>
                <w:vAlign w:val="center"/>
              </w:tcPr>
              <w:p>
                <w:pPr>
                  <w:jc w:val="right"/>
                  <w:rPr>
                    <w:sz w:val="14"/>
                    <w:szCs w:val="14"/>
                  </w:rPr>
                </w:pPr>
                <w:r>
                  <w:rPr>
                    <w:sz w:val="14"/>
                    <w:szCs w:val="14"/>
                  </w:rPr>
                  <w:t>11,150.00</w:t>
                </w:r>
              </w:p>
            </w:tc>
            <w:tc>
              <w:tcPr>
                <w:tcW w:w="528" w:type="pct"/>
                <w:shd w:val="clear" w:color="auto" w:fill="auto"/>
                <w:vAlign w:val="center"/>
              </w:tcPr>
              <w:p>
                <w:pPr>
                  <w:jc w:val="right"/>
                  <w:rPr>
                    <w:sz w:val="14"/>
                    <w:szCs w:val="14"/>
                  </w:rPr>
                </w:pPr>
                <w:r>
                  <w:rPr>
                    <w:sz w:val="14"/>
                    <w:szCs w:val="14"/>
                  </w:rPr>
                  <w:t>193,747.15</w:t>
                </w:r>
              </w:p>
            </w:tc>
            <w:tc>
              <w:tcPr>
                <w:tcW w:w="493" w:type="pct"/>
                <w:shd w:val="clear" w:color="auto" w:fill="auto"/>
                <w:vAlign w:val="center"/>
              </w:tcPr>
              <w:p>
                <w:pPr>
                  <w:jc w:val="right"/>
                  <w:rPr>
                    <w:sz w:val="14"/>
                    <w:szCs w:val="14"/>
                  </w:rPr>
                </w:pPr>
                <w:r>
                  <w:rPr>
                    <w:sz w:val="14"/>
                    <w:szCs w:val="14"/>
                  </w:rPr>
                  <w:t>162,284.00</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5,513,042.88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249206a916954d19ba9495bb5be5eb90"/>
                <w:id w:val="1613087382"/>
              </w:sdtPr>
              <w:sdtEndPr>
                <w:rPr>
                  <w:sz w:val="14"/>
                  <w:szCs w:val="14"/>
                </w:rPr>
              </w:sdtEndPr>
              <w:sdtContent>
                <w:tc>
                  <w:tcPr>
                    <w:tcW w:w="422" w:type="pct"/>
                    <w:shd w:val="clear" w:color="auto" w:fill="auto"/>
                  </w:tcPr>
                  <w:p>
                    <w:pPr>
                      <w:ind w:firstLine="280" w:firstLineChars="200"/>
                      <w:rPr>
                        <w:sz w:val="14"/>
                        <w:szCs w:val="14"/>
                      </w:rPr>
                    </w:pPr>
                    <w:r>
                      <w:rPr>
                        <w:rFonts w:hint="eastAsia"/>
                        <w:sz w:val="14"/>
                        <w:szCs w:val="14"/>
                      </w:rPr>
                      <w:t>4.期末余额</w:t>
                    </w:r>
                  </w:p>
                </w:tc>
              </w:sdtContent>
            </w:sdt>
            <w:tc>
              <w:tcPr>
                <w:tcW w:w="599" w:type="pct"/>
                <w:shd w:val="clear" w:color="auto" w:fill="auto"/>
                <w:vAlign w:val="center"/>
              </w:tcPr>
              <w:p>
                <w:pPr>
                  <w:jc w:val="right"/>
                  <w:rPr>
                    <w:sz w:val="14"/>
                    <w:szCs w:val="14"/>
                  </w:rPr>
                </w:pPr>
                <w:r>
                  <w:rPr>
                    <w:sz w:val="14"/>
                    <w:szCs w:val="14"/>
                  </w:rPr>
                  <w:t>3,689,879,546.93</w:t>
                </w:r>
              </w:p>
            </w:tc>
            <w:tc>
              <w:tcPr>
                <w:tcW w:w="599" w:type="pct"/>
                <w:shd w:val="clear" w:color="auto" w:fill="auto"/>
                <w:vAlign w:val="center"/>
              </w:tcPr>
              <w:p>
                <w:pPr>
                  <w:jc w:val="right"/>
                  <w:rPr>
                    <w:sz w:val="14"/>
                    <w:szCs w:val="14"/>
                  </w:rPr>
                </w:pPr>
                <w:r>
                  <w:rPr>
                    <w:sz w:val="14"/>
                    <w:szCs w:val="14"/>
                  </w:rPr>
                  <w:t>1,135,792,328.47</w:t>
                </w:r>
              </w:p>
            </w:tc>
            <w:tc>
              <w:tcPr>
                <w:tcW w:w="599" w:type="pct"/>
                <w:shd w:val="clear" w:color="auto" w:fill="auto"/>
                <w:vAlign w:val="center"/>
              </w:tcPr>
              <w:p>
                <w:pPr>
                  <w:jc w:val="right"/>
                  <w:rPr>
                    <w:sz w:val="14"/>
                    <w:szCs w:val="14"/>
                  </w:rPr>
                </w:pPr>
                <w:r>
                  <w:rPr>
                    <w:sz w:val="14"/>
                    <w:szCs w:val="14"/>
                  </w:rPr>
                  <w:t>1,111,245,485.97</w:t>
                </w:r>
              </w:p>
            </w:tc>
            <w:tc>
              <w:tcPr>
                <w:tcW w:w="599" w:type="pct"/>
                <w:shd w:val="clear" w:color="auto" w:fill="auto"/>
                <w:vAlign w:val="center"/>
              </w:tcPr>
              <w:p>
                <w:pPr>
                  <w:jc w:val="right"/>
                  <w:rPr>
                    <w:sz w:val="14"/>
                    <w:szCs w:val="14"/>
                  </w:rPr>
                </w:pPr>
                <w:r>
                  <w:rPr>
                    <w:sz w:val="14"/>
                    <w:szCs w:val="14"/>
                  </w:rPr>
                  <w:t>5,373,605,986.52</w:t>
                </w:r>
              </w:p>
            </w:tc>
            <w:tc>
              <w:tcPr>
                <w:tcW w:w="528" w:type="pct"/>
                <w:shd w:val="clear" w:color="auto" w:fill="auto"/>
                <w:vAlign w:val="center"/>
              </w:tcPr>
              <w:p>
                <w:pPr>
                  <w:jc w:val="right"/>
                  <w:rPr>
                    <w:sz w:val="14"/>
                    <w:szCs w:val="14"/>
                  </w:rPr>
                </w:pPr>
                <w:r>
                  <w:rPr>
                    <w:sz w:val="14"/>
                    <w:szCs w:val="14"/>
                  </w:rPr>
                  <w:t>420,402,486.16</w:t>
                </w:r>
              </w:p>
            </w:tc>
            <w:tc>
              <w:tcPr>
                <w:tcW w:w="493" w:type="pct"/>
                <w:shd w:val="clear" w:color="auto" w:fill="auto"/>
                <w:vAlign w:val="center"/>
              </w:tcPr>
              <w:p>
                <w:pPr>
                  <w:jc w:val="right"/>
                  <w:rPr>
                    <w:sz w:val="14"/>
                    <w:szCs w:val="14"/>
                  </w:rPr>
                </w:pPr>
                <w:r>
                  <w:rPr>
                    <w:sz w:val="14"/>
                    <w:szCs w:val="14"/>
                  </w:rPr>
                  <w:t>63,730,450.66</w:t>
                </w:r>
              </w:p>
            </w:tc>
            <w:tc>
              <w:tcPr>
                <w:tcW w:w="528" w:type="pct"/>
                <w:shd w:val="clear" w:color="auto" w:fill="auto"/>
                <w:vAlign w:val="center"/>
              </w:tcPr>
              <w:p>
                <w:pPr>
                  <w:jc w:val="right"/>
                  <w:rPr>
                    <w:sz w:val="14"/>
                    <w:szCs w:val="14"/>
                  </w:rPr>
                </w:pPr>
                <w:r>
                  <w:rPr>
                    <w:sz w:val="14"/>
                    <w:szCs w:val="14"/>
                  </w:rPr>
                  <w:t>126,194,051.61</w:t>
                </w:r>
              </w:p>
            </w:tc>
            <w:tc>
              <w:tcPr>
                <w:tcW w:w="634" w:type="pct"/>
                <w:shd w:val="clear" w:color="auto" w:fill="auto"/>
                <w:vAlign w:val="center"/>
              </w:tcPr>
              <w:p>
                <w:pPr>
                  <w:jc w:val="right"/>
                  <w:rPr>
                    <w:sz w:val="14"/>
                    <w:szCs w:val="14"/>
                  </w:rPr>
                </w:pPr>
                <w:r>
                  <w:rPr>
                    <w:sz w:val="14"/>
                    <w:szCs w:val="14"/>
                  </w:rPr>
                  <w:t>11,920,850,336.32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3b9a984e6e834331844252acd1c6a321"/>
                <w:id w:val="1792319310"/>
              </w:sdtPr>
              <w:sdtEndPr>
                <w:rPr>
                  <w:sz w:val="14"/>
                  <w:szCs w:val="14"/>
                </w:rPr>
              </w:sdtEndPr>
              <w:sdtContent>
                <w:tc>
                  <w:tcPr>
                    <w:tcW w:w="5000" w:type="pct"/>
                    <w:gridSpan w:val="9"/>
                    <w:shd w:val="clear" w:color="auto" w:fill="auto"/>
                  </w:tcPr>
                  <w:p>
                    <w:pPr>
                      <w:pStyle w:val="301"/>
                      <w:rPr>
                        <w:sz w:val="14"/>
                        <w:szCs w:val="14"/>
                      </w:rPr>
                    </w:pPr>
                    <w:r>
                      <w:rPr>
                        <w:rFonts w:hint="eastAsia"/>
                        <w:sz w:val="14"/>
                        <w:szCs w:val="14"/>
                      </w:rPr>
                      <w:t>二、累计折旧</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f4ae2b083a314e62b85f562d3dbe5c24"/>
                <w:id w:val="-538056731"/>
              </w:sdtPr>
              <w:sdtEndPr>
                <w:rPr>
                  <w:sz w:val="14"/>
                  <w:szCs w:val="14"/>
                </w:rPr>
              </w:sdtEndPr>
              <w:sdtContent>
                <w:tc>
                  <w:tcPr>
                    <w:tcW w:w="422" w:type="pct"/>
                    <w:shd w:val="clear" w:color="auto" w:fill="auto"/>
                  </w:tcPr>
                  <w:p>
                    <w:pPr>
                      <w:ind w:firstLine="280" w:firstLineChars="200"/>
                      <w:rPr>
                        <w:sz w:val="14"/>
                        <w:szCs w:val="14"/>
                      </w:rPr>
                    </w:pPr>
                    <w:r>
                      <w:rPr>
                        <w:sz w:val="14"/>
                        <w:szCs w:val="14"/>
                      </w:rPr>
                      <w:t>1.</w:t>
                    </w:r>
                    <w:r>
                      <w:rPr>
                        <w:rFonts w:hint="eastAsia"/>
                        <w:sz w:val="14"/>
                        <w:szCs w:val="14"/>
                      </w:rPr>
                      <w:t>期初余额</w:t>
                    </w:r>
                  </w:p>
                </w:tc>
              </w:sdtContent>
            </w:sdt>
            <w:tc>
              <w:tcPr>
                <w:tcW w:w="599" w:type="pct"/>
                <w:shd w:val="clear" w:color="auto" w:fill="auto"/>
                <w:vAlign w:val="center"/>
              </w:tcPr>
              <w:p>
                <w:pPr>
                  <w:jc w:val="right"/>
                  <w:rPr>
                    <w:sz w:val="14"/>
                    <w:szCs w:val="14"/>
                  </w:rPr>
                </w:pPr>
                <w:r>
                  <w:rPr>
                    <w:sz w:val="14"/>
                    <w:szCs w:val="14"/>
                  </w:rPr>
                  <w:t>1,214,573,829.28</w:t>
                </w:r>
              </w:p>
            </w:tc>
            <w:tc>
              <w:tcPr>
                <w:tcW w:w="599" w:type="pct"/>
                <w:shd w:val="clear" w:color="auto" w:fill="auto"/>
                <w:vAlign w:val="center"/>
              </w:tcPr>
              <w:p>
                <w:pPr>
                  <w:jc w:val="right"/>
                  <w:rPr>
                    <w:sz w:val="14"/>
                    <w:szCs w:val="14"/>
                  </w:rPr>
                </w:pPr>
                <w:r>
                  <w:rPr>
                    <w:sz w:val="14"/>
                    <w:szCs w:val="14"/>
                  </w:rPr>
                  <w:t>881,655,943.84</w:t>
                </w:r>
              </w:p>
            </w:tc>
            <w:tc>
              <w:tcPr>
                <w:tcW w:w="599" w:type="pct"/>
                <w:shd w:val="clear" w:color="auto" w:fill="auto"/>
                <w:vAlign w:val="center"/>
              </w:tcPr>
              <w:p>
                <w:pPr>
                  <w:jc w:val="right"/>
                  <w:rPr>
                    <w:sz w:val="14"/>
                    <w:szCs w:val="14"/>
                  </w:rPr>
                </w:pPr>
                <w:r>
                  <w:rPr>
                    <w:sz w:val="14"/>
                    <w:szCs w:val="14"/>
                  </w:rPr>
                  <w:t>609,202,471.95</w:t>
                </w:r>
              </w:p>
            </w:tc>
            <w:tc>
              <w:tcPr>
                <w:tcW w:w="599" w:type="pct"/>
                <w:shd w:val="clear" w:color="auto" w:fill="auto"/>
                <w:vAlign w:val="center"/>
              </w:tcPr>
              <w:p>
                <w:pPr>
                  <w:jc w:val="right"/>
                  <w:rPr>
                    <w:sz w:val="14"/>
                    <w:szCs w:val="14"/>
                  </w:rPr>
                </w:pPr>
                <w:r>
                  <w:rPr>
                    <w:sz w:val="14"/>
                    <w:szCs w:val="14"/>
                  </w:rPr>
                  <w:t>902,675,697.38</w:t>
                </w:r>
              </w:p>
            </w:tc>
            <w:tc>
              <w:tcPr>
                <w:tcW w:w="528" w:type="pct"/>
                <w:shd w:val="clear" w:color="auto" w:fill="auto"/>
                <w:vAlign w:val="center"/>
              </w:tcPr>
              <w:p>
                <w:pPr>
                  <w:jc w:val="right"/>
                  <w:rPr>
                    <w:sz w:val="14"/>
                    <w:szCs w:val="14"/>
                  </w:rPr>
                </w:pPr>
                <w:r>
                  <w:rPr>
                    <w:sz w:val="14"/>
                    <w:szCs w:val="14"/>
                  </w:rPr>
                  <w:t>105,405,171.18</w:t>
                </w:r>
              </w:p>
            </w:tc>
            <w:tc>
              <w:tcPr>
                <w:tcW w:w="493" w:type="pct"/>
                <w:shd w:val="clear" w:color="auto" w:fill="auto"/>
                <w:vAlign w:val="center"/>
              </w:tcPr>
              <w:p>
                <w:pPr>
                  <w:jc w:val="right"/>
                  <w:rPr>
                    <w:sz w:val="14"/>
                    <w:szCs w:val="14"/>
                  </w:rPr>
                </w:pPr>
                <w:r>
                  <w:rPr>
                    <w:sz w:val="14"/>
                    <w:szCs w:val="14"/>
                  </w:rPr>
                  <w:t>46,763,482.89</w:t>
                </w:r>
              </w:p>
            </w:tc>
            <w:tc>
              <w:tcPr>
                <w:tcW w:w="528" w:type="pct"/>
                <w:shd w:val="clear" w:color="auto" w:fill="auto"/>
                <w:vAlign w:val="center"/>
              </w:tcPr>
              <w:p>
                <w:pPr>
                  <w:jc w:val="right"/>
                  <w:rPr>
                    <w:sz w:val="14"/>
                    <w:szCs w:val="14"/>
                  </w:rPr>
                </w:pPr>
                <w:r>
                  <w:rPr>
                    <w:sz w:val="14"/>
                    <w:szCs w:val="14"/>
                  </w:rPr>
                  <w:t>67,877,166.07</w:t>
                </w:r>
              </w:p>
            </w:tc>
            <w:tc>
              <w:tcPr>
                <w:tcW w:w="634" w:type="pct"/>
                <w:shd w:val="clear" w:color="auto" w:fill="auto"/>
                <w:vAlign w:val="center"/>
              </w:tcPr>
              <w:p>
                <w:pPr>
                  <w:jc w:val="right"/>
                  <w:rPr>
                    <w:sz w:val="14"/>
                    <w:szCs w:val="14"/>
                  </w:rPr>
                </w:pPr>
                <w:r>
                  <w:rPr>
                    <w:sz w:val="14"/>
                    <w:szCs w:val="14"/>
                  </w:rPr>
                  <w:t>3,828,153,762.59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5f15b887e02c4ec6b52b0f15c4e97c9c"/>
                <w:id w:val="-1157291693"/>
              </w:sdtPr>
              <w:sdtEndPr>
                <w:rPr>
                  <w:sz w:val="14"/>
                  <w:szCs w:val="14"/>
                </w:rPr>
              </w:sdtEndPr>
              <w:sdtContent>
                <w:tc>
                  <w:tcPr>
                    <w:tcW w:w="422" w:type="pct"/>
                    <w:shd w:val="clear" w:color="auto" w:fill="auto"/>
                  </w:tcPr>
                  <w:p>
                    <w:pPr>
                      <w:ind w:firstLine="280" w:firstLineChars="200"/>
                      <w:rPr>
                        <w:sz w:val="14"/>
                        <w:szCs w:val="14"/>
                      </w:rPr>
                    </w:pPr>
                    <w:r>
                      <w:rPr>
                        <w:sz w:val="14"/>
                        <w:szCs w:val="14"/>
                      </w:rPr>
                      <w:t>2.</w:t>
                    </w:r>
                    <w:r>
                      <w:rPr>
                        <w:rFonts w:hint="eastAsia"/>
                        <w:sz w:val="14"/>
                        <w:szCs w:val="14"/>
                      </w:rPr>
                      <w:t>本期增加金额</w:t>
                    </w:r>
                  </w:p>
                </w:tc>
              </w:sdtContent>
            </w:sdt>
            <w:tc>
              <w:tcPr>
                <w:tcW w:w="599" w:type="pct"/>
                <w:shd w:val="clear" w:color="auto" w:fill="auto"/>
                <w:vAlign w:val="center"/>
              </w:tcPr>
              <w:p>
                <w:pPr>
                  <w:jc w:val="right"/>
                  <w:rPr>
                    <w:sz w:val="14"/>
                    <w:szCs w:val="14"/>
                  </w:rPr>
                </w:pPr>
                <w:r>
                  <w:rPr>
                    <w:sz w:val="14"/>
                    <w:szCs w:val="14"/>
                  </w:rPr>
                  <w:t>71,989,701.88</w:t>
                </w:r>
              </w:p>
            </w:tc>
            <w:tc>
              <w:tcPr>
                <w:tcW w:w="599" w:type="pct"/>
                <w:shd w:val="clear" w:color="auto" w:fill="auto"/>
                <w:vAlign w:val="center"/>
              </w:tcPr>
              <w:p>
                <w:pPr>
                  <w:jc w:val="right"/>
                  <w:rPr>
                    <w:sz w:val="14"/>
                    <w:szCs w:val="14"/>
                  </w:rPr>
                </w:pPr>
                <w:r>
                  <w:rPr>
                    <w:sz w:val="14"/>
                    <w:szCs w:val="14"/>
                  </w:rPr>
                  <w:t>19,274,634.34</w:t>
                </w:r>
              </w:p>
            </w:tc>
            <w:tc>
              <w:tcPr>
                <w:tcW w:w="599" w:type="pct"/>
                <w:shd w:val="clear" w:color="auto" w:fill="auto"/>
                <w:vAlign w:val="center"/>
              </w:tcPr>
              <w:p>
                <w:pPr>
                  <w:jc w:val="right"/>
                  <w:rPr>
                    <w:sz w:val="14"/>
                    <w:szCs w:val="14"/>
                  </w:rPr>
                </w:pPr>
                <w:r>
                  <w:rPr>
                    <w:sz w:val="14"/>
                    <w:szCs w:val="14"/>
                  </w:rPr>
                  <w:t>43,672,371.54</w:t>
                </w:r>
              </w:p>
            </w:tc>
            <w:tc>
              <w:tcPr>
                <w:tcW w:w="599" w:type="pct"/>
                <w:shd w:val="clear" w:color="auto" w:fill="auto"/>
                <w:vAlign w:val="center"/>
              </w:tcPr>
              <w:p>
                <w:pPr>
                  <w:jc w:val="right"/>
                  <w:rPr>
                    <w:sz w:val="14"/>
                    <w:szCs w:val="14"/>
                  </w:rPr>
                </w:pPr>
                <w:r>
                  <w:rPr>
                    <w:sz w:val="14"/>
                    <w:szCs w:val="14"/>
                  </w:rPr>
                  <w:t>149,885,752.38</w:t>
                </w:r>
              </w:p>
            </w:tc>
            <w:tc>
              <w:tcPr>
                <w:tcW w:w="528" w:type="pct"/>
                <w:shd w:val="clear" w:color="auto" w:fill="auto"/>
                <w:vAlign w:val="center"/>
              </w:tcPr>
              <w:p>
                <w:pPr>
                  <w:jc w:val="right"/>
                  <w:rPr>
                    <w:sz w:val="14"/>
                    <w:szCs w:val="14"/>
                  </w:rPr>
                </w:pPr>
                <w:r>
                  <w:rPr>
                    <w:sz w:val="14"/>
                    <w:szCs w:val="14"/>
                  </w:rPr>
                  <w:t>15,766,212.58</w:t>
                </w:r>
              </w:p>
            </w:tc>
            <w:tc>
              <w:tcPr>
                <w:tcW w:w="493" w:type="pct"/>
                <w:shd w:val="clear" w:color="auto" w:fill="auto"/>
                <w:vAlign w:val="center"/>
              </w:tcPr>
              <w:p>
                <w:pPr>
                  <w:jc w:val="right"/>
                  <w:rPr>
                    <w:sz w:val="14"/>
                    <w:szCs w:val="14"/>
                  </w:rPr>
                </w:pPr>
                <w:r>
                  <w:rPr>
                    <w:sz w:val="14"/>
                    <w:szCs w:val="14"/>
                  </w:rPr>
                  <w:t>1,575,868.34</w:t>
                </w:r>
              </w:p>
            </w:tc>
            <w:tc>
              <w:tcPr>
                <w:tcW w:w="528" w:type="pct"/>
                <w:shd w:val="clear" w:color="auto" w:fill="auto"/>
                <w:vAlign w:val="center"/>
              </w:tcPr>
              <w:p>
                <w:pPr>
                  <w:jc w:val="right"/>
                  <w:rPr>
                    <w:sz w:val="14"/>
                    <w:szCs w:val="14"/>
                  </w:rPr>
                </w:pPr>
                <w:r>
                  <w:rPr>
                    <w:sz w:val="14"/>
                    <w:szCs w:val="14"/>
                  </w:rPr>
                  <w:t>10,106,491.93</w:t>
                </w:r>
              </w:p>
            </w:tc>
            <w:tc>
              <w:tcPr>
                <w:tcW w:w="634" w:type="pct"/>
                <w:shd w:val="clear" w:color="auto" w:fill="auto"/>
                <w:vAlign w:val="center"/>
              </w:tcPr>
              <w:p>
                <w:pPr>
                  <w:jc w:val="right"/>
                  <w:rPr>
                    <w:sz w:val="14"/>
                    <w:szCs w:val="14"/>
                  </w:rPr>
                </w:pPr>
                <w:r>
                  <w:rPr>
                    <w:sz w:val="14"/>
                    <w:szCs w:val="14"/>
                  </w:rPr>
                  <w:t>312,271,032.99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8957ada504474bfcb99282b7912be7e4"/>
                <w:id w:val="-958956503"/>
              </w:sdtPr>
              <w:sdtEndPr>
                <w:rPr>
                  <w:sz w:val="14"/>
                  <w:szCs w:val="14"/>
                </w:rPr>
              </w:sdtEndPr>
              <w:sdtContent>
                <w:tc>
                  <w:tcPr>
                    <w:tcW w:w="422" w:type="pct"/>
                    <w:shd w:val="clear" w:color="auto" w:fill="auto"/>
                  </w:tcPr>
                  <w:p>
                    <w:pPr>
                      <w:ind w:firstLine="420" w:firstLineChars="300"/>
                      <w:rPr>
                        <w:sz w:val="14"/>
                        <w:szCs w:val="14"/>
                      </w:rPr>
                    </w:pPr>
                    <w:r>
                      <w:rPr>
                        <w:rFonts w:hint="eastAsia"/>
                        <w:sz w:val="14"/>
                        <w:szCs w:val="14"/>
                      </w:rPr>
                      <w:t>（1）计提</w:t>
                    </w:r>
                  </w:p>
                </w:tc>
              </w:sdtContent>
            </w:sdt>
            <w:tc>
              <w:tcPr>
                <w:tcW w:w="599" w:type="pct"/>
                <w:shd w:val="clear" w:color="auto" w:fill="auto"/>
                <w:vAlign w:val="center"/>
              </w:tcPr>
              <w:p>
                <w:pPr>
                  <w:jc w:val="right"/>
                  <w:rPr>
                    <w:sz w:val="14"/>
                    <w:szCs w:val="14"/>
                  </w:rPr>
                </w:pPr>
                <w:r>
                  <w:rPr>
                    <w:sz w:val="14"/>
                    <w:szCs w:val="14"/>
                  </w:rPr>
                  <w:t>71,989,701.88</w:t>
                </w:r>
              </w:p>
            </w:tc>
            <w:tc>
              <w:tcPr>
                <w:tcW w:w="599" w:type="pct"/>
                <w:shd w:val="clear" w:color="auto" w:fill="auto"/>
                <w:vAlign w:val="center"/>
              </w:tcPr>
              <w:p>
                <w:pPr>
                  <w:jc w:val="right"/>
                  <w:rPr>
                    <w:sz w:val="14"/>
                    <w:szCs w:val="14"/>
                  </w:rPr>
                </w:pPr>
                <w:r>
                  <w:rPr>
                    <w:sz w:val="14"/>
                    <w:szCs w:val="14"/>
                  </w:rPr>
                  <w:t>19,274,634.34</w:t>
                </w:r>
              </w:p>
            </w:tc>
            <w:tc>
              <w:tcPr>
                <w:tcW w:w="599" w:type="pct"/>
                <w:shd w:val="clear" w:color="auto" w:fill="auto"/>
                <w:vAlign w:val="center"/>
              </w:tcPr>
              <w:p>
                <w:pPr>
                  <w:jc w:val="right"/>
                  <w:rPr>
                    <w:sz w:val="14"/>
                    <w:szCs w:val="14"/>
                  </w:rPr>
                </w:pPr>
                <w:r>
                  <w:rPr>
                    <w:sz w:val="14"/>
                    <w:szCs w:val="14"/>
                  </w:rPr>
                  <w:t>43,672,371.54</w:t>
                </w:r>
              </w:p>
            </w:tc>
            <w:tc>
              <w:tcPr>
                <w:tcW w:w="599" w:type="pct"/>
                <w:shd w:val="clear" w:color="auto" w:fill="auto"/>
                <w:vAlign w:val="center"/>
              </w:tcPr>
              <w:p>
                <w:pPr>
                  <w:jc w:val="right"/>
                  <w:rPr>
                    <w:sz w:val="14"/>
                    <w:szCs w:val="14"/>
                  </w:rPr>
                </w:pPr>
                <w:r>
                  <w:rPr>
                    <w:sz w:val="14"/>
                    <w:szCs w:val="14"/>
                  </w:rPr>
                  <w:t>149,885,752.38</w:t>
                </w:r>
              </w:p>
            </w:tc>
            <w:tc>
              <w:tcPr>
                <w:tcW w:w="528" w:type="pct"/>
                <w:shd w:val="clear" w:color="auto" w:fill="auto"/>
                <w:vAlign w:val="center"/>
              </w:tcPr>
              <w:p>
                <w:pPr>
                  <w:jc w:val="right"/>
                  <w:rPr>
                    <w:sz w:val="14"/>
                    <w:szCs w:val="14"/>
                  </w:rPr>
                </w:pPr>
                <w:r>
                  <w:rPr>
                    <w:sz w:val="14"/>
                    <w:szCs w:val="14"/>
                  </w:rPr>
                  <w:t>15,766,212.58</w:t>
                </w:r>
              </w:p>
            </w:tc>
            <w:tc>
              <w:tcPr>
                <w:tcW w:w="493" w:type="pct"/>
                <w:shd w:val="clear" w:color="auto" w:fill="auto"/>
                <w:vAlign w:val="center"/>
              </w:tcPr>
              <w:p>
                <w:pPr>
                  <w:jc w:val="right"/>
                  <w:rPr>
                    <w:sz w:val="14"/>
                    <w:szCs w:val="14"/>
                  </w:rPr>
                </w:pPr>
                <w:r>
                  <w:rPr>
                    <w:sz w:val="14"/>
                    <w:szCs w:val="14"/>
                  </w:rPr>
                  <w:t>1,575,868.34</w:t>
                </w:r>
              </w:p>
            </w:tc>
            <w:tc>
              <w:tcPr>
                <w:tcW w:w="528" w:type="pct"/>
                <w:shd w:val="clear" w:color="auto" w:fill="auto"/>
                <w:vAlign w:val="center"/>
              </w:tcPr>
              <w:p>
                <w:pPr>
                  <w:jc w:val="right"/>
                  <w:rPr>
                    <w:sz w:val="14"/>
                    <w:szCs w:val="14"/>
                  </w:rPr>
                </w:pPr>
                <w:r>
                  <w:rPr>
                    <w:sz w:val="14"/>
                    <w:szCs w:val="14"/>
                  </w:rPr>
                  <w:t>10,106,491.93</w:t>
                </w:r>
              </w:p>
            </w:tc>
            <w:tc>
              <w:tcPr>
                <w:tcW w:w="634" w:type="pct"/>
                <w:shd w:val="clear" w:color="auto" w:fill="auto"/>
                <w:vAlign w:val="center"/>
              </w:tcPr>
              <w:p>
                <w:pPr>
                  <w:jc w:val="right"/>
                  <w:rPr>
                    <w:sz w:val="14"/>
                    <w:szCs w:val="14"/>
                  </w:rPr>
                </w:pPr>
                <w:r>
                  <w:rPr>
                    <w:sz w:val="14"/>
                    <w:szCs w:val="14"/>
                  </w:rPr>
                  <w:t>312,271,032.99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ec9558ad6e194439bc7519617b9fda17"/>
                <w:id w:val="-1781336864"/>
              </w:sdtPr>
              <w:sdtEndPr>
                <w:rPr>
                  <w:sz w:val="14"/>
                  <w:szCs w:val="14"/>
                </w:rPr>
              </w:sdtEndPr>
              <w:sdtContent>
                <w:tc>
                  <w:tcPr>
                    <w:tcW w:w="422" w:type="pct"/>
                    <w:shd w:val="clear" w:color="auto" w:fill="auto"/>
                  </w:tcPr>
                  <w:p>
                    <w:pPr>
                      <w:ind w:firstLine="280" w:firstLineChars="200"/>
                      <w:rPr>
                        <w:sz w:val="14"/>
                        <w:szCs w:val="14"/>
                      </w:rPr>
                    </w:pPr>
                    <w:r>
                      <w:rPr>
                        <w:rFonts w:hint="eastAsia"/>
                        <w:sz w:val="14"/>
                        <w:szCs w:val="14"/>
                      </w:rPr>
                      <w:t>3.本期减少金额</w:t>
                    </w:r>
                  </w:p>
                </w:tc>
              </w:sdtContent>
            </w:sdt>
            <w:tc>
              <w:tcPr>
                <w:tcW w:w="599" w:type="pct"/>
                <w:shd w:val="clear" w:color="auto" w:fill="auto"/>
                <w:vAlign w:val="center"/>
              </w:tcPr>
              <w:p>
                <w:pPr>
                  <w:jc w:val="right"/>
                  <w:rPr>
                    <w:sz w:val="14"/>
                    <w:szCs w:val="14"/>
                  </w:rPr>
                </w:pPr>
                <w:r>
                  <w:rPr>
                    <w:sz w:val="14"/>
                    <w:szCs w:val="14"/>
                  </w:rPr>
                  <w:t>3,100,437.62</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566,000.43</w:t>
                </w:r>
              </w:p>
            </w:tc>
            <w:tc>
              <w:tcPr>
                <w:tcW w:w="599" w:type="pct"/>
                <w:shd w:val="clear" w:color="auto" w:fill="auto"/>
                <w:vAlign w:val="center"/>
              </w:tcPr>
              <w:p>
                <w:pPr>
                  <w:jc w:val="right"/>
                  <w:rPr>
                    <w:sz w:val="14"/>
                    <w:szCs w:val="14"/>
                  </w:rPr>
                </w:pPr>
                <w:r>
                  <w:rPr>
                    <w:sz w:val="14"/>
                    <w:szCs w:val="14"/>
                  </w:rPr>
                  <w:t>254,265.09</w:t>
                </w:r>
              </w:p>
            </w:tc>
            <w:tc>
              <w:tcPr>
                <w:tcW w:w="528" w:type="pct"/>
                <w:shd w:val="clear" w:color="auto" w:fill="auto"/>
                <w:vAlign w:val="center"/>
              </w:tcPr>
              <w:p>
                <w:pPr>
                  <w:jc w:val="right"/>
                  <w:rPr>
                    <w:sz w:val="14"/>
                    <w:szCs w:val="14"/>
                  </w:rPr>
                </w:pPr>
                <w:r>
                  <w:rPr>
                    <w:sz w:val="14"/>
                    <w:szCs w:val="14"/>
                  </w:rPr>
                  <w:t>189,302.02</w:t>
                </w:r>
              </w:p>
            </w:tc>
            <w:tc>
              <w:tcPr>
                <w:tcW w:w="493" w:type="pct"/>
                <w:shd w:val="clear" w:color="auto" w:fill="auto"/>
                <w:vAlign w:val="center"/>
              </w:tcPr>
              <w:p>
                <w:pPr>
                  <w:jc w:val="right"/>
                  <w:rPr>
                    <w:sz w:val="14"/>
                    <w:szCs w:val="14"/>
                  </w:rPr>
                </w:pPr>
                <w:r>
                  <w:rPr>
                    <w:sz w:val="14"/>
                    <w:szCs w:val="14"/>
                  </w:rPr>
                  <w:t>123,920.31</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4,233,925.47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5ee3d83bd53d480fa0f8ca39eef2375d"/>
                <w:id w:val="-1344161212"/>
              </w:sdtPr>
              <w:sdtEndPr>
                <w:rPr>
                  <w:sz w:val="14"/>
                  <w:szCs w:val="14"/>
                </w:rPr>
              </w:sdtEndPr>
              <w:sdtContent>
                <w:tc>
                  <w:tcPr>
                    <w:tcW w:w="422" w:type="pct"/>
                    <w:shd w:val="clear" w:color="auto" w:fill="auto"/>
                  </w:tcPr>
                  <w:p>
                    <w:pPr>
                      <w:ind w:firstLine="420" w:firstLineChars="300"/>
                      <w:rPr>
                        <w:sz w:val="14"/>
                        <w:szCs w:val="14"/>
                      </w:rPr>
                    </w:pPr>
                    <w:r>
                      <w:rPr>
                        <w:rFonts w:hint="eastAsia"/>
                        <w:sz w:val="14"/>
                        <w:szCs w:val="14"/>
                      </w:rPr>
                      <w:t>（1）处置或报废</w:t>
                    </w:r>
                  </w:p>
                </w:tc>
              </w:sdtContent>
            </w:sdt>
            <w:tc>
              <w:tcPr>
                <w:tcW w:w="599" w:type="pct"/>
                <w:shd w:val="clear" w:color="auto" w:fill="auto"/>
                <w:vAlign w:val="center"/>
              </w:tcPr>
              <w:p>
                <w:pPr>
                  <w:jc w:val="right"/>
                  <w:rPr>
                    <w:sz w:val="14"/>
                    <w:szCs w:val="14"/>
                  </w:rPr>
                </w:pPr>
                <w:r>
                  <w:rPr>
                    <w:sz w:val="14"/>
                    <w:szCs w:val="14"/>
                  </w:rPr>
                  <w:t>3,100,437.62</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566,000.43</w:t>
                </w:r>
              </w:p>
            </w:tc>
            <w:tc>
              <w:tcPr>
                <w:tcW w:w="599" w:type="pct"/>
                <w:shd w:val="clear" w:color="auto" w:fill="auto"/>
                <w:vAlign w:val="center"/>
              </w:tcPr>
              <w:p>
                <w:pPr>
                  <w:jc w:val="right"/>
                  <w:rPr>
                    <w:sz w:val="14"/>
                    <w:szCs w:val="14"/>
                  </w:rPr>
                </w:pPr>
                <w:r>
                  <w:rPr>
                    <w:sz w:val="14"/>
                    <w:szCs w:val="14"/>
                  </w:rPr>
                  <w:t>254,265.09</w:t>
                </w:r>
              </w:p>
            </w:tc>
            <w:tc>
              <w:tcPr>
                <w:tcW w:w="528" w:type="pct"/>
                <w:shd w:val="clear" w:color="auto" w:fill="auto"/>
                <w:vAlign w:val="center"/>
              </w:tcPr>
              <w:p>
                <w:pPr>
                  <w:jc w:val="right"/>
                  <w:rPr>
                    <w:sz w:val="14"/>
                    <w:szCs w:val="14"/>
                  </w:rPr>
                </w:pPr>
                <w:r>
                  <w:rPr>
                    <w:sz w:val="14"/>
                    <w:szCs w:val="14"/>
                  </w:rPr>
                  <w:t>189,302.02</w:t>
                </w:r>
              </w:p>
            </w:tc>
            <w:tc>
              <w:tcPr>
                <w:tcW w:w="493" w:type="pct"/>
                <w:shd w:val="clear" w:color="auto" w:fill="auto"/>
                <w:vAlign w:val="center"/>
              </w:tcPr>
              <w:p>
                <w:pPr>
                  <w:jc w:val="right"/>
                  <w:rPr>
                    <w:sz w:val="14"/>
                    <w:szCs w:val="14"/>
                  </w:rPr>
                </w:pPr>
                <w:r>
                  <w:rPr>
                    <w:sz w:val="14"/>
                    <w:szCs w:val="14"/>
                  </w:rPr>
                  <w:t>123,920.31</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4,233,925.47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6eaa2035e58e4e21885400a2e0bb3a60"/>
                <w:id w:val="515963704"/>
              </w:sdtPr>
              <w:sdtEndPr>
                <w:rPr>
                  <w:sz w:val="14"/>
                  <w:szCs w:val="14"/>
                </w:rPr>
              </w:sdtEndPr>
              <w:sdtContent>
                <w:tc>
                  <w:tcPr>
                    <w:tcW w:w="422" w:type="pct"/>
                    <w:shd w:val="clear" w:color="auto" w:fill="auto"/>
                  </w:tcPr>
                  <w:p>
                    <w:pPr>
                      <w:ind w:firstLine="280" w:firstLineChars="200"/>
                      <w:rPr>
                        <w:sz w:val="14"/>
                        <w:szCs w:val="14"/>
                      </w:rPr>
                    </w:pPr>
                    <w:r>
                      <w:rPr>
                        <w:rFonts w:hint="eastAsia"/>
                        <w:sz w:val="14"/>
                        <w:szCs w:val="14"/>
                      </w:rPr>
                      <w:t>4.期末余额</w:t>
                    </w:r>
                  </w:p>
                </w:tc>
              </w:sdtContent>
            </w:sdt>
            <w:tc>
              <w:tcPr>
                <w:tcW w:w="599" w:type="pct"/>
                <w:shd w:val="clear" w:color="auto" w:fill="auto"/>
                <w:vAlign w:val="center"/>
              </w:tcPr>
              <w:p>
                <w:pPr>
                  <w:jc w:val="right"/>
                  <w:rPr>
                    <w:sz w:val="14"/>
                    <w:szCs w:val="14"/>
                  </w:rPr>
                </w:pPr>
                <w:r>
                  <w:rPr>
                    <w:sz w:val="14"/>
                    <w:szCs w:val="14"/>
                  </w:rPr>
                  <w:t>1,283,463,093.54</w:t>
                </w:r>
              </w:p>
            </w:tc>
            <w:tc>
              <w:tcPr>
                <w:tcW w:w="599" w:type="pct"/>
                <w:shd w:val="clear" w:color="auto" w:fill="auto"/>
                <w:vAlign w:val="center"/>
              </w:tcPr>
              <w:p>
                <w:pPr>
                  <w:jc w:val="right"/>
                  <w:rPr>
                    <w:sz w:val="14"/>
                    <w:szCs w:val="14"/>
                  </w:rPr>
                </w:pPr>
                <w:r>
                  <w:rPr>
                    <w:sz w:val="14"/>
                    <w:szCs w:val="14"/>
                  </w:rPr>
                  <w:t>900,930,578.18</w:t>
                </w:r>
              </w:p>
            </w:tc>
            <w:tc>
              <w:tcPr>
                <w:tcW w:w="599" w:type="pct"/>
                <w:shd w:val="clear" w:color="auto" w:fill="auto"/>
                <w:vAlign w:val="center"/>
              </w:tcPr>
              <w:p>
                <w:pPr>
                  <w:jc w:val="right"/>
                  <w:rPr>
                    <w:sz w:val="14"/>
                    <w:szCs w:val="14"/>
                  </w:rPr>
                </w:pPr>
                <w:r>
                  <w:rPr>
                    <w:sz w:val="14"/>
                    <w:szCs w:val="14"/>
                  </w:rPr>
                  <w:t>652,308,843.06</w:t>
                </w:r>
              </w:p>
            </w:tc>
            <w:tc>
              <w:tcPr>
                <w:tcW w:w="599" w:type="pct"/>
                <w:shd w:val="clear" w:color="auto" w:fill="auto"/>
                <w:vAlign w:val="center"/>
              </w:tcPr>
              <w:p>
                <w:pPr>
                  <w:jc w:val="right"/>
                  <w:rPr>
                    <w:sz w:val="14"/>
                    <w:szCs w:val="14"/>
                  </w:rPr>
                </w:pPr>
                <w:r>
                  <w:rPr>
                    <w:sz w:val="14"/>
                    <w:szCs w:val="14"/>
                  </w:rPr>
                  <w:t>1,052,307,184.67</w:t>
                </w:r>
              </w:p>
            </w:tc>
            <w:tc>
              <w:tcPr>
                <w:tcW w:w="528" w:type="pct"/>
                <w:shd w:val="clear" w:color="auto" w:fill="auto"/>
                <w:vAlign w:val="center"/>
              </w:tcPr>
              <w:p>
                <w:pPr>
                  <w:jc w:val="right"/>
                  <w:rPr>
                    <w:sz w:val="14"/>
                    <w:szCs w:val="14"/>
                  </w:rPr>
                </w:pPr>
                <w:r>
                  <w:rPr>
                    <w:sz w:val="14"/>
                    <w:szCs w:val="14"/>
                  </w:rPr>
                  <w:t>120,982,081.74</w:t>
                </w:r>
              </w:p>
            </w:tc>
            <w:tc>
              <w:tcPr>
                <w:tcW w:w="493" w:type="pct"/>
                <w:shd w:val="clear" w:color="auto" w:fill="auto"/>
                <w:vAlign w:val="center"/>
              </w:tcPr>
              <w:p>
                <w:pPr>
                  <w:jc w:val="right"/>
                  <w:rPr>
                    <w:sz w:val="14"/>
                    <w:szCs w:val="14"/>
                  </w:rPr>
                </w:pPr>
                <w:r>
                  <w:rPr>
                    <w:sz w:val="14"/>
                    <w:szCs w:val="14"/>
                  </w:rPr>
                  <w:t>48,215,430.92</w:t>
                </w:r>
              </w:p>
            </w:tc>
            <w:tc>
              <w:tcPr>
                <w:tcW w:w="528" w:type="pct"/>
                <w:shd w:val="clear" w:color="auto" w:fill="auto"/>
                <w:vAlign w:val="center"/>
              </w:tcPr>
              <w:p>
                <w:pPr>
                  <w:jc w:val="right"/>
                  <w:rPr>
                    <w:sz w:val="14"/>
                    <w:szCs w:val="14"/>
                  </w:rPr>
                </w:pPr>
                <w:r>
                  <w:rPr>
                    <w:sz w:val="14"/>
                    <w:szCs w:val="14"/>
                  </w:rPr>
                  <w:t>77,983,658.00</w:t>
                </w:r>
              </w:p>
            </w:tc>
            <w:tc>
              <w:tcPr>
                <w:tcW w:w="634" w:type="pct"/>
                <w:shd w:val="clear" w:color="auto" w:fill="auto"/>
                <w:vAlign w:val="center"/>
              </w:tcPr>
              <w:p>
                <w:pPr>
                  <w:jc w:val="right"/>
                  <w:rPr>
                    <w:sz w:val="14"/>
                    <w:szCs w:val="14"/>
                  </w:rPr>
                </w:pPr>
                <w:r>
                  <w:rPr>
                    <w:sz w:val="14"/>
                    <w:szCs w:val="14"/>
                  </w:rPr>
                  <w:t>4,136,190,870.11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662c84047b6d41648e46d047cc9b134a"/>
                <w:id w:val="-261532064"/>
              </w:sdtPr>
              <w:sdtEndPr>
                <w:rPr>
                  <w:sz w:val="14"/>
                  <w:szCs w:val="14"/>
                </w:rPr>
              </w:sdtEndPr>
              <w:sdtContent>
                <w:tc>
                  <w:tcPr>
                    <w:tcW w:w="5000" w:type="pct"/>
                    <w:gridSpan w:val="9"/>
                    <w:shd w:val="clear" w:color="auto" w:fill="auto"/>
                  </w:tcPr>
                  <w:p>
                    <w:pPr>
                      <w:pStyle w:val="301"/>
                      <w:rPr>
                        <w:sz w:val="14"/>
                        <w:szCs w:val="14"/>
                      </w:rPr>
                    </w:pPr>
                    <w:r>
                      <w:rPr>
                        <w:rFonts w:hint="eastAsia"/>
                        <w:sz w:val="14"/>
                        <w:szCs w:val="14"/>
                      </w:rPr>
                      <w:t>三、减值准备</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422" w:type="pct"/>
                <w:shd w:val="clear" w:color="auto" w:fill="auto"/>
              </w:tcPr>
              <w:p>
                <w:pPr>
                  <w:ind w:firstLine="280" w:firstLineChars="200"/>
                  <w:rPr>
                    <w:sz w:val="14"/>
                    <w:szCs w:val="14"/>
                  </w:rPr>
                </w:pPr>
                <w:r>
                  <w:rPr>
                    <w:sz w:val="14"/>
                    <w:szCs w:val="14"/>
                  </w:rPr>
                  <w:t>1.</w:t>
                </w:r>
                <w:r>
                  <w:rPr>
                    <w:rFonts w:hint="eastAsia"/>
                    <w:sz w:val="14"/>
                    <w:szCs w:val="14"/>
                  </w:rPr>
                  <w:t>期初余额</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493"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422" w:type="pct"/>
                <w:shd w:val="clear" w:color="auto" w:fill="auto"/>
              </w:tcPr>
              <w:p>
                <w:pPr>
                  <w:ind w:firstLine="280" w:firstLineChars="200"/>
                  <w:rPr>
                    <w:sz w:val="14"/>
                    <w:szCs w:val="14"/>
                  </w:rPr>
                </w:pPr>
                <w:r>
                  <w:rPr>
                    <w:sz w:val="14"/>
                    <w:szCs w:val="14"/>
                  </w:rPr>
                  <w:t>2.</w:t>
                </w:r>
                <w:r>
                  <w:rPr>
                    <w:rFonts w:hint="eastAsia"/>
                    <w:sz w:val="14"/>
                    <w:szCs w:val="14"/>
                  </w:rPr>
                  <w:t>本期增加金额</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493"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422" w:type="pct"/>
                <w:shd w:val="clear" w:color="auto" w:fill="auto"/>
              </w:tcPr>
              <w:p>
                <w:pPr>
                  <w:ind w:firstLine="280" w:firstLineChars="200"/>
                  <w:rPr>
                    <w:sz w:val="14"/>
                    <w:szCs w:val="14"/>
                  </w:rPr>
                </w:pPr>
                <w:r>
                  <w:rPr>
                    <w:rFonts w:hint="eastAsia"/>
                    <w:sz w:val="14"/>
                    <w:szCs w:val="14"/>
                  </w:rPr>
                  <w:t>3.本期减少金额</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493"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422" w:type="pct"/>
                <w:shd w:val="clear" w:color="auto" w:fill="auto"/>
              </w:tcPr>
              <w:p>
                <w:pPr>
                  <w:ind w:firstLine="280" w:firstLineChars="200"/>
                  <w:rPr>
                    <w:sz w:val="14"/>
                    <w:szCs w:val="14"/>
                  </w:rPr>
                </w:pPr>
                <w:r>
                  <w:rPr>
                    <w:rFonts w:hint="eastAsia"/>
                    <w:sz w:val="14"/>
                    <w:szCs w:val="14"/>
                  </w:rPr>
                  <w:t>4.期末余额</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99"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493" w:type="pct"/>
                <w:shd w:val="clear" w:color="auto" w:fill="auto"/>
                <w:vAlign w:val="center"/>
              </w:tcPr>
              <w:p>
                <w:pPr>
                  <w:jc w:val="right"/>
                  <w:rPr>
                    <w:sz w:val="14"/>
                    <w:szCs w:val="14"/>
                  </w:rPr>
                </w:pPr>
                <w:r>
                  <w:rPr>
                    <w:sz w:val="14"/>
                    <w:szCs w:val="14"/>
                  </w:rPr>
                  <w:t>-</w:t>
                </w:r>
              </w:p>
            </w:tc>
            <w:tc>
              <w:tcPr>
                <w:tcW w:w="528" w:type="pct"/>
                <w:shd w:val="clear" w:color="auto" w:fill="auto"/>
                <w:vAlign w:val="center"/>
              </w:tcPr>
              <w:p>
                <w:pPr>
                  <w:jc w:val="right"/>
                  <w:rPr>
                    <w:sz w:val="14"/>
                    <w:szCs w:val="14"/>
                  </w:rPr>
                </w:pPr>
                <w:r>
                  <w:rPr>
                    <w:sz w:val="14"/>
                    <w:szCs w:val="14"/>
                  </w:rPr>
                  <w:t>-</w:t>
                </w:r>
              </w:p>
            </w:tc>
            <w:tc>
              <w:tcPr>
                <w:tcW w:w="634" w:type="pct"/>
                <w:shd w:val="clear" w:color="auto" w:fill="auto"/>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bea29c32f5204124a483fa6e274ca7df"/>
                <w:id w:val="-156001151"/>
              </w:sdtPr>
              <w:sdtEndPr>
                <w:rPr>
                  <w:sz w:val="14"/>
                  <w:szCs w:val="14"/>
                </w:rPr>
              </w:sdtEndPr>
              <w:sdtContent>
                <w:tc>
                  <w:tcPr>
                    <w:tcW w:w="5000" w:type="pct"/>
                    <w:gridSpan w:val="9"/>
                    <w:shd w:val="clear" w:color="auto" w:fill="auto"/>
                  </w:tcPr>
                  <w:p>
                    <w:pPr>
                      <w:pStyle w:val="301"/>
                      <w:rPr>
                        <w:sz w:val="14"/>
                        <w:szCs w:val="14"/>
                      </w:rPr>
                    </w:pPr>
                    <w:r>
                      <w:rPr>
                        <w:rFonts w:hint="eastAsia"/>
                        <w:sz w:val="14"/>
                        <w:szCs w:val="14"/>
                      </w:rPr>
                      <w:t>四、账面价值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0cb15efd736e4fb48f835ee67e79495e"/>
                <w:id w:val="1576240412"/>
              </w:sdtPr>
              <w:sdtEndPr>
                <w:rPr>
                  <w:sz w:val="14"/>
                  <w:szCs w:val="14"/>
                </w:rPr>
              </w:sdtEndPr>
              <w:sdtContent>
                <w:tc>
                  <w:tcPr>
                    <w:tcW w:w="422" w:type="pct"/>
                    <w:shd w:val="clear" w:color="auto" w:fill="auto"/>
                  </w:tcPr>
                  <w:p>
                    <w:pPr>
                      <w:ind w:firstLine="280" w:firstLineChars="200"/>
                      <w:rPr>
                        <w:sz w:val="14"/>
                        <w:szCs w:val="14"/>
                      </w:rPr>
                    </w:pPr>
                    <w:r>
                      <w:rPr>
                        <w:rFonts w:hint="eastAsia"/>
                        <w:sz w:val="14"/>
                        <w:szCs w:val="14"/>
                      </w:rPr>
                      <w:t>1.期末账面价值</w:t>
                    </w:r>
                  </w:p>
                </w:tc>
              </w:sdtContent>
            </w:sdt>
            <w:tc>
              <w:tcPr>
                <w:tcW w:w="599" w:type="pct"/>
                <w:shd w:val="clear" w:color="auto" w:fill="auto"/>
                <w:vAlign w:val="center"/>
              </w:tcPr>
              <w:p>
                <w:pPr>
                  <w:jc w:val="right"/>
                  <w:rPr>
                    <w:sz w:val="14"/>
                    <w:szCs w:val="14"/>
                  </w:rPr>
                </w:pPr>
                <w:r>
                  <w:rPr>
                    <w:sz w:val="14"/>
                    <w:szCs w:val="14"/>
                  </w:rPr>
                  <w:t>2,406,416,453.39</w:t>
                </w:r>
              </w:p>
            </w:tc>
            <w:tc>
              <w:tcPr>
                <w:tcW w:w="599" w:type="pct"/>
                <w:shd w:val="clear" w:color="auto" w:fill="auto"/>
                <w:vAlign w:val="center"/>
              </w:tcPr>
              <w:p>
                <w:pPr>
                  <w:jc w:val="right"/>
                  <w:rPr>
                    <w:sz w:val="14"/>
                    <w:szCs w:val="14"/>
                  </w:rPr>
                </w:pPr>
                <w:r>
                  <w:rPr>
                    <w:sz w:val="14"/>
                    <w:szCs w:val="14"/>
                  </w:rPr>
                  <w:t>234,861,750.29</w:t>
                </w:r>
              </w:p>
            </w:tc>
            <w:tc>
              <w:tcPr>
                <w:tcW w:w="599" w:type="pct"/>
                <w:shd w:val="clear" w:color="auto" w:fill="auto"/>
                <w:vAlign w:val="center"/>
              </w:tcPr>
              <w:p>
                <w:pPr>
                  <w:jc w:val="right"/>
                  <w:rPr>
                    <w:sz w:val="14"/>
                    <w:szCs w:val="14"/>
                  </w:rPr>
                </w:pPr>
                <w:r>
                  <w:rPr>
                    <w:sz w:val="14"/>
                    <w:szCs w:val="14"/>
                  </w:rPr>
                  <w:t>458,936,642.91</w:t>
                </w:r>
              </w:p>
            </w:tc>
            <w:tc>
              <w:tcPr>
                <w:tcW w:w="599" w:type="pct"/>
                <w:shd w:val="clear" w:color="auto" w:fill="auto"/>
                <w:vAlign w:val="center"/>
              </w:tcPr>
              <w:p>
                <w:pPr>
                  <w:jc w:val="right"/>
                  <w:rPr>
                    <w:sz w:val="14"/>
                    <w:szCs w:val="14"/>
                  </w:rPr>
                </w:pPr>
                <w:r>
                  <w:rPr>
                    <w:sz w:val="14"/>
                    <w:szCs w:val="14"/>
                  </w:rPr>
                  <w:t>4,321,298,801.85</w:t>
                </w:r>
              </w:p>
            </w:tc>
            <w:tc>
              <w:tcPr>
                <w:tcW w:w="528" w:type="pct"/>
                <w:shd w:val="clear" w:color="auto" w:fill="auto"/>
                <w:vAlign w:val="center"/>
              </w:tcPr>
              <w:p>
                <w:pPr>
                  <w:jc w:val="right"/>
                  <w:rPr>
                    <w:sz w:val="14"/>
                    <w:szCs w:val="14"/>
                  </w:rPr>
                </w:pPr>
                <w:r>
                  <w:rPr>
                    <w:sz w:val="14"/>
                    <w:szCs w:val="14"/>
                  </w:rPr>
                  <w:t>299,420,404.42</w:t>
                </w:r>
              </w:p>
            </w:tc>
            <w:tc>
              <w:tcPr>
                <w:tcW w:w="493" w:type="pct"/>
                <w:shd w:val="clear" w:color="auto" w:fill="auto"/>
                <w:vAlign w:val="center"/>
              </w:tcPr>
              <w:p>
                <w:pPr>
                  <w:jc w:val="right"/>
                  <w:rPr>
                    <w:sz w:val="14"/>
                    <w:szCs w:val="14"/>
                  </w:rPr>
                </w:pPr>
                <w:r>
                  <w:rPr>
                    <w:sz w:val="14"/>
                    <w:szCs w:val="14"/>
                  </w:rPr>
                  <w:t>15,515,019.74</w:t>
                </w:r>
              </w:p>
            </w:tc>
            <w:tc>
              <w:tcPr>
                <w:tcW w:w="528" w:type="pct"/>
                <w:shd w:val="clear" w:color="auto" w:fill="auto"/>
                <w:vAlign w:val="center"/>
              </w:tcPr>
              <w:p>
                <w:pPr>
                  <w:jc w:val="right"/>
                  <w:rPr>
                    <w:sz w:val="14"/>
                    <w:szCs w:val="14"/>
                  </w:rPr>
                </w:pPr>
                <w:r>
                  <w:rPr>
                    <w:sz w:val="14"/>
                    <w:szCs w:val="14"/>
                  </w:rPr>
                  <w:t>48,210,393.61</w:t>
                </w:r>
              </w:p>
            </w:tc>
            <w:tc>
              <w:tcPr>
                <w:tcW w:w="634" w:type="pct"/>
                <w:shd w:val="clear" w:color="auto" w:fill="auto"/>
                <w:vAlign w:val="center"/>
              </w:tcPr>
              <w:p>
                <w:pPr>
                  <w:jc w:val="right"/>
                  <w:rPr>
                    <w:sz w:val="14"/>
                    <w:szCs w:val="14"/>
                  </w:rPr>
                </w:pPr>
                <w:r>
                  <w:rPr>
                    <w:sz w:val="14"/>
                    <w:szCs w:val="14"/>
                  </w:rPr>
                  <w:t>7,784,659,466.21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4"/>
                  <w:szCs w:val="14"/>
                </w:rPr>
                <w:tag w:val="_PLD_0a70238af5ae41dda386e3180cb5ac13"/>
                <w:id w:val="-835993925"/>
              </w:sdtPr>
              <w:sdtEndPr>
                <w:rPr>
                  <w:sz w:val="14"/>
                  <w:szCs w:val="14"/>
                </w:rPr>
              </w:sdtEndPr>
              <w:sdtContent>
                <w:tc>
                  <w:tcPr>
                    <w:tcW w:w="422" w:type="pct"/>
                    <w:shd w:val="clear" w:color="auto" w:fill="auto"/>
                  </w:tcPr>
                  <w:p>
                    <w:pPr>
                      <w:ind w:firstLine="280" w:firstLineChars="200"/>
                      <w:rPr>
                        <w:sz w:val="14"/>
                        <w:szCs w:val="14"/>
                      </w:rPr>
                    </w:pPr>
                    <w:r>
                      <w:rPr>
                        <w:rFonts w:hint="eastAsia"/>
                        <w:sz w:val="14"/>
                        <w:szCs w:val="14"/>
                      </w:rPr>
                      <w:t>2.期初账面价值</w:t>
                    </w:r>
                  </w:p>
                </w:tc>
              </w:sdtContent>
            </w:sdt>
            <w:tc>
              <w:tcPr>
                <w:tcW w:w="599" w:type="pct"/>
                <w:shd w:val="clear" w:color="auto" w:fill="auto"/>
                <w:vAlign w:val="center"/>
              </w:tcPr>
              <w:p>
                <w:pPr>
                  <w:jc w:val="right"/>
                  <w:rPr>
                    <w:sz w:val="14"/>
                    <w:szCs w:val="14"/>
                  </w:rPr>
                </w:pPr>
                <w:r>
                  <w:rPr>
                    <w:sz w:val="14"/>
                    <w:szCs w:val="14"/>
                  </w:rPr>
                  <w:t>2,449,902,110.76</w:t>
                </w:r>
              </w:p>
            </w:tc>
            <w:tc>
              <w:tcPr>
                <w:tcW w:w="599" w:type="pct"/>
                <w:shd w:val="clear" w:color="auto" w:fill="auto"/>
                <w:vAlign w:val="center"/>
              </w:tcPr>
              <w:p>
                <w:pPr>
                  <w:jc w:val="right"/>
                  <w:rPr>
                    <w:sz w:val="14"/>
                    <w:szCs w:val="14"/>
                  </w:rPr>
                </w:pPr>
                <w:r>
                  <w:rPr>
                    <w:sz w:val="14"/>
                    <w:szCs w:val="14"/>
                  </w:rPr>
                  <w:t>254,032,324.56</w:t>
                </w:r>
              </w:p>
            </w:tc>
            <w:tc>
              <w:tcPr>
                <w:tcW w:w="599" w:type="pct"/>
                <w:shd w:val="clear" w:color="auto" w:fill="auto"/>
                <w:vAlign w:val="center"/>
              </w:tcPr>
              <w:p>
                <w:pPr>
                  <w:jc w:val="right"/>
                  <w:rPr>
                    <w:sz w:val="14"/>
                    <w:szCs w:val="14"/>
                  </w:rPr>
                </w:pPr>
                <w:r>
                  <w:rPr>
                    <w:sz w:val="14"/>
                    <w:szCs w:val="14"/>
                  </w:rPr>
                  <w:t>494,617,069.98</w:t>
                </w:r>
              </w:p>
            </w:tc>
            <w:tc>
              <w:tcPr>
                <w:tcW w:w="599" w:type="pct"/>
                <w:shd w:val="clear" w:color="auto" w:fill="auto"/>
                <w:vAlign w:val="center"/>
              </w:tcPr>
              <w:p>
                <w:pPr>
                  <w:jc w:val="right"/>
                  <w:rPr>
                    <w:sz w:val="14"/>
                    <w:szCs w:val="14"/>
                  </w:rPr>
                </w:pPr>
                <w:r>
                  <w:rPr>
                    <w:sz w:val="14"/>
                    <w:szCs w:val="14"/>
                  </w:rPr>
                  <w:t>4,460,848,253.48</w:t>
                </w:r>
              </w:p>
            </w:tc>
            <w:tc>
              <w:tcPr>
                <w:tcW w:w="528" w:type="pct"/>
                <w:shd w:val="clear" w:color="auto" w:fill="auto"/>
                <w:vAlign w:val="center"/>
              </w:tcPr>
              <w:p>
                <w:pPr>
                  <w:jc w:val="right"/>
                  <w:rPr>
                    <w:sz w:val="14"/>
                    <w:szCs w:val="14"/>
                  </w:rPr>
                </w:pPr>
                <w:r>
                  <w:rPr>
                    <w:sz w:val="14"/>
                    <w:szCs w:val="14"/>
                  </w:rPr>
                  <w:t>311,832,350.89</w:t>
                </w:r>
              </w:p>
            </w:tc>
            <w:tc>
              <w:tcPr>
                <w:tcW w:w="493" w:type="pct"/>
                <w:shd w:val="clear" w:color="auto" w:fill="auto"/>
                <w:vAlign w:val="center"/>
              </w:tcPr>
              <w:p>
                <w:pPr>
                  <w:jc w:val="right"/>
                  <w:rPr>
                    <w:sz w:val="14"/>
                    <w:szCs w:val="14"/>
                  </w:rPr>
                </w:pPr>
                <w:r>
                  <w:rPr>
                    <w:sz w:val="14"/>
                    <w:szCs w:val="14"/>
                  </w:rPr>
                  <w:t>16,963,687.77</w:t>
                </w:r>
              </w:p>
            </w:tc>
            <w:tc>
              <w:tcPr>
                <w:tcW w:w="528" w:type="pct"/>
                <w:shd w:val="clear" w:color="auto" w:fill="auto"/>
                <w:vAlign w:val="center"/>
              </w:tcPr>
              <w:p>
                <w:pPr>
                  <w:jc w:val="right"/>
                  <w:rPr>
                    <w:sz w:val="14"/>
                    <w:szCs w:val="14"/>
                  </w:rPr>
                </w:pPr>
                <w:r>
                  <w:rPr>
                    <w:sz w:val="14"/>
                    <w:szCs w:val="14"/>
                  </w:rPr>
                  <w:t>57,783,018.54</w:t>
                </w:r>
              </w:p>
            </w:tc>
            <w:tc>
              <w:tcPr>
                <w:tcW w:w="634" w:type="pct"/>
                <w:shd w:val="clear" w:color="auto" w:fill="auto"/>
                <w:vAlign w:val="center"/>
              </w:tcPr>
              <w:p>
                <w:pPr>
                  <w:jc w:val="right"/>
                  <w:rPr>
                    <w:sz w:val="14"/>
                    <w:szCs w:val="14"/>
                  </w:rPr>
                </w:pPr>
                <w:r>
                  <w:rPr>
                    <w:sz w:val="14"/>
                    <w:szCs w:val="14"/>
                  </w:rPr>
                  <w:t>8,045,978,815.98</w:t>
                </w:r>
              </w:p>
            </w:tc>
          </w:tr>
        </w:tbl>
        <w:p>
          <w:pPr>
            <w:pStyle w:val="208"/>
          </w:pPr>
        </w:p>
      </w:sdtContent>
    </w:sdt>
    <w:sdt>
      <w:sdtPr>
        <w:rPr>
          <w:rFonts w:hint="eastAsia" w:ascii="宋体" w:hAnsi="宋体" w:cs="宋体"/>
          <w:b w:val="0"/>
          <w:bCs w:val="0"/>
          <w:kern w:val="0"/>
          <w:szCs w:val="21"/>
        </w:rPr>
        <w:alias w:val="模块:暂时闲置的固定资产情况"/>
        <w:tag w:val="_GBC_77e89169b7ab4fccae8cff3d8a125711"/>
        <w:id w:val="1950578765"/>
        <w:lock w:val="sdtLocked"/>
        <w:placeholder>
          <w:docPart w:val="GBC22222222222222222222222222222"/>
        </w:placeholder>
      </w:sdtPr>
      <w:sdtEndPr>
        <w:rPr>
          <w:rFonts w:hint="default" w:ascii="宋体" w:hAnsi="宋体" w:cs="宋体"/>
          <w:b w:val="0"/>
          <w:bCs w:val="0"/>
          <w:kern w:val="0"/>
          <w:szCs w:val="21"/>
        </w:rPr>
      </w:sdtEndPr>
      <w:sdtContent>
        <w:p>
          <w:pPr>
            <w:pStyle w:val="212"/>
            <w:numPr>
              <w:ilvl w:val="0"/>
              <w:numId w:val="64"/>
            </w:numPr>
            <w:tabs>
              <w:tab w:val="left" w:pos="588"/>
            </w:tabs>
            <w:rPr>
              <w:rFonts w:ascii="宋体" w:hAnsi="宋体"/>
              <w:kern w:val="0"/>
              <w:szCs w:val="21"/>
            </w:rPr>
          </w:pPr>
          <w:r>
            <w:rPr>
              <w:rFonts w:hint="eastAsia" w:ascii="宋体" w:hAnsi="宋体"/>
              <w:szCs w:val="21"/>
            </w:rPr>
            <w:t>暂时</w:t>
          </w:r>
          <w:r>
            <w:rPr>
              <w:rFonts w:hint="eastAsia" w:ascii="宋体" w:hAnsi="宋体"/>
              <w:kern w:val="0"/>
              <w:szCs w:val="21"/>
            </w:rPr>
            <w:t>闲置的固定资产情况</w:t>
          </w:r>
        </w:p>
        <w:sdt>
          <w:sdtPr>
            <w:alias w:val="是否适用：暂时闲置的固定资产情况[双击切换]"/>
            <w:tag w:val="_GBC_ca31f29118c7481f95f99a2655f8c1e1"/>
            <w:id w:val="1281221280"/>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1"/>
        </w:rPr>
        <w:alias w:val="模块:通过融资租赁租入的固定资产情况"/>
        <w:tag w:val="_GBC_f8dc7bf0df9345f6a1581560999dd4d8"/>
        <w:id w:val="-1481609823"/>
        <w:lock w:val="sdtLocked"/>
        <w:placeholder>
          <w:docPart w:val="GBC22222222222222222222222222222"/>
        </w:placeholder>
      </w:sdtPr>
      <w:sdtEndPr>
        <w:rPr>
          <w:rFonts w:hint="default" w:ascii="宋体" w:hAnsi="宋体" w:cs="宋体"/>
          <w:b w:val="0"/>
          <w:bCs w:val="0"/>
          <w:kern w:val="0"/>
          <w:szCs w:val="21"/>
        </w:rPr>
      </w:sdtEndPr>
      <w:sdtContent>
        <w:p>
          <w:pPr>
            <w:pStyle w:val="212"/>
            <w:numPr>
              <w:ilvl w:val="0"/>
              <w:numId w:val="64"/>
            </w:numPr>
            <w:tabs>
              <w:tab w:val="left" w:pos="588"/>
            </w:tabs>
            <w:rPr>
              <w:rFonts w:ascii="宋体" w:hAnsi="宋体"/>
              <w:kern w:val="0"/>
              <w:szCs w:val="21"/>
            </w:rPr>
          </w:pPr>
          <w:r>
            <w:rPr>
              <w:rFonts w:hint="eastAsia" w:ascii="宋体" w:hAnsi="宋体"/>
              <w:kern w:val="0"/>
              <w:szCs w:val="21"/>
            </w:rPr>
            <w:t>通过</w:t>
          </w:r>
          <w:r>
            <w:rPr>
              <w:rFonts w:hint="eastAsia" w:ascii="宋体" w:hAnsi="宋体"/>
              <w:szCs w:val="21"/>
            </w:rPr>
            <w:t>融资租赁</w:t>
          </w:r>
          <w:r>
            <w:rPr>
              <w:rFonts w:hint="eastAsia" w:ascii="宋体" w:hAnsi="宋体"/>
              <w:kern w:val="0"/>
              <w:szCs w:val="21"/>
            </w:rPr>
            <w:t>租入的固定资产情况</w:t>
          </w:r>
        </w:p>
        <w:sdt>
          <w:sdtPr>
            <w:alias w:val="是否适用：通过融资租赁租入的固定资产情况[双击切换]"/>
            <w:tag w:val="_GBC_17a138c76e604d1b9b48d7c64e72801d"/>
            <w:id w:val="2055036677"/>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1"/>
        </w:rPr>
        <w:alias w:val="模块:通过经营租赁租出的固定资产"/>
        <w:tag w:val="_GBC_06e38c241c8a43a99fdd68c92888bab1"/>
        <w:id w:val="-876090195"/>
        <w:lock w:val="sdtLocked"/>
        <w:placeholder>
          <w:docPart w:val="GBC22222222222222222222222222222"/>
        </w:placeholder>
      </w:sdtPr>
      <w:sdtEndPr>
        <w:rPr>
          <w:rFonts w:hint="default" w:ascii="宋体" w:hAnsi="宋体" w:cs="宋体"/>
          <w:b w:val="0"/>
          <w:bCs w:val="0"/>
          <w:color w:val="FF0000"/>
          <w:kern w:val="0"/>
          <w:szCs w:val="21"/>
        </w:rPr>
      </w:sdtEndPr>
      <w:sdtContent>
        <w:p>
          <w:pPr>
            <w:pStyle w:val="212"/>
            <w:numPr>
              <w:ilvl w:val="0"/>
              <w:numId w:val="64"/>
            </w:numPr>
            <w:tabs>
              <w:tab w:val="left" w:pos="588"/>
            </w:tabs>
            <w:rPr>
              <w:rFonts w:ascii="宋体" w:hAnsi="宋体"/>
              <w:kern w:val="0"/>
              <w:szCs w:val="21"/>
            </w:rPr>
          </w:pPr>
          <w:r>
            <w:rPr>
              <w:rFonts w:hint="eastAsia" w:ascii="宋体" w:hAnsi="宋体"/>
              <w:szCs w:val="21"/>
            </w:rPr>
            <w:t>通过</w:t>
          </w:r>
          <w:r>
            <w:rPr>
              <w:rFonts w:hint="eastAsia" w:ascii="宋体" w:hAnsi="宋体"/>
              <w:kern w:val="0"/>
              <w:szCs w:val="21"/>
            </w:rPr>
            <w:t>经营租赁租出的固定资产</w:t>
          </w:r>
        </w:p>
        <w:sdt>
          <w:sdtPr>
            <w:alias w:val="是否适用：通过经营租赁租出的固定资产[双击切换]"/>
            <w:tag w:val="_GBC_251e1c74f40b47869d759974b0f6a463"/>
            <w:id w:val="128605597"/>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color w:val="FF0000"/>
            </w:rPr>
          </w:pPr>
          <w:r>
            <w:rPr>
              <w:rFonts w:hint="eastAsia"/>
            </w:rPr>
            <w:t>单位：</w:t>
          </w:r>
          <w:sdt>
            <w:sdtPr>
              <w:rPr>
                <w:rFonts w:hint="eastAsia"/>
              </w:rPr>
              <w:alias w:val="单位：财务附注：通过经营租赁租出的固定资产"/>
              <w:tag w:val="_GBC_a1b158033c164dbe8e4b29749873c766"/>
              <w:id w:val="-16565198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通过经营租赁租出的固定资产"/>
              <w:tag w:val="_GBC_e4a5a39e4afb42bc8f9ecc37f1fd4c4b"/>
              <w:id w:val="1365253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eb604de598c4a599cc90a86ae48c29e"/>
                <w:id w:val="1384522496"/>
                <w:lock w:val="sdtLocked"/>
              </w:sdtPr>
              <w:sdtContent>
                <w:tc>
                  <w:tcPr>
                    <w:tcW w:w="2295"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项目</w:t>
                    </w:r>
                  </w:p>
                </w:tc>
              </w:sdtContent>
            </w:sdt>
            <w:sdt>
              <w:sdtPr>
                <w:tag w:val="_PLD_87828bb122d64d2db1a342511bbbf1d2"/>
                <w:id w:val="398025879"/>
                <w:lock w:val="sdtLocked"/>
              </w:sdtPr>
              <w:sdtContent>
                <w:tc>
                  <w:tcPr>
                    <w:tcW w:w="2705"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期末账面价值</w:t>
                    </w:r>
                  </w:p>
                </w:tc>
              </w:sdtContent>
            </w:sdt>
          </w:tr>
          <w:sdt>
            <w:sdtPr>
              <w:alias w:val="通过经营租赁租出的的固定资产明细"/>
              <w:tag w:val="_GBC_1054aa1f769943fd9ad29c6bcb27e5a1"/>
              <w:id w:val="133749606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single" w:color="auto" w:sz="4" w:space="0"/>
                      <w:left w:val="single" w:color="auto" w:sz="4" w:space="0"/>
                      <w:bottom w:val="single" w:color="auto" w:sz="4" w:space="0"/>
                      <w:right w:val="single" w:color="auto" w:sz="4" w:space="0"/>
                    </w:tcBorders>
                  </w:tcPr>
                  <w:p>
                    <w:pPr>
                      <w:pStyle w:val="208"/>
                    </w:pPr>
                    <w:r>
                      <w:rPr>
                        <w:rFonts w:hint="eastAsia"/>
                      </w:rPr>
                      <w:t>房屋建筑物</w:t>
                    </w:r>
                  </w:p>
                </w:tc>
                <w:tc>
                  <w:tcPr>
                    <w:tcW w:w="2705" w:type="pct"/>
                    <w:tcBorders>
                      <w:top w:val="single" w:color="auto" w:sz="4" w:space="0"/>
                      <w:left w:val="single" w:color="auto" w:sz="4" w:space="0"/>
                      <w:bottom w:val="single" w:color="auto" w:sz="4" w:space="0"/>
                      <w:right w:val="single" w:color="auto" w:sz="4" w:space="0"/>
                    </w:tcBorders>
                  </w:tcPr>
                  <w:p>
                    <w:pPr>
                      <w:jc w:val="right"/>
                    </w:pPr>
                    <w:r>
                      <w:t>119,693,282.32</w:t>
                    </w:r>
                  </w:p>
                </w:tc>
              </w:tr>
            </w:sdtContent>
          </w:sdt>
        </w:tbl>
        <w:p>
          <w:pPr>
            <w:rPr>
              <w:color w:val="FF0000"/>
            </w:rPr>
          </w:pPr>
        </w:p>
      </w:sdtContent>
    </w:sdt>
    <w:sdt>
      <w:sdtPr>
        <w:rPr>
          <w:rFonts w:hint="eastAsia" w:ascii="宋体" w:hAnsi="宋体" w:cs="宋体"/>
          <w:b w:val="0"/>
          <w:bCs w:val="0"/>
          <w:kern w:val="0"/>
          <w:szCs w:val="21"/>
        </w:rPr>
        <w:alias w:val="模块:未办妥产权证书的固定资产情况"/>
        <w:tag w:val="_GBC_5b357259936442c38f67f17b533c7085"/>
        <w:id w:val="-695310233"/>
        <w:lock w:val="sdtLocked"/>
        <w:placeholder>
          <w:docPart w:val="GBC22222222222222222222222222222"/>
        </w:placeholder>
      </w:sdtPr>
      <w:sdtEndPr>
        <w:rPr>
          <w:rFonts w:hint="default" w:ascii="宋体" w:hAnsi="宋体" w:cs="宋体"/>
          <w:b w:val="0"/>
          <w:bCs w:val="0"/>
          <w:kern w:val="0"/>
          <w:szCs w:val="21"/>
        </w:rPr>
      </w:sdtEndPr>
      <w:sdtContent>
        <w:p>
          <w:pPr>
            <w:pStyle w:val="212"/>
            <w:numPr>
              <w:ilvl w:val="0"/>
              <w:numId w:val="64"/>
            </w:numPr>
            <w:tabs>
              <w:tab w:val="left" w:pos="588"/>
            </w:tabs>
            <w:rPr>
              <w:rFonts w:ascii="宋体" w:hAnsi="宋体"/>
              <w:kern w:val="0"/>
              <w:szCs w:val="21"/>
            </w:rPr>
          </w:pPr>
          <w:r>
            <w:rPr>
              <w:rFonts w:hint="eastAsia" w:ascii="宋体" w:hAnsi="宋体"/>
              <w:kern w:val="0"/>
              <w:szCs w:val="21"/>
            </w:rPr>
            <w:t>未</w:t>
          </w:r>
          <w:r>
            <w:rPr>
              <w:rFonts w:hint="eastAsia" w:ascii="宋体" w:hAnsi="宋体"/>
              <w:szCs w:val="21"/>
            </w:rPr>
            <w:t>办妥</w:t>
          </w:r>
          <w:r>
            <w:rPr>
              <w:rFonts w:hint="eastAsia" w:ascii="宋体" w:hAnsi="宋体"/>
              <w:kern w:val="0"/>
              <w:szCs w:val="21"/>
            </w:rPr>
            <w:t>产权证书的固定资产情况</w:t>
          </w:r>
        </w:p>
        <w:sdt>
          <w:sdtPr>
            <w:alias w:val="是否适用：未办妥产权证书的固定资产情况[双击切换]"/>
            <w:tag w:val="_GBC_a26aa363313e4c8fbedf9041cd41bfc9"/>
            <w:id w:val="336117200"/>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未办妥产权证书的固定资产情况"/>
              <w:tag w:val="_GBC_b7780eb99c5c47be9731dc6ebe1dea77"/>
              <w:id w:val="12531653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0386289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42"/>
            <w:gridCol w:w="3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347e8d2222c4d13aa7c3569cd05e439"/>
                <w:id w:val="232970969"/>
                <w:lock w:val="sdtLocked"/>
              </w:sdtPr>
              <w:sdtContent>
                <w:tc>
                  <w:tcPr>
                    <w:tcW w:w="1629" w:type="pct"/>
                    <w:vAlign w:val="center"/>
                  </w:tcPr>
                  <w:p>
                    <w:pPr>
                      <w:jc w:val="center"/>
                    </w:pPr>
                    <w:r>
                      <w:rPr>
                        <w:rFonts w:hint="eastAsia"/>
                      </w:rPr>
                      <w:t>项目</w:t>
                    </w:r>
                  </w:p>
                </w:tc>
              </w:sdtContent>
            </w:sdt>
            <w:sdt>
              <w:sdtPr>
                <w:tag w:val="_PLD_e14c4b6f9d874d4c86e835843a896497"/>
                <w:id w:val="439728012"/>
                <w:lock w:val="sdtLocked"/>
              </w:sdtPr>
              <w:sdtContent>
                <w:tc>
                  <w:tcPr>
                    <w:tcW w:w="1681" w:type="pct"/>
                    <w:vAlign w:val="center"/>
                  </w:tcPr>
                  <w:p>
                    <w:pPr>
                      <w:jc w:val="center"/>
                    </w:pPr>
                    <w:r>
                      <w:rPr>
                        <w:rFonts w:hint="eastAsia"/>
                      </w:rPr>
                      <w:t>账面价值</w:t>
                    </w:r>
                  </w:p>
                </w:tc>
              </w:sdtContent>
            </w:sdt>
            <w:sdt>
              <w:sdtPr>
                <w:tag w:val="_PLD_0735ea1c6b5c4a2395fde5f63b614530"/>
                <w:id w:val="-553004042"/>
                <w:lock w:val="sdtLocked"/>
              </w:sdtPr>
              <w:sdtContent>
                <w:tc>
                  <w:tcPr>
                    <w:tcW w:w="1690" w:type="pct"/>
                    <w:vAlign w:val="center"/>
                  </w:tcPr>
                  <w:p>
                    <w:pPr>
                      <w:jc w:val="center"/>
                    </w:pPr>
                    <w:r>
                      <w:rPr>
                        <w:rFonts w:hint="eastAsia"/>
                      </w:rPr>
                      <w:t>未办妥产权证书的原因</w:t>
                    </w:r>
                  </w:p>
                </w:tc>
              </w:sdtContent>
            </w:sdt>
          </w:tr>
          <w:sdt>
            <w:sdtPr>
              <w:rPr>
                <w:rFonts w:hint="eastAsia"/>
              </w:rPr>
              <w:alias w:val="未办妥产权证书的固定资产情况明细"/>
              <w:tag w:val="_GBC_197aee8b2edc4ea19721e86529111007"/>
              <w:id w:val="-43551941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9" w:type="pct"/>
                  </w:tcPr>
                  <w:p>
                    <w:pPr>
                      <w:pStyle w:val="208"/>
                    </w:pPr>
                    <w:r>
                      <w:rPr>
                        <w:rFonts w:hint="eastAsia"/>
                      </w:rPr>
                      <w:t>房屋及建筑物</w:t>
                    </w:r>
                  </w:p>
                </w:tc>
                <w:tc>
                  <w:tcPr>
                    <w:tcW w:w="1681" w:type="pct"/>
                  </w:tcPr>
                  <w:p>
                    <w:pPr>
                      <w:jc w:val="right"/>
                    </w:pPr>
                    <w:r>
                      <w:t>930,495,853.93</w:t>
                    </w:r>
                  </w:p>
                </w:tc>
                <w:tc>
                  <w:tcPr>
                    <w:tcW w:w="1690" w:type="pct"/>
                  </w:tcPr>
                  <w:p>
                    <w:pPr>
                      <w:pStyle w:val="208"/>
                    </w:pPr>
                    <w:r>
                      <w:rPr>
                        <w:rFonts w:hint="eastAsia"/>
                      </w:rPr>
                      <w:t>建设时纳入房屋及建筑物统一建设，因此暂时无法办理产权证书</w:t>
                    </w:r>
                  </w:p>
                </w:tc>
              </w:tr>
            </w:sdtContent>
          </w:sdt>
        </w:tbl>
        <w:p>
          <w:pPr>
            <w:pStyle w:val="208"/>
          </w:pPr>
        </w:p>
      </w:sdtContent>
    </w:sdt>
    <w:sdt>
      <w:sdtPr>
        <w:rPr>
          <w:rFonts w:hint="eastAsia"/>
        </w:rPr>
        <w:alias w:val="模块:固定资产说明"/>
        <w:tag w:val="_GBC_c93a179f84504ae59ee71556bc9afb64"/>
        <w:id w:val="-184371258"/>
        <w:lock w:val="sdtLocked"/>
        <w:placeholder>
          <w:docPart w:val="GBC22222222222222222222222222222"/>
        </w:placeholder>
      </w:sdtPr>
      <w:sdtEndPr>
        <w:rPr>
          <w:rFonts w:hint="default"/>
        </w:rPr>
      </w:sdtEndPr>
      <w:sdtContent>
        <w:p>
          <w:pPr>
            <w:pStyle w:val="208"/>
          </w:pPr>
          <w:r>
            <w:rPr>
              <w:rFonts w:hint="eastAsia"/>
            </w:rPr>
            <w:t>其他说明：</w:t>
          </w:r>
        </w:p>
        <w:sdt>
          <w:sdtPr>
            <w:alias w:val="是否适用：固定资产的说明[双击切换]"/>
            <w:tag w:val="_GBC_e2fd7087594d4949ada40807334de5fb"/>
            <w:id w:val="-2119433255"/>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color w:val="FF0000"/>
        </w:rPr>
      </w:pPr>
      <w:bookmarkStart w:id="193" w:name="_Hlk142590612"/>
      <w:bookmarkEnd w:id="193"/>
    </w:p>
    <w:sdt>
      <w:sdtPr>
        <w:rPr>
          <w:rFonts w:hint="eastAsia" w:ascii="宋体" w:hAnsi="宋体" w:cs="宋体"/>
          <w:b w:val="0"/>
          <w:bCs w:val="0"/>
          <w:kern w:val="0"/>
          <w:szCs w:val="24"/>
        </w:rPr>
        <w:alias w:val="模块:固定资产清理"/>
        <w:tag w:val="_GBC_0de4677cdcb54eaa8c2b2afa938f1054"/>
        <w:id w:val="-987857711"/>
        <w:lock w:val="sdtLocked"/>
        <w:placeholder>
          <w:docPart w:val="GBC22222222222222222222222222222"/>
        </w:placeholder>
      </w:sdtPr>
      <w:sdtEndPr>
        <w:rPr>
          <w:rFonts w:hint="eastAsia" w:ascii="宋体" w:hAnsi="宋体" w:cs="宋体"/>
          <w:b w:val="0"/>
          <w:bCs w:val="0"/>
          <w:kern w:val="0"/>
          <w:szCs w:val="21"/>
        </w:rPr>
      </w:sdtEndPr>
      <w:sdtContent>
        <w:p>
          <w:pPr>
            <w:pStyle w:val="212"/>
            <w:rPr>
              <w:rFonts w:ascii="宋体" w:hAnsi="宋体"/>
            </w:rPr>
          </w:pPr>
          <w:r>
            <w:rPr>
              <w:rFonts w:hint="eastAsia" w:ascii="宋体" w:hAnsi="宋体"/>
            </w:rPr>
            <w:t>固定资产清理</w:t>
          </w:r>
        </w:p>
        <w:sdt>
          <w:sdtPr>
            <w:alias w:val="是否适用：固定资产清理[双击切换]"/>
            <w:tag w:val="_GBC_d005d220fbda4cd2a58ced6d0d7a1404"/>
            <w:id w:val="-1655139190"/>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208"/>
          </w:pPr>
        </w:p>
      </w:sdtContent>
    </w:sdt>
    <w:p>
      <w:pPr>
        <w:pStyle w:val="208"/>
      </w:pPr>
    </w:p>
    <w:p>
      <w:pPr>
        <w:pStyle w:val="4"/>
        <w:numPr>
          <w:ilvl w:val="0"/>
          <w:numId w:val="51"/>
        </w:numPr>
        <w:tabs>
          <w:tab w:val="left" w:pos="504"/>
        </w:tabs>
        <w:rPr>
          <w:rFonts w:ascii="宋体" w:hAnsi="宋体"/>
          <w:szCs w:val="21"/>
        </w:rPr>
      </w:pPr>
      <w:r>
        <w:rPr>
          <w:rFonts w:hint="eastAsia" w:ascii="宋体" w:hAnsi="宋体"/>
          <w:szCs w:val="21"/>
        </w:rPr>
        <w:t>在建工程</w:t>
      </w:r>
    </w:p>
    <w:sdt>
      <w:sdtPr>
        <w:rPr>
          <w:rFonts w:hint="eastAsia" w:ascii="宋体" w:hAnsi="宋体" w:cs="宋体"/>
          <w:b w:val="0"/>
          <w:bCs w:val="0"/>
          <w:kern w:val="0"/>
          <w:szCs w:val="24"/>
        </w:rPr>
        <w:alias w:val="模块:在建工程项目列示"/>
        <w:tag w:val="_SEC_5259769a5b954eaaa39f8ab4268be07c"/>
        <w:id w:val="214554346"/>
        <w:lock w:val="sdtLocked"/>
        <w:placeholder>
          <w:docPart w:val="GBC22222222222222222222222222222"/>
        </w:placeholder>
      </w:sdtPr>
      <w:sdtEndPr>
        <w:rPr>
          <w:rFonts w:hint="default" w:ascii="宋体" w:hAnsi="宋体" w:cs="宋体"/>
          <w:b w:val="0"/>
          <w:bCs w:val="0"/>
          <w:kern w:val="0"/>
          <w:szCs w:val="21"/>
        </w:rPr>
      </w:sdtEndPr>
      <w:sdtContent>
        <w:p>
          <w:pPr>
            <w:pStyle w:val="305"/>
            <w:rPr>
              <w:rFonts w:ascii="宋体" w:hAnsi="宋体"/>
            </w:rPr>
          </w:pPr>
          <w:r>
            <w:rPr>
              <w:rFonts w:hint="eastAsia" w:ascii="宋体" w:hAnsi="宋体"/>
            </w:rPr>
            <w:t>项目列示</w:t>
          </w:r>
        </w:p>
        <w:sdt>
          <w:sdtPr>
            <w:alias w:val="是否适用：在建工程分类列示[双击切换]"/>
            <w:tag w:val="_GBC_bcbd4315343844fc923825dd150041e5"/>
            <w:id w:val="-1006983310"/>
            <w:lock w:val="sdtLocked"/>
            <w:placeholder>
              <w:docPart w:val="GBC22222222222222222222222222222"/>
            </w:placeholder>
          </w:sdtPr>
          <w:sdtContent>
            <w:p>
              <w:pPr>
                <w:pStyle w:val="3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在建工程分类列示"/>
              <w:tag w:val="_GBC_9df8e16a6fb54a76b384d11e7a6dd52d"/>
              <w:id w:val="5069488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19119881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3196"/>
            <w:gridCol w:w="2939"/>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3a34a6496ee4454093b17b19ba9b805d"/>
                <w:id w:val="1399332933"/>
                <w:lock w:val="sdtLocked"/>
              </w:sdtPr>
              <w:sdtContent>
                <w:tc>
                  <w:tcPr>
                    <w:tcW w:w="1764" w:type="pct"/>
                    <w:vAlign w:val="center"/>
                  </w:tcPr>
                  <w:p>
                    <w:pPr>
                      <w:jc w:val="center"/>
                    </w:pPr>
                    <w:r>
                      <w:rPr>
                        <w:rFonts w:hint="eastAsia"/>
                      </w:rPr>
                      <w:t>项目</w:t>
                    </w:r>
                  </w:p>
                </w:tc>
              </w:sdtContent>
            </w:sdt>
            <w:sdt>
              <w:sdtPr>
                <w:tag w:val="_PLD_88973d2835334cdbb31181ad26b55912"/>
                <w:id w:val="1142076383"/>
                <w:lock w:val="sdtLocked"/>
              </w:sdtPr>
              <w:sdtContent>
                <w:tc>
                  <w:tcPr>
                    <w:tcW w:w="1622" w:type="pct"/>
                    <w:vAlign w:val="center"/>
                  </w:tcPr>
                  <w:p>
                    <w:pPr>
                      <w:jc w:val="center"/>
                    </w:pPr>
                    <w:r>
                      <w:rPr>
                        <w:rFonts w:hint="eastAsia"/>
                      </w:rPr>
                      <w:t>期末余额</w:t>
                    </w:r>
                  </w:p>
                </w:tc>
              </w:sdtContent>
            </w:sdt>
            <w:sdt>
              <w:sdtPr>
                <w:tag w:val="_PLD_55f5bd8851c54b7897a165bee2df0273"/>
                <w:id w:val="-874152406"/>
                <w:lock w:val="sdtLocked"/>
              </w:sdtPr>
              <w:sdtContent>
                <w:tc>
                  <w:tcPr>
                    <w:tcW w:w="1614" w:type="pct"/>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65bb35f19246484caedfd539dfade78d"/>
                <w:id w:val="1583102425"/>
                <w:lock w:val="sdtLocked"/>
              </w:sdtPr>
              <w:sdtContent>
                <w:tc>
                  <w:tcPr>
                    <w:tcW w:w="1764" w:type="pct"/>
                  </w:tcPr>
                  <w:p>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vAlign w:val="center"/>
              </w:tcPr>
              <w:p>
                <w:pPr>
                  <w:ind w:right="5"/>
                  <w:jc w:val="right"/>
                </w:pPr>
                <w:r>
                  <w:t>178,724,872.45</w:t>
                </w:r>
              </w:p>
            </w:tc>
            <w:tc>
              <w:tcPr>
                <w:tcW w:w="1614" w:type="pct"/>
                <w:vAlign w:val="center"/>
              </w:tcPr>
              <w:p>
                <w:pPr>
                  <w:ind w:right="5"/>
                  <w:jc w:val="right"/>
                </w:pPr>
                <w:r>
                  <w:t>188,697,382.38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6651d8420b62461b941e53c23e48454e"/>
                <w:id w:val="-1676346942"/>
                <w:lock w:val="sdtLocked"/>
              </w:sdtPr>
              <w:sdtContent>
                <w:tc>
                  <w:tcPr>
                    <w:tcW w:w="1764" w:type="pct"/>
                  </w:tcPr>
                  <w:p>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tcPr>
              <w:p>
                <w:pPr>
                  <w:ind w:right="5"/>
                  <w:jc w:val="right"/>
                </w:pPr>
                <w:r>
                  <w:rPr>
                    <w:rFonts w:hint="eastAsia"/>
                  </w:rPr>
                  <w:t>-</w:t>
                </w:r>
              </w:p>
            </w:tc>
            <w:tc>
              <w:tcPr>
                <w:tcW w:w="1614" w:type="pct"/>
              </w:tcPr>
              <w:p>
                <w:pPr>
                  <w:ind w:right="5"/>
                  <w:jc w:val="right"/>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Pr>
            <w:sdt>
              <w:sdtPr>
                <w:tag w:val="_PLD_e1778e13b3024450b5ac627563f1ed3a"/>
                <w:id w:val="-49158916"/>
                <w:lock w:val="sdtLocked"/>
              </w:sdtPr>
              <w:sdtContent>
                <w:tc>
                  <w:tcPr>
                    <w:tcW w:w="1764" w:type="pct"/>
                    <w:vAlign w:val="center"/>
                  </w:tcPr>
                  <w:p>
                    <w:pPr>
                      <w:autoSpaceDE w:val="0"/>
                      <w:autoSpaceDN w:val="0"/>
                      <w:adjustRightInd w:val="0"/>
                      <w:jc w:val="center"/>
                    </w:pPr>
                    <w:r>
                      <w:rPr>
                        <w:rFonts w:hint="eastAsia"/>
                      </w:rPr>
                      <w:t>合计</w:t>
                    </w:r>
                  </w:p>
                </w:tc>
              </w:sdtContent>
            </w:sdt>
            <w:tc>
              <w:tcPr>
                <w:tcW w:w="1622" w:type="pct"/>
                <w:vAlign w:val="center"/>
              </w:tcPr>
              <w:p>
                <w:pPr>
                  <w:jc w:val="right"/>
                </w:pPr>
                <w:r>
                  <w:t>178,724,872.45</w:t>
                </w:r>
              </w:p>
            </w:tc>
            <w:tc>
              <w:tcPr>
                <w:tcW w:w="1614" w:type="pct"/>
                <w:vAlign w:val="center"/>
              </w:tcPr>
              <w:p>
                <w:pPr>
                  <w:ind w:right="5"/>
                  <w:jc w:val="right"/>
                </w:pPr>
                <w:r>
                  <w:t>188,697,382.38</w:t>
                </w:r>
              </w:p>
            </w:tc>
          </w:tr>
        </w:tbl>
        <w:p>
          <w:pPr>
            <w:pStyle w:val="301"/>
          </w:pPr>
          <w:bookmarkStart w:id="194" w:name="_Hlk10472837"/>
          <w:bookmarkStart w:id="195" w:name="_Hlk10472848"/>
          <w:r>
            <w:rPr>
              <w:rFonts w:hint="eastAsia"/>
            </w:rPr>
            <w:t>其他说明：</w:t>
          </w:r>
          <w:bookmarkEnd w:id="194"/>
        </w:p>
        <w:p>
          <w:pPr>
            <w:pStyle w:val="301"/>
          </w:pPr>
          <w:sdt>
            <w:sdtPr>
              <w:alias w:val="在建工程分类列示其他说明"/>
              <w:tag w:val="_GBC_ebe1a06b82914095a2c469c32c78af71"/>
              <w:id w:val="138628424"/>
              <w:lock w:val="sdtLocked"/>
              <w:placeholder>
                <w:docPart w:val="GBC22222222222222222222222222222"/>
              </w:placeholder>
            </w:sdtPr>
            <w:sdtContent>
              <w:r>
                <w:rPr>
                  <w:rFonts w:hint="eastAsia"/>
                </w:rPr>
                <w:t>不适用。</w:t>
              </w:r>
            </w:sdtContent>
          </w:sdt>
        </w:p>
      </w:sdtContent>
    </w:sdt>
    <w:bookmarkEnd w:id="195"/>
    <w:p>
      <w:pPr>
        <w:pStyle w:val="301"/>
      </w:pPr>
    </w:p>
    <w:p>
      <w:pPr>
        <w:pStyle w:val="305"/>
        <w:rPr>
          <w:rFonts w:ascii="宋体" w:hAnsi="宋体"/>
        </w:rPr>
      </w:pPr>
      <w:r>
        <w:rPr>
          <w:rFonts w:hint="eastAsia" w:ascii="宋体" w:hAnsi="宋体"/>
        </w:rPr>
        <w:t>在建工程</w:t>
      </w:r>
    </w:p>
    <w:sdt>
      <w:sdtPr>
        <w:rPr>
          <w:rFonts w:hint="eastAsia" w:ascii="宋体" w:hAnsi="宋体" w:cs="宋体"/>
          <w:b w:val="0"/>
          <w:bCs w:val="0"/>
          <w:kern w:val="0"/>
          <w:szCs w:val="21"/>
        </w:rPr>
        <w:alias w:val="模块:在建工程情况"/>
        <w:tag w:val="_GBC_88cd7483eb15414d84d17f5cc1a4bf78"/>
        <w:id w:val="-288357323"/>
        <w:lock w:val="sdtLocked"/>
        <w:placeholder>
          <w:docPart w:val="GBC22222222222222222222222222222"/>
        </w:placeholder>
      </w:sdtPr>
      <w:sdtEndPr>
        <w:rPr>
          <w:rFonts w:hint="default" w:ascii="宋体" w:hAnsi="宋体" w:cs="宋体"/>
          <w:b w:val="0"/>
          <w:bCs w:val="0"/>
          <w:kern w:val="0"/>
          <w:szCs w:val="21"/>
        </w:rPr>
      </w:sdtEndPr>
      <w:sdtContent>
        <w:p>
          <w:pPr>
            <w:pStyle w:val="212"/>
            <w:numPr>
              <w:ilvl w:val="0"/>
              <w:numId w:val="65"/>
            </w:numPr>
            <w:tabs>
              <w:tab w:val="left" w:pos="588"/>
            </w:tabs>
            <w:rPr>
              <w:rFonts w:ascii="宋体" w:hAnsi="宋体"/>
              <w:szCs w:val="21"/>
            </w:rPr>
          </w:pPr>
          <w:r>
            <w:rPr>
              <w:rFonts w:hint="eastAsia" w:ascii="宋体" w:hAnsi="宋体"/>
              <w:szCs w:val="21"/>
            </w:rPr>
            <w:t>在建工程情况</w:t>
          </w:r>
        </w:p>
        <w:sdt>
          <w:sdtPr>
            <w:alias w:val="是否适用：在建工程情况[双击切换]"/>
            <w:tag w:val="_GBC_d9828cc7ad534f26902e1979f9d67530"/>
            <w:id w:val="745229396"/>
            <w:lock w:val="sdtLocked"/>
            <w:placeholder>
              <w:docPart w:val="GBC22222222222222222222222222222"/>
            </w:placeholder>
          </w:sdtPr>
          <w:sdtContent>
            <w:p>
              <w:pPr>
                <w:pStyle w:val="3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在建工程"/>
              <w:tag w:val="_GBC_d20598ce3f5b4d21a9055de674936a9a"/>
              <w:id w:val="-18928836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4993100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313"/>
            <w:gridCol w:w="1637"/>
            <w:gridCol w:w="638"/>
            <w:gridCol w:w="1605"/>
            <w:gridCol w:w="1532"/>
            <w:gridCol w:w="638"/>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27b31695edfd49cb9cafa333777d18c3"/>
                <w:id w:val="-2001958771"/>
                <w:lock w:val="sdtLocked"/>
              </w:sdtPr>
              <w:sdtContent>
                <w:tc>
                  <w:tcPr>
                    <w:tcW w:w="1041" w:type="pct"/>
                    <w:vMerge w:val="restart"/>
                    <w:vAlign w:val="center"/>
                  </w:tcPr>
                  <w:p>
                    <w:pPr>
                      <w:jc w:val="center"/>
                    </w:pPr>
                    <w:r>
                      <w:rPr>
                        <w:rFonts w:hint="eastAsia"/>
                      </w:rPr>
                      <w:t>项目</w:t>
                    </w:r>
                  </w:p>
                </w:tc>
              </w:sdtContent>
            </w:sdt>
            <w:sdt>
              <w:sdtPr>
                <w:tag w:val="_PLD_a5273bde7b2f4c6c8fbe3ea2d7a7eb84"/>
                <w:id w:val="-139114374"/>
                <w:lock w:val="sdtLocked"/>
              </w:sdtPr>
              <w:sdtContent>
                <w:tc>
                  <w:tcPr>
                    <w:tcW w:w="1976" w:type="pct"/>
                    <w:gridSpan w:val="3"/>
                    <w:vAlign w:val="center"/>
                  </w:tcPr>
                  <w:p>
                    <w:pPr>
                      <w:jc w:val="center"/>
                    </w:pPr>
                    <w:r>
                      <w:rPr>
                        <w:rFonts w:hint="eastAsia"/>
                      </w:rPr>
                      <w:t>期末余额</w:t>
                    </w:r>
                  </w:p>
                </w:tc>
              </w:sdtContent>
            </w:sdt>
            <w:sdt>
              <w:sdtPr>
                <w:tag w:val="_PLD_ac57490b080449c8b91be5a872e19f79"/>
                <w:id w:val="-887105331"/>
                <w:lock w:val="sdtLocked"/>
              </w:sdtPr>
              <w:sdtContent>
                <w:tc>
                  <w:tcPr>
                    <w:tcW w:w="1983" w:type="pct"/>
                    <w:gridSpan w:val="3"/>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vMerge w:val="continue"/>
                <w:vAlign w:val="center"/>
              </w:tcPr>
              <w:p>
                <w:pPr>
                  <w:tabs>
                    <w:tab w:val="left" w:pos="420"/>
                  </w:tabs>
                  <w:ind w:left="420" w:hanging="420"/>
                  <w:jc w:val="center"/>
                </w:pPr>
              </w:p>
            </w:tc>
            <w:sdt>
              <w:sdtPr>
                <w:tag w:val="_PLD_1d60491359e245e7bc54655c8c8c15fd"/>
                <w:id w:val="-1807852519"/>
                <w:lock w:val="sdtLocked"/>
              </w:sdtPr>
              <w:sdtContent>
                <w:tc>
                  <w:tcPr>
                    <w:tcW w:w="661" w:type="pct"/>
                    <w:vAlign w:val="center"/>
                  </w:tcPr>
                  <w:p>
                    <w:pPr>
                      <w:tabs>
                        <w:tab w:val="left" w:pos="420"/>
                      </w:tabs>
                      <w:ind w:left="420" w:hanging="420"/>
                      <w:jc w:val="center"/>
                    </w:pPr>
                    <w:r>
                      <w:rPr>
                        <w:rFonts w:hint="eastAsia"/>
                      </w:rPr>
                      <w:t>账面余额</w:t>
                    </w:r>
                  </w:p>
                </w:tc>
              </w:sdtContent>
            </w:sdt>
            <w:sdt>
              <w:sdtPr>
                <w:tag w:val="_PLD_d5d8fa5186d44c82b146ad7151830389"/>
                <w:id w:val="1990208306"/>
                <w:lock w:val="sdtLocked"/>
              </w:sdtPr>
              <w:sdtContent>
                <w:tc>
                  <w:tcPr>
                    <w:tcW w:w="661" w:type="pct"/>
                    <w:vAlign w:val="center"/>
                  </w:tcPr>
                  <w:p>
                    <w:pPr>
                      <w:pStyle w:val="317"/>
                    </w:pPr>
                    <w:r>
                      <w:rPr>
                        <w:rFonts w:hint="eastAsia"/>
                      </w:rPr>
                      <w:t>减值准备</w:t>
                    </w:r>
                  </w:p>
                </w:tc>
              </w:sdtContent>
            </w:sdt>
            <w:sdt>
              <w:sdtPr>
                <w:tag w:val="_PLD_49aa1c2d25814b789479d76afb6fc844"/>
                <w:id w:val="1515491068"/>
                <w:lock w:val="sdtLocked"/>
              </w:sdtPr>
              <w:sdtContent>
                <w:tc>
                  <w:tcPr>
                    <w:tcW w:w="653" w:type="pct"/>
                    <w:vAlign w:val="center"/>
                  </w:tcPr>
                  <w:p>
                    <w:pPr>
                      <w:pStyle w:val="317"/>
                    </w:pPr>
                    <w:r>
                      <w:rPr>
                        <w:rFonts w:hint="eastAsia"/>
                      </w:rPr>
                      <w:t>账面价值</w:t>
                    </w:r>
                  </w:p>
                </w:tc>
              </w:sdtContent>
            </w:sdt>
            <w:sdt>
              <w:sdtPr>
                <w:tag w:val="_PLD_4bba2db5e5a549ecafbf4e94a7af2e35"/>
                <w:id w:val="-1473208930"/>
                <w:lock w:val="sdtLocked"/>
              </w:sdtPr>
              <w:sdtContent>
                <w:tc>
                  <w:tcPr>
                    <w:tcW w:w="653" w:type="pct"/>
                    <w:vAlign w:val="center"/>
                  </w:tcPr>
                  <w:p>
                    <w:pPr>
                      <w:tabs>
                        <w:tab w:val="left" w:pos="420"/>
                      </w:tabs>
                      <w:ind w:left="420" w:hanging="420"/>
                      <w:jc w:val="center"/>
                    </w:pPr>
                    <w:r>
                      <w:rPr>
                        <w:rFonts w:hint="eastAsia"/>
                      </w:rPr>
                      <w:t>账面余额</w:t>
                    </w:r>
                  </w:p>
                </w:tc>
              </w:sdtContent>
            </w:sdt>
            <w:sdt>
              <w:sdtPr>
                <w:tag w:val="_PLD_e054d8cd1e1b4672ae08a495b587bdce"/>
                <w:id w:val="123361218"/>
                <w:lock w:val="sdtLocked"/>
              </w:sdtPr>
              <w:sdtContent>
                <w:tc>
                  <w:tcPr>
                    <w:tcW w:w="661" w:type="pct"/>
                    <w:vAlign w:val="center"/>
                  </w:tcPr>
                  <w:p>
                    <w:pPr>
                      <w:pStyle w:val="317"/>
                    </w:pPr>
                    <w:r>
                      <w:rPr>
                        <w:rFonts w:hint="eastAsia"/>
                      </w:rPr>
                      <w:t>减值准备</w:t>
                    </w:r>
                  </w:p>
                </w:tc>
              </w:sdtContent>
            </w:sdt>
            <w:sdt>
              <w:sdtPr>
                <w:tag w:val="_PLD_bd3055c2713a44fa9cbd3fd973d34c6a"/>
                <w:id w:val="369970380"/>
                <w:lock w:val="sdtLocked"/>
              </w:sdtPr>
              <w:sdtContent>
                <w:tc>
                  <w:tcPr>
                    <w:tcW w:w="669" w:type="pct"/>
                    <w:vAlign w:val="center"/>
                  </w:tcPr>
                  <w:p>
                    <w:pPr>
                      <w:pStyle w:val="317"/>
                    </w:pPr>
                    <w:r>
                      <w:rPr>
                        <w:rFonts w:hint="eastAsia"/>
                      </w:rPr>
                      <w:t>账面价值</w:t>
                    </w:r>
                  </w:p>
                </w:tc>
              </w:sdtContent>
            </w:sdt>
          </w:tr>
          <w:sdt>
            <w:sdtPr>
              <w:alias w:val="在建工程情况明细"/>
              <w:tag w:val="_GBC_5f073fecf2ff4f9ba33e687f80450c77"/>
              <w:id w:val="-185317720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声屏障建设项目</w:t>
                    </w:r>
                  </w:p>
                </w:tc>
                <w:tc>
                  <w:tcPr>
                    <w:tcW w:w="661" w:type="pct"/>
                  </w:tcPr>
                  <w:p>
                    <w:pPr>
                      <w:ind w:right="105"/>
                      <w:jc w:val="right"/>
                    </w:pPr>
                    <w:r>
                      <w:t>3,291,124.89</w:t>
                    </w:r>
                  </w:p>
                </w:tc>
                <w:tc>
                  <w:tcPr>
                    <w:tcW w:w="661" w:type="pct"/>
                  </w:tcPr>
                  <w:p>
                    <w:pPr>
                      <w:ind w:right="73"/>
                      <w:jc w:val="right"/>
                    </w:pPr>
                    <w:r>
                      <w:t>-</w:t>
                    </w:r>
                  </w:p>
                </w:tc>
                <w:tc>
                  <w:tcPr>
                    <w:tcW w:w="653" w:type="pct"/>
                  </w:tcPr>
                  <w:p>
                    <w:pPr>
                      <w:ind w:right="73"/>
                      <w:jc w:val="right"/>
                    </w:pPr>
                    <w:r>
                      <w:t>3,291,124.89</w:t>
                    </w:r>
                  </w:p>
                </w:tc>
                <w:tc>
                  <w:tcPr>
                    <w:tcW w:w="653" w:type="pct"/>
                  </w:tcPr>
                  <w:p>
                    <w:pPr>
                      <w:jc w:val="right"/>
                    </w:pPr>
                    <w:r>
                      <w:t>3,078,624.89</w:t>
                    </w:r>
                  </w:p>
                </w:tc>
                <w:tc>
                  <w:tcPr>
                    <w:tcW w:w="661" w:type="pct"/>
                  </w:tcPr>
                  <w:p>
                    <w:pPr>
                      <w:jc w:val="right"/>
                    </w:pPr>
                    <w:r>
                      <w:t>-</w:t>
                    </w:r>
                  </w:p>
                </w:tc>
                <w:tc>
                  <w:tcPr>
                    <w:tcW w:w="669" w:type="pct"/>
                  </w:tcPr>
                  <w:p>
                    <w:pPr>
                      <w:jc w:val="right"/>
                    </w:pPr>
                    <w:r>
                      <w:t>3,078,624.89</w:t>
                    </w:r>
                  </w:p>
                </w:tc>
              </w:tr>
            </w:sdtContent>
          </w:sdt>
          <w:sdt>
            <w:sdtPr>
              <w:alias w:val="在建工程情况明细"/>
              <w:tag w:val="_GBC_5f073fecf2ff4f9ba33e687f80450c77"/>
              <w:id w:val="70174693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收费站服务区等房建项目</w:t>
                    </w:r>
                  </w:p>
                </w:tc>
                <w:tc>
                  <w:tcPr>
                    <w:tcW w:w="661" w:type="pct"/>
                  </w:tcPr>
                  <w:p>
                    <w:pPr>
                      <w:ind w:right="105"/>
                      <w:jc w:val="right"/>
                    </w:pPr>
                    <w:r>
                      <w:t>73,676,586.66</w:t>
                    </w:r>
                  </w:p>
                </w:tc>
                <w:tc>
                  <w:tcPr>
                    <w:tcW w:w="661" w:type="pct"/>
                  </w:tcPr>
                  <w:p>
                    <w:pPr>
                      <w:ind w:right="73"/>
                      <w:jc w:val="right"/>
                    </w:pPr>
                    <w:r>
                      <w:t>-</w:t>
                    </w:r>
                  </w:p>
                </w:tc>
                <w:tc>
                  <w:tcPr>
                    <w:tcW w:w="653" w:type="pct"/>
                  </w:tcPr>
                  <w:p>
                    <w:pPr>
                      <w:ind w:right="73"/>
                      <w:jc w:val="right"/>
                    </w:pPr>
                    <w:r>
                      <w:t>73,676,586.66</w:t>
                    </w:r>
                  </w:p>
                </w:tc>
                <w:tc>
                  <w:tcPr>
                    <w:tcW w:w="653" w:type="pct"/>
                  </w:tcPr>
                  <w:p>
                    <w:pPr>
                      <w:jc w:val="right"/>
                    </w:pPr>
                    <w:r>
                      <w:t>82,269,341.67</w:t>
                    </w:r>
                  </w:p>
                </w:tc>
                <w:tc>
                  <w:tcPr>
                    <w:tcW w:w="661" w:type="pct"/>
                  </w:tcPr>
                  <w:p>
                    <w:pPr>
                      <w:jc w:val="right"/>
                    </w:pPr>
                    <w:r>
                      <w:t>-</w:t>
                    </w:r>
                  </w:p>
                </w:tc>
                <w:tc>
                  <w:tcPr>
                    <w:tcW w:w="669" w:type="pct"/>
                  </w:tcPr>
                  <w:p>
                    <w:pPr>
                      <w:jc w:val="right"/>
                    </w:pPr>
                    <w:r>
                      <w:t>82,269,341.67</w:t>
                    </w:r>
                  </w:p>
                </w:tc>
              </w:tr>
            </w:sdtContent>
          </w:sdt>
          <w:sdt>
            <w:sdtPr>
              <w:alias w:val="在建工程情况明细"/>
              <w:tag w:val="_GBC_5f073fecf2ff4f9ba33e687f80450c77"/>
              <w:id w:val="179177793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锡宜高速扩建工程</w:t>
                    </w:r>
                  </w:p>
                </w:tc>
                <w:tc>
                  <w:tcPr>
                    <w:tcW w:w="661" w:type="pct"/>
                  </w:tcPr>
                  <w:p>
                    <w:pPr>
                      <w:ind w:right="105"/>
                      <w:jc w:val="right"/>
                    </w:pPr>
                    <w:r>
                      <w:t>-</w:t>
                    </w:r>
                  </w:p>
                </w:tc>
                <w:tc>
                  <w:tcPr>
                    <w:tcW w:w="661" w:type="pct"/>
                  </w:tcPr>
                  <w:p>
                    <w:pPr>
                      <w:ind w:right="73"/>
                      <w:jc w:val="right"/>
                    </w:pPr>
                    <w:r>
                      <w:t>-</w:t>
                    </w:r>
                  </w:p>
                </w:tc>
                <w:tc>
                  <w:tcPr>
                    <w:tcW w:w="653" w:type="pct"/>
                  </w:tcPr>
                  <w:p>
                    <w:pPr>
                      <w:ind w:right="73"/>
                      <w:jc w:val="right"/>
                    </w:pPr>
                    <w:r>
                      <w:t>-</w:t>
                    </w:r>
                  </w:p>
                </w:tc>
                <w:tc>
                  <w:tcPr>
                    <w:tcW w:w="653" w:type="pct"/>
                  </w:tcPr>
                  <w:p>
                    <w:pPr>
                      <w:jc w:val="right"/>
                    </w:pPr>
                    <w:r>
                      <w:t>51,764,587.00</w:t>
                    </w:r>
                  </w:p>
                </w:tc>
                <w:tc>
                  <w:tcPr>
                    <w:tcW w:w="661" w:type="pct"/>
                  </w:tcPr>
                  <w:p>
                    <w:pPr>
                      <w:jc w:val="right"/>
                    </w:pPr>
                    <w:r>
                      <w:t>-</w:t>
                    </w:r>
                  </w:p>
                </w:tc>
                <w:tc>
                  <w:tcPr>
                    <w:tcW w:w="669" w:type="pct"/>
                  </w:tcPr>
                  <w:p>
                    <w:pPr>
                      <w:jc w:val="right"/>
                    </w:pPr>
                    <w:r>
                      <w:t>51,764,587.00</w:t>
                    </w:r>
                  </w:p>
                </w:tc>
              </w:tr>
            </w:sdtContent>
          </w:sdt>
          <w:sdt>
            <w:sdtPr>
              <w:alias w:val="在建工程情况明细"/>
              <w:tag w:val="_GBC_5f073fecf2ff4f9ba33e687f80450c77"/>
              <w:id w:val="213374895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收费站软件改造</w:t>
                    </w:r>
                  </w:p>
                </w:tc>
                <w:tc>
                  <w:tcPr>
                    <w:tcW w:w="661" w:type="pct"/>
                  </w:tcPr>
                  <w:p>
                    <w:pPr>
                      <w:ind w:right="105"/>
                      <w:jc w:val="right"/>
                    </w:pPr>
                    <w:r>
                      <w:t>3,816,853.36</w:t>
                    </w:r>
                  </w:p>
                </w:tc>
                <w:tc>
                  <w:tcPr>
                    <w:tcW w:w="661" w:type="pct"/>
                  </w:tcPr>
                  <w:p>
                    <w:pPr>
                      <w:ind w:right="73"/>
                      <w:jc w:val="right"/>
                    </w:pPr>
                    <w:r>
                      <w:t>-</w:t>
                    </w:r>
                  </w:p>
                </w:tc>
                <w:tc>
                  <w:tcPr>
                    <w:tcW w:w="653" w:type="pct"/>
                  </w:tcPr>
                  <w:p>
                    <w:pPr>
                      <w:ind w:right="73"/>
                      <w:jc w:val="right"/>
                    </w:pPr>
                    <w:r>
                      <w:t>3,816,853.36</w:t>
                    </w:r>
                  </w:p>
                </w:tc>
                <w:tc>
                  <w:tcPr>
                    <w:tcW w:w="653" w:type="pct"/>
                  </w:tcPr>
                  <w:p>
                    <w:pPr>
                      <w:jc w:val="right"/>
                    </w:pPr>
                    <w:r>
                      <w:t>3,836,115.93</w:t>
                    </w:r>
                  </w:p>
                </w:tc>
                <w:tc>
                  <w:tcPr>
                    <w:tcW w:w="661" w:type="pct"/>
                  </w:tcPr>
                  <w:p>
                    <w:pPr>
                      <w:jc w:val="right"/>
                    </w:pPr>
                    <w:r>
                      <w:t>-</w:t>
                    </w:r>
                  </w:p>
                </w:tc>
                <w:tc>
                  <w:tcPr>
                    <w:tcW w:w="669" w:type="pct"/>
                  </w:tcPr>
                  <w:p>
                    <w:pPr>
                      <w:jc w:val="right"/>
                    </w:pPr>
                    <w:r>
                      <w:t>3,836,115.93</w:t>
                    </w:r>
                  </w:p>
                </w:tc>
              </w:tr>
            </w:sdtContent>
          </w:sdt>
          <w:sdt>
            <w:sdtPr>
              <w:alias w:val="在建工程情况明细"/>
              <w:tag w:val="_GBC_5f073fecf2ff4f9ba33e687f80450c77"/>
              <w:id w:val="-174879648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三大系统建设项目</w:t>
                    </w:r>
                  </w:p>
                </w:tc>
                <w:tc>
                  <w:tcPr>
                    <w:tcW w:w="661" w:type="pct"/>
                  </w:tcPr>
                  <w:p>
                    <w:pPr>
                      <w:ind w:right="105"/>
                      <w:jc w:val="right"/>
                    </w:pPr>
                    <w:r>
                      <w:t>8,275,538.14</w:t>
                    </w:r>
                  </w:p>
                </w:tc>
                <w:tc>
                  <w:tcPr>
                    <w:tcW w:w="661" w:type="pct"/>
                  </w:tcPr>
                  <w:p>
                    <w:pPr>
                      <w:ind w:right="73"/>
                      <w:jc w:val="right"/>
                    </w:pPr>
                    <w:r>
                      <w:t>-</w:t>
                    </w:r>
                  </w:p>
                </w:tc>
                <w:tc>
                  <w:tcPr>
                    <w:tcW w:w="653" w:type="pct"/>
                  </w:tcPr>
                  <w:p>
                    <w:pPr>
                      <w:ind w:right="73"/>
                      <w:jc w:val="right"/>
                    </w:pPr>
                    <w:r>
                      <w:t>8,275,538.14</w:t>
                    </w:r>
                  </w:p>
                </w:tc>
                <w:tc>
                  <w:tcPr>
                    <w:tcW w:w="653" w:type="pct"/>
                  </w:tcPr>
                  <w:p>
                    <w:pPr>
                      <w:jc w:val="right"/>
                    </w:pPr>
                    <w:r>
                      <w:t>4,917,556.45</w:t>
                    </w:r>
                  </w:p>
                </w:tc>
                <w:tc>
                  <w:tcPr>
                    <w:tcW w:w="661" w:type="pct"/>
                  </w:tcPr>
                  <w:p>
                    <w:pPr>
                      <w:jc w:val="right"/>
                    </w:pPr>
                    <w:r>
                      <w:t>-</w:t>
                    </w:r>
                  </w:p>
                </w:tc>
                <w:tc>
                  <w:tcPr>
                    <w:tcW w:w="669" w:type="pct"/>
                  </w:tcPr>
                  <w:p>
                    <w:pPr>
                      <w:jc w:val="right"/>
                    </w:pPr>
                    <w:r>
                      <w:t>4,917,556.45</w:t>
                    </w:r>
                  </w:p>
                </w:tc>
              </w:tr>
            </w:sdtContent>
          </w:sdt>
          <w:sdt>
            <w:sdtPr>
              <w:alias w:val="在建工程情况明细"/>
              <w:tag w:val="_GBC_5f073fecf2ff4f9ba33e687f80450c77"/>
              <w:id w:val="-42541873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信息化建设项目</w:t>
                    </w:r>
                  </w:p>
                </w:tc>
                <w:tc>
                  <w:tcPr>
                    <w:tcW w:w="661" w:type="pct"/>
                  </w:tcPr>
                  <w:p>
                    <w:pPr>
                      <w:ind w:right="105"/>
                      <w:jc w:val="right"/>
                    </w:pPr>
                    <w:r>
                      <w:t>5,314,119.64</w:t>
                    </w:r>
                  </w:p>
                </w:tc>
                <w:tc>
                  <w:tcPr>
                    <w:tcW w:w="661" w:type="pct"/>
                  </w:tcPr>
                  <w:p>
                    <w:pPr>
                      <w:ind w:right="73"/>
                      <w:jc w:val="right"/>
                    </w:pPr>
                    <w:r>
                      <w:t>-</w:t>
                    </w:r>
                  </w:p>
                </w:tc>
                <w:tc>
                  <w:tcPr>
                    <w:tcW w:w="653" w:type="pct"/>
                  </w:tcPr>
                  <w:p>
                    <w:pPr>
                      <w:ind w:right="73"/>
                      <w:jc w:val="right"/>
                    </w:pPr>
                    <w:r>
                      <w:t>5,314,119.64</w:t>
                    </w:r>
                  </w:p>
                </w:tc>
                <w:tc>
                  <w:tcPr>
                    <w:tcW w:w="653" w:type="pct"/>
                  </w:tcPr>
                  <w:p>
                    <w:pPr>
                      <w:jc w:val="right"/>
                    </w:pPr>
                    <w:r>
                      <w:t>10,025,891.30</w:t>
                    </w:r>
                  </w:p>
                </w:tc>
                <w:tc>
                  <w:tcPr>
                    <w:tcW w:w="661" w:type="pct"/>
                  </w:tcPr>
                  <w:p>
                    <w:pPr>
                      <w:jc w:val="right"/>
                    </w:pPr>
                    <w:r>
                      <w:t>-</w:t>
                    </w:r>
                  </w:p>
                </w:tc>
                <w:tc>
                  <w:tcPr>
                    <w:tcW w:w="669" w:type="pct"/>
                  </w:tcPr>
                  <w:p>
                    <w:pPr>
                      <w:jc w:val="right"/>
                    </w:pPr>
                    <w:r>
                      <w:t>10,025,891.30</w:t>
                    </w:r>
                  </w:p>
                </w:tc>
              </w:tr>
            </w:sdtContent>
          </w:sdt>
          <w:sdt>
            <w:sdtPr>
              <w:alias w:val="在建工程情况明细"/>
              <w:tag w:val="_GBC_5f073fecf2ff4f9ba33e687f80450c77"/>
              <w:id w:val="-522016578"/>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宁沪公司电力监控升级改造项目</w:t>
                    </w:r>
                  </w:p>
                </w:tc>
                <w:tc>
                  <w:tcPr>
                    <w:tcW w:w="661" w:type="pct"/>
                  </w:tcPr>
                  <w:p>
                    <w:pPr>
                      <w:ind w:right="105"/>
                      <w:jc w:val="right"/>
                    </w:pPr>
                    <w:r>
                      <w:t>13,570,000.00</w:t>
                    </w:r>
                  </w:p>
                </w:tc>
                <w:tc>
                  <w:tcPr>
                    <w:tcW w:w="661" w:type="pct"/>
                  </w:tcPr>
                  <w:p>
                    <w:pPr>
                      <w:ind w:right="73"/>
                      <w:jc w:val="right"/>
                    </w:pPr>
                    <w:r>
                      <w:t>-</w:t>
                    </w:r>
                  </w:p>
                </w:tc>
                <w:tc>
                  <w:tcPr>
                    <w:tcW w:w="653" w:type="pct"/>
                  </w:tcPr>
                  <w:p>
                    <w:pPr>
                      <w:ind w:right="73"/>
                      <w:jc w:val="right"/>
                    </w:pPr>
                    <w:r>
                      <w:t>13,570,000.00</w:t>
                    </w:r>
                  </w:p>
                </w:tc>
                <w:tc>
                  <w:tcPr>
                    <w:tcW w:w="653" w:type="pct"/>
                  </w:tcPr>
                  <w:p>
                    <w:pPr>
                      <w:jc w:val="right"/>
                    </w:pPr>
                    <w:r>
                      <w:t>13,570,000.00</w:t>
                    </w:r>
                  </w:p>
                </w:tc>
                <w:tc>
                  <w:tcPr>
                    <w:tcW w:w="661" w:type="pct"/>
                  </w:tcPr>
                  <w:p>
                    <w:pPr>
                      <w:jc w:val="right"/>
                    </w:pPr>
                    <w:r>
                      <w:t>-</w:t>
                    </w:r>
                  </w:p>
                </w:tc>
                <w:tc>
                  <w:tcPr>
                    <w:tcW w:w="669" w:type="pct"/>
                  </w:tcPr>
                  <w:p>
                    <w:pPr>
                      <w:jc w:val="right"/>
                    </w:pPr>
                    <w:r>
                      <w:t>13,570,000.00</w:t>
                    </w:r>
                  </w:p>
                </w:tc>
              </w:tr>
            </w:sdtContent>
          </w:sdt>
          <w:sdt>
            <w:sdtPr>
              <w:alias w:val="在建工程情况明细"/>
              <w:tag w:val="_GBC_5f073fecf2ff4f9ba33e687f80450c77"/>
              <w:id w:val="-23022688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光伏发电项目</w:t>
                    </w:r>
                  </w:p>
                </w:tc>
                <w:tc>
                  <w:tcPr>
                    <w:tcW w:w="661" w:type="pct"/>
                  </w:tcPr>
                  <w:p>
                    <w:pPr>
                      <w:ind w:right="105"/>
                      <w:jc w:val="right"/>
                    </w:pPr>
                    <w:r>
                      <w:t>37,866,106.70</w:t>
                    </w:r>
                  </w:p>
                </w:tc>
                <w:tc>
                  <w:tcPr>
                    <w:tcW w:w="661" w:type="pct"/>
                  </w:tcPr>
                  <w:p>
                    <w:pPr>
                      <w:ind w:right="73"/>
                      <w:jc w:val="right"/>
                    </w:pPr>
                    <w:r>
                      <w:t>-</w:t>
                    </w:r>
                  </w:p>
                </w:tc>
                <w:tc>
                  <w:tcPr>
                    <w:tcW w:w="653" w:type="pct"/>
                  </w:tcPr>
                  <w:p>
                    <w:pPr>
                      <w:ind w:right="73"/>
                      <w:jc w:val="right"/>
                    </w:pPr>
                    <w:r>
                      <w:t>37,866,106.70</w:t>
                    </w:r>
                  </w:p>
                </w:tc>
                <w:tc>
                  <w:tcPr>
                    <w:tcW w:w="653" w:type="pct"/>
                  </w:tcPr>
                  <w:p>
                    <w:pPr>
                      <w:jc w:val="right"/>
                    </w:pPr>
                    <w:r>
                      <w:t>14,234,456.07</w:t>
                    </w:r>
                  </w:p>
                </w:tc>
                <w:tc>
                  <w:tcPr>
                    <w:tcW w:w="661" w:type="pct"/>
                  </w:tcPr>
                  <w:p>
                    <w:pPr>
                      <w:jc w:val="right"/>
                    </w:pPr>
                    <w:r>
                      <w:t>-</w:t>
                    </w:r>
                  </w:p>
                </w:tc>
                <w:tc>
                  <w:tcPr>
                    <w:tcW w:w="669" w:type="pct"/>
                  </w:tcPr>
                  <w:p>
                    <w:pPr>
                      <w:jc w:val="right"/>
                    </w:pPr>
                    <w:r>
                      <w:t>14,234,456.07</w:t>
                    </w:r>
                  </w:p>
                </w:tc>
              </w:tr>
            </w:sdtContent>
          </w:sdt>
          <w:sdt>
            <w:sdtPr>
              <w:alias w:val="在建工程情况明细"/>
              <w:tag w:val="_GBC_5f073fecf2ff4f9ba33e687f80450c77"/>
              <w:id w:val="-110233427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041" w:type="pct"/>
                  </w:tcPr>
                  <w:p>
                    <w:pPr>
                      <w:pStyle w:val="301"/>
                    </w:pPr>
                    <w:r>
                      <w:t>其他</w:t>
                    </w:r>
                  </w:p>
                </w:tc>
                <w:tc>
                  <w:tcPr>
                    <w:tcW w:w="661" w:type="pct"/>
                  </w:tcPr>
                  <w:p>
                    <w:pPr>
                      <w:ind w:right="105"/>
                      <w:jc w:val="right"/>
                    </w:pPr>
                    <w:r>
                      <w:t>32,914,543.06</w:t>
                    </w:r>
                  </w:p>
                </w:tc>
                <w:tc>
                  <w:tcPr>
                    <w:tcW w:w="661" w:type="pct"/>
                  </w:tcPr>
                  <w:p>
                    <w:pPr>
                      <w:ind w:right="73"/>
                      <w:jc w:val="right"/>
                    </w:pPr>
                    <w:r>
                      <w:t>-</w:t>
                    </w:r>
                  </w:p>
                </w:tc>
                <w:tc>
                  <w:tcPr>
                    <w:tcW w:w="653" w:type="pct"/>
                  </w:tcPr>
                  <w:p>
                    <w:pPr>
                      <w:ind w:right="73"/>
                      <w:jc w:val="right"/>
                    </w:pPr>
                    <w:r>
                      <w:t>32,914,543.06</w:t>
                    </w:r>
                  </w:p>
                </w:tc>
                <w:tc>
                  <w:tcPr>
                    <w:tcW w:w="653" w:type="pct"/>
                  </w:tcPr>
                  <w:p>
                    <w:pPr>
                      <w:jc w:val="right"/>
                    </w:pPr>
                    <w:r>
                      <w:t>5,000,809.07</w:t>
                    </w:r>
                  </w:p>
                </w:tc>
                <w:tc>
                  <w:tcPr>
                    <w:tcW w:w="661" w:type="pct"/>
                  </w:tcPr>
                  <w:p>
                    <w:pPr>
                      <w:jc w:val="right"/>
                    </w:pPr>
                    <w:r>
                      <w:t>-</w:t>
                    </w:r>
                  </w:p>
                </w:tc>
                <w:tc>
                  <w:tcPr>
                    <w:tcW w:w="669" w:type="pct"/>
                  </w:tcPr>
                  <w:p>
                    <w:pPr>
                      <w:jc w:val="right"/>
                    </w:pPr>
                    <w:r>
                      <w:t>5,000,809.07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fb8a9351bc5144ab907a84376899a536"/>
                <w:id w:val="-1283180435"/>
                <w:lock w:val="sdtLocked"/>
              </w:sdtPr>
              <w:sdtContent>
                <w:tc>
                  <w:tcPr>
                    <w:tcW w:w="1041" w:type="pct"/>
                    <w:vAlign w:val="center"/>
                  </w:tcPr>
                  <w:p>
                    <w:pPr>
                      <w:jc w:val="center"/>
                    </w:pPr>
                    <w:r>
                      <w:rPr>
                        <w:rFonts w:hint="eastAsia"/>
                      </w:rPr>
                      <w:t>合计</w:t>
                    </w:r>
                  </w:p>
                </w:tc>
              </w:sdtContent>
            </w:sdt>
            <w:tc>
              <w:tcPr>
                <w:tcW w:w="661" w:type="pct"/>
              </w:tcPr>
              <w:p>
                <w:pPr>
                  <w:ind w:right="105"/>
                  <w:jc w:val="right"/>
                </w:pPr>
                <w:r>
                  <w:t>178,724,872.45</w:t>
                </w:r>
              </w:p>
            </w:tc>
            <w:tc>
              <w:tcPr>
                <w:tcW w:w="661" w:type="pct"/>
              </w:tcPr>
              <w:p>
                <w:pPr>
                  <w:ind w:right="73"/>
                  <w:jc w:val="right"/>
                </w:pPr>
                <w:r>
                  <w:t>-</w:t>
                </w:r>
              </w:p>
            </w:tc>
            <w:tc>
              <w:tcPr>
                <w:tcW w:w="653" w:type="pct"/>
              </w:tcPr>
              <w:p>
                <w:pPr>
                  <w:ind w:right="73"/>
                  <w:jc w:val="right"/>
                </w:pPr>
                <w:r>
                  <w:t>178,724,872.45</w:t>
                </w:r>
              </w:p>
            </w:tc>
            <w:tc>
              <w:tcPr>
                <w:tcW w:w="653" w:type="pct"/>
              </w:tcPr>
              <w:p>
                <w:pPr>
                  <w:jc w:val="right"/>
                </w:pPr>
                <w:r>
                  <w:t>188,697,382.38</w:t>
                </w:r>
              </w:p>
            </w:tc>
            <w:tc>
              <w:tcPr>
                <w:tcW w:w="661" w:type="pct"/>
              </w:tcPr>
              <w:p>
                <w:pPr>
                  <w:jc w:val="right"/>
                </w:pPr>
                <w:r>
                  <w:t>-</w:t>
                </w:r>
              </w:p>
            </w:tc>
            <w:tc>
              <w:tcPr>
                <w:tcW w:w="669" w:type="pct"/>
              </w:tcPr>
              <w:p>
                <w:pPr>
                  <w:jc w:val="right"/>
                </w:pPr>
                <w:r>
                  <w:t>188,697,382.38</w:t>
                </w:r>
              </w:p>
            </w:tc>
          </w:tr>
        </w:tbl>
        <w:p>
          <w:pPr>
            <w:pStyle w:val="301"/>
          </w:pPr>
        </w:p>
      </w:sdtContent>
    </w:sdt>
    <w:sdt>
      <w:sdtPr>
        <w:rPr>
          <w:rFonts w:hint="eastAsia" w:ascii="宋体" w:hAnsi="宋体" w:cs="宋体"/>
          <w:b w:val="0"/>
          <w:bCs w:val="0"/>
          <w:kern w:val="0"/>
          <w:szCs w:val="21"/>
        </w:rPr>
        <w:alias w:val="模块:重大在建工程项目变动情况"/>
        <w:tag w:val="_GBC_b1eb75f465d7494995f17407201cfca9"/>
        <w:id w:val="276695186"/>
        <w:lock w:val="sdtLocked"/>
        <w:placeholder>
          <w:docPart w:val="GBC22222222222222222222222222222"/>
        </w:placeholder>
      </w:sdtPr>
      <w:sdtEndPr>
        <w:rPr>
          <w:rFonts w:hint="default" w:ascii="宋体" w:hAnsi="宋体" w:cstheme="minorBidi"/>
          <w:b w:val="0"/>
          <w:bCs w:val="0"/>
          <w:kern w:val="0"/>
          <w:szCs w:val="21"/>
        </w:rPr>
      </w:sdtEndPr>
      <w:sdtContent>
        <w:p>
          <w:pPr>
            <w:pStyle w:val="212"/>
            <w:numPr>
              <w:ilvl w:val="0"/>
              <w:numId w:val="65"/>
            </w:numPr>
            <w:tabs>
              <w:tab w:val="left" w:pos="588"/>
            </w:tabs>
            <w:rPr>
              <w:rFonts w:ascii="宋体" w:hAnsi="宋体"/>
              <w:szCs w:val="21"/>
            </w:rPr>
          </w:pPr>
          <w:r>
            <w:rPr>
              <w:rFonts w:hint="eastAsia" w:ascii="宋体" w:hAnsi="宋体"/>
              <w:szCs w:val="21"/>
            </w:rPr>
            <w:t>重要在建工程项目本期变动情况</w:t>
          </w:r>
        </w:p>
        <w:sdt>
          <w:sdtPr>
            <w:alias w:val="是否适用：重要在建工程项目本期变动情况[双击切换]"/>
            <w:tag w:val="_GBC_ec2dd768673145d4bb9d3c31a6fa701a"/>
            <w:id w:val="-1035347905"/>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在建工程项目变动情况"/>
              <w:tag w:val="_GBC_29f36690ce0d4e8bbec5f76711e80456"/>
              <w:id w:val="11337485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80110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1" w:type="dxa"/>
              <w:bottom w:w="0" w:type="dxa"/>
              <w:right w:w="31" w:type="dxa"/>
            </w:tblCellMar>
          </w:tblPr>
          <w:tblGrid>
            <w:gridCol w:w="1335"/>
            <w:gridCol w:w="804"/>
            <w:gridCol w:w="857"/>
            <w:gridCol w:w="1000"/>
            <w:gridCol w:w="920"/>
            <w:gridCol w:w="774"/>
            <w:gridCol w:w="1171"/>
            <w:gridCol w:w="535"/>
            <w:gridCol w:w="217"/>
            <w:gridCol w:w="217"/>
            <w:gridCol w:w="377"/>
            <w:gridCol w:w="311"/>
            <w:gridCol w:w="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6"/>
                  <w:szCs w:val="16"/>
                </w:rPr>
                <w:tag w:val="_PLD_911d5911af294d4f9d2b6b16b5f6c08b"/>
                <w:id w:val="-1521461799"/>
              </w:sdtPr>
              <w:sdtEndPr>
                <w:rPr>
                  <w:sz w:val="16"/>
                  <w:szCs w:val="16"/>
                </w:rPr>
              </w:sdtEndPr>
              <w:sdtContent>
                <w:tc>
                  <w:tcPr>
                    <w:tcW w:w="750" w:type="pct"/>
                    <w:shd w:val="clear" w:color="auto" w:fill="auto"/>
                    <w:vAlign w:val="center"/>
                  </w:tcPr>
                  <w:p>
                    <w:pPr>
                      <w:ind w:right="105"/>
                      <w:jc w:val="center"/>
                      <w:rPr>
                        <w:sz w:val="16"/>
                        <w:szCs w:val="16"/>
                      </w:rPr>
                    </w:pPr>
                    <w:r>
                      <w:rPr>
                        <w:rFonts w:hint="eastAsia"/>
                        <w:sz w:val="16"/>
                        <w:szCs w:val="16"/>
                      </w:rPr>
                      <w:t>项目名称</w:t>
                    </w:r>
                  </w:p>
                </w:tc>
              </w:sdtContent>
            </w:sdt>
            <w:sdt>
              <w:sdtPr>
                <w:rPr>
                  <w:sz w:val="16"/>
                  <w:szCs w:val="16"/>
                </w:rPr>
                <w:tag w:val="_PLD_667404be40294d63b853abf58a9d185f"/>
                <w:id w:val="-1418245466"/>
              </w:sdtPr>
              <w:sdtEndPr>
                <w:rPr>
                  <w:sz w:val="16"/>
                  <w:szCs w:val="16"/>
                </w:rPr>
              </w:sdtEndPr>
              <w:sdtContent>
                <w:tc>
                  <w:tcPr>
                    <w:tcW w:w="452" w:type="pct"/>
                    <w:shd w:val="clear" w:color="auto" w:fill="auto"/>
                    <w:vAlign w:val="center"/>
                  </w:tcPr>
                  <w:p>
                    <w:pPr>
                      <w:ind w:right="105"/>
                      <w:jc w:val="center"/>
                      <w:rPr>
                        <w:sz w:val="16"/>
                        <w:szCs w:val="16"/>
                      </w:rPr>
                    </w:pPr>
                    <w:r>
                      <w:rPr>
                        <w:rFonts w:hint="eastAsia"/>
                        <w:sz w:val="16"/>
                        <w:szCs w:val="16"/>
                      </w:rPr>
                      <w:t>预算数</w:t>
                    </w:r>
                  </w:p>
                </w:tc>
              </w:sdtContent>
            </w:sdt>
            <w:sdt>
              <w:sdtPr>
                <w:rPr>
                  <w:sz w:val="16"/>
                  <w:szCs w:val="16"/>
                </w:rPr>
                <w:tag w:val="_PLD_25c75ebdcb434964b5f5e8b512151b0b"/>
                <w:id w:val="332347568"/>
              </w:sdtPr>
              <w:sdtEndPr>
                <w:rPr>
                  <w:sz w:val="16"/>
                  <w:szCs w:val="16"/>
                </w:rPr>
              </w:sdtEndPr>
              <w:sdtContent>
                <w:tc>
                  <w:tcPr>
                    <w:tcW w:w="482" w:type="pct"/>
                    <w:shd w:val="clear" w:color="auto" w:fill="auto"/>
                    <w:vAlign w:val="center"/>
                  </w:tcPr>
                  <w:p>
                    <w:pPr>
                      <w:ind w:right="105"/>
                      <w:jc w:val="center"/>
                      <w:rPr>
                        <w:sz w:val="16"/>
                        <w:szCs w:val="16"/>
                      </w:rPr>
                    </w:pPr>
                    <w:r>
                      <w:rPr>
                        <w:rFonts w:hint="eastAsia"/>
                        <w:sz w:val="16"/>
                        <w:szCs w:val="16"/>
                      </w:rPr>
                      <w:t>期初</w:t>
                    </w:r>
                  </w:p>
                  <w:p>
                    <w:pPr>
                      <w:ind w:right="105"/>
                      <w:jc w:val="center"/>
                      <w:rPr>
                        <w:sz w:val="16"/>
                        <w:szCs w:val="16"/>
                      </w:rPr>
                    </w:pPr>
                    <w:r>
                      <w:rPr>
                        <w:rFonts w:hint="eastAsia"/>
                        <w:sz w:val="16"/>
                        <w:szCs w:val="16"/>
                      </w:rPr>
                      <w:t>余额</w:t>
                    </w:r>
                  </w:p>
                </w:tc>
              </w:sdtContent>
            </w:sdt>
            <w:sdt>
              <w:sdtPr>
                <w:rPr>
                  <w:sz w:val="16"/>
                  <w:szCs w:val="16"/>
                </w:rPr>
                <w:tag w:val="_PLD_0117182ae7e24536a0996423ddcfa5f0"/>
                <w:id w:val="-68810330"/>
              </w:sdtPr>
              <w:sdtEndPr>
                <w:rPr>
                  <w:sz w:val="16"/>
                  <w:szCs w:val="16"/>
                </w:rPr>
              </w:sdtEndPr>
              <w:sdtContent>
                <w:tc>
                  <w:tcPr>
                    <w:tcW w:w="562" w:type="pct"/>
                    <w:shd w:val="clear" w:color="auto" w:fill="auto"/>
                    <w:vAlign w:val="center"/>
                  </w:tcPr>
                  <w:p>
                    <w:pPr>
                      <w:ind w:right="105"/>
                      <w:jc w:val="center"/>
                      <w:rPr>
                        <w:sz w:val="16"/>
                        <w:szCs w:val="16"/>
                      </w:rPr>
                    </w:pPr>
                    <w:r>
                      <w:rPr>
                        <w:rFonts w:hint="eastAsia"/>
                        <w:sz w:val="16"/>
                        <w:szCs w:val="16"/>
                      </w:rPr>
                      <w:t>本期增加金额</w:t>
                    </w:r>
                  </w:p>
                </w:tc>
              </w:sdtContent>
            </w:sdt>
            <w:sdt>
              <w:sdtPr>
                <w:rPr>
                  <w:sz w:val="16"/>
                  <w:szCs w:val="16"/>
                </w:rPr>
                <w:tag w:val="_PLD_6db4feaec90f4eeeb4ed5fb04d298657"/>
                <w:id w:val="2093436008"/>
              </w:sdtPr>
              <w:sdtEndPr>
                <w:rPr>
                  <w:sz w:val="16"/>
                  <w:szCs w:val="16"/>
                </w:rPr>
              </w:sdtEndPr>
              <w:sdtContent>
                <w:tc>
                  <w:tcPr>
                    <w:tcW w:w="517" w:type="pct"/>
                    <w:shd w:val="clear" w:color="auto" w:fill="auto"/>
                    <w:vAlign w:val="center"/>
                  </w:tcPr>
                  <w:p>
                    <w:pPr>
                      <w:ind w:right="73"/>
                      <w:jc w:val="center"/>
                      <w:rPr>
                        <w:sz w:val="16"/>
                        <w:szCs w:val="16"/>
                      </w:rPr>
                    </w:pPr>
                    <w:r>
                      <w:rPr>
                        <w:rFonts w:hint="eastAsia"/>
                        <w:sz w:val="16"/>
                        <w:szCs w:val="16"/>
                      </w:rPr>
                      <w:t>本期转入固定资产金额</w:t>
                    </w:r>
                  </w:p>
                </w:tc>
              </w:sdtContent>
            </w:sdt>
            <w:sdt>
              <w:sdtPr>
                <w:rPr>
                  <w:sz w:val="16"/>
                  <w:szCs w:val="16"/>
                </w:rPr>
                <w:tag w:val="_PLD_1fe85c3ed6f84f6f85209149a9931055"/>
                <w:id w:val="2082480538"/>
              </w:sdtPr>
              <w:sdtEndPr>
                <w:rPr>
                  <w:sz w:val="16"/>
                  <w:szCs w:val="16"/>
                </w:rPr>
              </w:sdtEndPr>
              <w:sdtContent>
                <w:tc>
                  <w:tcPr>
                    <w:tcW w:w="435" w:type="pct"/>
                    <w:shd w:val="clear" w:color="auto" w:fill="auto"/>
                    <w:vAlign w:val="center"/>
                  </w:tcPr>
                  <w:p>
                    <w:pPr>
                      <w:ind w:right="73"/>
                      <w:jc w:val="center"/>
                      <w:rPr>
                        <w:sz w:val="16"/>
                        <w:szCs w:val="16"/>
                      </w:rPr>
                    </w:pPr>
                    <w:r>
                      <w:rPr>
                        <w:rFonts w:hint="eastAsia"/>
                        <w:sz w:val="16"/>
                        <w:szCs w:val="16"/>
                      </w:rPr>
                      <w:t>本期其他减少金额</w:t>
                    </w:r>
                  </w:p>
                </w:tc>
              </w:sdtContent>
            </w:sdt>
            <w:sdt>
              <w:sdtPr>
                <w:rPr>
                  <w:sz w:val="16"/>
                  <w:szCs w:val="16"/>
                </w:rPr>
                <w:tag w:val="_PLD_7954fe4b89f644d29865af249dfe8c3f"/>
                <w:id w:val="1657796194"/>
              </w:sdtPr>
              <w:sdtEndPr>
                <w:rPr>
                  <w:sz w:val="16"/>
                  <w:szCs w:val="16"/>
                </w:rPr>
              </w:sdtEndPr>
              <w:sdtContent>
                <w:tc>
                  <w:tcPr>
                    <w:tcW w:w="658" w:type="pct"/>
                    <w:vAlign w:val="center"/>
                  </w:tcPr>
                  <w:p>
                    <w:pPr>
                      <w:jc w:val="center"/>
                      <w:rPr>
                        <w:sz w:val="16"/>
                        <w:szCs w:val="16"/>
                      </w:rPr>
                    </w:pPr>
                    <w:r>
                      <w:rPr>
                        <w:rFonts w:hint="eastAsia"/>
                        <w:sz w:val="16"/>
                        <w:szCs w:val="16"/>
                      </w:rPr>
                      <w:t>期末</w:t>
                    </w:r>
                  </w:p>
                  <w:p>
                    <w:pPr>
                      <w:jc w:val="center"/>
                      <w:rPr>
                        <w:sz w:val="16"/>
                        <w:szCs w:val="16"/>
                      </w:rPr>
                    </w:pPr>
                    <w:r>
                      <w:rPr>
                        <w:rFonts w:hint="eastAsia"/>
                        <w:sz w:val="16"/>
                        <w:szCs w:val="16"/>
                      </w:rPr>
                      <w:t>余额</w:t>
                    </w:r>
                  </w:p>
                </w:tc>
              </w:sdtContent>
            </w:sdt>
            <w:sdt>
              <w:sdtPr>
                <w:rPr>
                  <w:sz w:val="16"/>
                  <w:szCs w:val="16"/>
                </w:rPr>
                <w:tag w:val="_PLD_d9aa12b28eda4362b90372032218ea1a"/>
                <w:id w:val="1836417905"/>
              </w:sdtPr>
              <w:sdtEndPr>
                <w:rPr>
                  <w:sz w:val="16"/>
                  <w:szCs w:val="16"/>
                </w:rPr>
              </w:sdtEndPr>
              <w:sdtContent>
                <w:tc>
                  <w:tcPr>
                    <w:tcW w:w="301" w:type="pct"/>
                    <w:shd w:val="clear" w:color="auto" w:fill="auto"/>
                    <w:vAlign w:val="center"/>
                  </w:tcPr>
                  <w:p>
                    <w:pPr>
                      <w:jc w:val="center"/>
                      <w:rPr>
                        <w:sz w:val="16"/>
                        <w:szCs w:val="16"/>
                      </w:rPr>
                    </w:pPr>
                    <w:r>
                      <w:rPr>
                        <w:rFonts w:hint="eastAsia"/>
                        <w:sz w:val="16"/>
                        <w:szCs w:val="16"/>
                      </w:rPr>
                      <w:t>工程累计投入占预算比例(%)</w:t>
                    </w:r>
                  </w:p>
                </w:tc>
              </w:sdtContent>
            </w:sdt>
            <w:sdt>
              <w:sdtPr>
                <w:rPr>
                  <w:sz w:val="16"/>
                  <w:szCs w:val="16"/>
                </w:rPr>
                <w:tag w:val="_PLD_9e610c25eba14177abc9b359511cb935"/>
                <w:id w:val="-758522873"/>
              </w:sdtPr>
              <w:sdtEndPr>
                <w:rPr>
                  <w:sz w:val="16"/>
                  <w:szCs w:val="16"/>
                </w:rPr>
              </w:sdtEndPr>
              <w:sdtContent>
                <w:tc>
                  <w:tcPr>
                    <w:tcW w:w="122" w:type="pct"/>
                    <w:shd w:val="clear" w:color="auto" w:fill="auto"/>
                    <w:vAlign w:val="center"/>
                  </w:tcPr>
                  <w:p>
                    <w:pPr>
                      <w:jc w:val="center"/>
                      <w:rPr>
                        <w:sz w:val="16"/>
                        <w:szCs w:val="16"/>
                      </w:rPr>
                    </w:pPr>
                    <w:r>
                      <w:rPr>
                        <w:rFonts w:hint="eastAsia"/>
                        <w:sz w:val="16"/>
                        <w:szCs w:val="16"/>
                      </w:rPr>
                      <w:t>工程进度</w:t>
                    </w:r>
                  </w:p>
                </w:tc>
              </w:sdtContent>
            </w:sdt>
            <w:sdt>
              <w:sdtPr>
                <w:rPr>
                  <w:sz w:val="16"/>
                  <w:szCs w:val="16"/>
                </w:rPr>
                <w:tag w:val="_PLD_e89a95ddf6ab4a6abe2d40f64c95699a"/>
                <w:id w:val="1952896933"/>
              </w:sdtPr>
              <w:sdtEndPr>
                <w:rPr>
                  <w:sz w:val="16"/>
                  <w:szCs w:val="16"/>
                </w:rPr>
              </w:sdtEndPr>
              <w:sdtContent>
                <w:tc>
                  <w:tcPr>
                    <w:tcW w:w="122" w:type="pct"/>
                    <w:shd w:val="clear" w:color="auto" w:fill="auto"/>
                    <w:vAlign w:val="center"/>
                  </w:tcPr>
                  <w:p>
                    <w:pPr>
                      <w:jc w:val="center"/>
                      <w:rPr>
                        <w:sz w:val="16"/>
                        <w:szCs w:val="16"/>
                      </w:rPr>
                    </w:pPr>
                    <w:r>
                      <w:rPr>
                        <w:rFonts w:hint="eastAsia"/>
                        <w:sz w:val="16"/>
                        <w:szCs w:val="16"/>
                      </w:rPr>
                      <w:t>利息资本化累计金额</w:t>
                    </w:r>
                  </w:p>
                </w:tc>
              </w:sdtContent>
            </w:sdt>
            <w:sdt>
              <w:sdtPr>
                <w:rPr>
                  <w:sz w:val="16"/>
                  <w:szCs w:val="16"/>
                </w:rPr>
                <w:tag w:val="_PLD_211048c05b944d8f9bfd1d37edfd2f6d"/>
                <w:id w:val="839811993"/>
              </w:sdtPr>
              <w:sdtEndPr>
                <w:rPr>
                  <w:sz w:val="16"/>
                  <w:szCs w:val="16"/>
                </w:rPr>
              </w:sdtEndPr>
              <w:sdtContent>
                <w:tc>
                  <w:tcPr>
                    <w:tcW w:w="212" w:type="pct"/>
                    <w:shd w:val="clear" w:color="auto" w:fill="auto"/>
                    <w:vAlign w:val="center"/>
                  </w:tcPr>
                  <w:p>
                    <w:pPr>
                      <w:jc w:val="center"/>
                      <w:rPr>
                        <w:sz w:val="16"/>
                        <w:szCs w:val="16"/>
                      </w:rPr>
                    </w:pPr>
                    <w:r>
                      <w:rPr>
                        <w:rFonts w:hint="eastAsia"/>
                        <w:sz w:val="16"/>
                        <w:szCs w:val="16"/>
                      </w:rPr>
                      <w:t>其中：本期利息资本化金额</w:t>
                    </w:r>
                  </w:p>
                </w:tc>
              </w:sdtContent>
            </w:sdt>
            <w:sdt>
              <w:sdtPr>
                <w:rPr>
                  <w:sz w:val="16"/>
                  <w:szCs w:val="16"/>
                </w:rPr>
                <w:tag w:val="_PLD_2cbfddfcd5e6493ba68633d99551c05f"/>
                <w:id w:val="-202015773"/>
              </w:sdtPr>
              <w:sdtEndPr>
                <w:rPr>
                  <w:sz w:val="16"/>
                  <w:szCs w:val="16"/>
                </w:rPr>
              </w:sdtEndPr>
              <w:sdtContent>
                <w:tc>
                  <w:tcPr>
                    <w:tcW w:w="175" w:type="pct"/>
                    <w:shd w:val="clear" w:color="auto" w:fill="auto"/>
                    <w:vAlign w:val="center"/>
                  </w:tcPr>
                  <w:p>
                    <w:pPr>
                      <w:jc w:val="center"/>
                      <w:rPr>
                        <w:sz w:val="16"/>
                        <w:szCs w:val="16"/>
                      </w:rPr>
                    </w:pPr>
                    <w:r>
                      <w:rPr>
                        <w:rFonts w:hint="eastAsia"/>
                        <w:sz w:val="16"/>
                        <w:szCs w:val="16"/>
                      </w:rPr>
                      <w:t>本期利息资本化率(%)</w:t>
                    </w:r>
                  </w:p>
                </w:tc>
              </w:sdtContent>
            </w:sdt>
            <w:sdt>
              <w:sdtPr>
                <w:rPr>
                  <w:sz w:val="16"/>
                  <w:szCs w:val="16"/>
                </w:rPr>
                <w:tag w:val="_PLD_39440674746d4382a4f99328187752a9"/>
                <w:id w:val="76021005"/>
              </w:sdtPr>
              <w:sdtEndPr>
                <w:rPr>
                  <w:sz w:val="16"/>
                  <w:szCs w:val="16"/>
                </w:rPr>
              </w:sdtEndPr>
              <w:sdtContent>
                <w:tc>
                  <w:tcPr>
                    <w:tcW w:w="212" w:type="pct"/>
                    <w:shd w:val="clear" w:color="auto" w:fill="auto"/>
                    <w:vAlign w:val="center"/>
                  </w:tcPr>
                  <w:p>
                    <w:pPr>
                      <w:jc w:val="center"/>
                      <w:rPr>
                        <w:sz w:val="16"/>
                        <w:szCs w:val="16"/>
                      </w:rPr>
                    </w:pPr>
                    <w:r>
                      <w:rPr>
                        <w:rFonts w:hint="eastAsia"/>
                        <w:sz w:val="16"/>
                        <w:szCs w:val="16"/>
                      </w:rPr>
                      <w:t>资金来源</w:t>
                    </w:r>
                  </w:p>
                </w:tc>
              </w:sdtContent>
            </w:sdt>
          </w:tr>
          <w:sdt>
            <w:sdtPr>
              <w:rPr>
                <w:rFonts w:hint="eastAsia"/>
                <w:sz w:val="16"/>
                <w:szCs w:val="16"/>
              </w:rPr>
              <w:alias w:val="在建工程明细"/>
              <w:tag w:val="_GBC_b84d9018f52b45beabeca7c2371cdc18"/>
              <w:id w:val="1477026611"/>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声屏障建设项目</w:t>
                    </w:r>
                  </w:p>
                </w:tc>
                <w:tc>
                  <w:tcPr>
                    <w:tcW w:w="452" w:type="pct"/>
                    <w:shd w:val="clear" w:color="auto" w:fill="auto"/>
                  </w:tcPr>
                  <w:p>
                    <w:pPr>
                      <w:ind w:right="105"/>
                      <w:jc w:val="right"/>
                      <w:rPr>
                        <w:sz w:val="16"/>
                        <w:szCs w:val="16"/>
                      </w:rPr>
                    </w:pPr>
                    <w:r>
                      <w:rPr>
                        <w:sz w:val="16"/>
                        <w:szCs w:val="16"/>
                      </w:rPr>
                      <w:t>49,016,296.49</w:t>
                    </w:r>
                  </w:p>
                </w:tc>
                <w:tc>
                  <w:tcPr>
                    <w:tcW w:w="482" w:type="pct"/>
                    <w:shd w:val="clear" w:color="auto" w:fill="auto"/>
                  </w:tcPr>
                  <w:p>
                    <w:pPr>
                      <w:jc w:val="right"/>
                      <w:rPr>
                        <w:sz w:val="16"/>
                        <w:szCs w:val="16"/>
                      </w:rPr>
                    </w:pPr>
                    <w:r>
                      <w:rPr>
                        <w:sz w:val="16"/>
                        <w:szCs w:val="16"/>
                      </w:rPr>
                      <w:t>3,078,624.89</w:t>
                    </w:r>
                  </w:p>
                </w:tc>
                <w:tc>
                  <w:tcPr>
                    <w:tcW w:w="562" w:type="pct"/>
                    <w:shd w:val="clear" w:color="auto" w:fill="auto"/>
                  </w:tcPr>
                  <w:p>
                    <w:pPr>
                      <w:ind w:right="73"/>
                      <w:jc w:val="right"/>
                      <w:rPr>
                        <w:sz w:val="16"/>
                        <w:szCs w:val="16"/>
                      </w:rPr>
                    </w:pPr>
                    <w:r>
                      <w:rPr>
                        <w:sz w:val="16"/>
                        <w:szCs w:val="16"/>
                      </w:rPr>
                      <w:t>212,500.00</w:t>
                    </w:r>
                  </w:p>
                </w:tc>
                <w:tc>
                  <w:tcPr>
                    <w:tcW w:w="517" w:type="pct"/>
                    <w:shd w:val="clear" w:color="auto" w:fill="auto"/>
                  </w:tcPr>
                  <w:p>
                    <w:pPr>
                      <w:ind w:right="73"/>
                      <w:jc w:val="right"/>
                      <w:rPr>
                        <w:sz w:val="16"/>
                        <w:szCs w:val="16"/>
                      </w:rPr>
                    </w:pPr>
                    <w:r>
                      <w:rPr>
                        <w:sz w:val="16"/>
                        <w:szCs w:val="16"/>
                      </w:rPr>
                      <w:t>-</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3,291,124.89</w:t>
                    </w:r>
                  </w:p>
                </w:tc>
                <w:tc>
                  <w:tcPr>
                    <w:tcW w:w="301" w:type="pct"/>
                    <w:shd w:val="clear" w:color="auto" w:fill="auto"/>
                  </w:tcPr>
                  <w:p>
                    <w:pPr>
                      <w:jc w:val="right"/>
                      <w:rPr>
                        <w:sz w:val="16"/>
                        <w:szCs w:val="16"/>
                      </w:rPr>
                    </w:pPr>
                    <w:r>
                      <w:rPr>
                        <w:sz w:val="16"/>
                        <w:szCs w:val="16"/>
                      </w:rPr>
                      <w:t>6.71%</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1012420932"/>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收费站服务区等房建项目</w:t>
                    </w:r>
                  </w:p>
                </w:tc>
                <w:tc>
                  <w:tcPr>
                    <w:tcW w:w="452" w:type="pct"/>
                    <w:shd w:val="clear" w:color="auto" w:fill="auto"/>
                  </w:tcPr>
                  <w:p>
                    <w:pPr>
                      <w:ind w:right="105"/>
                      <w:jc w:val="right"/>
                      <w:rPr>
                        <w:sz w:val="16"/>
                        <w:szCs w:val="16"/>
                      </w:rPr>
                    </w:pPr>
                    <w:r>
                      <w:rPr>
                        <w:sz w:val="16"/>
                        <w:szCs w:val="16"/>
                      </w:rPr>
                      <w:t>156,466,070.06</w:t>
                    </w:r>
                  </w:p>
                </w:tc>
                <w:tc>
                  <w:tcPr>
                    <w:tcW w:w="482" w:type="pct"/>
                    <w:shd w:val="clear" w:color="auto" w:fill="auto"/>
                  </w:tcPr>
                  <w:p>
                    <w:pPr>
                      <w:jc w:val="right"/>
                      <w:rPr>
                        <w:sz w:val="16"/>
                        <w:szCs w:val="16"/>
                      </w:rPr>
                    </w:pPr>
                    <w:r>
                      <w:rPr>
                        <w:sz w:val="16"/>
                        <w:szCs w:val="16"/>
                      </w:rPr>
                      <w:t>82,269,341.67</w:t>
                    </w:r>
                  </w:p>
                </w:tc>
                <w:tc>
                  <w:tcPr>
                    <w:tcW w:w="562" w:type="pct"/>
                    <w:shd w:val="clear" w:color="auto" w:fill="auto"/>
                  </w:tcPr>
                  <w:p>
                    <w:pPr>
                      <w:ind w:right="73"/>
                      <w:jc w:val="right"/>
                      <w:rPr>
                        <w:sz w:val="16"/>
                        <w:szCs w:val="16"/>
                      </w:rPr>
                    </w:pPr>
                    <w:r>
                      <w:rPr>
                        <w:sz w:val="16"/>
                        <w:szCs w:val="16"/>
                      </w:rPr>
                      <w:t>2,409,419.83</w:t>
                    </w:r>
                  </w:p>
                </w:tc>
                <w:tc>
                  <w:tcPr>
                    <w:tcW w:w="517" w:type="pct"/>
                    <w:shd w:val="clear" w:color="auto" w:fill="auto"/>
                  </w:tcPr>
                  <w:p>
                    <w:pPr>
                      <w:ind w:right="73"/>
                      <w:jc w:val="right"/>
                      <w:rPr>
                        <w:sz w:val="16"/>
                        <w:szCs w:val="16"/>
                      </w:rPr>
                    </w:pPr>
                    <w:r>
                      <w:rPr>
                        <w:sz w:val="16"/>
                        <w:szCs w:val="16"/>
                      </w:rPr>
                      <w:t>11,002,174.84</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73,676,586.66</w:t>
                    </w:r>
                  </w:p>
                </w:tc>
                <w:tc>
                  <w:tcPr>
                    <w:tcW w:w="301" w:type="pct"/>
                    <w:shd w:val="clear" w:color="auto" w:fill="auto"/>
                  </w:tcPr>
                  <w:p>
                    <w:pPr>
                      <w:jc w:val="right"/>
                      <w:rPr>
                        <w:sz w:val="16"/>
                        <w:szCs w:val="16"/>
                      </w:rPr>
                    </w:pPr>
                    <w:r>
                      <w:rPr>
                        <w:sz w:val="16"/>
                        <w:szCs w:val="16"/>
                      </w:rPr>
                      <w:t>54.12%</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217986376"/>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锡宜高速扩建工程</w:t>
                    </w:r>
                  </w:p>
                </w:tc>
                <w:tc>
                  <w:tcPr>
                    <w:tcW w:w="452" w:type="pct"/>
                    <w:shd w:val="clear" w:color="auto" w:fill="auto"/>
                  </w:tcPr>
                  <w:p>
                    <w:pPr>
                      <w:ind w:right="105"/>
                      <w:jc w:val="right"/>
                      <w:rPr>
                        <w:sz w:val="16"/>
                        <w:szCs w:val="16"/>
                      </w:rPr>
                    </w:pPr>
                    <w:r>
                      <w:rPr>
                        <w:sz w:val="16"/>
                        <w:szCs w:val="16"/>
                      </w:rPr>
                      <w:t>501,152,000.00</w:t>
                    </w:r>
                  </w:p>
                </w:tc>
                <w:tc>
                  <w:tcPr>
                    <w:tcW w:w="482" w:type="pct"/>
                    <w:shd w:val="clear" w:color="auto" w:fill="auto"/>
                  </w:tcPr>
                  <w:p>
                    <w:pPr>
                      <w:jc w:val="right"/>
                      <w:rPr>
                        <w:sz w:val="16"/>
                        <w:szCs w:val="16"/>
                      </w:rPr>
                    </w:pPr>
                    <w:r>
                      <w:rPr>
                        <w:sz w:val="16"/>
                        <w:szCs w:val="16"/>
                      </w:rPr>
                      <w:t>51,764,587.00</w:t>
                    </w:r>
                  </w:p>
                </w:tc>
                <w:tc>
                  <w:tcPr>
                    <w:tcW w:w="562" w:type="pct"/>
                    <w:shd w:val="clear" w:color="auto" w:fill="auto"/>
                  </w:tcPr>
                  <w:p>
                    <w:pPr>
                      <w:ind w:right="73"/>
                      <w:jc w:val="right"/>
                      <w:rPr>
                        <w:sz w:val="16"/>
                        <w:szCs w:val="16"/>
                      </w:rPr>
                    </w:pPr>
                  </w:p>
                </w:tc>
                <w:tc>
                  <w:tcPr>
                    <w:tcW w:w="517" w:type="pct"/>
                    <w:shd w:val="clear" w:color="auto" w:fill="auto"/>
                  </w:tcPr>
                  <w:p>
                    <w:pPr>
                      <w:ind w:right="73"/>
                      <w:jc w:val="right"/>
                      <w:rPr>
                        <w:sz w:val="16"/>
                        <w:szCs w:val="16"/>
                      </w:rPr>
                    </w:pPr>
                    <w:r>
                      <w:rPr>
                        <w:sz w:val="16"/>
                        <w:szCs w:val="16"/>
                      </w:rPr>
                      <w:t>51,764,587.00</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p>
                </w:tc>
                <w:tc>
                  <w:tcPr>
                    <w:tcW w:w="301" w:type="pct"/>
                    <w:shd w:val="clear" w:color="auto" w:fill="auto"/>
                  </w:tcPr>
                  <w:p>
                    <w:pPr>
                      <w:jc w:val="right"/>
                      <w:rPr>
                        <w:sz w:val="16"/>
                        <w:szCs w:val="16"/>
                      </w:rPr>
                    </w:pPr>
                    <w:r>
                      <w:rPr>
                        <w:sz w:val="16"/>
                        <w:szCs w:val="16"/>
                      </w:rPr>
                      <w:t>10.33%</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自有资金、金融机构贷款</w:t>
                    </w:r>
                  </w:p>
                </w:tc>
              </w:tr>
            </w:sdtContent>
          </w:sdt>
          <w:sdt>
            <w:sdtPr>
              <w:rPr>
                <w:rFonts w:hint="eastAsia"/>
                <w:sz w:val="16"/>
                <w:szCs w:val="16"/>
              </w:rPr>
              <w:alias w:val="在建工程明细"/>
              <w:tag w:val="_GBC_b84d9018f52b45beabeca7c2371cdc18"/>
              <w:id w:val="1483121519"/>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收费站软件改造</w:t>
                    </w:r>
                  </w:p>
                </w:tc>
                <w:tc>
                  <w:tcPr>
                    <w:tcW w:w="452" w:type="pct"/>
                    <w:shd w:val="clear" w:color="auto" w:fill="auto"/>
                  </w:tcPr>
                  <w:p>
                    <w:pPr>
                      <w:ind w:right="105"/>
                      <w:jc w:val="right"/>
                      <w:rPr>
                        <w:sz w:val="16"/>
                        <w:szCs w:val="16"/>
                      </w:rPr>
                    </w:pPr>
                    <w:r>
                      <w:rPr>
                        <w:sz w:val="16"/>
                        <w:szCs w:val="16"/>
                      </w:rPr>
                      <w:t>130,864,000.00</w:t>
                    </w:r>
                  </w:p>
                </w:tc>
                <w:tc>
                  <w:tcPr>
                    <w:tcW w:w="482" w:type="pct"/>
                    <w:shd w:val="clear" w:color="auto" w:fill="auto"/>
                  </w:tcPr>
                  <w:p>
                    <w:pPr>
                      <w:jc w:val="right"/>
                      <w:rPr>
                        <w:sz w:val="16"/>
                        <w:szCs w:val="16"/>
                      </w:rPr>
                    </w:pPr>
                    <w:r>
                      <w:rPr>
                        <w:sz w:val="16"/>
                        <w:szCs w:val="16"/>
                      </w:rPr>
                      <w:t>3,836,115.93</w:t>
                    </w:r>
                  </w:p>
                </w:tc>
                <w:tc>
                  <w:tcPr>
                    <w:tcW w:w="562" w:type="pct"/>
                    <w:shd w:val="clear" w:color="auto" w:fill="auto"/>
                  </w:tcPr>
                  <w:p>
                    <w:pPr>
                      <w:ind w:right="73"/>
                      <w:jc w:val="right"/>
                      <w:rPr>
                        <w:sz w:val="16"/>
                        <w:szCs w:val="16"/>
                      </w:rPr>
                    </w:pPr>
                  </w:p>
                </w:tc>
                <w:tc>
                  <w:tcPr>
                    <w:tcW w:w="517" w:type="pct"/>
                    <w:shd w:val="clear" w:color="auto" w:fill="auto"/>
                  </w:tcPr>
                  <w:p>
                    <w:pPr>
                      <w:ind w:right="73"/>
                      <w:jc w:val="right"/>
                      <w:rPr>
                        <w:sz w:val="16"/>
                        <w:szCs w:val="16"/>
                      </w:rPr>
                    </w:pPr>
                  </w:p>
                </w:tc>
                <w:tc>
                  <w:tcPr>
                    <w:tcW w:w="435" w:type="pct"/>
                    <w:shd w:val="clear" w:color="auto" w:fill="auto"/>
                  </w:tcPr>
                  <w:p>
                    <w:pPr>
                      <w:jc w:val="right"/>
                      <w:rPr>
                        <w:sz w:val="16"/>
                        <w:szCs w:val="16"/>
                      </w:rPr>
                    </w:pPr>
                    <w:r>
                      <w:rPr>
                        <w:sz w:val="16"/>
                        <w:szCs w:val="16"/>
                      </w:rPr>
                      <w:t>19,262.57</w:t>
                    </w:r>
                  </w:p>
                </w:tc>
                <w:tc>
                  <w:tcPr>
                    <w:tcW w:w="658" w:type="pct"/>
                  </w:tcPr>
                  <w:p>
                    <w:pPr>
                      <w:jc w:val="right"/>
                      <w:rPr>
                        <w:sz w:val="16"/>
                        <w:szCs w:val="16"/>
                      </w:rPr>
                    </w:pPr>
                    <w:r>
                      <w:rPr>
                        <w:sz w:val="16"/>
                        <w:szCs w:val="16"/>
                      </w:rPr>
                      <w:t>3,816,853.36</w:t>
                    </w:r>
                  </w:p>
                </w:tc>
                <w:tc>
                  <w:tcPr>
                    <w:tcW w:w="301" w:type="pct"/>
                    <w:shd w:val="clear" w:color="auto" w:fill="auto"/>
                  </w:tcPr>
                  <w:p>
                    <w:pPr>
                      <w:jc w:val="right"/>
                      <w:rPr>
                        <w:sz w:val="16"/>
                        <w:szCs w:val="16"/>
                      </w:rPr>
                    </w:pPr>
                    <w:r>
                      <w:rPr>
                        <w:sz w:val="16"/>
                        <w:szCs w:val="16"/>
                      </w:rPr>
                      <w:t>2.93%</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935874620"/>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三大系统建设项目</w:t>
                    </w:r>
                  </w:p>
                </w:tc>
                <w:tc>
                  <w:tcPr>
                    <w:tcW w:w="452" w:type="pct"/>
                    <w:shd w:val="clear" w:color="auto" w:fill="auto"/>
                  </w:tcPr>
                  <w:p>
                    <w:pPr>
                      <w:ind w:right="105"/>
                      <w:jc w:val="right"/>
                      <w:rPr>
                        <w:sz w:val="16"/>
                        <w:szCs w:val="16"/>
                      </w:rPr>
                    </w:pPr>
                    <w:r>
                      <w:rPr>
                        <w:sz w:val="16"/>
                        <w:szCs w:val="16"/>
                      </w:rPr>
                      <w:t>231,465,541.48</w:t>
                    </w:r>
                  </w:p>
                </w:tc>
                <w:tc>
                  <w:tcPr>
                    <w:tcW w:w="482" w:type="pct"/>
                    <w:shd w:val="clear" w:color="auto" w:fill="auto"/>
                  </w:tcPr>
                  <w:p>
                    <w:pPr>
                      <w:jc w:val="right"/>
                      <w:rPr>
                        <w:sz w:val="16"/>
                        <w:szCs w:val="16"/>
                      </w:rPr>
                    </w:pPr>
                    <w:r>
                      <w:rPr>
                        <w:sz w:val="16"/>
                        <w:szCs w:val="16"/>
                      </w:rPr>
                      <w:t>4,917,556.45</w:t>
                    </w:r>
                  </w:p>
                </w:tc>
                <w:tc>
                  <w:tcPr>
                    <w:tcW w:w="562" w:type="pct"/>
                    <w:shd w:val="clear" w:color="auto" w:fill="auto"/>
                  </w:tcPr>
                  <w:p>
                    <w:pPr>
                      <w:ind w:right="73"/>
                      <w:jc w:val="right"/>
                      <w:rPr>
                        <w:sz w:val="16"/>
                        <w:szCs w:val="16"/>
                      </w:rPr>
                    </w:pPr>
                    <w:r>
                      <w:rPr>
                        <w:sz w:val="16"/>
                        <w:szCs w:val="16"/>
                      </w:rPr>
                      <w:t>3,357,981.69</w:t>
                    </w:r>
                  </w:p>
                </w:tc>
                <w:tc>
                  <w:tcPr>
                    <w:tcW w:w="517" w:type="pct"/>
                    <w:shd w:val="clear" w:color="auto" w:fill="auto"/>
                  </w:tcPr>
                  <w:p>
                    <w:pPr>
                      <w:ind w:right="73"/>
                      <w:jc w:val="right"/>
                      <w:rPr>
                        <w:sz w:val="16"/>
                        <w:szCs w:val="16"/>
                      </w:rPr>
                    </w:pPr>
                    <w:r>
                      <w:rPr>
                        <w:sz w:val="16"/>
                        <w:szCs w:val="16"/>
                      </w:rPr>
                      <w:t>-</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8,275,538.14</w:t>
                    </w:r>
                  </w:p>
                </w:tc>
                <w:tc>
                  <w:tcPr>
                    <w:tcW w:w="301" w:type="pct"/>
                    <w:shd w:val="clear" w:color="auto" w:fill="auto"/>
                  </w:tcPr>
                  <w:p>
                    <w:pPr>
                      <w:jc w:val="right"/>
                      <w:rPr>
                        <w:sz w:val="16"/>
                        <w:szCs w:val="16"/>
                      </w:rPr>
                    </w:pPr>
                    <w:r>
                      <w:rPr>
                        <w:sz w:val="16"/>
                        <w:szCs w:val="16"/>
                      </w:rPr>
                      <w:t>3.58%</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1935171186"/>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信息化建设项目</w:t>
                    </w:r>
                  </w:p>
                </w:tc>
                <w:tc>
                  <w:tcPr>
                    <w:tcW w:w="452" w:type="pct"/>
                    <w:shd w:val="clear" w:color="auto" w:fill="auto"/>
                  </w:tcPr>
                  <w:p>
                    <w:pPr>
                      <w:ind w:right="105"/>
                      <w:jc w:val="right"/>
                      <w:rPr>
                        <w:sz w:val="16"/>
                        <w:szCs w:val="16"/>
                      </w:rPr>
                    </w:pPr>
                    <w:r>
                      <w:rPr>
                        <w:sz w:val="16"/>
                        <w:szCs w:val="16"/>
                      </w:rPr>
                      <w:t>59,895,036.14</w:t>
                    </w:r>
                  </w:p>
                </w:tc>
                <w:tc>
                  <w:tcPr>
                    <w:tcW w:w="482" w:type="pct"/>
                    <w:shd w:val="clear" w:color="auto" w:fill="auto"/>
                  </w:tcPr>
                  <w:p>
                    <w:pPr>
                      <w:jc w:val="right"/>
                      <w:rPr>
                        <w:sz w:val="16"/>
                        <w:szCs w:val="16"/>
                      </w:rPr>
                    </w:pPr>
                    <w:r>
                      <w:rPr>
                        <w:sz w:val="16"/>
                        <w:szCs w:val="16"/>
                      </w:rPr>
                      <w:t>10,025,891.30</w:t>
                    </w:r>
                  </w:p>
                </w:tc>
                <w:tc>
                  <w:tcPr>
                    <w:tcW w:w="562" w:type="pct"/>
                    <w:shd w:val="clear" w:color="auto" w:fill="auto"/>
                  </w:tcPr>
                  <w:p>
                    <w:pPr>
                      <w:ind w:right="73"/>
                      <w:jc w:val="right"/>
                      <w:rPr>
                        <w:sz w:val="16"/>
                        <w:szCs w:val="16"/>
                      </w:rPr>
                    </w:pPr>
                    <w:r>
                      <w:rPr>
                        <w:sz w:val="16"/>
                        <w:szCs w:val="16"/>
                      </w:rPr>
                      <w:t>(610,979.91)</w:t>
                    </w:r>
                  </w:p>
                </w:tc>
                <w:tc>
                  <w:tcPr>
                    <w:tcW w:w="517" w:type="pct"/>
                    <w:shd w:val="clear" w:color="auto" w:fill="auto"/>
                  </w:tcPr>
                  <w:p>
                    <w:pPr>
                      <w:ind w:right="73"/>
                      <w:jc w:val="right"/>
                      <w:rPr>
                        <w:sz w:val="16"/>
                        <w:szCs w:val="16"/>
                      </w:rPr>
                    </w:pPr>
                    <w:r>
                      <w:rPr>
                        <w:sz w:val="16"/>
                        <w:szCs w:val="16"/>
                      </w:rPr>
                      <w:t>4,100,791.75</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5,314,119.64</w:t>
                    </w:r>
                  </w:p>
                </w:tc>
                <w:tc>
                  <w:tcPr>
                    <w:tcW w:w="301" w:type="pct"/>
                    <w:shd w:val="clear" w:color="auto" w:fill="auto"/>
                  </w:tcPr>
                  <w:p>
                    <w:pPr>
                      <w:jc w:val="right"/>
                      <w:rPr>
                        <w:sz w:val="16"/>
                        <w:szCs w:val="16"/>
                      </w:rPr>
                    </w:pPr>
                    <w:r>
                      <w:rPr>
                        <w:sz w:val="16"/>
                        <w:szCs w:val="16"/>
                      </w:rPr>
                      <w:t>15.72%</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2026778789"/>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宁沪公司电力监控升级改造项目</w:t>
                    </w:r>
                  </w:p>
                </w:tc>
                <w:tc>
                  <w:tcPr>
                    <w:tcW w:w="452" w:type="pct"/>
                    <w:shd w:val="clear" w:color="auto" w:fill="auto"/>
                  </w:tcPr>
                  <w:p>
                    <w:pPr>
                      <w:ind w:right="105"/>
                      <w:jc w:val="right"/>
                      <w:rPr>
                        <w:sz w:val="16"/>
                        <w:szCs w:val="16"/>
                      </w:rPr>
                    </w:pPr>
                    <w:r>
                      <w:rPr>
                        <w:sz w:val="16"/>
                        <w:szCs w:val="16"/>
                      </w:rPr>
                      <w:t>15,000,000.00</w:t>
                    </w:r>
                  </w:p>
                </w:tc>
                <w:tc>
                  <w:tcPr>
                    <w:tcW w:w="482" w:type="pct"/>
                    <w:shd w:val="clear" w:color="auto" w:fill="auto"/>
                  </w:tcPr>
                  <w:p>
                    <w:pPr>
                      <w:jc w:val="right"/>
                      <w:rPr>
                        <w:sz w:val="16"/>
                        <w:szCs w:val="16"/>
                      </w:rPr>
                    </w:pPr>
                    <w:r>
                      <w:rPr>
                        <w:sz w:val="16"/>
                        <w:szCs w:val="16"/>
                      </w:rPr>
                      <w:t>13,570,000.00</w:t>
                    </w:r>
                  </w:p>
                </w:tc>
                <w:tc>
                  <w:tcPr>
                    <w:tcW w:w="562" w:type="pct"/>
                    <w:shd w:val="clear" w:color="auto" w:fill="auto"/>
                  </w:tcPr>
                  <w:p>
                    <w:pPr>
                      <w:ind w:right="73"/>
                      <w:jc w:val="right"/>
                      <w:rPr>
                        <w:sz w:val="16"/>
                        <w:szCs w:val="16"/>
                      </w:rPr>
                    </w:pPr>
                    <w:r>
                      <w:rPr>
                        <w:sz w:val="16"/>
                        <w:szCs w:val="16"/>
                      </w:rPr>
                      <w:t>-</w:t>
                    </w:r>
                  </w:p>
                </w:tc>
                <w:tc>
                  <w:tcPr>
                    <w:tcW w:w="517" w:type="pct"/>
                    <w:shd w:val="clear" w:color="auto" w:fill="auto"/>
                  </w:tcPr>
                  <w:p>
                    <w:pPr>
                      <w:ind w:right="73"/>
                      <w:jc w:val="right"/>
                      <w:rPr>
                        <w:sz w:val="16"/>
                        <w:szCs w:val="16"/>
                      </w:rPr>
                    </w:pPr>
                    <w:r>
                      <w:rPr>
                        <w:sz w:val="16"/>
                        <w:szCs w:val="16"/>
                      </w:rPr>
                      <w:t>-</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13,570,000.00</w:t>
                    </w:r>
                  </w:p>
                </w:tc>
                <w:tc>
                  <w:tcPr>
                    <w:tcW w:w="301" w:type="pct"/>
                    <w:shd w:val="clear" w:color="auto" w:fill="auto"/>
                  </w:tcPr>
                  <w:p>
                    <w:pPr>
                      <w:jc w:val="right"/>
                      <w:rPr>
                        <w:sz w:val="16"/>
                        <w:szCs w:val="16"/>
                      </w:rPr>
                    </w:pPr>
                    <w:r>
                      <w:rPr>
                        <w:sz w:val="16"/>
                        <w:szCs w:val="16"/>
                      </w:rPr>
                      <w:t>90.47%</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994150499"/>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sz w:val="16"/>
                        <w:szCs w:val="16"/>
                      </w:rPr>
                      <w:t>光伏发电项目</w:t>
                    </w:r>
                  </w:p>
                </w:tc>
                <w:tc>
                  <w:tcPr>
                    <w:tcW w:w="452" w:type="pct"/>
                    <w:shd w:val="clear" w:color="auto" w:fill="auto"/>
                  </w:tcPr>
                  <w:p>
                    <w:pPr>
                      <w:ind w:right="105"/>
                      <w:jc w:val="right"/>
                      <w:rPr>
                        <w:sz w:val="16"/>
                        <w:szCs w:val="16"/>
                      </w:rPr>
                    </w:pPr>
                    <w:r>
                      <w:rPr>
                        <w:sz w:val="16"/>
                        <w:szCs w:val="16"/>
                      </w:rPr>
                      <w:t>164,211,650.63</w:t>
                    </w:r>
                  </w:p>
                </w:tc>
                <w:tc>
                  <w:tcPr>
                    <w:tcW w:w="482" w:type="pct"/>
                    <w:shd w:val="clear" w:color="auto" w:fill="auto"/>
                  </w:tcPr>
                  <w:p>
                    <w:pPr>
                      <w:jc w:val="right"/>
                      <w:rPr>
                        <w:sz w:val="16"/>
                        <w:szCs w:val="16"/>
                      </w:rPr>
                    </w:pPr>
                    <w:r>
                      <w:rPr>
                        <w:sz w:val="16"/>
                        <w:szCs w:val="16"/>
                      </w:rPr>
                      <w:t>14,234,456.07</w:t>
                    </w:r>
                  </w:p>
                </w:tc>
                <w:tc>
                  <w:tcPr>
                    <w:tcW w:w="562" w:type="pct"/>
                    <w:shd w:val="clear" w:color="auto" w:fill="auto"/>
                  </w:tcPr>
                  <w:p>
                    <w:pPr>
                      <w:ind w:right="73"/>
                      <w:jc w:val="right"/>
                      <w:rPr>
                        <w:sz w:val="16"/>
                        <w:szCs w:val="16"/>
                      </w:rPr>
                    </w:pPr>
                    <w:r>
                      <w:rPr>
                        <w:sz w:val="16"/>
                        <w:szCs w:val="16"/>
                      </w:rPr>
                      <w:t>23,631,650.63</w:t>
                    </w:r>
                  </w:p>
                </w:tc>
                <w:tc>
                  <w:tcPr>
                    <w:tcW w:w="517" w:type="pct"/>
                    <w:shd w:val="clear" w:color="auto" w:fill="auto"/>
                  </w:tcPr>
                  <w:p>
                    <w:pPr>
                      <w:ind w:right="73"/>
                      <w:jc w:val="right"/>
                      <w:rPr>
                        <w:sz w:val="16"/>
                        <w:szCs w:val="16"/>
                      </w:rPr>
                    </w:pPr>
                    <w:r>
                      <w:rPr>
                        <w:sz w:val="16"/>
                        <w:szCs w:val="16"/>
                      </w:rPr>
                      <w:t>-</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37,866,106.70</w:t>
                    </w:r>
                  </w:p>
                </w:tc>
                <w:tc>
                  <w:tcPr>
                    <w:tcW w:w="301" w:type="pct"/>
                    <w:shd w:val="clear" w:color="auto" w:fill="auto"/>
                  </w:tcPr>
                  <w:p>
                    <w:pPr>
                      <w:jc w:val="right"/>
                      <w:rPr>
                        <w:sz w:val="16"/>
                        <w:szCs w:val="16"/>
                      </w:rPr>
                    </w:pPr>
                    <w:r>
                      <w:rPr>
                        <w:sz w:val="16"/>
                        <w:szCs w:val="16"/>
                      </w:rPr>
                      <w:t>23.06%</w:t>
                    </w:r>
                  </w:p>
                </w:tc>
                <w:tc>
                  <w:tcPr>
                    <w:tcW w:w="122" w:type="pct"/>
                    <w:shd w:val="clear" w:color="auto" w:fill="auto"/>
                  </w:tcPr>
                  <w:p>
                    <w:pPr>
                      <w:rPr>
                        <w:sz w:val="16"/>
                        <w:szCs w:val="16"/>
                      </w:rPr>
                    </w:pPr>
                    <w:r>
                      <w:rPr>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r>
                      <w:rPr>
                        <w:sz w:val="16"/>
                        <w:szCs w:val="16"/>
                      </w:rPr>
                      <w:t>自有资金</w:t>
                    </w:r>
                  </w:p>
                </w:tc>
              </w:tr>
            </w:sdtContent>
          </w:sdt>
          <w:sdt>
            <w:sdtPr>
              <w:rPr>
                <w:rFonts w:hint="eastAsia"/>
                <w:sz w:val="16"/>
                <w:szCs w:val="16"/>
              </w:rPr>
              <w:alias w:val="在建工程明细"/>
              <w:tag w:val="_GBC_b84d9018f52b45beabeca7c2371cdc18"/>
              <w:id w:val="-1426644363"/>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750" w:type="pct"/>
                    <w:shd w:val="clear" w:color="auto" w:fill="auto"/>
                  </w:tcPr>
                  <w:p>
                    <w:pPr>
                      <w:ind w:right="105"/>
                      <w:rPr>
                        <w:sz w:val="16"/>
                        <w:szCs w:val="16"/>
                      </w:rPr>
                    </w:pPr>
                    <w:r>
                      <w:rPr>
                        <w:rFonts w:hint="eastAsia"/>
                        <w:sz w:val="16"/>
                        <w:szCs w:val="16"/>
                      </w:rPr>
                      <w:t>其他</w:t>
                    </w:r>
                  </w:p>
                </w:tc>
                <w:tc>
                  <w:tcPr>
                    <w:tcW w:w="452" w:type="pct"/>
                    <w:shd w:val="clear" w:color="auto" w:fill="auto"/>
                  </w:tcPr>
                  <w:p>
                    <w:pPr>
                      <w:ind w:right="105"/>
                      <w:jc w:val="right"/>
                      <w:rPr>
                        <w:sz w:val="16"/>
                        <w:szCs w:val="16"/>
                      </w:rPr>
                    </w:pPr>
                    <w:r>
                      <w:rPr>
                        <w:sz w:val="16"/>
                        <w:szCs w:val="16"/>
                      </w:rPr>
                      <w:t>108,888,771.09</w:t>
                    </w:r>
                  </w:p>
                </w:tc>
                <w:tc>
                  <w:tcPr>
                    <w:tcW w:w="482" w:type="pct"/>
                    <w:shd w:val="clear" w:color="auto" w:fill="auto"/>
                  </w:tcPr>
                  <w:p>
                    <w:pPr>
                      <w:jc w:val="right"/>
                      <w:rPr>
                        <w:sz w:val="16"/>
                        <w:szCs w:val="16"/>
                      </w:rPr>
                    </w:pPr>
                    <w:r>
                      <w:rPr>
                        <w:sz w:val="16"/>
                        <w:szCs w:val="16"/>
                      </w:rPr>
                      <w:t>5,000,809.07</w:t>
                    </w:r>
                  </w:p>
                </w:tc>
                <w:tc>
                  <w:tcPr>
                    <w:tcW w:w="562" w:type="pct"/>
                    <w:shd w:val="clear" w:color="auto" w:fill="auto"/>
                  </w:tcPr>
                  <w:p>
                    <w:pPr>
                      <w:ind w:right="73"/>
                      <w:jc w:val="right"/>
                      <w:rPr>
                        <w:sz w:val="16"/>
                        <w:szCs w:val="16"/>
                      </w:rPr>
                    </w:pPr>
                    <w:r>
                      <w:rPr>
                        <w:sz w:val="16"/>
                        <w:szCs w:val="16"/>
                      </w:rPr>
                      <w:t>27,913,733.99</w:t>
                    </w:r>
                  </w:p>
                </w:tc>
                <w:tc>
                  <w:tcPr>
                    <w:tcW w:w="517" w:type="pct"/>
                    <w:shd w:val="clear" w:color="auto" w:fill="auto"/>
                  </w:tcPr>
                  <w:p>
                    <w:pPr>
                      <w:ind w:right="73"/>
                      <w:jc w:val="right"/>
                      <w:rPr>
                        <w:sz w:val="16"/>
                        <w:szCs w:val="16"/>
                      </w:rPr>
                    </w:pPr>
                    <w:r>
                      <w:rPr>
                        <w:sz w:val="16"/>
                        <w:szCs w:val="16"/>
                      </w:rPr>
                      <w:t>-</w:t>
                    </w:r>
                  </w:p>
                </w:tc>
                <w:tc>
                  <w:tcPr>
                    <w:tcW w:w="435" w:type="pct"/>
                    <w:shd w:val="clear" w:color="auto" w:fill="auto"/>
                  </w:tcPr>
                  <w:p>
                    <w:pPr>
                      <w:jc w:val="right"/>
                      <w:rPr>
                        <w:sz w:val="16"/>
                        <w:szCs w:val="16"/>
                      </w:rPr>
                    </w:pPr>
                    <w:r>
                      <w:rPr>
                        <w:sz w:val="16"/>
                        <w:szCs w:val="16"/>
                      </w:rPr>
                      <w:t>-</w:t>
                    </w:r>
                  </w:p>
                </w:tc>
                <w:tc>
                  <w:tcPr>
                    <w:tcW w:w="658" w:type="pct"/>
                  </w:tcPr>
                  <w:p>
                    <w:pPr>
                      <w:jc w:val="right"/>
                      <w:rPr>
                        <w:sz w:val="16"/>
                        <w:szCs w:val="16"/>
                      </w:rPr>
                    </w:pPr>
                    <w:r>
                      <w:rPr>
                        <w:sz w:val="16"/>
                        <w:szCs w:val="16"/>
                      </w:rPr>
                      <w:t>32,914,543.06</w:t>
                    </w:r>
                  </w:p>
                </w:tc>
                <w:tc>
                  <w:tcPr>
                    <w:tcW w:w="301" w:type="pct"/>
                    <w:shd w:val="clear" w:color="auto" w:fill="auto"/>
                  </w:tcPr>
                  <w:p>
                    <w:pPr>
                      <w:jc w:val="right"/>
                      <w:rPr>
                        <w:sz w:val="16"/>
                        <w:szCs w:val="16"/>
                      </w:rPr>
                    </w:pPr>
                    <w:r>
                      <w:rPr>
                        <w:sz w:val="16"/>
                        <w:szCs w:val="16"/>
                      </w:rPr>
                      <w:t>30.23%</w:t>
                    </w:r>
                  </w:p>
                </w:tc>
                <w:tc>
                  <w:tcPr>
                    <w:tcW w:w="122" w:type="pct"/>
                    <w:shd w:val="clear" w:color="auto" w:fill="auto"/>
                  </w:tcPr>
                  <w:p>
                    <w:pPr>
                      <w:rPr>
                        <w:sz w:val="16"/>
                        <w:szCs w:val="16"/>
                      </w:rPr>
                    </w:pPr>
                    <w:r>
                      <w:rPr>
                        <w:rFonts w:hint="eastAsia"/>
                        <w:sz w:val="16"/>
                        <w:szCs w:val="16"/>
                      </w:rPr>
                      <w:t>未完工</w:t>
                    </w: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jc w:val="right"/>
                      <w:rPr>
                        <w:sz w:val="16"/>
                        <w:szCs w:val="16"/>
                      </w:rPr>
                    </w:pPr>
                  </w:p>
                </w:tc>
                <w:tc>
                  <w:tcPr>
                    <w:tcW w:w="212" w:type="pct"/>
                    <w:shd w:val="clear" w:color="auto" w:fill="auto"/>
                  </w:tcPr>
                  <w:p>
                    <w:pPr>
                      <w:rPr>
                        <w:sz w:val="16"/>
                        <w:szCs w:val="16"/>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6"/>
                  <w:szCs w:val="16"/>
                </w:rPr>
                <w:tag w:val="_PLD_942a3001646f41f087960bab251b2bbb"/>
                <w:id w:val="637989661"/>
                <w:lock w:val="sdtLocked"/>
              </w:sdtPr>
              <w:sdtEndPr>
                <w:rPr>
                  <w:sz w:val="16"/>
                  <w:szCs w:val="16"/>
                </w:rPr>
              </w:sdtEndPr>
              <w:sdtContent>
                <w:tc>
                  <w:tcPr>
                    <w:tcW w:w="750" w:type="pct"/>
                    <w:shd w:val="clear" w:color="auto" w:fill="auto"/>
                    <w:vAlign w:val="center"/>
                  </w:tcPr>
                  <w:p>
                    <w:pPr>
                      <w:ind w:right="105"/>
                      <w:jc w:val="center"/>
                      <w:rPr>
                        <w:sz w:val="16"/>
                        <w:szCs w:val="16"/>
                      </w:rPr>
                    </w:pPr>
                    <w:r>
                      <w:rPr>
                        <w:rFonts w:hint="eastAsia"/>
                        <w:sz w:val="16"/>
                        <w:szCs w:val="16"/>
                      </w:rPr>
                      <w:t>合计</w:t>
                    </w:r>
                  </w:p>
                </w:tc>
              </w:sdtContent>
            </w:sdt>
            <w:tc>
              <w:tcPr>
                <w:tcW w:w="452" w:type="pct"/>
                <w:shd w:val="clear" w:color="auto" w:fill="auto"/>
              </w:tcPr>
              <w:p>
                <w:pPr>
                  <w:ind w:right="105"/>
                  <w:jc w:val="right"/>
                  <w:rPr>
                    <w:sz w:val="16"/>
                    <w:szCs w:val="16"/>
                  </w:rPr>
                </w:pPr>
                <w:r>
                  <w:rPr>
                    <w:sz w:val="16"/>
                    <w:szCs w:val="16"/>
                  </w:rPr>
                  <w:t>1</w:t>
                </w:r>
                <w:r>
                  <w:rPr>
                    <w:rFonts w:hint="eastAsia"/>
                    <w:sz w:val="16"/>
                    <w:szCs w:val="16"/>
                  </w:rPr>
                  <w:t>,</w:t>
                </w:r>
                <w:r>
                  <w:rPr>
                    <w:sz w:val="16"/>
                    <w:szCs w:val="16"/>
                  </w:rPr>
                  <w:t>416</w:t>
                </w:r>
                <w:r>
                  <w:rPr>
                    <w:rFonts w:hint="eastAsia"/>
                    <w:sz w:val="16"/>
                    <w:szCs w:val="16"/>
                  </w:rPr>
                  <w:t>,</w:t>
                </w:r>
                <w:r>
                  <w:rPr>
                    <w:sz w:val="16"/>
                    <w:szCs w:val="16"/>
                  </w:rPr>
                  <w:t>959</w:t>
                </w:r>
                <w:r>
                  <w:rPr>
                    <w:rFonts w:hint="eastAsia"/>
                    <w:sz w:val="16"/>
                    <w:szCs w:val="16"/>
                  </w:rPr>
                  <w:t>,</w:t>
                </w:r>
                <w:r>
                  <w:rPr>
                    <w:sz w:val="16"/>
                    <w:szCs w:val="16"/>
                  </w:rPr>
                  <w:t>365.89</w:t>
                </w:r>
              </w:p>
            </w:tc>
            <w:tc>
              <w:tcPr>
                <w:tcW w:w="482" w:type="pct"/>
                <w:shd w:val="clear" w:color="auto" w:fill="auto"/>
              </w:tcPr>
              <w:p>
                <w:pPr>
                  <w:jc w:val="right"/>
                  <w:rPr>
                    <w:sz w:val="16"/>
                    <w:szCs w:val="16"/>
                  </w:rPr>
                </w:pPr>
                <w:r>
                  <w:rPr>
                    <w:sz w:val="16"/>
                    <w:szCs w:val="16"/>
                  </w:rPr>
                  <w:t>188,697,382.38</w:t>
                </w:r>
              </w:p>
            </w:tc>
            <w:tc>
              <w:tcPr>
                <w:tcW w:w="562" w:type="pct"/>
                <w:shd w:val="clear" w:color="auto" w:fill="auto"/>
              </w:tcPr>
              <w:p>
                <w:pPr>
                  <w:ind w:right="73"/>
                  <w:jc w:val="right"/>
                  <w:rPr>
                    <w:sz w:val="16"/>
                    <w:szCs w:val="16"/>
                  </w:rPr>
                </w:pPr>
                <w:r>
                  <w:rPr>
                    <w:sz w:val="16"/>
                    <w:szCs w:val="16"/>
                  </w:rPr>
                  <w:t>56,914,306.23</w:t>
                </w:r>
              </w:p>
            </w:tc>
            <w:tc>
              <w:tcPr>
                <w:tcW w:w="517" w:type="pct"/>
                <w:shd w:val="clear" w:color="auto" w:fill="auto"/>
              </w:tcPr>
              <w:p>
                <w:pPr>
                  <w:ind w:right="73"/>
                  <w:jc w:val="right"/>
                  <w:rPr>
                    <w:sz w:val="16"/>
                    <w:szCs w:val="16"/>
                  </w:rPr>
                </w:pPr>
                <w:r>
                  <w:rPr>
                    <w:sz w:val="16"/>
                    <w:szCs w:val="16"/>
                  </w:rPr>
                  <w:t>66,867,553.59</w:t>
                </w:r>
              </w:p>
            </w:tc>
            <w:tc>
              <w:tcPr>
                <w:tcW w:w="435" w:type="pct"/>
                <w:shd w:val="clear" w:color="auto" w:fill="auto"/>
              </w:tcPr>
              <w:p>
                <w:pPr>
                  <w:jc w:val="right"/>
                  <w:rPr>
                    <w:sz w:val="16"/>
                    <w:szCs w:val="16"/>
                  </w:rPr>
                </w:pPr>
                <w:r>
                  <w:rPr>
                    <w:sz w:val="16"/>
                    <w:szCs w:val="16"/>
                  </w:rPr>
                  <w:t>19,262.57</w:t>
                </w:r>
              </w:p>
            </w:tc>
            <w:tc>
              <w:tcPr>
                <w:tcW w:w="658" w:type="pct"/>
              </w:tcPr>
              <w:p>
                <w:pPr>
                  <w:jc w:val="right"/>
                  <w:rPr>
                    <w:sz w:val="16"/>
                    <w:szCs w:val="16"/>
                  </w:rPr>
                </w:pPr>
                <w:r>
                  <w:rPr>
                    <w:sz w:val="16"/>
                    <w:szCs w:val="16"/>
                  </w:rPr>
                  <w:t>178,724,872.45</w:t>
                </w:r>
              </w:p>
            </w:tc>
            <w:tc>
              <w:tcPr>
                <w:tcW w:w="301" w:type="pct"/>
                <w:shd w:val="clear" w:color="auto" w:fill="auto"/>
              </w:tcPr>
              <w:p>
                <w:pPr>
                  <w:ind w:right="174"/>
                  <w:jc w:val="center"/>
                  <w:rPr>
                    <w:sz w:val="16"/>
                    <w:szCs w:val="16"/>
                  </w:rPr>
                </w:pPr>
              </w:p>
            </w:tc>
            <w:tc>
              <w:tcPr>
                <w:tcW w:w="122" w:type="pct"/>
                <w:shd w:val="clear" w:color="auto" w:fill="auto"/>
              </w:tcPr>
              <w:p>
                <w:pPr>
                  <w:ind w:right="174"/>
                  <w:jc w:val="center"/>
                  <w:rPr>
                    <w:sz w:val="16"/>
                    <w:szCs w:val="16"/>
                  </w:rPr>
                </w:pPr>
              </w:p>
            </w:tc>
            <w:tc>
              <w:tcPr>
                <w:tcW w:w="122" w:type="pct"/>
                <w:shd w:val="clear" w:color="auto" w:fill="auto"/>
              </w:tcPr>
              <w:p>
                <w:pPr>
                  <w:jc w:val="right"/>
                  <w:rPr>
                    <w:sz w:val="16"/>
                    <w:szCs w:val="16"/>
                  </w:rPr>
                </w:pPr>
              </w:p>
            </w:tc>
            <w:tc>
              <w:tcPr>
                <w:tcW w:w="212" w:type="pct"/>
                <w:shd w:val="clear" w:color="auto" w:fill="auto"/>
              </w:tcPr>
              <w:p>
                <w:pPr>
                  <w:jc w:val="right"/>
                  <w:rPr>
                    <w:sz w:val="16"/>
                    <w:szCs w:val="16"/>
                  </w:rPr>
                </w:pPr>
              </w:p>
            </w:tc>
            <w:tc>
              <w:tcPr>
                <w:tcW w:w="175" w:type="pct"/>
                <w:shd w:val="clear" w:color="auto" w:fill="auto"/>
              </w:tcPr>
              <w:p>
                <w:pPr>
                  <w:ind w:right="174"/>
                  <w:jc w:val="center"/>
                  <w:rPr>
                    <w:sz w:val="16"/>
                    <w:szCs w:val="16"/>
                  </w:rPr>
                </w:pPr>
                <w:r>
                  <w:rPr>
                    <w:sz w:val="16"/>
                    <w:szCs w:val="16"/>
                  </w:rPr>
                  <w:t>/</w:t>
                </w:r>
              </w:p>
            </w:tc>
            <w:tc>
              <w:tcPr>
                <w:tcW w:w="212" w:type="pct"/>
                <w:shd w:val="clear" w:color="auto" w:fill="auto"/>
              </w:tcPr>
              <w:p>
                <w:pPr>
                  <w:ind w:right="174"/>
                  <w:jc w:val="center"/>
                  <w:rPr>
                    <w:sz w:val="16"/>
                    <w:szCs w:val="16"/>
                  </w:rPr>
                </w:pPr>
              </w:p>
            </w:tc>
          </w:tr>
        </w:tbl>
        <w:p>
          <w:pPr>
            <w:snapToGrid w:val="0"/>
            <w:spacing w:line="240" w:lineRule="atLeast"/>
          </w:pPr>
        </w:p>
      </w:sdtContent>
    </w:sdt>
    <w:sdt>
      <w:sdtPr>
        <w:rPr>
          <w:rFonts w:hint="eastAsia" w:ascii="宋体" w:hAnsi="宋体" w:cs="宋体"/>
          <w:b w:val="0"/>
          <w:bCs w:val="0"/>
          <w:kern w:val="0"/>
          <w:szCs w:val="21"/>
        </w:rPr>
        <w:alias w:val="模块:在建工程减值准备"/>
        <w:tag w:val="_GBC_467986eee7244ad69e86a4292f121eb6"/>
        <w:id w:val="-1906142457"/>
        <w:lock w:val="sdtLocked"/>
        <w:placeholder>
          <w:docPart w:val="GBC22222222222222222222222222222"/>
        </w:placeholder>
      </w:sdtPr>
      <w:sdtEndPr>
        <w:rPr>
          <w:rFonts w:hint="eastAsia" w:ascii="宋体" w:hAnsi="宋体" w:cstheme="minorBidi"/>
          <w:b w:val="0"/>
          <w:bCs w:val="0"/>
          <w:kern w:val="2"/>
          <w:szCs w:val="22"/>
        </w:rPr>
      </w:sdtEndPr>
      <w:sdtContent>
        <w:p>
          <w:pPr>
            <w:pStyle w:val="212"/>
            <w:numPr>
              <w:ilvl w:val="0"/>
              <w:numId w:val="65"/>
            </w:numPr>
            <w:tabs>
              <w:tab w:val="left" w:pos="588"/>
            </w:tabs>
            <w:rPr>
              <w:rFonts w:ascii="宋体" w:hAnsi="宋体"/>
              <w:szCs w:val="21"/>
            </w:rPr>
          </w:pPr>
          <w:r>
            <w:rPr>
              <w:rFonts w:hint="eastAsia" w:ascii="宋体" w:hAnsi="宋体"/>
              <w:szCs w:val="21"/>
            </w:rPr>
            <w:t>本期计提在建工程减值准备情况</w:t>
          </w:r>
        </w:p>
        <w:sdt>
          <w:sdtPr>
            <w:alias w:val="是否适用：本期计提在建工程减值准备情况[双击切换]"/>
            <w:tag w:val="_GBC_b220fd94287f4b01997861dc2c72b0a6"/>
            <w:id w:val="104001235"/>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1657301494"/>
        <w:lock w:val="sdtLocked"/>
        <w:placeholder>
          <w:docPart w:val="GBC22222222222222222222222222222"/>
        </w:placeholder>
      </w:sdtPr>
      <w:sdtEndPr>
        <w:rPr>
          <w:rFonts w:hint="default"/>
        </w:rPr>
      </w:sdtEndPr>
      <w:sdtContent>
        <w:p>
          <w:pPr>
            <w:pStyle w:val="208"/>
          </w:pPr>
          <w:r>
            <w:rPr>
              <w:rFonts w:hint="eastAsia"/>
            </w:rPr>
            <w:t>其他说明</w:t>
          </w:r>
        </w:p>
        <w:sdt>
          <w:sdtPr>
            <w:alias w:val="是否适用：在建工程的说明[双击切换]"/>
            <w:tag w:val="_GBC_c0ffdfbb304348758da855627ba6d858"/>
            <w:id w:val="-837615962"/>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208"/>
      </w:pPr>
    </w:p>
    <w:sdt>
      <w:sdtPr>
        <w:rPr>
          <w:rFonts w:hint="eastAsia" w:ascii="宋体" w:hAnsi="宋体" w:cstheme="minorBidi"/>
          <w:b w:val="0"/>
          <w:bCs w:val="0"/>
          <w:kern w:val="0"/>
          <w:szCs w:val="24"/>
        </w:rPr>
        <w:alias w:val="模块:工程物资"/>
        <w:tag w:val="_GBC_12c2ea8f308b49c7b5e2baae867f1ec7"/>
        <w:id w:val="-1411303802"/>
        <w:lock w:val="sdtLocked"/>
        <w:placeholder>
          <w:docPart w:val="GBC22222222222222222222222222222"/>
        </w:placeholder>
      </w:sdtPr>
      <w:sdtEndPr>
        <w:rPr>
          <w:rFonts w:hint="default" w:ascii="宋体" w:hAnsi="宋体" w:cstheme="minorBidi"/>
          <w:b w:val="0"/>
          <w:bCs w:val="0"/>
          <w:kern w:val="0"/>
          <w:szCs w:val="21"/>
        </w:rPr>
      </w:sdtEndPr>
      <w:sdtContent>
        <w:p>
          <w:pPr>
            <w:pStyle w:val="212"/>
            <w:rPr>
              <w:rFonts w:ascii="宋体" w:hAnsi="宋体"/>
            </w:rPr>
          </w:pPr>
          <w:bookmarkStart w:id="196" w:name="_Hlk11683481"/>
          <w:r>
            <w:rPr>
              <w:rFonts w:hint="eastAsia" w:ascii="宋体" w:hAnsi="宋体"/>
            </w:rPr>
            <w:t>工程物资</w:t>
          </w:r>
        </w:p>
        <w:sdt>
          <w:sdtPr>
            <w:alias w:val="是否适用：工程物资[双击切换]"/>
            <w:tag w:val="_GBC_0d711628566c4b08b883151766986b20"/>
            <w:id w:val="1424375568"/>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208"/>
          </w:pPr>
        </w:p>
      </w:sdtContent>
    </w:sdt>
    <w:bookmarkEnd w:id="196"/>
    <w:p>
      <w:pPr>
        <w:pStyle w:val="208"/>
      </w:pPr>
    </w:p>
    <w:p>
      <w:pPr>
        <w:pStyle w:val="4"/>
        <w:numPr>
          <w:ilvl w:val="0"/>
          <w:numId w:val="51"/>
        </w:numPr>
        <w:tabs>
          <w:tab w:val="left" w:pos="504"/>
        </w:tabs>
        <w:rPr>
          <w:rFonts w:ascii="宋体" w:hAnsi="宋体"/>
          <w:szCs w:val="21"/>
        </w:rPr>
      </w:pPr>
      <w:r>
        <w:rPr>
          <w:rFonts w:hint="eastAsia" w:ascii="宋体" w:hAnsi="宋体"/>
          <w:szCs w:val="21"/>
        </w:rPr>
        <w:t>生产性生物资产</w:t>
      </w:r>
    </w:p>
    <w:sdt>
      <w:sdtPr>
        <w:rPr>
          <w:rFonts w:hint="eastAsia" w:ascii="宋体" w:hAnsi="宋体" w:cstheme="minorBidi"/>
          <w:b w:val="0"/>
          <w:bCs w:val="0"/>
          <w:kern w:val="0"/>
          <w:szCs w:val="21"/>
        </w:rPr>
        <w:alias w:val="模块:采用成成本计量模式的生产性生物资产"/>
        <w:tag w:val="_GBC_e4aea5da03534f61818766a33b5ada09"/>
        <w:id w:val="374581264"/>
        <w:lock w:val="sdtLocked"/>
        <w:placeholder>
          <w:docPart w:val="GBC22222222222222222222222222222"/>
        </w:placeholder>
      </w:sdtPr>
      <w:sdtEndPr>
        <w:rPr>
          <w:rFonts w:hint="default" w:ascii="宋体" w:hAnsi="宋体" w:cstheme="minorBidi"/>
          <w:b w:val="0"/>
          <w:bCs w:val="0"/>
          <w:kern w:val="2"/>
          <w:szCs w:val="21"/>
        </w:rPr>
      </w:sdtEndPr>
      <w:sdtContent>
        <w:p>
          <w:pPr>
            <w:pStyle w:val="118"/>
            <w:numPr>
              <w:ilvl w:val="0"/>
              <w:numId w:val="66"/>
            </w:numPr>
            <w:tabs>
              <w:tab w:val="left" w:pos="602"/>
              <w:tab w:val="left" w:pos="798"/>
            </w:tabs>
            <w:rPr>
              <w:rFonts w:ascii="宋体" w:hAnsi="宋体"/>
              <w:kern w:val="0"/>
              <w:szCs w:val="21"/>
            </w:rPr>
          </w:pPr>
          <w:r>
            <w:rPr>
              <w:rFonts w:hint="eastAsia" w:ascii="宋体" w:hAnsi="宋体"/>
              <w:kern w:val="0"/>
              <w:szCs w:val="21"/>
            </w:rPr>
            <w:t>采用成本计量模式的生产性生物资产</w:t>
          </w:r>
        </w:p>
        <w:sdt>
          <w:sdtPr>
            <w:rPr>
              <w:rFonts w:hint="eastAsia"/>
            </w:rPr>
            <w:alias w:val="是否适用：财务附注：以成本计量的生产性生物资产[双击切换]"/>
            <w:tag w:val="_GBC_fca5101d9b46492484acd605f0ade969"/>
            <w:id w:val="362324653"/>
            <w:lock w:val="sdtLocked"/>
            <w:placeholder>
              <w:docPart w:val="GBC22222222222222222222222222222"/>
            </w:placeholder>
          </w:sdtPr>
          <w:sdtEndPr>
            <w:rPr>
              <w:rFonts w:hint="eastAsia"/>
            </w:rPr>
          </w:sdtEndPr>
          <w:sdtContent>
            <w:p>
              <w:pPr>
                <w:pStyle w:val="114"/>
              </w:pPr>
              <w:r>
                <w:fldChar w:fldCharType="begin"/>
              </w:r>
              <w:r>
                <w:instrText xml:space="preserve">MACROBUTTON  SnrToggleCheckbox □适用</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theme="minorBidi"/>
          <w:b w:val="0"/>
          <w:bCs w:val="0"/>
          <w:kern w:val="0"/>
          <w:szCs w:val="21"/>
        </w:rPr>
        <w:alias w:val="模块:采用公允价值计量模式的生产性生物资产"/>
        <w:tag w:val="_GBC_c6f2d306944241a8a32f51421c437b66"/>
        <w:id w:val="-1529877930"/>
        <w:lock w:val="sdtLocked"/>
        <w:placeholder>
          <w:docPart w:val="GBC22222222222222222222222222222"/>
        </w:placeholder>
      </w:sdtPr>
      <w:sdtEndPr>
        <w:rPr>
          <w:rFonts w:hint="eastAsia" w:ascii="宋体" w:hAnsi="宋体" w:cstheme="minorBidi"/>
          <w:b w:val="0"/>
          <w:bCs w:val="0"/>
          <w:kern w:val="2"/>
          <w:szCs w:val="22"/>
        </w:rPr>
      </w:sdtEndPr>
      <w:sdtContent>
        <w:p>
          <w:pPr>
            <w:pStyle w:val="118"/>
            <w:numPr>
              <w:ilvl w:val="0"/>
              <w:numId w:val="66"/>
            </w:numPr>
            <w:tabs>
              <w:tab w:val="left" w:pos="602"/>
              <w:tab w:val="left" w:pos="798"/>
            </w:tabs>
            <w:rPr>
              <w:rFonts w:ascii="宋体" w:hAnsi="宋体"/>
              <w:kern w:val="0"/>
              <w:szCs w:val="21"/>
            </w:rPr>
          </w:pPr>
          <w:r>
            <w:rPr>
              <w:rFonts w:hint="eastAsia" w:ascii="宋体" w:hAnsi="宋体"/>
              <w:kern w:val="0"/>
              <w:szCs w:val="21"/>
            </w:rPr>
            <w:t>采用公允价值计量模式的生产性生物资产</w:t>
          </w:r>
        </w:p>
        <w:sdt>
          <w:sdtPr>
            <w:alias w:val="是否适用：财务附注：以公允价值计量的生产性生物资产[双击切换]"/>
            <w:tag w:val="_GBC_3a67921e606f4abca6478a1ffb759394"/>
            <w:id w:val="-106950048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1830436389"/>
        <w:lock w:val="sdtLocked"/>
        <w:placeholder>
          <w:docPart w:val="GBC22222222222222222222222222222"/>
        </w:placeholder>
      </w:sdtPr>
      <w:sdtEndPr>
        <w:rPr>
          <w:rFonts w:hint="default"/>
        </w:rPr>
      </w:sdtEndPr>
      <w:sdtContent>
        <w:p>
          <w:pPr>
            <w:autoSpaceDE w:val="0"/>
            <w:autoSpaceDN w:val="0"/>
            <w:adjustRightInd w:val="0"/>
          </w:pPr>
          <w:r>
            <w:rPr>
              <w:rFonts w:hint="eastAsia"/>
            </w:rPr>
            <w:t>其他说明</w:t>
          </w:r>
        </w:p>
        <w:sdt>
          <w:sdtPr>
            <w:alias w:val="是否适用：生产性生物资产的说明[双击切换]"/>
            <w:tag w:val="_GBC_48247874e2c54937aabce9db1308bea7"/>
            <w:id w:val="1375431820"/>
            <w:lock w:val="sdtLocked"/>
            <w:placeholder>
              <w:docPart w:val="GBC22222222222222222222222222222"/>
            </w:placeholder>
          </w:sdtPr>
          <w:sdtContent>
            <w:p>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油气资产"/>
        <w:tag w:val="_GBC_fe60430654f541aab1da59bd08202085"/>
        <w:id w:val="-42598311"/>
        <w:lock w:val="sdtLocked"/>
        <w:placeholder>
          <w:docPart w:val="GBC22222222222222222222222222222"/>
        </w:placeholder>
      </w:sdtPr>
      <w:sdtEndPr>
        <w:rPr>
          <w:rFonts w:hint="default" w:ascii="宋体" w:hAnsi="宋体" w:cstheme="minorBidi"/>
          <w:b w:val="0"/>
          <w:bCs w:val="0"/>
          <w:kern w:val="2"/>
          <w:szCs w:val="21"/>
        </w:rPr>
      </w:sdtEndPr>
      <w:sdtContent>
        <w:p>
          <w:pPr>
            <w:pStyle w:val="4"/>
            <w:numPr>
              <w:ilvl w:val="0"/>
              <w:numId w:val="51"/>
            </w:numPr>
            <w:tabs>
              <w:tab w:val="left" w:pos="504"/>
            </w:tabs>
            <w:rPr>
              <w:rFonts w:ascii="宋体" w:hAnsi="宋体"/>
              <w:szCs w:val="21"/>
            </w:rPr>
          </w:pPr>
          <w:r>
            <w:rPr>
              <w:rFonts w:hint="eastAsia" w:ascii="宋体" w:hAnsi="宋体"/>
              <w:szCs w:val="21"/>
            </w:rPr>
            <w:t>油气资产</w:t>
          </w:r>
        </w:p>
        <w:sdt>
          <w:sdtPr>
            <w:alias w:val="是否适用：油气资产[双击切换]"/>
            <w:tag w:val="_GBC_7dce41817eb749dba0d132424020d250"/>
            <w:id w:val="135531200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pPr>
        </w:p>
      </w:sdtContent>
    </w:sdt>
    <w:p>
      <w:pPr>
        <w:pStyle w:val="114"/>
      </w:pPr>
    </w:p>
    <w:sdt>
      <w:sdtPr>
        <w:rPr>
          <w:rFonts w:hint="eastAsia" w:ascii="宋体" w:hAnsi="宋体" w:cs="宋体"/>
          <w:b w:val="0"/>
          <w:bCs w:val="0"/>
          <w:kern w:val="0"/>
          <w:szCs w:val="21"/>
        </w:rPr>
        <w:alias w:val="模块:使用权资产"/>
        <w:tag w:val="_SEC_42126bf96c7241e38ff33aae0d98dae2"/>
        <w:id w:val="-110596092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使用权资产</w:t>
          </w:r>
        </w:p>
        <w:sdt>
          <w:sdtPr>
            <w:alias w:val="是否适用：使用权资产[双击切换]"/>
            <w:tag w:val="_GBC_3ac132175b304712af4889ae3914ef7d"/>
            <w:id w:val="-1712340827"/>
            <w:lock w:val="sdtLocked"/>
            <w:placeholder>
              <w:docPart w:val="GBC22222222222222222222222222222"/>
            </w:placeholder>
          </w:sdtPr>
          <w:sdtContent>
            <w:p>
              <w:pPr>
                <w:pStyle w:val="114"/>
              </w:pPr>
              <w:bookmarkStart w:id="197" w:name="_Hlk116797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jc w:val="right"/>
          </w:pPr>
          <w:r>
            <w:rPr>
              <w:rFonts w:hint="eastAsia"/>
            </w:rPr>
            <w:t>单位：</w:t>
          </w:r>
          <w:sdt>
            <w:sdtPr>
              <w:rPr>
                <w:rFonts w:hint="eastAsia"/>
              </w:rPr>
              <w:alias w:val="单位：使用权资产"/>
              <w:tag w:val="_GBC_126de13c7c92490d95bdebd7efe2d59b"/>
              <w:id w:val="-67611635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元</w:t>
              </w:r>
            </w:sdtContent>
          </w:sdt>
          <w:r>
            <w:rPr>
              <w:rFonts w:hint="eastAsia"/>
            </w:rPr>
            <w:t xml:space="preserve">  币种：</w:t>
          </w:r>
          <w:sdt>
            <w:sdtPr>
              <w:rPr>
                <w:rFonts w:hint="eastAsia"/>
              </w:rPr>
              <w:alias w:val="币种：使用权资产"/>
              <w:tag w:val="_GBC_bb9e8b7096ab49fc95311a6c81431e95"/>
              <w:id w:val="12552449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743"/>
            <w:gridCol w:w="1455"/>
            <w:gridCol w:w="1598"/>
            <w:gridCol w:w="1839"/>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e7cc7a86c52f4dc596615cce534e6d6a"/>
                <w:id w:val="1793163813"/>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rPr>
                        <w:rFonts w:asciiTheme="majorEastAsia" w:hAnsiTheme="majorEastAsia" w:eastAsiaTheme="majorEastAsia"/>
                        <w:sz w:val="16"/>
                        <w:szCs w:val="16"/>
                      </w:rPr>
                    </w:pPr>
                    <w:r>
                      <w:rPr>
                        <w:rFonts w:hint="eastAsia" w:asciiTheme="majorEastAsia" w:hAnsiTheme="majorEastAsia" w:eastAsiaTheme="majorEastAsia"/>
                        <w:sz w:val="16"/>
                        <w:szCs w:val="16"/>
                      </w:rPr>
                      <w:t>项目</w:t>
                    </w:r>
                  </w:p>
                </w:tc>
              </w:sdtContent>
            </w:sdt>
            <w:sdt>
              <w:sdtPr>
                <w:rPr>
                  <w:rFonts w:asciiTheme="majorEastAsia" w:hAnsiTheme="majorEastAsia" w:eastAsiaTheme="majorEastAsia"/>
                  <w:sz w:val="16"/>
                  <w:szCs w:val="16"/>
                </w:rPr>
                <w:alias w:val="使用权资产明细-项目"/>
                <w:tag w:val="_GBC_ea9ffc7b81304e04ad88fe7fcccf7ec1"/>
                <w:id w:val="566146418"/>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rPr>
                        <w:rFonts w:asciiTheme="majorEastAsia" w:hAnsiTheme="majorEastAsia" w:eastAsiaTheme="majorEastAsia"/>
                        <w:sz w:val="16"/>
                        <w:szCs w:val="16"/>
                      </w:rPr>
                    </w:pPr>
                    <w:r>
                      <w:rPr>
                        <w:rFonts w:hint="eastAsia" w:asciiTheme="majorEastAsia" w:hAnsiTheme="majorEastAsia" w:eastAsiaTheme="majorEastAsia"/>
                        <w:sz w:val="16"/>
                        <w:szCs w:val="16"/>
                      </w:rPr>
                      <w:t>房屋及建筑物</w:t>
                    </w:r>
                  </w:p>
                </w:tc>
              </w:sdtContent>
            </w:sdt>
            <w:sdt>
              <w:sdtPr>
                <w:rPr>
                  <w:rFonts w:asciiTheme="majorEastAsia" w:hAnsiTheme="majorEastAsia" w:eastAsiaTheme="majorEastAsia"/>
                  <w:sz w:val="16"/>
                  <w:szCs w:val="16"/>
                </w:rPr>
                <w:alias w:val="使用权资产明细-项目"/>
                <w:tag w:val="_GBC_ea9ffc7b81304e04ad88fe7fcccf7ec1"/>
                <w:id w:val="1045412240"/>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rPr>
                        <w:rFonts w:asciiTheme="majorEastAsia" w:hAnsiTheme="majorEastAsia" w:eastAsiaTheme="majorEastAsia"/>
                        <w:sz w:val="16"/>
                        <w:szCs w:val="16"/>
                      </w:rPr>
                    </w:pPr>
                    <w:r>
                      <w:rPr>
                        <w:rFonts w:hint="eastAsia" w:asciiTheme="majorEastAsia" w:hAnsiTheme="majorEastAsia" w:eastAsiaTheme="majorEastAsia"/>
                        <w:sz w:val="16"/>
                        <w:szCs w:val="16"/>
                      </w:rPr>
                      <w:t>屋顶使用权</w:t>
                    </w:r>
                  </w:p>
                </w:tc>
              </w:sdtContent>
            </w:sdt>
            <w:sdt>
              <w:sdtPr>
                <w:rPr>
                  <w:rFonts w:asciiTheme="majorEastAsia" w:hAnsiTheme="majorEastAsia" w:eastAsiaTheme="majorEastAsia"/>
                  <w:sz w:val="16"/>
                  <w:szCs w:val="16"/>
                </w:rPr>
                <w:alias w:val="使用权资产明细-项目"/>
                <w:tag w:val="_GBC_ea9ffc7b81304e04ad88fe7fcccf7ec1"/>
                <w:id w:val="1096682996"/>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rPr>
                        <w:rFonts w:asciiTheme="majorEastAsia" w:hAnsiTheme="majorEastAsia" w:eastAsiaTheme="majorEastAsia"/>
                        <w:sz w:val="16"/>
                        <w:szCs w:val="16"/>
                      </w:rPr>
                    </w:pPr>
                    <w:r>
                      <w:rPr>
                        <w:rFonts w:hint="eastAsia" w:asciiTheme="majorEastAsia" w:hAnsiTheme="majorEastAsia" w:eastAsiaTheme="majorEastAsia"/>
                        <w:sz w:val="16"/>
                        <w:szCs w:val="16"/>
                      </w:rPr>
                      <w:t>交通工具</w:t>
                    </w:r>
                  </w:p>
                </w:tc>
              </w:sdtContent>
            </w:sdt>
            <w:sdt>
              <w:sdtPr>
                <w:rPr>
                  <w:rFonts w:asciiTheme="majorEastAsia" w:hAnsiTheme="majorEastAsia" w:eastAsiaTheme="majorEastAsia"/>
                  <w:sz w:val="16"/>
                  <w:szCs w:val="16"/>
                </w:rPr>
                <w:alias w:val="使用权资产明细-项目"/>
                <w:tag w:val="_GBC_ea9ffc7b81304e04ad88fe7fcccf7ec1"/>
                <w:id w:val="-1592303645"/>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rPr>
                        <w:rFonts w:asciiTheme="majorEastAsia" w:hAnsiTheme="majorEastAsia" w:eastAsiaTheme="majorEastAsia"/>
                        <w:sz w:val="16"/>
                        <w:szCs w:val="16"/>
                      </w:rPr>
                    </w:pPr>
                    <w:r>
                      <w:rPr>
                        <w:rFonts w:hint="eastAsia" w:asciiTheme="majorEastAsia" w:hAnsiTheme="majorEastAsia" w:eastAsiaTheme="majorEastAsia"/>
                        <w:sz w:val="16"/>
                        <w:szCs w:val="16"/>
                      </w:rPr>
                      <w:t>车位使用权</w:t>
                    </w:r>
                  </w:p>
                </w:tc>
              </w:sdtContent>
            </w:sdt>
            <w:sdt>
              <w:sdtPr>
                <w:rPr>
                  <w:rFonts w:asciiTheme="majorEastAsia" w:hAnsiTheme="majorEastAsia" w:eastAsiaTheme="majorEastAsia"/>
                  <w:sz w:val="16"/>
                  <w:szCs w:val="16"/>
                </w:rPr>
                <w:tag w:val="_PLD_8404013d36434d0f94f9d2e0e06379db"/>
                <w:id w:val="-294144859"/>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8a1172a4974b4db489d9ace1c9b06ff9"/>
                <w:id w:val="1994144623"/>
                <w:lock w:val="sdtLocked"/>
              </w:sdtPr>
              <w:sdtEndPr>
                <w:rPr>
                  <w:rFonts w:asciiTheme="majorEastAsia" w:hAnsiTheme="majorEastAsia" w:eastAsiaTheme="majorEastAsia"/>
                  <w:sz w:val="16"/>
                  <w:szCs w:val="16"/>
                </w:rPr>
              </w:sdtEndPr>
              <w:sdtContent>
                <w:tc>
                  <w:tcPr>
                    <w:tcW w:w="5000" w:type="pct"/>
                    <w:gridSpan w:val="6"/>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一、</w:t>
                    </w:r>
                    <w:r>
                      <w:rPr>
                        <w:rFonts w:hint="eastAsia" w:asciiTheme="majorEastAsia" w:hAnsiTheme="majorEastAsia" w:eastAsiaTheme="majorEastAsia"/>
                        <w:sz w:val="16"/>
                        <w:szCs w:val="16"/>
                      </w:rPr>
                      <w:t>账面</w:t>
                    </w:r>
                    <w:r>
                      <w:rPr>
                        <w:rFonts w:asciiTheme="majorEastAsia" w:hAnsiTheme="majorEastAsia" w:eastAsiaTheme="majorEastAsia"/>
                        <w:sz w:val="16"/>
                        <w:szCs w:val="16"/>
                      </w:rPr>
                      <w:t>原</w:t>
                    </w:r>
                    <w:r>
                      <w:rPr>
                        <w:rFonts w:hint="eastAsia" w:asciiTheme="majorEastAsia" w:hAnsiTheme="majorEastAsia" w:eastAsiaTheme="majorEastAsia"/>
                        <w:sz w:val="16"/>
                        <w:szCs w:val="16"/>
                      </w:rPr>
                      <w:t>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1bcbd6f040864936993405929e8f3c87"/>
                <w:id w:val="1389143974"/>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 xml:space="preserve">    1.</w:t>
                    </w:r>
                    <w:r>
                      <w:rPr>
                        <w:rFonts w:hint="eastAsia" w:asciiTheme="majorEastAsia" w:hAnsiTheme="majorEastAsia" w:eastAsiaTheme="majorEastAsia"/>
                        <w:sz w:val="16"/>
                        <w:szCs w:val="16"/>
                      </w:rPr>
                      <w:t>期</w:t>
                    </w:r>
                    <w:r>
                      <w:rPr>
                        <w:rFonts w:asciiTheme="majorEastAsia" w:hAnsiTheme="majorEastAsia" w:eastAsiaTheme="majorEastAsia"/>
                        <w:sz w:val="16"/>
                        <w:szCs w:val="16"/>
                      </w:rPr>
                      <w:t>初余额</w:t>
                    </w:r>
                  </w:p>
                </w:tc>
              </w:sdtContent>
            </w:sdt>
            <w:sdt>
              <w:sdtPr>
                <w:rPr>
                  <w:rFonts w:asciiTheme="majorEastAsia" w:hAnsiTheme="majorEastAsia" w:eastAsiaTheme="majorEastAsia"/>
                  <w:sz w:val="16"/>
                  <w:szCs w:val="16"/>
                </w:rPr>
                <w:alias w:val="使用权资产明细-账面原值"/>
                <w:tag w:val="_GBC_6079549d75e44c4794dbbc33e1c33ad8"/>
                <w:id w:val="-156388492"/>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ind w:firstLine="320" w:firstLineChars="200"/>
                      <w:jc w:val="right"/>
                      <w:rPr>
                        <w:rFonts w:asciiTheme="majorEastAsia" w:hAnsiTheme="majorEastAsia" w:eastAsiaTheme="majorEastAsia"/>
                        <w:sz w:val="16"/>
                        <w:szCs w:val="16"/>
                      </w:rPr>
                    </w:pPr>
                    <w:r>
                      <w:rPr>
                        <w:rFonts w:asciiTheme="majorEastAsia" w:hAnsiTheme="majorEastAsia" w:eastAsiaTheme="majorEastAsia"/>
                        <w:sz w:val="16"/>
                        <w:szCs w:val="16"/>
                      </w:rPr>
                      <w:t>38,442,972.60</w:t>
                    </w:r>
                  </w:p>
                </w:tc>
              </w:sdtContent>
            </w:sdt>
            <w:sdt>
              <w:sdtPr>
                <w:rPr>
                  <w:rFonts w:asciiTheme="majorEastAsia" w:hAnsiTheme="majorEastAsia" w:eastAsiaTheme="majorEastAsia"/>
                  <w:sz w:val="16"/>
                  <w:szCs w:val="16"/>
                </w:rPr>
                <w:alias w:val="使用权资产明细-账面原值"/>
                <w:tag w:val="_GBC_6079549d75e44c4794dbbc33e1c33ad8"/>
                <w:id w:val="-622455466"/>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ind w:firstLine="320" w:firstLineChars="200"/>
                      <w:jc w:val="right"/>
                      <w:rPr>
                        <w:rFonts w:asciiTheme="majorEastAsia" w:hAnsiTheme="majorEastAsia" w:eastAsiaTheme="majorEastAsia"/>
                        <w:sz w:val="16"/>
                        <w:szCs w:val="16"/>
                      </w:rPr>
                    </w:pPr>
                    <w:r>
                      <w:rPr>
                        <w:rFonts w:asciiTheme="majorEastAsia" w:hAnsiTheme="majorEastAsia" w:eastAsiaTheme="majorEastAsia"/>
                        <w:sz w:val="16"/>
                        <w:szCs w:val="16"/>
                      </w:rPr>
                      <w:t>11,467,160.11</w:t>
                    </w:r>
                  </w:p>
                </w:tc>
              </w:sdtContent>
            </w:sdt>
            <w:sdt>
              <w:sdtPr>
                <w:rPr>
                  <w:rFonts w:asciiTheme="majorEastAsia" w:hAnsiTheme="majorEastAsia" w:eastAsiaTheme="majorEastAsia"/>
                  <w:sz w:val="16"/>
                  <w:szCs w:val="16"/>
                </w:rPr>
                <w:alias w:val="使用权资产明细-账面原值"/>
                <w:tag w:val="_GBC_6079549d75e44c4794dbbc33e1c33ad8"/>
                <w:id w:val="-904684342"/>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ind w:firstLine="320" w:firstLineChars="200"/>
                      <w:jc w:val="right"/>
                      <w:rPr>
                        <w:rFonts w:asciiTheme="majorEastAsia" w:hAnsiTheme="majorEastAsia" w:eastAsiaTheme="majorEastAsia"/>
                        <w:sz w:val="16"/>
                        <w:szCs w:val="16"/>
                      </w:rPr>
                    </w:pPr>
                    <w:r>
                      <w:rPr>
                        <w:rFonts w:asciiTheme="majorEastAsia" w:hAnsiTheme="majorEastAsia" w:eastAsiaTheme="majorEastAsia"/>
                        <w:sz w:val="16"/>
                        <w:szCs w:val="16"/>
                      </w:rPr>
                      <w:t>242,884.72</w:t>
                    </w:r>
                  </w:p>
                </w:tc>
              </w:sdtContent>
            </w:sdt>
            <w:sdt>
              <w:sdtPr>
                <w:rPr>
                  <w:rFonts w:asciiTheme="majorEastAsia" w:hAnsiTheme="majorEastAsia" w:eastAsiaTheme="majorEastAsia"/>
                  <w:sz w:val="16"/>
                  <w:szCs w:val="16"/>
                </w:rPr>
                <w:alias w:val="使用权资产明细-账面原值"/>
                <w:tag w:val="_GBC_6079549d75e44c4794dbbc33e1c33ad8"/>
                <w:id w:val="1095359466"/>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ind w:firstLine="320" w:firstLineChars="200"/>
                      <w:jc w:val="right"/>
                      <w:rPr>
                        <w:rFonts w:asciiTheme="majorEastAsia" w:hAnsiTheme="majorEastAsia" w:eastAsiaTheme="majorEastAsia"/>
                        <w:sz w:val="16"/>
                        <w:szCs w:val="16"/>
                      </w:rPr>
                    </w:pPr>
                    <w:r>
                      <w:rPr>
                        <w:rFonts w:asciiTheme="majorEastAsia" w:hAnsiTheme="majorEastAsia" w:eastAsiaTheme="majorEastAsia"/>
                        <w:sz w:val="16"/>
                        <w:szCs w:val="16"/>
                      </w:rPr>
                      <w:t>541,969.45</w:t>
                    </w:r>
                  </w:p>
                </w:tc>
              </w:sdtContent>
            </w:sdt>
            <w:sdt>
              <w:sdtPr>
                <w:rPr>
                  <w:rFonts w:asciiTheme="majorEastAsia" w:hAnsiTheme="majorEastAsia" w:eastAsiaTheme="majorEastAsia"/>
                  <w:sz w:val="16"/>
                  <w:szCs w:val="16"/>
                </w:rPr>
                <w:alias w:val="使用权资产账面原值"/>
                <w:tag w:val="_GBC_1a35fa4b8971434894a45baaca257b56"/>
                <w:id w:val="219867425"/>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50,694,986.88</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cb8705faa0dd4f71889eeb93b843f45e"/>
                <w:id w:val="264439460"/>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ind w:firstLine="320" w:firstLineChars="200"/>
                      <w:rPr>
                        <w:rFonts w:asciiTheme="majorEastAsia" w:hAnsiTheme="majorEastAsia" w:eastAsiaTheme="majorEastAsia"/>
                        <w:sz w:val="16"/>
                        <w:szCs w:val="16"/>
                      </w:rPr>
                    </w:pPr>
                    <w:r>
                      <w:rPr>
                        <w:rFonts w:asciiTheme="majorEastAsia" w:hAnsiTheme="majorEastAsia" w:eastAsiaTheme="majorEastAsia"/>
                        <w:sz w:val="16"/>
                        <w:szCs w:val="16"/>
                      </w:rPr>
                      <w:t>2.本期增加</w:t>
                    </w:r>
                    <w:r>
                      <w:rPr>
                        <w:rFonts w:hint="eastAsia" w:asciiTheme="majorEastAsia" w:hAnsiTheme="majorEastAsia" w:eastAsiaTheme="majorEastAsia"/>
                        <w:sz w:val="16"/>
                        <w:szCs w:val="16"/>
                      </w:rPr>
                      <w:t>金额</w:t>
                    </w:r>
                  </w:p>
                </w:tc>
              </w:sdtContent>
            </w:sdt>
            <w:sdt>
              <w:sdtPr>
                <w:rPr>
                  <w:rFonts w:asciiTheme="majorEastAsia" w:hAnsiTheme="majorEastAsia" w:eastAsiaTheme="majorEastAsia"/>
                  <w:sz w:val="16"/>
                  <w:szCs w:val="16"/>
                </w:rPr>
                <w:alias w:val="使用权资产明细-账面原值增加"/>
                <w:tag w:val="_GBC_038693f88fd04c6e945c2a70721938c5"/>
                <w:id w:val="206461022"/>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增加"/>
                <w:tag w:val="_GBC_038693f88fd04c6e945c2a70721938c5"/>
                <w:id w:val="1939024983"/>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增加"/>
                <w:tag w:val="_GBC_038693f88fd04c6e945c2a70721938c5"/>
                <w:id w:val="1182868903"/>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增加"/>
                <w:tag w:val="_GBC_038693f88fd04c6e945c2a70721938c5"/>
                <w:id w:val="-1177424183"/>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账面原值增加"/>
                <w:tag w:val="_GBC_8000655ddf3b4066924ff13958ca8787"/>
                <w:id w:val="-71510315"/>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5a836262bcb54f0aa73023d39e87cb70"/>
                <w:id w:val="-4980506"/>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ind w:firstLine="320" w:firstLineChars="200"/>
                      <w:rPr>
                        <w:rFonts w:asciiTheme="majorEastAsia" w:hAnsiTheme="majorEastAsia" w:eastAsiaTheme="majorEastAsia"/>
                        <w:sz w:val="16"/>
                        <w:szCs w:val="16"/>
                      </w:rPr>
                    </w:pPr>
                    <w:r>
                      <w:rPr>
                        <w:rFonts w:asciiTheme="majorEastAsia" w:hAnsiTheme="majorEastAsia" w:eastAsiaTheme="majorEastAsia"/>
                        <w:sz w:val="16"/>
                        <w:szCs w:val="16"/>
                      </w:rPr>
                      <w:t>3.本期减少</w:t>
                    </w:r>
                    <w:r>
                      <w:rPr>
                        <w:rFonts w:hint="eastAsia" w:asciiTheme="majorEastAsia" w:hAnsiTheme="majorEastAsia" w:eastAsiaTheme="majorEastAsia"/>
                        <w:sz w:val="16"/>
                        <w:szCs w:val="16"/>
                      </w:rPr>
                      <w:t>金额</w:t>
                    </w:r>
                  </w:p>
                </w:tc>
              </w:sdtContent>
            </w:sdt>
            <w:sdt>
              <w:sdtPr>
                <w:rPr>
                  <w:rFonts w:asciiTheme="majorEastAsia" w:hAnsiTheme="majorEastAsia" w:eastAsiaTheme="majorEastAsia"/>
                  <w:sz w:val="16"/>
                  <w:szCs w:val="16"/>
                </w:rPr>
                <w:alias w:val="使用权资产明细-账面原值减少"/>
                <w:tag w:val="_GBC_ad311ac7cd944c41ab0869eebfbbc2a9"/>
                <w:id w:val="-1122141928"/>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减少"/>
                <w:tag w:val="_GBC_ad311ac7cd944c41ab0869eebfbbc2a9"/>
                <w:id w:val="-676736681"/>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减少"/>
                <w:tag w:val="_GBC_ad311ac7cd944c41ab0869eebfbbc2a9"/>
                <w:id w:val="1475948318"/>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原值减少"/>
                <w:tag w:val="_GBC_ad311ac7cd944c41ab0869eebfbbc2a9"/>
                <w:id w:val="-301460938"/>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账面原值减少"/>
                <w:tag w:val="_GBC_0f36d990434d47bd9f1a709a0a597c10"/>
                <w:id w:val="-269323029"/>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d2ddd00acda84b158c10aa57a3b88766"/>
                <w:id w:val="-1334680716"/>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ind w:firstLine="320" w:firstLineChars="200"/>
                      <w:rPr>
                        <w:rFonts w:asciiTheme="majorEastAsia" w:hAnsiTheme="majorEastAsia" w:eastAsiaTheme="majorEastAsia"/>
                        <w:sz w:val="16"/>
                        <w:szCs w:val="16"/>
                      </w:rPr>
                    </w:pPr>
                    <w:r>
                      <w:rPr>
                        <w:rFonts w:asciiTheme="majorEastAsia" w:hAnsiTheme="majorEastAsia" w:eastAsiaTheme="majorEastAsia"/>
                        <w:sz w:val="16"/>
                        <w:szCs w:val="16"/>
                      </w:rPr>
                      <w:t>4.期末余额</w:t>
                    </w:r>
                  </w:p>
                </w:tc>
              </w:sdtContent>
            </w:sdt>
            <w:sdt>
              <w:sdtPr>
                <w:rPr>
                  <w:rFonts w:asciiTheme="majorEastAsia" w:hAnsiTheme="majorEastAsia" w:eastAsiaTheme="majorEastAsia"/>
                  <w:sz w:val="16"/>
                  <w:szCs w:val="16"/>
                </w:rPr>
                <w:alias w:val="使用权资产明细-账面原值"/>
                <w:tag w:val="_GBC_6a038554bb4d4aa789f64c8ccc710b07"/>
                <w:id w:val="-1240481848"/>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38,442,972.60</w:t>
                    </w:r>
                  </w:p>
                </w:tc>
              </w:sdtContent>
            </w:sdt>
            <w:sdt>
              <w:sdtPr>
                <w:rPr>
                  <w:rFonts w:asciiTheme="majorEastAsia" w:hAnsiTheme="majorEastAsia" w:eastAsiaTheme="majorEastAsia"/>
                  <w:sz w:val="16"/>
                  <w:szCs w:val="16"/>
                </w:rPr>
                <w:alias w:val="使用权资产明细-账面原值"/>
                <w:tag w:val="_GBC_6a038554bb4d4aa789f64c8ccc710b07"/>
                <w:id w:val="-2027710186"/>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11,467,160.11</w:t>
                    </w:r>
                  </w:p>
                </w:tc>
              </w:sdtContent>
            </w:sdt>
            <w:sdt>
              <w:sdtPr>
                <w:rPr>
                  <w:rFonts w:asciiTheme="majorEastAsia" w:hAnsiTheme="majorEastAsia" w:eastAsiaTheme="majorEastAsia"/>
                  <w:sz w:val="16"/>
                  <w:szCs w:val="16"/>
                </w:rPr>
                <w:alias w:val="使用权资产明细-账面原值"/>
                <w:tag w:val="_GBC_6a038554bb4d4aa789f64c8ccc710b07"/>
                <w:id w:val="836498342"/>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242,884.72</w:t>
                    </w:r>
                  </w:p>
                </w:tc>
              </w:sdtContent>
            </w:sdt>
            <w:sdt>
              <w:sdtPr>
                <w:rPr>
                  <w:rFonts w:asciiTheme="majorEastAsia" w:hAnsiTheme="majorEastAsia" w:eastAsiaTheme="majorEastAsia"/>
                  <w:sz w:val="16"/>
                  <w:szCs w:val="16"/>
                </w:rPr>
                <w:alias w:val="使用权资产明细-账面原值"/>
                <w:tag w:val="_GBC_6a038554bb4d4aa789f64c8ccc710b07"/>
                <w:id w:val="-1738390498"/>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541,969.45</w:t>
                    </w:r>
                  </w:p>
                </w:tc>
              </w:sdtContent>
            </w:sdt>
            <w:sdt>
              <w:sdtPr>
                <w:rPr>
                  <w:rFonts w:asciiTheme="majorEastAsia" w:hAnsiTheme="majorEastAsia" w:eastAsiaTheme="majorEastAsia"/>
                  <w:sz w:val="16"/>
                  <w:szCs w:val="16"/>
                </w:rPr>
                <w:alias w:val="使用权资产账面原值"/>
                <w:tag w:val="_GBC_007c0f31392649b696a0d5d1c1e6a108"/>
                <w:id w:val="2032374410"/>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50,694,986.88</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c5fd254e7ed54ab8b2346f3d57a1cc54"/>
                <w:id w:val="703905886"/>
                <w:lock w:val="sdtLocked"/>
              </w:sdtPr>
              <w:sdtEndPr>
                <w:rPr>
                  <w:rFonts w:asciiTheme="majorEastAsia" w:hAnsiTheme="majorEastAsia" w:eastAsiaTheme="majorEastAsia"/>
                  <w:sz w:val="16"/>
                  <w:szCs w:val="16"/>
                </w:rPr>
              </w:sdtEndPr>
              <w:sdtContent>
                <w:tc>
                  <w:tcPr>
                    <w:tcW w:w="5000" w:type="pct"/>
                    <w:gridSpan w:val="6"/>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二、累计折旧</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9d84a55f4f2440dda7ca9f05e3bee994"/>
                <w:id w:val="869265400"/>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ind w:firstLine="320" w:firstLineChars="200"/>
                      <w:rPr>
                        <w:rFonts w:asciiTheme="majorEastAsia" w:hAnsiTheme="majorEastAsia" w:eastAsiaTheme="majorEastAsia"/>
                        <w:sz w:val="16"/>
                        <w:szCs w:val="16"/>
                      </w:rPr>
                    </w:pPr>
                    <w:r>
                      <w:rPr>
                        <w:rFonts w:hint="eastAsia" w:asciiTheme="majorEastAsia" w:hAnsiTheme="majorEastAsia" w:eastAsiaTheme="majorEastAsia"/>
                        <w:sz w:val="16"/>
                        <w:szCs w:val="16"/>
                      </w:rPr>
                      <w:t>1.期</w:t>
                    </w:r>
                    <w:r>
                      <w:rPr>
                        <w:rFonts w:asciiTheme="majorEastAsia" w:hAnsiTheme="majorEastAsia" w:eastAsiaTheme="majorEastAsia"/>
                        <w:sz w:val="16"/>
                        <w:szCs w:val="16"/>
                      </w:rPr>
                      <w:t>初余额</w:t>
                    </w:r>
                  </w:p>
                </w:tc>
              </w:sdtContent>
            </w:sdt>
            <w:sdt>
              <w:sdtPr>
                <w:rPr>
                  <w:rFonts w:asciiTheme="majorEastAsia" w:hAnsiTheme="majorEastAsia" w:eastAsiaTheme="majorEastAsia"/>
                  <w:sz w:val="16"/>
                  <w:szCs w:val="16"/>
                </w:rPr>
                <w:alias w:val="使用权资产明细-累计折旧"/>
                <w:tag w:val="_GBC_5c668c183c4043a5aade63b6e2f10e53"/>
                <w:id w:val="1673985192"/>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18,941,306.04</w:t>
                    </w:r>
                  </w:p>
                </w:tc>
              </w:sdtContent>
            </w:sdt>
            <w:sdt>
              <w:sdtPr>
                <w:rPr>
                  <w:rFonts w:asciiTheme="majorEastAsia" w:hAnsiTheme="majorEastAsia" w:eastAsiaTheme="majorEastAsia"/>
                  <w:sz w:val="16"/>
                  <w:szCs w:val="16"/>
                </w:rPr>
                <w:alias w:val="使用权资产明细-累计折旧"/>
                <w:tag w:val="_GBC_5c668c183c4043a5aade63b6e2f10e53"/>
                <w:id w:val="936636781"/>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1,999,063.56</w:t>
                    </w:r>
                  </w:p>
                </w:tc>
              </w:sdtContent>
            </w:sdt>
            <w:sdt>
              <w:sdtPr>
                <w:rPr>
                  <w:rFonts w:asciiTheme="majorEastAsia" w:hAnsiTheme="majorEastAsia" w:eastAsiaTheme="majorEastAsia"/>
                  <w:sz w:val="16"/>
                  <w:szCs w:val="16"/>
                </w:rPr>
                <w:alias w:val="使用权资产明细-累计折旧"/>
                <w:tag w:val="_GBC_5c668c183c4043a5aade63b6e2f10e53"/>
                <w:id w:val="1646849765"/>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242,884.72</w:t>
                    </w:r>
                  </w:p>
                </w:tc>
              </w:sdtContent>
            </w:sdt>
            <w:sdt>
              <w:sdtPr>
                <w:rPr>
                  <w:rFonts w:asciiTheme="majorEastAsia" w:hAnsiTheme="majorEastAsia" w:eastAsiaTheme="majorEastAsia"/>
                  <w:sz w:val="16"/>
                  <w:szCs w:val="16"/>
                </w:rPr>
                <w:alias w:val="使用权资产明细-累计折旧"/>
                <w:tag w:val="_GBC_5c668c183c4043a5aade63b6e2f10e53"/>
                <w:id w:val="1038004280"/>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40,647.81</w:t>
                    </w:r>
                  </w:p>
                </w:tc>
              </w:sdtContent>
            </w:sdt>
            <w:sdt>
              <w:sdtPr>
                <w:rPr>
                  <w:rFonts w:asciiTheme="majorEastAsia" w:hAnsiTheme="majorEastAsia" w:eastAsiaTheme="majorEastAsia"/>
                  <w:sz w:val="16"/>
                  <w:szCs w:val="16"/>
                </w:rPr>
                <w:alias w:val="使用权资产累计折旧"/>
                <w:tag w:val="_GBC_5c5976dca1a94e139da6fac64c954c50"/>
                <w:id w:val="-1015144435"/>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21,223,902.13</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217b7f3bca984b1e9148b657f60c578a"/>
                <w:id w:val="-393118818"/>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ind w:firstLine="320" w:firstLineChars="200"/>
                      <w:rPr>
                        <w:rFonts w:asciiTheme="majorEastAsia" w:hAnsiTheme="majorEastAsia" w:eastAsiaTheme="majorEastAsia"/>
                        <w:sz w:val="16"/>
                        <w:szCs w:val="16"/>
                      </w:rPr>
                    </w:pPr>
                    <w:r>
                      <w:rPr>
                        <w:rFonts w:asciiTheme="majorEastAsia" w:hAnsiTheme="majorEastAsia" w:eastAsiaTheme="majorEastAsia"/>
                        <w:sz w:val="16"/>
                        <w:szCs w:val="16"/>
                      </w:rPr>
                      <w:t>2.</w:t>
                    </w:r>
                    <w:r>
                      <w:rPr>
                        <w:rFonts w:hint="eastAsia" w:asciiTheme="majorEastAsia" w:hAnsiTheme="majorEastAsia" w:eastAsiaTheme="majorEastAsia"/>
                        <w:sz w:val="16"/>
                        <w:szCs w:val="16"/>
                      </w:rPr>
                      <w:t>本期增加金额</w:t>
                    </w:r>
                  </w:p>
                </w:tc>
              </w:sdtContent>
            </w:sdt>
            <w:sdt>
              <w:sdtPr>
                <w:rPr>
                  <w:rFonts w:asciiTheme="majorEastAsia" w:hAnsiTheme="majorEastAsia" w:eastAsiaTheme="majorEastAsia"/>
                  <w:sz w:val="16"/>
                  <w:szCs w:val="16"/>
                </w:rPr>
                <w:alias w:val="使用权资产明细-累计折旧增加"/>
                <w:tag w:val="_GBC_30e838b31a2344d0acb83c67997b16d1"/>
                <w:id w:val="-1495642581"/>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3,926,464.97</w:t>
                    </w:r>
                  </w:p>
                </w:tc>
              </w:sdtContent>
            </w:sdt>
            <w:sdt>
              <w:sdtPr>
                <w:rPr>
                  <w:rFonts w:asciiTheme="majorEastAsia" w:hAnsiTheme="majorEastAsia" w:eastAsiaTheme="majorEastAsia"/>
                  <w:sz w:val="16"/>
                  <w:szCs w:val="16"/>
                </w:rPr>
                <w:alias w:val="使用权资产明细-累计折旧增加"/>
                <w:tag w:val="_GBC_30e838b31a2344d0acb83c67997b16d1"/>
                <w:id w:val="220025070"/>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504,035.28</w:t>
                    </w:r>
                  </w:p>
                </w:tc>
              </w:sdtContent>
            </w:sdt>
            <w:sdt>
              <w:sdtPr>
                <w:rPr>
                  <w:rFonts w:asciiTheme="majorEastAsia" w:hAnsiTheme="majorEastAsia" w:eastAsiaTheme="majorEastAsia"/>
                  <w:sz w:val="16"/>
                  <w:szCs w:val="16"/>
                </w:rPr>
                <w:alias w:val="使用权资产明细-累计折旧增加"/>
                <w:tag w:val="_GBC_30e838b31a2344d0acb83c67997b16d1"/>
                <w:id w:val="311291128"/>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 -</w:t>
                    </w:r>
                  </w:p>
                </w:tc>
              </w:sdtContent>
            </w:sdt>
            <w:sdt>
              <w:sdtPr>
                <w:rPr>
                  <w:rFonts w:asciiTheme="majorEastAsia" w:hAnsiTheme="majorEastAsia" w:eastAsiaTheme="majorEastAsia"/>
                  <w:sz w:val="16"/>
                  <w:szCs w:val="16"/>
                </w:rPr>
                <w:alias w:val="使用权资产明细-累计折旧增加"/>
                <w:tag w:val="_GBC_30e838b31a2344d0acb83c67997b16d1"/>
                <w:id w:val="1642007087"/>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10,161.95</w:t>
                    </w:r>
                  </w:p>
                </w:tc>
              </w:sdtContent>
            </w:sdt>
            <w:sdt>
              <w:sdtPr>
                <w:rPr>
                  <w:rFonts w:asciiTheme="majorEastAsia" w:hAnsiTheme="majorEastAsia" w:eastAsiaTheme="majorEastAsia"/>
                  <w:sz w:val="16"/>
                  <w:szCs w:val="16"/>
                </w:rPr>
                <w:alias w:val="使用权资产累计折旧增加"/>
                <w:tag w:val="_GBC_04fdf39eca0f40e2abbf616fa83850c0"/>
                <w:id w:val="-377392245"/>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4,440,662.20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40" w:type="pct"/>
                <w:shd w:val="clear" w:color="auto" w:fill="auto"/>
                <w:vAlign w:val="center"/>
              </w:tcPr>
              <w:p>
                <w:pPr>
                  <w:spacing w:line="240" w:lineRule="atLeast"/>
                  <w:ind w:firstLine="480" w:firstLineChars="300"/>
                  <w:rPr>
                    <w:rFonts w:asciiTheme="majorEastAsia" w:hAnsiTheme="majorEastAsia" w:eastAsiaTheme="majorEastAsia"/>
                    <w:sz w:val="16"/>
                    <w:szCs w:val="16"/>
                  </w:rPr>
                </w:pPr>
                <w:r>
                  <w:rPr>
                    <w:rFonts w:asciiTheme="majorEastAsia" w:hAnsiTheme="majorEastAsia" w:eastAsiaTheme="majorEastAsia"/>
                    <w:sz w:val="16"/>
                    <w:szCs w:val="16"/>
                  </w:rPr>
                  <w:t>1)</w:t>
                </w:r>
                <w:sdt>
                  <w:sdtPr>
                    <w:rPr>
                      <w:rFonts w:asciiTheme="majorEastAsia" w:hAnsiTheme="majorEastAsia" w:eastAsiaTheme="majorEastAsia"/>
                      <w:sz w:val="16"/>
                      <w:szCs w:val="16"/>
                    </w:rPr>
                    <w:tag w:val="_PLD_c5cff13f53f547b2b4c43791a1454f16"/>
                    <w:id w:val="-248966732"/>
                    <w:lock w:val="sdtLocked"/>
                  </w:sdtPr>
                  <w:sdtEndPr>
                    <w:rPr>
                      <w:rFonts w:asciiTheme="majorEastAsia" w:hAnsiTheme="majorEastAsia" w:eastAsiaTheme="majorEastAsia"/>
                      <w:sz w:val="16"/>
                      <w:szCs w:val="16"/>
                    </w:rPr>
                  </w:sdtEndPr>
                  <w:sdtContent>
                    <w:r>
                      <w:rPr>
                        <w:rFonts w:hint="eastAsia" w:asciiTheme="majorEastAsia" w:hAnsiTheme="majorEastAsia" w:eastAsiaTheme="majorEastAsia"/>
                        <w:sz w:val="16"/>
                        <w:szCs w:val="16"/>
                      </w:rPr>
                      <w:t>计提</w:t>
                    </w:r>
                  </w:sdtContent>
                </w:sdt>
              </w:p>
            </w:tc>
            <w:sdt>
              <w:sdtPr>
                <w:rPr>
                  <w:rFonts w:asciiTheme="majorEastAsia" w:hAnsiTheme="majorEastAsia" w:eastAsiaTheme="majorEastAsia"/>
                  <w:sz w:val="16"/>
                  <w:szCs w:val="16"/>
                </w:rPr>
                <w:alias w:val="使用权资产明细-计提导致的累计折旧增加"/>
                <w:tag w:val="_GBC_eca0c64a8da54245b08a966a6139eee7"/>
                <w:id w:val="1749454467"/>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3,926,464.97</w:t>
                    </w:r>
                  </w:p>
                </w:tc>
              </w:sdtContent>
            </w:sdt>
            <w:sdt>
              <w:sdtPr>
                <w:rPr>
                  <w:rFonts w:asciiTheme="majorEastAsia" w:hAnsiTheme="majorEastAsia" w:eastAsiaTheme="majorEastAsia"/>
                  <w:sz w:val="16"/>
                  <w:szCs w:val="16"/>
                </w:rPr>
                <w:alias w:val="使用权资产明细-计提导致的累计折旧增加"/>
                <w:tag w:val="_GBC_eca0c64a8da54245b08a966a6139eee7"/>
                <w:id w:val="-1959242660"/>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504,035.28</w:t>
                    </w:r>
                  </w:p>
                </w:tc>
              </w:sdtContent>
            </w:sdt>
            <w:sdt>
              <w:sdtPr>
                <w:rPr>
                  <w:rFonts w:asciiTheme="majorEastAsia" w:hAnsiTheme="majorEastAsia" w:eastAsiaTheme="majorEastAsia"/>
                  <w:sz w:val="16"/>
                  <w:szCs w:val="16"/>
                </w:rPr>
                <w:alias w:val="使用权资产明细-计提导致的累计折旧增加"/>
                <w:tag w:val="_GBC_eca0c64a8da54245b08a966a6139eee7"/>
                <w:id w:val="-1266917004"/>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计提导致的累计折旧增加"/>
                <w:tag w:val="_GBC_eca0c64a8da54245b08a966a6139eee7"/>
                <w:id w:val="143171126"/>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10,161.95</w:t>
                    </w:r>
                  </w:p>
                </w:tc>
              </w:sdtContent>
            </w:sdt>
            <w:tc>
              <w:tcPr>
                <w:tcW w:w="694" w:type="pct"/>
                <w:shd w:val="clear" w:color="auto" w:fill="auto"/>
                <w:vAlign w:val="center"/>
              </w:tcPr>
              <w:sdt>
                <w:sdtPr>
                  <w:rPr>
                    <w:rFonts w:asciiTheme="majorEastAsia" w:hAnsiTheme="majorEastAsia" w:eastAsiaTheme="majorEastAsia"/>
                    <w:sz w:val="16"/>
                    <w:szCs w:val="16"/>
                  </w:rPr>
                  <w:alias w:val="使用权资产计提导致的累计折旧增加"/>
                  <w:tag w:val="_GBC_99e847bff39043dfad6af7a482c70a79"/>
                  <w:id w:val="-619613410"/>
                  <w:lock w:val="sdtLocked"/>
                </w:sdtPr>
                <w:sdtEndPr>
                  <w:rPr>
                    <w:rFonts w:asciiTheme="majorEastAsia" w:hAnsiTheme="majorEastAsia" w:eastAsiaTheme="majorEastAsia"/>
                    <w:sz w:val="16"/>
                    <w:szCs w:val="16"/>
                  </w:rPr>
                </w:sdtEndPr>
                <w:sdtContent>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4,440,662.20</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alias w:val="使用权资产累计摊销增加项目名称"/>
                <w:tag w:val="_GBC_ad0a9abd74b14da4af63396afd0be609"/>
                <w:id w:val="-1730377775"/>
                <w:lock w:val="sdtLocked"/>
              </w:sdtPr>
              <w:sdtEndPr>
                <w:rPr>
                  <w:rFonts w:asciiTheme="majorEastAsia" w:hAnsiTheme="majorEastAsia" w:eastAsiaTheme="majorEastAsia"/>
                  <w:sz w:val="16"/>
                  <w:szCs w:val="16"/>
                </w:rPr>
              </w:sdtEndPr>
              <w:sdtContent>
                <w:tc>
                  <w:tcPr>
                    <w:tcW w:w="640" w:type="pct"/>
                    <w:shd w:val="clear" w:color="auto" w:fill="auto"/>
                  </w:tcPr>
                  <w:p>
                    <w:pPr>
                      <w:spacing w:line="240" w:lineRule="atLeast"/>
                      <w:ind w:firstLine="480" w:firstLineChars="300"/>
                      <w:rPr>
                        <w:rFonts w:asciiTheme="majorEastAsia" w:hAnsiTheme="majorEastAsia" w:eastAsiaTheme="majorEastAsia"/>
                        <w:sz w:val="16"/>
                        <w:szCs w:val="16"/>
                      </w:rPr>
                    </w:pPr>
                    <w:r>
                      <w:rPr>
                        <w:rFonts w:hint="eastAsia" w:asciiTheme="majorEastAsia" w:hAnsiTheme="majorEastAsia" w:eastAsiaTheme="majorEastAsia"/>
                        <w:sz w:val="16"/>
                        <w:szCs w:val="16"/>
                      </w:rPr>
                      <w:t>期末余额</w:t>
                    </w:r>
                  </w:p>
                </w:tc>
              </w:sdtContent>
            </w:sdt>
            <w:sdt>
              <w:sdtPr>
                <w:rPr>
                  <w:rFonts w:asciiTheme="majorEastAsia" w:hAnsiTheme="majorEastAsia" w:eastAsiaTheme="majorEastAsia"/>
                  <w:sz w:val="16"/>
                  <w:szCs w:val="16"/>
                </w:rPr>
                <w:alias w:val="使用权资产累计摊销增加项目金额"/>
                <w:tag w:val="_GBC_574ca06ad2e24c269140cbae3c525b8e"/>
                <w:id w:val="-1151291083"/>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22,867,771.01</w:t>
                    </w:r>
                  </w:p>
                </w:tc>
              </w:sdtContent>
            </w:sdt>
            <w:sdt>
              <w:sdtPr>
                <w:rPr>
                  <w:rFonts w:asciiTheme="majorEastAsia" w:hAnsiTheme="majorEastAsia" w:eastAsiaTheme="majorEastAsia"/>
                  <w:sz w:val="16"/>
                  <w:szCs w:val="16"/>
                </w:rPr>
                <w:alias w:val="使用权资产累计摊销增加项目金额"/>
                <w:tag w:val="_GBC_574ca06ad2e24c269140cbae3c525b8e"/>
                <w:id w:val="-1657446252"/>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2,503,098.84</w:t>
                    </w:r>
                  </w:p>
                </w:tc>
              </w:sdtContent>
            </w:sdt>
            <w:sdt>
              <w:sdtPr>
                <w:rPr>
                  <w:rFonts w:asciiTheme="majorEastAsia" w:hAnsiTheme="majorEastAsia" w:eastAsiaTheme="majorEastAsia"/>
                  <w:sz w:val="16"/>
                  <w:szCs w:val="16"/>
                </w:rPr>
                <w:alias w:val="使用权资产累计摊销增加项目金额"/>
                <w:tag w:val="_GBC_574ca06ad2e24c269140cbae3c525b8e"/>
                <w:id w:val="1522898251"/>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242,884.72</w:t>
                    </w:r>
                  </w:p>
                </w:tc>
              </w:sdtContent>
            </w:sdt>
            <w:sdt>
              <w:sdtPr>
                <w:rPr>
                  <w:rFonts w:asciiTheme="majorEastAsia" w:hAnsiTheme="majorEastAsia" w:eastAsiaTheme="majorEastAsia"/>
                  <w:sz w:val="16"/>
                  <w:szCs w:val="16"/>
                </w:rPr>
                <w:alias w:val="使用权资产累计摊销增加项目金额"/>
                <w:tag w:val="_GBC_574ca06ad2e24c269140cbae3c525b8e"/>
                <w:id w:val="-884329824"/>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50,809.76</w:t>
                    </w:r>
                  </w:p>
                </w:tc>
              </w:sdtContent>
            </w:sdt>
            <w:sdt>
              <w:sdtPr>
                <w:rPr>
                  <w:rFonts w:asciiTheme="majorEastAsia" w:hAnsiTheme="majorEastAsia" w:eastAsiaTheme="majorEastAsia"/>
                  <w:sz w:val="16"/>
                  <w:szCs w:val="16"/>
                </w:rPr>
                <w:alias w:val="使用权资产累计摊销增加项目合计金额"/>
                <w:tag w:val="_GBC_0b7d750bc62949549bb49a286ef62b71"/>
                <w:id w:val="1747388485"/>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25,664,564.33</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977579b288954e92aacbdc72b4e58579"/>
                <w:id w:val="-2134249353"/>
                <w:lock w:val="sdtLocked"/>
              </w:sdtPr>
              <w:sdtEndPr>
                <w:rPr>
                  <w:rFonts w:asciiTheme="majorEastAsia" w:hAnsiTheme="majorEastAsia" w:eastAsiaTheme="majorEastAsia"/>
                  <w:sz w:val="16"/>
                  <w:szCs w:val="16"/>
                </w:rPr>
              </w:sdtEndPr>
              <w:sdtContent>
                <w:tc>
                  <w:tcPr>
                    <w:tcW w:w="5000" w:type="pct"/>
                    <w:gridSpan w:val="6"/>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三、减值准备</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451a3431a02f424d82ced950a4aa62d1"/>
                <w:id w:val="-2086216310"/>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 xml:space="preserve">      </w:t>
                    </w:r>
                    <w:r>
                      <w:rPr>
                        <w:rFonts w:hint="eastAsia" w:asciiTheme="majorEastAsia" w:hAnsiTheme="majorEastAsia" w:eastAsiaTheme="majorEastAsia"/>
                        <w:sz w:val="16"/>
                        <w:szCs w:val="16"/>
                      </w:rPr>
                      <w:t>期</w:t>
                    </w:r>
                    <w:r>
                      <w:rPr>
                        <w:rFonts w:asciiTheme="majorEastAsia" w:hAnsiTheme="majorEastAsia" w:eastAsiaTheme="majorEastAsia"/>
                        <w:sz w:val="16"/>
                        <w:szCs w:val="16"/>
                      </w:rPr>
                      <w:t>初余额</w:t>
                    </w:r>
                  </w:p>
                </w:tc>
              </w:sdtContent>
            </w:sdt>
            <w:sdt>
              <w:sdtPr>
                <w:rPr>
                  <w:rFonts w:asciiTheme="majorEastAsia" w:hAnsiTheme="majorEastAsia" w:eastAsiaTheme="majorEastAsia"/>
                  <w:sz w:val="16"/>
                  <w:szCs w:val="16"/>
                </w:rPr>
                <w:alias w:val="使用权资产明细-减值准备"/>
                <w:tag w:val="_GBC_27e6e6a665bc4f7cb75fdccfac703399"/>
                <w:id w:val="1537237678"/>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减值准备"/>
                <w:tag w:val="_GBC_27e6e6a665bc4f7cb75fdccfac703399"/>
                <w:id w:val="-185135201"/>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减值准备"/>
                <w:tag w:val="_GBC_27e6e6a665bc4f7cb75fdccfac703399"/>
                <w:id w:val="-1902278527"/>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减值准备"/>
                <w:tag w:val="_GBC_27e6e6a665bc4f7cb75fdccfac703399"/>
                <w:id w:val="683489137"/>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减值准备"/>
                <w:tag w:val="_GBC_c069caa344d649e8bf37ff39e190f387"/>
                <w:id w:val="818699148"/>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alias w:val="使用权资产减值准备增加项目名称"/>
                <w:tag w:val="_GBC_3f68846af47346a78c0bbd37fda2e94c"/>
                <w:id w:val="1504233986"/>
                <w:lock w:val="sdtLocked"/>
              </w:sdtPr>
              <w:sdtEndPr>
                <w:rPr>
                  <w:rFonts w:asciiTheme="majorEastAsia" w:hAnsiTheme="majorEastAsia" w:eastAsiaTheme="majorEastAsia"/>
                  <w:sz w:val="16"/>
                  <w:szCs w:val="16"/>
                </w:rPr>
              </w:sdtEndPr>
              <w:sdtContent>
                <w:tc>
                  <w:tcPr>
                    <w:tcW w:w="640" w:type="pct"/>
                    <w:shd w:val="clear" w:color="auto" w:fill="auto"/>
                  </w:tcPr>
                  <w:p>
                    <w:pPr>
                      <w:spacing w:line="240" w:lineRule="atLeast"/>
                      <w:ind w:firstLine="480" w:firstLineChars="300"/>
                      <w:rPr>
                        <w:rFonts w:asciiTheme="majorEastAsia" w:hAnsiTheme="majorEastAsia" w:eastAsiaTheme="majorEastAsia"/>
                        <w:sz w:val="16"/>
                        <w:szCs w:val="16"/>
                      </w:rPr>
                    </w:pPr>
                    <w:r>
                      <w:rPr>
                        <w:rFonts w:hint="eastAsia" w:asciiTheme="majorEastAsia" w:hAnsiTheme="majorEastAsia" w:eastAsiaTheme="majorEastAsia"/>
                        <w:sz w:val="16"/>
                        <w:szCs w:val="16"/>
                      </w:rPr>
                      <w:t>期末余额</w:t>
                    </w:r>
                  </w:p>
                </w:tc>
              </w:sdtContent>
            </w:sdt>
            <w:sdt>
              <w:sdtPr>
                <w:rPr>
                  <w:rFonts w:asciiTheme="majorEastAsia" w:hAnsiTheme="majorEastAsia" w:eastAsiaTheme="majorEastAsia"/>
                  <w:sz w:val="16"/>
                  <w:szCs w:val="16"/>
                </w:rPr>
                <w:alias w:val="使用权资产减值准备增加项目金额"/>
                <w:tag w:val="_GBC_bab50aee06d84f1e8fc4fdeafe69534b"/>
                <w:id w:val="74637820"/>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减值准备增加项目金额"/>
                <w:tag w:val="_GBC_bab50aee06d84f1e8fc4fdeafe69534b"/>
                <w:id w:val="-607128242"/>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减值准备增加项目金额"/>
                <w:tag w:val="_GBC_bab50aee06d84f1e8fc4fdeafe69534b"/>
                <w:id w:val="281159511"/>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减值准备增加项目金额"/>
                <w:tag w:val="_GBC_bab50aee06d84f1e8fc4fdeafe69534b"/>
                <w:id w:val="2101524235"/>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减值准备增加项目合计金额"/>
                <w:tag w:val="_GBC_2701d42012d640a9aea2252eb6e597c5"/>
                <w:id w:val="2031447728"/>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a609076f16da4fedb37d9fc1d72dfd8f"/>
                <w:id w:val="-1322184588"/>
                <w:lock w:val="sdtLocked"/>
              </w:sdtPr>
              <w:sdtEndPr>
                <w:rPr>
                  <w:rFonts w:asciiTheme="majorEastAsia" w:hAnsiTheme="majorEastAsia" w:eastAsiaTheme="majorEastAsia"/>
                  <w:sz w:val="16"/>
                  <w:szCs w:val="16"/>
                </w:rPr>
              </w:sdtEndPr>
              <w:sdtContent>
                <w:tc>
                  <w:tcPr>
                    <w:tcW w:w="5000" w:type="pct"/>
                    <w:gridSpan w:val="6"/>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四、账面价值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4674f60ab7b34201a998a840d9d08d8a"/>
                <w:id w:val="-2143943067"/>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 xml:space="preserve">    1.期末账面价值</w:t>
                    </w:r>
                  </w:p>
                </w:tc>
              </w:sdtContent>
            </w:sdt>
            <w:sdt>
              <w:sdtPr>
                <w:rPr>
                  <w:rFonts w:asciiTheme="majorEastAsia" w:hAnsiTheme="majorEastAsia" w:eastAsiaTheme="majorEastAsia"/>
                  <w:sz w:val="16"/>
                  <w:szCs w:val="16"/>
                </w:rPr>
                <w:alias w:val="使用权资产明细-账面价值"/>
                <w:tag w:val="_GBC_2bb664ccfd7e4285b84d8fb7955354cb"/>
                <w:id w:val="-1892873907"/>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15,575,201.59</w:t>
                    </w:r>
                  </w:p>
                </w:tc>
              </w:sdtContent>
            </w:sdt>
            <w:sdt>
              <w:sdtPr>
                <w:rPr>
                  <w:rFonts w:asciiTheme="majorEastAsia" w:hAnsiTheme="majorEastAsia" w:eastAsiaTheme="majorEastAsia"/>
                  <w:sz w:val="16"/>
                  <w:szCs w:val="16"/>
                </w:rPr>
                <w:alias w:val="使用权资产明细-账面价值"/>
                <w:tag w:val="_GBC_2bb664ccfd7e4285b84d8fb7955354cb"/>
                <w:id w:val="385603086"/>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8,964,061.27</w:t>
                    </w:r>
                  </w:p>
                </w:tc>
              </w:sdtContent>
            </w:sdt>
            <w:sdt>
              <w:sdtPr>
                <w:rPr>
                  <w:rFonts w:asciiTheme="majorEastAsia" w:hAnsiTheme="majorEastAsia" w:eastAsiaTheme="majorEastAsia"/>
                  <w:sz w:val="16"/>
                  <w:szCs w:val="16"/>
                </w:rPr>
                <w:alias w:val="使用权资产明细-账面价值"/>
                <w:tag w:val="_GBC_2bb664ccfd7e4285b84d8fb7955354cb"/>
                <w:id w:val="1217853874"/>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     -</w:t>
                    </w:r>
                  </w:p>
                </w:tc>
              </w:sdtContent>
            </w:sdt>
            <w:sdt>
              <w:sdtPr>
                <w:rPr>
                  <w:rFonts w:asciiTheme="majorEastAsia" w:hAnsiTheme="majorEastAsia" w:eastAsiaTheme="majorEastAsia"/>
                  <w:sz w:val="16"/>
                  <w:szCs w:val="16"/>
                </w:rPr>
                <w:alias w:val="使用权资产明细-账面价值"/>
                <w:tag w:val="_GBC_2bb664ccfd7e4285b84d8fb7955354cb"/>
                <w:id w:val="-2016610096"/>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491,159.69</w:t>
                    </w:r>
                  </w:p>
                </w:tc>
              </w:sdtContent>
            </w:sdt>
            <w:sdt>
              <w:sdtPr>
                <w:rPr>
                  <w:rFonts w:asciiTheme="majorEastAsia" w:hAnsiTheme="majorEastAsia" w:eastAsiaTheme="majorEastAsia"/>
                  <w:sz w:val="16"/>
                  <w:szCs w:val="16"/>
                </w:rPr>
                <w:alias w:val="使用权资产"/>
                <w:tag w:val="_GBC_edf5285955b448ed844183547d426f66"/>
                <w:id w:val="-1001038326"/>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25,030,422.55</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asciiTheme="majorEastAsia" w:hAnsiTheme="majorEastAsia" w:eastAsiaTheme="majorEastAsia"/>
                  <w:sz w:val="16"/>
                  <w:szCs w:val="16"/>
                </w:rPr>
                <w:tag w:val="_PLD_a7e06de99a79495a885da295fe9ce70c"/>
                <w:id w:val="-222763947"/>
                <w:lock w:val="sdtLocked"/>
              </w:sdtPr>
              <w:sdtEndPr>
                <w:rPr>
                  <w:rFonts w:asciiTheme="majorEastAsia" w:hAnsiTheme="majorEastAsia" w:eastAsiaTheme="majorEastAsia"/>
                  <w:sz w:val="16"/>
                  <w:szCs w:val="16"/>
                </w:rPr>
              </w:sdtEndPr>
              <w:sdtContent>
                <w:tc>
                  <w:tcPr>
                    <w:tcW w:w="640" w:type="pct"/>
                    <w:shd w:val="clear" w:color="auto" w:fill="auto"/>
                    <w:vAlign w:val="center"/>
                  </w:tcPr>
                  <w:p>
                    <w:pPr>
                      <w:spacing w:line="240" w:lineRule="atLeast"/>
                      <w:rPr>
                        <w:rFonts w:asciiTheme="majorEastAsia" w:hAnsiTheme="majorEastAsia" w:eastAsiaTheme="majorEastAsia"/>
                        <w:sz w:val="16"/>
                        <w:szCs w:val="16"/>
                      </w:rPr>
                    </w:pPr>
                    <w:r>
                      <w:rPr>
                        <w:rFonts w:asciiTheme="majorEastAsia" w:hAnsiTheme="majorEastAsia" w:eastAsiaTheme="majorEastAsia"/>
                        <w:sz w:val="16"/>
                        <w:szCs w:val="16"/>
                      </w:rPr>
                      <w:t xml:space="preserve">    2.期初账面价值</w:t>
                    </w:r>
                  </w:p>
                </w:tc>
              </w:sdtContent>
            </w:sdt>
            <w:sdt>
              <w:sdtPr>
                <w:rPr>
                  <w:rFonts w:asciiTheme="majorEastAsia" w:hAnsiTheme="majorEastAsia" w:eastAsiaTheme="majorEastAsia"/>
                  <w:sz w:val="16"/>
                  <w:szCs w:val="16"/>
                </w:rPr>
                <w:alias w:val="使用权资产明细-账面价值"/>
                <w:tag w:val="_GBC_fb48ddba17ca41f48409ce6b3fc26277"/>
                <w:id w:val="6956882"/>
                <w:lock w:val="sdtLocked"/>
              </w:sdtPr>
              <w:sdtEndPr>
                <w:rPr>
                  <w:rFonts w:asciiTheme="majorEastAsia" w:hAnsiTheme="majorEastAsia" w:eastAsiaTheme="majorEastAsia"/>
                  <w:sz w:val="16"/>
                  <w:szCs w:val="16"/>
                </w:rPr>
              </w:sdtEndPr>
              <w:sdtContent>
                <w:tc>
                  <w:tcPr>
                    <w:tcW w:w="96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19,501,666.56</w:t>
                    </w:r>
                  </w:p>
                </w:tc>
              </w:sdtContent>
            </w:sdt>
            <w:sdt>
              <w:sdtPr>
                <w:rPr>
                  <w:rFonts w:asciiTheme="majorEastAsia" w:hAnsiTheme="majorEastAsia" w:eastAsiaTheme="majorEastAsia"/>
                  <w:sz w:val="16"/>
                  <w:szCs w:val="16"/>
                </w:rPr>
                <w:alias w:val="使用权资产明细-账面价值"/>
                <w:tag w:val="_GBC_fb48ddba17ca41f48409ce6b3fc26277"/>
                <w:id w:val="-941839409"/>
                <w:lock w:val="sdtLocked"/>
              </w:sdtPr>
              <w:sdtEndPr>
                <w:rPr>
                  <w:rFonts w:asciiTheme="majorEastAsia" w:hAnsiTheme="majorEastAsia" w:eastAsiaTheme="majorEastAsia"/>
                  <w:sz w:val="16"/>
                  <w:szCs w:val="16"/>
                </w:rPr>
              </w:sdtEndPr>
              <w:sdtContent>
                <w:tc>
                  <w:tcPr>
                    <w:tcW w:w="80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9,468,096.55</w:t>
                    </w:r>
                  </w:p>
                </w:tc>
              </w:sdtContent>
            </w:sdt>
            <w:sdt>
              <w:sdtPr>
                <w:rPr>
                  <w:rFonts w:asciiTheme="majorEastAsia" w:hAnsiTheme="majorEastAsia" w:eastAsiaTheme="majorEastAsia"/>
                  <w:sz w:val="16"/>
                  <w:szCs w:val="16"/>
                </w:rPr>
                <w:alias w:val="使用权资产明细-账面价值"/>
                <w:tag w:val="_GBC_fb48ddba17ca41f48409ce6b3fc26277"/>
                <w:id w:val="2043929803"/>
                <w:lock w:val="sdtLocked"/>
              </w:sdtPr>
              <w:sdtEndPr>
                <w:rPr>
                  <w:rFonts w:asciiTheme="majorEastAsia" w:hAnsiTheme="majorEastAsia" w:eastAsiaTheme="majorEastAsia"/>
                  <w:sz w:val="16"/>
                  <w:szCs w:val="16"/>
                </w:rPr>
              </w:sdtEndPr>
              <w:sdtContent>
                <w:tc>
                  <w:tcPr>
                    <w:tcW w:w="883"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w:t>
                    </w:r>
                  </w:p>
                </w:tc>
              </w:sdtContent>
            </w:sdt>
            <w:sdt>
              <w:sdtPr>
                <w:rPr>
                  <w:rFonts w:asciiTheme="majorEastAsia" w:hAnsiTheme="majorEastAsia" w:eastAsiaTheme="majorEastAsia"/>
                  <w:sz w:val="16"/>
                  <w:szCs w:val="16"/>
                </w:rPr>
                <w:alias w:val="使用权资产明细-账面价值"/>
                <w:tag w:val="_GBC_fb48ddba17ca41f48409ce6b3fc26277"/>
                <w:id w:val="-1528177710"/>
                <w:lock w:val="sdtLocked"/>
              </w:sdtPr>
              <w:sdtEndPr>
                <w:rPr>
                  <w:rFonts w:asciiTheme="majorEastAsia" w:hAnsiTheme="majorEastAsia" w:eastAsiaTheme="majorEastAsia"/>
                  <w:sz w:val="16"/>
                  <w:szCs w:val="16"/>
                </w:rPr>
              </w:sdtEndPr>
              <w:sdtContent>
                <w:tc>
                  <w:tcPr>
                    <w:tcW w:w="1016"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501,321.64</w:t>
                    </w:r>
                  </w:p>
                </w:tc>
              </w:sdtContent>
            </w:sdt>
            <w:sdt>
              <w:sdtPr>
                <w:rPr>
                  <w:rFonts w:asciiTheme="majorEastAsia" w:hAnsiTheme="majorEastAsia" w:eastAsiaTheme="majorEastAsia"/>
                  <w:sz w:val="16"/>
                  <w:szCs w:val="16"/>
                </w:rPr>
                <w:alias w:val="使用权资产"/>
                <w:tag w:val="_GBC_c5f95837b99940e9bff8f606a3972d0a"/>
                <w:id w:val="1787234502"/>
                <w:lock w:val="sdtLocked"/>
              </w:sdtPr>
              <w:sdtEndPr>
                <w:rPr>
                  <w:rFonts w:asciiTheme="majorEastAsia" w:hAnsiTheme="majorEastAsia" w:eastAsiaTheme="majorEastAsia"/>
                  <w:sz w:val="16"/>
                  <w:szCs w:val="16"/>
                </w:rPr>
              </w:sdtEndPr>
              <w:sdtContent>
                <w:tc>
                  <w:tcPr>
                    <w:tcW w:w="694" w:type="pct"/>
                    <w:shd w:val="clear" w:color="auto" w:fill="auto"/>
                    <w:vAlign w:val="center"/>
                  </w:tcPr>
                  <w:p>
                    <w:pPr>
                      <w:spacing w:line="240" w:lineRule="atLeast"/>
                      <w:jc w:val="right"/>
                      <w:rPr>
                        <w:rFonts w:asciiTheme="majorEastAsia" w:hAnsiTheme="majorEastAsia" w:eastAsiaTheme="majorEastAsia"/>
                        <w:sz w:val="16"/>
                        <w:szCs w:val="16"/>
                      </w:rPr>
                    </w:pPr>
                    <w:r>
                      <w:rPr>
                        <w:rFonts w:asciiTheme="majorEastAsia" w:hAnsiTheme="majorEastAsia" w:eastAsiaTheme="majorEastAsia"/>
                        <w:sz w:val="16"/>
                        <w:szCs w:val="16"/>
                      </w:rPr>
                      <w:t>29,471,084.75</w:t>
                    </w:r>
                  </w:p>
                </w:tc>
              </w:sdtContent>
            </w:sdt>
          </w:tr>
        </w:tbl>
        <w:p>
          <w:pPr>
            <w:autoSpaceDE w:val="0"/>
            <w:autoSpaceDN w:val="0"/>
            <w:adjustRightInd w:val="0"/>
            <w:rPr>
              <w:rFonts w:asciiTheme="majorEastAsia" w:hAnsiTheme="majorEastAsia" w:eastAsiaTheme="majorEastAsia"/>
              <w:sz w:val="16"/>
              <w:szCs w:val="16"/>
            </w:rPr>
          </w:pPr>
          <w:r>
            <w:rPr>
              <w:rFonts w:hint="eastAsia" w:asciiTheme="majorEastAsia" w:hAnsiTheme="majorEastAsia" w:eastAsiaTheme="majorEastAsia"/>
              <w:sz w:val="16"/>
              <w:szCs w:val="16"/>
            </w:rPr>
            <w:t>其他说明：</w:t>
          </w:r>
        </w:p>
        <w:sdt>
          <w:sdtPr>
            <w:alias w:val="使用权资产其他说明"/>
            <w:tag w:val="_GBC_59e827e1177d4b7b8daf26999a9ca64a"/>
            <w:id w:val="-823893032"/>
            <w:lock w:val="sdtLocked"/>
            <w:placeholder>
              <w:docPart w:val="GBC22222222222222222222222222222"/>
            </w:placeholder>
          </w:sdtPr>
          <w:sdtContent>
            <w:p>
              <w:pPr>
                <w:pStyle w:val="114"/>
              </w:pPr>
              <w:r>
                <w:rPr>
                  <w:rFonts w:hint="eastAsia"/>
                </w:rPr>
                <w:t>不适用</w:t>
              </w:r>
            </w:p>
          </w:sdtContent>
        </w:sdt>
      </w:sdtContent>
    </w:sdt>
    <w:bookmarkEnd w:id="197"/>
    <w:p>
      <w:pPr>
        <w:pStyle w:val="114"/>
      </w:pPr>
    </w:p>
    <w:p>
      <w:pPr>
        <w:pStyle w:val="4"/>
        <w:numPr>
          <w:ilvl w:val="0"/>
          <w:numId w:val="51"/>
        </w:numPr>
        <w:tabs>
          <w:tab w:val="left" w:pos="504"/>
        </w:tabs>
        <w:rPr>
          <w:rFonts w:ascii="宋体" w:hAnsi="宋体"/>
          <w:szCs w:val="21"/>
        </w:rPr>
      </w:pPr>
      <w:r>
        <w:rPr>
          <w:rFonts w:hint="eastAsia" w:ascii="宋体" w:hAnsi="宋体"/>
          <w:szCs w:val="21"/>
        </w:rPr>
        <w:t>无形资产</w:t>
      </w:r>
    </w:p>
    <w:p>
      <w:pPr>
        <w:pStyle w:val="212"/>
        <w:numPr>
          <w:ilvl w:val="0"/>
          <w:numId w:val="67"/>
        </w:numPr>
        <w:tabs>
          <w:tab w:val="left" w:pos="602"/>
        </w:tabs>
        <w:rPr>
          <w:rFonts w:ascii="宋体" w:hAnsi="宋体"/>
          <w:szCs w:val="21"/>
        </w:rPr>
      </w:pPr>
      <w:r>
        <w:rPr>
          <w:rFonts w:hint="eastAsia" w:ascii="宋体" w:hAnsi="宋体"/>
          <w:szCs w:val="21"/>
        </w:rPr>
        <w:t>无形资产情况</w:t>
      </w:r>
    </w:p>
    <w:p>
      <w:pPr>
        <w:pStyle w:val="208"/>
      </w:pPr>
      <w:sdt>
        <w:sdtPr>
          <w:rPr>
            <w:rFonts w:hint="eastAsia"/>
          </w:rPr>
          <w:alias w:val="是否适用：无形资产情况[双击切换]"/>
          <w:tag w:val="_GBC_0882d05501f84259b91efc5f2eae98cf"/>
          <w:id w:val="1119110517"/>
          <w:lock w:val="sdtConten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rPr>
        <w:alias w:val="模块:无形资产情况"/>
        <w:tag w:val="_GBC_799ffdb131784d33a2db94a85018c927"/>
        <w:id w:val="-304090447"/>
        <w:lock w:val="sdtLocked"/>
        <w:placeholder>
          <w:docPart w:val="GBC22222222222222222222222222222"/>
        </w:placeholder>
      </w:sdtPr>
      <w:sdtEndPr>
        <w:rPr>
          <w:rFonts w:hint="default"/>
          <w:b w:val="0"/>
          <w:bCs w:val="0"/>
        </w:rPr>
      </w:sdtEndPr>
      <w:sdtContent>
        <w:p>
          <w:pPr>
            <w:snapToGrid w:val="0"/>
            <w:spacing w:line="240" w:lineRule="atLeast"/>
            <w:jc w:val="right"/>
          </w:pPr>
          <w:r>
            <w:rPr>
              <w:rFonts w:hint="eastAsia"/>
            </w:rPr>
            <w:t>单位：</w:t>
          </w:r>
          <w:sdt>
            <w:sdtPr>
              <w:rPr>
                <w:rFonts w:hint="eastAsia"/>
              </w:rPr>
              <w:alias w:val="单位：财务附注：无形资产情况"/>
              <w:tag w:val="_GBC_e04514c8858e489490302ba7c2e1448a"/>
              <w:id w:val="-278639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16527909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
            <w:gridCol w:w="2146"/>
            <w:gridCol w:w="1339"/>
            <w:gridCol w:w="1340"/>
            <w:gridCol w:w="1126"/>
            <w:gridCol w:w="112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16e062da10ef4301a1526b8633f88a31"/>
                <w:id w:val="-1566790388"/>
                <w:lock w:val="sdtLocked"/>
              </w:sdtPr>
              <w:sdtEndPr>
                <w:rPr>
                  <w:sz w:val="14"/>
                  <w:szCs w:val="14"/>
                </w:rPr>
              </w:sdtEndPr>
              <w:sdtContent>
                <w:tc>
                  <w:tcPr>
                    <w:tcW w:w="158" w:type="pct"/>
                    <w:shd w:val="clear" w:color="auto" w:fill="auto"/>
                    <w:vAlign w:val="center"/>
                  </w:tcPr>
                  <w:p>
                    <w:pPr>
                      <w:jc w:val="center"/>
                      <w:rPr>
                        <w:sz w:val="14"/>
                        <w:szCs w:val="14"/>
                      </w:rPr>
                    </w:pPr>
                    <w:r>
                      <w:rPr>
                        <w:rFonts w:hint="eastAsia"/>
                        <w:sz w:val="14"/>
                        <w:szCs w:val="14"/>
                      </w:rPr>
                      <w:t>项目</w:t>
                    </w:r>
                  </w:p>
                </w:tc>
              </w:sdtContent>
            </w:sdt>
            <w:sdt>
              <w:sdtPr>
                <w:rPr>
                  <w:sz w:val="14"/>
                  <w:szCs w:val="14"/>
                </w:rPr>
                <w:alias w:val="无形资产明细－项目"/>
                <w:tag w:val="_GBC_ee2531f58c0a420e83919cd1efe46139"/>
                <w:id w:val="346986643"/>
                <w:lock w:val="sdtLocked"/>
              </w:sdtPr>
              <w:sdtEndPr>
                <w:rPr>
                  <w:rFonts w:hint="eastAsia"/>
                  <w:sz w:val="14"/>
                  <w:szCs w:val="14"/>
                </w:rPr>
              </w:sdtEndPr>
              <w:sdtContent>
                <w:tc>
                  <w:tcPr>
                    <w:tcW w:w="1212" w:type="pct"/>
                    <w:shd w:val="clear" w:color="auto" w:fill="auto"/>
                    <w:vAlign w:val="center"/>
                  </w:tcPr>
                  <w:p>
                    <w:pPr>
                      <w:jc w:val="center"/>
                      <w:rPr>
                        <w:sz w:val="14"/>
                        <w:szCs w:val="14"/>
                      </w:rPr>
                    </w:pPr>
                    <w:r>
                      <w:rPr>
                        <w:rFonts w:hint="eastAsia"/>
                        <w:sz w:val="14"/>
                        <w:szCs w:val="14"/>
                      </w:rPr>
                      <w:t>公路经营权</w:t>
                    </w:r>
                    <w:r>
                      <w:rPr>
                        <w:sz w:val="14"/>
                        <w:szCs w:val="14"/>
                      </w:rPr>
                      <w:t>-运营</w:t>
                    </w:r>
                  </w:p>
                </w:tc>
              </w:sdtContent>
            </w:sdt>
            <w:sdt>
              <w:sdtPr>
                <w:rPr>
                  <w:sz w:val="14"/>
                  <w:szCs w:val="14"/>
                </w:rPr>
                <w:alias w:val="无形资产明细－项目"/>
                <w:tag w:val="_GBC_ee2531f58c0a420e83919cd1efe46139"/>
                <w:id w:val="-1461490303"/>
                <w:lock w:val="sdtLocked"/>
              </w:sdtPr>
              <w:sdtEndPr>
                <w:rPr>
                  <w:rFonts w:hint="eastAsia"/>
                  <w:sz w:val="14"/>
                  <w:szCs w:val="14"/>
                </w:rPr>
              </w:sdtEndPr>
              <w:sdtContent>
                <w:tc>
                  <w:tcPr>
                    <w:tcW w:w="766" w:type="pct"/>
                    <w:shd w:val="clear" w:color="auto" w:fill="auto"/>
                    <w:vAlign w:val="center"/>
                  </w:tcPr>
                  <w:p>
                    <w:pPr>
                      <w:jc w:val="center"/>
                      <w:rPr>
                        <w:sz w:val="14"/>
                        <w:szCs w:val="14"/>
                      </w:rPr>
                    </w:pPr>
                    <w:r>
                      <w:rPr>
                        <w:rFonts w:hint="eastAsia"/>
                        <w:sz w:val="14"/>
                        <w:szCs w:val="14"/>
                      </w:rPr>
                      <w:t>公路经营权</w:t>
                    </w:r>
                    <w:r>
                      <w:rPr>
                        <w:sz w:val="14"/>
                        <w:szCs w:val="14"/>
                      </w:rPr>
                      <w:t>-运营</w:t>
                    </w:r>
                  </w:p>
                </w:tc>
              </w:sdtContent>
            </w:sdt>
            <w:sdt>
              <w:sdtPr>
                <w:rPr>
                  <w:sz w:val="14"/>
                  <w:szCs w:val="14"/>
                </w:rPr>
                <w:tag w:val="_PLD_624f8e9465f646f5a305cf5fc59a830c"/>
                <w:id w:val="1280072924"/>
                <w:lock w:val="sdtLocked"/>
              </w:sdtPr>
              <w:sdtEndPr>
                <w:rPr>
                  <w:sz w:val="14"/>
                  <w:szCs w:val="14"/>
                </w:rPr>
              </w:sdtEndPr>
              <w:sdtContent>
                <w:tc>
                  <w:tcPr>
                    <w:tcW w:w="766" w:type="pct"/>
                    <w:shd w:val="clear" w:color="auto" w:fill="auto"/>
                    <w:vAlign w:val="center"/>
                  </w:tcPr>
                  <w:p>
                    <w:pPr>
                      <w:jc w:val="center"/>
                      <w:rPr>
                        <w:sz w:val="14"/>
                        <w:szCs w:val="14"/>
                      </w:rPr>
                    </w:pPr>
                    <w:r>
                      <w:rPr>
                        <w:rFonts w:hint="eastAsia"/>
                        <w:sz w:val="14"/>
                        <w:szCs w:val="14"/>
                      </w:rPr>
                      <w:t>土地使用权</w:t>
                    </w:r>
                  </w:p>
                </w:tc>
              </w:sdtContent>
            </w:sdt>
            <w:sdt>
              <w:sdtPr>
                <w:rPr>
                  <w:sz w:val="14"/>
                  <w:szCs w:val="14"/>
                </w:rPr>
                <w:alias w:val="无形资产明细－项目"/>
                <w:tag w:val="_GBC_ee2531f58c0a420e83919cd1efe46139"/>
                <w:id w:val="-1348780032"/>
                <w:lock w:val="sdtLocked"/>
              </w:sdtPr>
              <w:sdtEndPr>
                <w:rPr>
                  <w:rFonts w:hint="eastAsia"/>
                  <w:sz w:val="14"/>
                  <w:szCs w:val="14"/>
                </w:rPr>
              </w:sdtEndPr>
              <w:sdtContent>
                <w:tc>
                  <w:tcPr>
                    <w:tcW w:w="645" w:type="pct"/>
                    <w:shd w:val="clear" w:color="auto" w:fill="auto"/>
                    <w:vAlign w:val="center"/>
                  </w:tcPr>
                  <w:p>
                    <w:pPr>
                      <w:jc w:val="center"/>
                      <w:rPr>
                        <w:sz w:val="14"/>
                        <w:szCs w:val="14"/>
                      </w:rPr>
                    </w:pPr>
                    <w:r>
                      <w:rPr>
                        <w:rFonts w:hint="eastAsia"/>
                        <w:sz w:val="14"/>
                        <w:szCs w:val="14"/>
                      </w:rPr>
                      <w:t>海域使用权</w:t>
                    </w:r>
                  </w:p>
                </w:tc>
              </w:sdtContent>
            </w:sdt>
            <w:sdt>
              <w:sdtPr>
                <w:rPr>
                  <w:sz w:val="14"/>
                  <w:szCs w:val="14"/>
                </w:rPr>
                <w:alias w:val="无形资产明细－项目"/>
                <w:tag w:val="_GBC_ee2531f58c0a420e83919cd1efe46139"/>
                <w:id w:val="-1750104529"/>
                <w:lock w:val="sdtLocked"/>
              </w:sdtPr>
              <w:sdtEndPr>
                <w:rPr>
                  <w:rFonts w:hint="eastAsia"/>
                  <w:sz w:val="14"/>
                  <w:szCs w:val="14"/>
                </w:rPr>
              </w:sdtEndPr>
              <w:sdtContent>
                <w:tc>
                  <w:tcPr>
                    <w:tcW w:w="645" w:type="pct"/>
                    <w:shd w:val="clear" w:color="auto" w:fill="auto"/>
                    <w:vAlign w:val="center"/>
                  </w:tcPr>
                  <w:p>
                    <w:pPr>
                      <w:jc w:val="center"/>
                      <w:rPr>
                        <w:sz w:val="14"/>
                        <w:szCs w:val="14"/>
                      </w:rPr>
                    </w:pPr>
                    <w:r>
                      <w:rPr>
                        <w:rFonts w:hint="eastAsia"/>
                        <w:sz w:val="14"/>
                        <w:szCs w:val="14"/>
                      </w:rPr>
                      <w:t>软件</w:t>
                    </w:r>
                  </w:p>
                </w:tc>
              </w:sdtContent>
            </w:sdt>
            <w:sdt>
              <w:sdtPr>
                <w:rPr>
                  <w:sz w:val="14"/>
                  <w:szCs w:val="14"/>
                </w:rPr>
                <w:tag w:val="_PLD_57620ddc57e34012a99d49f2280a99e2"/>
                <w:id w:val="468558366"/>
                <w:lock w:val="sdtLocked"/>
              </w:sdtPr>
              <w:sdtEndPr>
                <w:rPr>
                  <w:sz w:val="14"/>
                  <w:szCs w:val="14"/>
                </w:rPr>
              </w:sdtEndPr>
              <w:sdtContent>
                <w:tc>
                  <w:tcPr>
                    <w:tcW w:w="806" w:type="pct"/>
                    <w:shd w:val="clear" w:color="auto" w:fill="auto"/>
                    <w:vAlign w:val="center"/>
                  </w:tcPr>
                  <w:p>
                    <w:pPr>
                      <w:jc w:val="center"/>
                      <w:rPr>
                        <w:sz w:val="14"/>
                        <w:szCs w:val="14"/>
                      </w:rPr>
                    </w:pPr>
                    <w:r>
                      <w:rPr>
                        <w:sz w:val="14"/>
                        <w:szCs w:val="14"/>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97ce5956782c457c89e9607c943b01d4"/>
                <w:id w:val="-864746423"/>
                <w:lock w:val="sdtLocked"/>
              </w:sdtPr>
              <w:sdtEndPr>
                <w:rPr>
                  <w:sz w:val="14"/>
                  <w:szCs w:val="14"/>
                </w:rPr>
              </w:sdtEndPr>
              <w:sdtContent>
                <w:tc>
                  <w:tcPr>
                    <w:tcW w:w="5000" w:type="pct"/>
                    <w:gridSpan w:val="7"/>
                    <w:shd w:val="clear" w:color="auto" w:fill="auto"/>
                    <w:vAlign w:val="center"/>
                  </w:tcPr>
                  <w:p>
                    <w:pPr>
                      <w:rPr>
                        <w:sz w:val="14"/>
                        <w:szCs w:val="14"/>
                      </w:rPr>
                    </w:pPr>
                    <w:r>
                      <w:rPr>
                        <w:sz w:val="14"/>
                        <w:szCs w:val="14"/>
                      </w:rPr>
                      <w:t>一、</w:t>
                    </w:r>
                    <w:r>
                      <w:rPr>
                        <w:rFonts w:hint="eastAsia"/>
                        <w:sz w:val="14"/>
                        <w:szCs w:val="14"/>
                      </w:rPr>
                      <w:t>账面原值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3ece69191bc64684a4f52dc219040125"/>
                <w:id w:val="-1529491899"/>
                <w:lock w:val="sdtLocked"/>
              </w:sdtPr>
              <w:sdtEndPr>
                <w:rPr>
                  <w:sz w:val="14"/>
                  <w:szCs w:val="14"/>
                </w:rPr>
              </w:sdtEndPr>
              <w:sdtContent>
                <w:tc>
                  <w:tcPr>
                    <w:tcW w:w="158" w:type="pct"/>
                    <w:shd w:val="clear" w:color="auto" w:fill="auto"/>
                    <w:vAlign w:val="center"/>
                  </w:tcPr>
                  <w:p>
                    <w:pPr>
                      <w:rPr>
                        <w:sz w:val="14"/>
                        <w:szCs w:val="14"/>
                      </w:rPr>
                    </w:pPr>
                    <w:r>
                      <w:rPr>
                        <w:sz w:val="14"/>
                        <w:szCs w:val="14"/>
                      </w:rPr>
                      <w:t xml:space="preserve">    1.</w:t>
                    </w:r>
                    <w:r>
                      <w:rPr>
                        <w:rFonts w:hint="eastAsia"/>
                        <w:sz w:val="14"/>
                        <w:szCs w:val="14"/>
                      </w:rPr>
                      <w:t>期</w:t>
                    </w:r>
                    <w:r>
                      <w:rPr>
                        <w:sz w:val="14"/>
                        <w:szCs w:val="14"/>
                      </w:rPr>
                      <w:t>初余额</w:t>
                    </w:r>
                  </w:p>
                </w:tc>
              </w:sdtContent>
            </w:sdt>
            <w:tc>
              <w:tcPr>
                <w:tcW w:w="1212" w:type="pct"/>
                <w:shd w:val="clear" w:color="auto" w:fill="auto"/>
                <w:vAlign w:val="center"/>
              </w:tcPr>
              <w:p>
                <w:pPr>
                  <w:jc w:val="right"/>
                  <w:rPr>
                    <w:sz w:val="14"/>
                    <w:szCs w:val="14"/>
                  </w:rPr>
                </w:pPr>
                <w:r>
                  <w:rPr>
                    <w:sz w:val="14"/>
                    <w:szCs w:val="14"/>
                  </w:rPr>
                  <w:t>50,538,009,090.58</w:t>
                </w:r>
              </w:p>
            </w:tc>
            <w:tc>
              <w:tcPr>
                <w:tcW w:w="766" w:type="pct"/>
                <w:shd w:val="clear" w:color="auto" w:fill="auto"/>
                <w:vAlign w:val="center"/>
              </w:tcPr>
              <w:p>
                <w:pPr>
                  <w:jc w:val="right"/>
                  <w:rPr>
                    <w:sz w:val="14"/>
                    <w:szCs w:val="14"/>
                  </w:rPr>
                </w:pPr>
                <w:r>
                  <w:rPr>
                    <w:sz w:val="14"/>
                    <w:szCs w:val="14"/>
                  </w:rPr>
                  <w:t>5,346,592,512.27</w:t>
                </w:r>
              </w:p>
            </w:tc>
            <w:tc>
              <w:tcPr>
                <w:tcW w:w="766" w:type="pct"/>
                <w:shd w:val="clear" w:color="auto" w:fill="auto"/>
                <w:vAlign w:val="center"/>
              </w:tcPr>
              <w:p>
                <w:pPr>
                  <w:jc w:val="right"/>
                  <w:rPr>
                    <w:sz w:val="14"/>
                    <w:szCs w:val="14"/>
                  </w:rPr>
                </w:pPr>
                <w:r>
                  <w:rPr>
                    <w:sz w:val="14"/>
                    <w:szCs w:val="14"/>
                  </w:rPr>
                  <w:t>1,747,328,971.12</w:t>
                </w:r>
              </w:p>
            </w:tc>
            <w:tc>
              <w:tcPr>
                <w:tcW w:w="645" w:type="pct"/>
                <w:shd w:val="clear" w:color="auto" w:fill="auto"/>
                <w:vAlign w:val="center"/>
              </w:tcPr>
              <w:p>
                <w:pPr>
                  <w:jc w:val="right"/>
                  <w:rPr>
                    <w:sz w:val="14"/>
                    <w:szCs w:val="14"/>
                  </w:rPr>
                </w:pPr>
                <w:r>
                  <w:rPr>
                    <w:sz w:val="14"/>
                    <w:szCs w:val="14"/>
                  </w:rPr>
                  <w:t>75,992,526.65</w:t>
                </w:r>
              </w:p>
            </w:tc>
            <w:tc>
              <w:tcPr>
                <w:tcW w:w="645" w:type="pct"/>
                <w:shd w:val="clear" w:color="auto" w:fill="auto"/>
                <w:vAlign w:val="center"/>
              </w:tcPr>
              <w:p>
                <w:pPr>
                  <w:jc w:val="right"/>
                  <w:rPr>
                    <w:sz w:val="14"/>
                    <w:szCs w:val="14"/>
                  </w:rPr>
                </w:pPr>
                <w:r>
                  <w:rPr>
                    <w:sz w:val="14"/>
                    <w:szCs w:val="14"/>
                  </w:rPr>
                  <w:t>78,937,599.10</w:t>
                </w:r>
              </w:p>
            </w:tc>
            <w:tc>
              <w:tcPr>
                <w:tcW w:w="806" w:type="pct"/>
                <w:shd w:val="clear" w:color="auto" w:fill="auto"/>
                <w:vAlign w:val="center"/>
              </w:tcPr>
              <w:p>
                <w:pPr>
                  <w:jc w:val="right"/>
                  <w:rPr>
                    <w:sz w:val="14"/>
                    <w:szCs w:val="14"/>
                  </w:rPr>
                </w:pPr>
                <w:r>
                  <w:rPr>
                    <w:sz w:val="14"/>
                    <w:szCs w:val="14"/>
                  </w:rPr>
                  <w:t>57,786,860,699.72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619b832ec5e340dc899fb93538a5459d"/>
                <w:id w:val="-2078652066"/>
                <w:lock w:val="sdtLocked"/>
              </w:sdtPr>
              <w:sdtEndPr>
                <w:rPr>
                  <w:sz w:val="14"/>
                  <w:szCs w:val="14"/>
                </w:rPr>
              </w:sdtEndPr>
              <w:sdtContent>
                <w:tc>
                  <w:tcPr>
                    <w:tcW w:w="158" w:type="pct"/>
                    <w:shd w:val="clear" w:color="auto" w:fill="auto"/>
                    <w:vAlign w:val="center"/>
                  </w:tcPr>
                  <w:p>
                    <w:pPr>
                      <w:ind w:firstLine="280" w:firstLineChars="200"/>
                      <w:rPr>
                        <w:sz w:val="14"/>
                        <w:szCs w:val="14"/>
                      </w:rPr>
                    </w:pPr>
                    <w:r>
                      <w:rPr>
                        <w:sz w:val="14"/>
                        <w:szCs w:val="14"/>
                      </w:rPr>
                      <w:t>2.本期增加</w:t>
                    </w:r>
                    <w:r>
                      <w:rPr>
                        <w:rFonts w:hint="eastAsia"/>
                        <w:sz w:val="14"/>
                        <w:szCs w:val="14"/>
                      </w:rPr>
                      <w:t>金额</w:t>
                    </w:r>
                  </w:p>
                </w:tc>
              </w:sdtContent>
            </w:sdt>
            <w:tc>
              <w:tcPr>
                <w:tcW w:w="1212"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1,055,606,752.73</w:t>
                </w:r>
              </w:p>
            </w:tc>
            <w:tc>
              <w:tcPr>
                <w:tcW w:w="7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1,608,422.83</w:t>
                </w:r>
              </w:p>
            </w:tc>
            <w:tc>
              <w:tcPr>
                <w:tcW w:w="806" w:type="pct"/>
                <w:shd w:val="clear" w:color="auto" w:fill="auto"/>
                <w:vAlign w:val="center"/>
              </w:tcPr>
              <w:p>
                <w:pPr>
                  <w:jc w:val="right"/>
                  <w:rPr>
                    <w:sz w:val="14"/>
                    <w:szCs w:val="14"/>
                  </w:rPr>
                </w:pPr>
                <w:r>
                  <w:rPr>
                    <w:sz w:val="14"/>
                    <w:szCs w:val="14"/>
                  </w:rPr>
                  <w:t>1,057,215,175.56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90ef4a07fa3c4f969161b700396d9ac5"/>
                <w:id w:val="-135801801"/>
                <w:lock w:val="sdtLocked"/>
              </w:sdtPr>
              <w:sdtEndPr>
                <w:rPr>
                  <w:sz w:val="14"/>
                  <w:szCs w:val="14"/>
                </w:rPr>
              </w:sdtEndPr>
              <w:sdtContent>
                <w:tc>
                  <w:tcPr>
                    <w:tcW w:w="158" w:type="pct"/>
                    <w:shd w:val="clear" w:color="auto" w:fill="auto"/>
                    <w:vAlign w:val="center"/>
                  </w:tcPr>
                  <w:p>
                    <w:pPr>
                      <w:ind w:firstLine="420" w:firstLineChars="300"/>
                      <w:rPr>
                        <w:sz w:val="14"/>
                        <w:szCs w:val="14"/>
                      </w:rPr>
                    </w:pPr>
                    <w:r>
                      <w:rPr>
                        <w:sz w:val="14"/>
                        <w:szCs w:val="14"/>
                      </w:rPr>
                      <w:t>(1)</w:t>
                    </w:r>
                    <w:r>
                      <w:rPr>
                        <w:rFonts w:hint="eastAsia"/>
                        <w:sz w:val="14"/>
                        <w:szCs w:val="14"/>
                      </w:rPr>
                      <w:t>购置</w:t>
                    </w:r>
                  </w:p>
                </w:tc>
              </w:sdtContent>
            </w:sdt>
            <w:tc>
              <w:tcPr>
                <w:tcW w:w="1212"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1,608,422.83</w:t>
                </w:r>
              </w:p>
            </w:tc>
            <w:tc>
              <w:tcPr>
                <w:tcW w:w="806" w:type="pct"/>
                <w:shd w:val="clear" w:color="auto" w:fill="auto"/>
                <w:vAlign w:val="center"/>
              </w:tcPr>
              <w:p>
                <w:pPr>
                  <w:jc w:val="right"/>
                  <w:rPr>
                    <w:sz w:val="14"/>
                    <w:szCs w:val="14"/>
                  </w:rPr>
                </w:pPr>
                <w:r>
                  <w:rPr>
                    <w:sz w:val="14"/>
                    <w:szCs w:val="14"/>
                  </w:rPr>
                  <w:t>1,608,422.83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hint="eastAsia"/>
                  <w:sz w:val="14"/>
                  <w:szCs w:val="14"/>
                </w:rPr>
                <w:alias w:val="无形资产账面原值增加项目名称"/>
                <w:tag w:val="_GBC_23146e7638324faaa7da0b428a22d186"/>
                <w:id w:val="-1547374109"/>
                <w:lock w:val="sdtLocked"/>
              </w:sdtPr>
              <w:sdtEndPr>
                <w:rPr>
                  <w:rFonts w:hint="eastAsia"/>
                  <w:sz w:val="14"/>
                  <w:szCs w:val="14"/>
                </w:rPr>
              </w:sdtEndPr>
              <w:sdtContent>
                <w:tc>
                  <w:tcPr>
                    <w:tcW w:w="158" w:type="pct"/>
                    <w:shd w:val="clear" w:color="auto" w:fill="auto"/>
                  </w:tcPr>
                  <w:p>
                    <w:pPr>
                      <w:ind w:firstLine="420" w:firstLineChars="300"/>
                      <w:rPr>
                        <w:sz w:val="14"/>
                        <w:szCs w:val="14"/>
                      </w:rPr>
                    </w:pPr>
                    <w:r>
                      <w:rPr>
                        <w:sz w:val="14"/>
                        <w:szCs w:val="14"/>
                      </w:rPr>
                      <w:t>(2)自建</w:t>
                    </w:r>
                  </w:p>
                </w:tc>
              </w:sdtContent>
            </w:sdt>
            <w:sdt>
              <w:sdtPr>
                <w:rPr>
                  <w:rFonts w:hint="eastAsia"/>
                  <w:sz w:val="14"/>
                  <w:szCs w:val="14"/>
                </w:rPr>
                <w:alias w:val="无形资产账面原值增加项目金额"/>
                <w:tag w:val="_GBC_0c66eaa614d14da0b0b87a56942737ed"/>
                <w:id w:val="166061768"/>
                <w:lock w:val="sdtLocked"/>
              </w:sdtPr>
              <w:sdtEndPr>
                <w:rPr>
                  <w:rFonts w:hint="eastAsia"/>
                  <w:sz w:val="14"/>
                  <w:szCs w:val="14"/>
                </w:rPr>
              </w:sdtEndPr>
              <w:sdtContent>
                <w:tc>
                  <w:tcPr>
                    <w:tcW w:w="1212"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398360436"/>
                <w:lock w:val="sdtLocked"/>
              </w:sdtPr>
              <w:sdtEndPr>
                <w:rPr>
                  <w:rFonts w:hint="eastAsia"/>
                  <w:sz w:val="14"/>
                  <w:szCs w:val="14"/>
                </w:rPr>
              </w:sdtEndPr>
              <w:sdtContent>
                <w:tc>
                  <w:tcPr>
                    <w:tcW w:w="766" w:type="pct"/>
                    <w:shd w:val="clear" w:color="auto" w:fill="auto"/>
                  </w:tcPr>
                  <w:p>
                    <w:pPr>
                      <w:jc w:val="right"/>
                      <w:rPr>
                        <w:sz w:val="14"/>
                        <w:szCs w:val="14"/>
                      </w:rPr>
                    </w:pPr>
                    <w:r>
                      <w:rPr>
                        <w:sz w:val="14"/>
                        <w:szCs w:val="14"/>
                      </w:rPr>
                      <w:t>1,003,842,165.73</w:t>
                    </w:r>
                  </w:p>
                </w:tc>
              </w:sdtContent>
            </w:sdt>
            <w:sdt>
              <w:sdtPr>
                <w:rPr>
                  <w:rFonts w:hint="eastAsia"/>
                  <w:sz w:val="14"/>
                  <w:szCs w:val="14"/>
                </w:rPr>
                <w:alias w:val="无形资产非专利技术账面原值增加项目金额"/>
                <w:tag w:val="_GBC_993f412620f445e88bd61968f7459ec9"/>
                <w:id w:val="-733318532"/>
                <w:lock w:val="sdtLocked"/>
              </w:sdtPr>
              <w:sdtEndPr>
                <w:rPr>
                  <w:rFonts w:hint="eastAsia"/>
                  <w:sz w:val="14"/>
                  <w:szCs w:val="14"/>
                </w:rPr>
              </w:sdtEndPr>
              <w:sdtContent>
                <w:tc>
                  <w:tcPr>
                    <w:tcW w:w="766"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1417366647"/>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900677201"/>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合计金额"/>
                <w:tag w:val="_GBC_29ad01d7f03a4139909a42289d945b78"/>
                <w:id w:val="-1333298236"/>
                <w:lock w:val="sdtLocked"/>
              </w:sdtPr>
              <w:sdtEndPr>
                <w:rPr>
                  <w:rFonts w:hint="eastAsia"/>
                  <w:sz w:val="14"/>
                  <w:szCs w:val="14"/>
                </w:rPr>
              </w:sdtEndPr>
              <w:sdtContent>
                <w:tc>
                  <w:tcPr>
                    <w:tcW w:w="806" w:type="pct"/>
                    <w:shd w:val="clear" w:color="auto" w:fill="auto"/>
                  </w:tcPr>
                  <w:p>
                    <w:pPr>
                      <w:jc w:val="right"/>
                      <w:rPr>
                        <w:sz w:val="14"/>
                        <w:szCs w:val="14"/>
                      </w:rPr>
                    </w:pPr>
                    <w:r>
                      <w:rPr>
                        <w:sz w:val="14"/>
                        <w:szCs w:val="14"/>
                      </w:rPr>
                      <w:t>1,003,842,165.73</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hint="eastAsia"/>
                  <w:sz w:val="14"/>
                  <w:szCs w:val="14"/>
                </w:rPr>
                <w:alias w:val="无形资产账面原值增加项目名称"/>
                <w:tag w:val="_GBC_23146e7638324faaa7da0b428a22d186"/>
                <w:id w:val="2010245474"/>
                <w:lock w:val="sdtLocked"/>
              </w:sdtPr>
              <w:sdtEndPr>
                <w:rPr>
                  <w:rFonts w:hint="eastAsia"/>
                  <w:sz w:val="14"/>
                  <w:szCs w:val="14"/>
                </w:rPr>
              </w:sdtEndPr>
              <w:sdtContent>
                <w:tc>
                  <w:tcPr>
                    <w:tcW w:w="158" w:type="pct"/>
                    <w:shd w:val="clear" w:color="auto" w:fill="auto"/>
                  </w:tcPr>
                  <w:p>
                    <w:pPr>
                      <w:ind w:firstLine="420" w:firstLineChars="300"/>
                      <w:rPr>
                        <w:sz w:val="14"/>
                        <w:szCs w:val="14"/>
                      </w:rPr>
                    </w:pPr>
                    <w:r>
                      <w:rPr>
                        <w:sz w:val="14"/>
                        <w:szCs w:val="14"/>
                      </w:rPr>
                      <w:t>(3)在建工程转入</w:t>
                    </w:r>
                  </w:p>
                </w:tc>
              </w:sdtContent>
            </w:sdt>
            <w:sdt>
              <w:sdtPr>
                <w:rPr>
                  <w:rFonts w:hint="eastAsia"/>
                  <w:sz w:val="14"/>
                  <w:szCs w:val="14"/>
                </w:rPr>
                <w:alias w:val="无形资产账面原值增加项目金额"/>
                <w:tag w:val="_GBC_0c66eaa614d14da0b0b87a56942737ed"/>
                <w:id w:val="-809641145"/>
                <w:lock w:val="sdtLocked"/>
              </w:sdtPr>
              <w:sdtEndPr>
                <w:rPr>
                  <w:rFonts w:hint="eastAsia"/>
                  <w:sz w:val="14"/>
                  <w:szCs w:val="14"/>
                </w:rPr>
              </w:sdtEndPr>
              <w:sdtContent>
                <w:tc>
                  <w:tcPr>
                    <w:tcW w:w="1212"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1381234817"/>
                <w:lock w:val="sdtLocked"/>
              </w:sdtPr>
              <w:sdtEndPr>
                <w:rPr>
                  <w:rFonts w:hint="eastAsia"/>
                  <w:sz w:val="14"/>
                  <w:szCs w:val="14"/>
                </w:rPr>
              </w:sdtEndPr>
              <w:sdtContent>
                <w:tc>
                  <w:tcPr>
                    <w:tcW w:w="766" w:type="pct"/>
                    <w:shd w:val="clear" w:color="auto" w:fill="auto"/>
                  </w:tcPr>
                  <w:p>
                    <w:pPr>
                      <w:jc w:val="right"/>
                      <w:rPr>
                        <w:sz w:val="14"/>
                        <w:szCs w:val="14"/>
                      </w:rPr>
                    </w:pPr>
                    <w:r>
                      <w:rPr>
                        <w:sz w:val="14"/>
                        <w:szCs w:val="14"/>
                      </w:rPr>
                      <w:t>51,764,587.00</w:t>
                    </w:r>
                  </w:p>
                </w:tc>
              </w:sdtContent>
            </w:sdt>
            <w:sdt>
              <w:sdtPr>
                <w:rPr>
                  <w:rFonts w:hint="eastAsia"/>
                  <w:sz w:val="14"/>
                  <w:szCs w:val="14"/>
                </w:rPr>
                <w:alias w:val="无形资产非专利技术账面原值增加项目金额"/>
                <w:tag w:val="_GBC_993f412620f445e88bd61968f7459ec9"/>
                <w:id w:val="-834615271"/>
                <w:lock w:val="sdtLocked"/>
              </w:sdtPr>
              <w:sdtEndPr>
                <w:rPr>
                  <w:rFonts w:hint="eastAsia"/>
                  <w:sz w:val="14"/>
                  <w:szCs w:val="14"/>
                </w:rPr>
              </w:sdtEndPr>
              <w:sdtContent>
                <w:tc>
                  <w:tcPr>
                    <w:tcW w:w="766"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775943105"/>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金额"/>
                <w:tag w:val="_GBC_0c66eaa614d14da0b0b87a56942737ed"/>
                <w:id w:val="477658560"/>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增加项目合计金额"/>
                <w:tag w:val="_GBC_29ad01d7f03a4139909a42289d945b78"/>
                <w:id w:val="-1723825413"/>
                <w:lock w:val="sdtLocked"/>
              </w:sdtPr>
              <w:sdtEndPr>
                <w:rPr>
                  <w:rFonts w:hint="eastAsia"/>
                  <w:sz w:val="14"/>
                  <w:szCs w:val="14"/>
                </w:rPr>
              </w:sdtEndPr>
              <w:sdtContent>
                <w:tc>
                  <w:tcPr>
                    <w:tcW w:w="806" w:type="pct"/>
                    <w:shd w:val="clear" w:color="auto" w:fill="auto"/>
                  </w:tcPr>
                  <w:p>
                    <w:pPr>
                      <w:jc w:val="right"/>
                      <w:rPr>
                        <w:sz w:val="14"/>
                        <w:szCs w:val="14"/>
                      </w:rPr>
                    </w:pPr>
                    <w:r>
                      <w:rPr>
                        <w:sz w:val="14"/>
                        <w:szCs w:val="14"/>
                      </w:rPr>
                      <w:t>51,764,587.00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e2ff397d9d9a4a48baa098333a2effda"/>
                <w:id w:val="870651872"/>
                <w:lock w:val="sdtLocked"/>
              </w:sdtPr>
              <w:sdtEndPr>
                <w:rPr>
                  <w:sz w:val="14"/>
                  <w:szCs w:val="14"/>
                </w:rPr>
              </w:sdtEndPr>
              <w:sdtContent>
                <w:tc>
                  <w:tcPr>
                    <w:tcW w:w="158" w:type="pct"/>
                    <w:shd w:val="clear" w:color="auto" w:fill="auto"/>
                    <w:vAlign w:val="center"/>
                  </w:tcPr>
                  <w:p>
                    <w:pPr>
                      <w:rPr>
                        <w:sz w:val="14"/>
                        <w:szCs w:val="14"/>
                      </w:rPr>
                    </w:pPr>
                    <w:r>
                      <w:rPr>
                        <w:sz w:val="14"/>
                        <w:szCs w:val="14"/>
                      </w:rPr>
                      <w:t xml:space="preserve">    3.本期减少</w:t>
                    </w:r>
                    <w:r>
                      <w:rPr>
                        <w:rFonts w:hint="eastAsia"/>
                        <w:sz w:val="14"/>
                        <w:szCs w:val="14"/>
                      </w:rPr>
                      <w:t>金额</w:t>
                    </w:r>
                  </w:p>
                </w:tc>
              </w:sdtContent>
            </w:sdt>
            <w:tc>
              <w:tcPr>
                <w:tcW w:w="1212" w:type="pct"/>
                <w:shd w:val="clear" w:color="auto" w:fill="auto"/>
                <w:vAlign w:val="center"/>
              </w:tcPr>
              <w:p>
                <w:pPr>
                  <w:jc w:val="right"/>
                  <w:rPr>
                    <w:sz w:val="14"/>
                    <w:szCs w:val="14"/>
                  </w:rPr>
                </w:pPr>
                <w:r>
                  <w:rPr>
                    <w:sz w:val="14"/>
                    <w:szCs w:val="14"/>
                  </w:rPr>
                  <w:t>1,370,086.43</w:t>
                </w:r>
              </w:p>
            </w:tc>
            <w:tc>
              <w:tcPr>
                <w:tcW w:w="766" w:type="pct"/>
                <w:shd w:val="clear" w:color="auto" w:fill="auto"/>
                <w:vAlign w:val="center"/>
              </w:tcPr>
              <w:p>
                <w:pPr>
                  <w:jc w:val="right"/>
                  <w:rPr>
                    <w:sz w:val="14"/>
                    <w:szCs w:val="14"/>
                  </w:rPr>
                </w:pPr>
                <w:r>
                  <w:rPr>
                    <w:rFonts w:hint="eastAsia"/>
                    <w:sz w:val="14"/>
                    <w:szCs w:val="14"/>
                  </w:rPr>
                  <w:t>-</w:t>
                </w:r>
              </w:p>
            </w:tc>
            <w:tc>
              <w:tcPr>
                <w:tcW w:w="7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806" w:type="pct"/>
                <w:shd w:val="clear" w:color="auto" w:fill="auto"/>
                <w:vAlign w:val="center"/>
              </w:tcPr>
              <w:p>
                <w:pPr>
                  <w:jc w:val="right"/>
                  <w:rPr>
                    <w:sz w:val="14"/>
                    <w:szCs w:val="14"/>
                  </w:rPr>
                </w:pPr>
                <w:r>
                  <w:rPr>
                    <w:sz w:val="14"/>
                    <w:szCs w:val="14"/>
                  </w:rPr>
                  <w:t>1,370,086.43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01039cac859c46279f030f4ef8891ef8"/>
                <w:id w:val="775983101"/>
                <w:lock w:val="sdtLocked"/>
              </w:sdtPr>
              <w:sdtEndPr>
                <w:rPr>
                  <w:sz w:val="14"/>
                  <w:szCs w:val="14"/>
                </w:rPr>
              </w:sdtEndPr>
              <w:sdtContent>
                <w:tc>
                  <w:tcPr>
                    <w:tcW w:w="158" w:type="pct"/>
                    <w:shd w:val="clear" w:color="auto" w:fill="auto"/>
                    <w:vAlign w:val="center"/>
                  </w:tcPr>
                  <w:p>
                    <w:pPr>
                      <w:ind w:firstLine="420" w:firstLineChars="300"/>
                      <w:rPr>
                        <w:sz w:val="14"/>
                        <w:szCs w:val="14"/>
                      </w:rPr>
                    </w:pPr>
                    <w:r>
                      <w:rPr>
                        <w:sz w:val="14"/>
                        <w:szCs w:val="14"/>
                      </w:rPr>
                      <w:t>(</w:t>
                    </w:r>
                    <w:r>
                      <w:rPr>
                        <w:rFonts w:hint="eastAsia"/>
                        <w:sz w:val="14"/>
                        <w:szCs w:val="14"/>
                      </w:rPr>
                      <w:t>1</w:t>
                    </w:r>
                    <w:r>
                      <w:rPr>
                        <w:sz w:val="14"/>
                        <w:szCs w:val="14"/>
                      </w:rPr>
                      <w:t>)</w:t>
                    </w:r>
                    <w:r>
                      <w:rPr>
                        <w:rFonts w:hint="eastAsia"/>
                        <w:sz w:val="14"/>
                        <w:szCs w:val="14"/>
                      </w:rPr>
                      <w:t>处置</w:t>
                    </w:r>
                  </w:p>
                </w:tc>
              </w:sdtContent>
            </w:sdt>
            <w:tc>
              <w:tcPr>
                <w:tcW w:w="1212"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rFonts w:hint="eastAsia"/>
                    <w:sz w:val="14"/>
                    <w:szCs w:val="14"/>
                  </w:rPr>
                  <w:t>-</w:t>
                </w:r>
              </w:p>
            </w:tc>
            <w:tc>
              <w:tcPr>
                <w:tcW w:w="7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w:t>
                </w:r>
              </w:p>
            </w:tc>
            <w:tc>
              <w:tcPr>
                <w:tcW w:w="806" w:type="pct"/>
                <w:shd w:val="clear" w:color="auto" w:fill="auto"/>
                <w:vAlign w:val="center"/>
              </w:tcPr>
              <w:p>
                <w:pPr>
                  <w:jc w:val="right"/>
                  <w:rPr>
                    <w:sz w:val="14"/>
                    <w:szCs w:val="14"/>
                  </w:rPr>
                </w:pPr>
                <w:r>
                  <w:rPr>
                    <w:sz w:val="14"/>
                    <w:szCs w:val="1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hint="eastAsia"/>
                  <w:sz w:val="14"/>
                  <w:szCs w:val="14"/>
                </w:rPr>
                <w:alias w:val="无形资产账面原值减少项目名称"/>
                <w:tag w:val="_GBC_75be63f1efb54632be12885a949e8472"/>
                <w:id w:val="1128121074"/>
                <w:lock w:val="sdtLocked"/>
              </w:sdtPr>
              <w:sdtEndPr>
                <w:rPr>
                  <w:rFonts w:hint="eastAsia"/>
                  <w:sz w:val="14"/>
                  <w:szCs w:val="14"/>
                </w:rPr>
              </w:sdtEndPr>
              <w:sdtContent>
                <w:tc>
                  <w:tcPr>
                    <w:tcW w:w="158" w:type="pct"/>
                    <w:shd w:val="clear" w:color="auto" w:fill="auto"/>
                  </w:tcPr>
                  <w:p>
                    <w:pPr>
                      <w:ind w:firstLine="420" w:firstLineChars="300"/>
                      <w:rPr>
                        <w:sz w:val="14"/>
                        <w:szCs w:val="14"/>
                      </w:rPr>
                    </w:pPr>
                    <w:r>
                      <w:rPr>
                        <w:rFonts w:hint="eastAsia"/>
                        <w:sz w:val="14"/>
                        <w:szCs w:val="14"/>
                      </w:rPr>
                      <w:t>其2）其他减少</w:t>
                    </w:r>
                    <w:r>
                      <w:rPr>
                        <w:sz w:val="14"/>
                        <w:szCs w:val="14"/>
                      </w:rPr>
                      <w:t>-决算调整</w:t>
                    </w:r>
                  </w:p>
                </w:tc>
              </w:sdtContent>
            </w:sdt>
            <w:sdt>
              <w:sdtPr>
                <w:rPr>
                  <w:rFonts w:hint="eastAsia"/>
                  <w:sz w:val="14"/>
                  <w:szCs w:val="14"/>
                </w:rPr>
                <w:alias w:val="无形资产账面原值减少项目金额"/>
                <w:tag w:val="_GBC_6bbb19b31f594798a9421218462f8883"/>
                <w:id w:val="791249039"/>
                <w:lock w:val="sdtLocked"/>
              </w:sdtPr>
              <w:sdtEndPr>
                <w:rPr>
                  <w:rFonts w:hint="eastAsia"/>
                  <w:sz w:val="14"/>
                  <w:szCs w:val="14"/>
                </w:rPr>
              </w:sdtEndPr>
              <w:sdtContent>
                <w:tc>
                  <w:tcPr>
                    <w:tcW w:w="1212" w:type="pct"/>
                    <w:shd w:val="clear" w:color="auto" w:fill="auto"/>
                  </w:tcPr>
                  <w:p>
                    <w:pPr>
                      <w:jc w:val="right"/>
                      <w:rPr>
                        <w:sz w:val="14"/>
                        <w:szCs w:val="14"/>
                      </w:rPr>
                    </w:pPr>
                    <w:r>
                      <w:rPr>
                        <w:sz w:val="14"/>
                        <w:szCs w:val="14"/>
                      </w:rPr>
                      <w:t>1,370,086.43</w:t>
                    </w:r>
                  </w:p>
                </w:tc>
              </w:sdtContent>
            </w:sdt>
            <w:sdt>
              <w:sdtPr>
                <w:rPr>
                  <w:rFonts w:hint="eastAsia"/>
                  <w:sz w:val="14"/>
                  <w:szCs w:val="14"/>
                </w:rPr>
                <w:alias w:val="无形资产账面原值减少项目金额"/>
                <w:tag w:val="_GBC_6bbb19b31f594798a9421218462f8883"/>
                <w:id w:val="1148942563"/>
                <w:lock w:val="sdtLocked"/>
              </w:sdtPr>
              <w:sdtEndPr>
                <w:rPr>
                  <w:rFonts w:hint="eastAsia"/>
                  <w:sz w:val="14"/>
                  <w:szCs w:val="14"/>
                </w:rPr>
              </w:sdtEndPr>
              <w:sdtContent>
                <w:tc>
                  <w:tcPr>
                    <w:tcW w:w="766"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非专利技术账面原值减少项目金额"/>
                <w:tag w:val="_GBC_3d6177bde73241c09725cc86b9009958"/>
                <w:id w:val="-235635373"/>
                <w:lock w:val="sdtLocked"/>
              </w:sdtPr>
              <w:sdtEndPr>
                <w:rPr>
                  <w:rFonts w:hint="eastAsia"/>
                  <w:sz w:val="14"/>
                  <w:szCs w:val="14"/>
                </w:rPr>
              </w:sdtEndPr>
              <w:sdtContent>
                <w:tc>
                  <w:tcPr>
                    <w:tcW w:w="766"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减少项目金额"/>
                <w:tag w:val="_GBC_6bbb19b31f594798a9421218462f8883"/>
                <w:id w:val="727346754"/>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减少项目金额"/>
                <w:tag w:val="_GBC_6bbb19b31f594798a9421218462f8883"/>
                <w:id w:val="823850862"/>
                <w:lock w:val="sdtLocked"/>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w:t>
                    </w:r>
                  </w:p>
                </w:tc>
              </w:sdtContent>
            </w:sdt>
            <w:sdt>
              <w:sdtPr>
                <w:rPr>
                  <w:rFonts w:hint="eastAsia"/>
                  <w:sz w:val="14"/>
                  <w:szCs w:val="14"/>
                </w:rPr>
                <w:alias w:val="无形资产账面原值减少项目合计金额"/>
                <w:tag w:val="_GBC_333bceb4bfb942ca90170e359bb81b89"/>
                <w:id w:val="-1505272823"/>
                <w:lock w:val="sdtLocked"/>
              </w:sdtPr>
              <w:sdtEndPr>
                <w:rPr>
                  <w:rFonts w:hint="eastAsia"/>
                  <w:sz w:val="14"/>
                  <w:szCs w:val="14"/>
                </w:rPr>
              </w:sdtEndPr>
              <w:sdtContent>
                <w:tc>
                  <w:tcPr>
                    <w:tcW w:w="806" w:type="pct"/>
                    <w:shd w:val="clear" w:color="auto" w:fill="auto"/>
                  </w:tcPr>
                  <w:p>
                    <w:pPr>
                      <w:jc w:val="right"/>
                      <w:rPr>
                        <w:sz w:val="14"/>
                        <w:szCs w:val="14"/>
                      </w:rPr>
                    </w:pPr>
                    <w:r>
                      <w:rPr>
                        <w:rFonts w:hint="eastAsia"/>
                        <w:sz w:val="14"/>
                        <w:szCs w:val="14"/>
                      </w:rPr>
                      <w:t>1,370,086.43</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rFonts w:hint="eastAsia"/>
                  <w:sz w:val="14"/>
                  <w:szCs w:val="14"/>
                </w:rPr>
                <w:alias w:val="无形资产账面原值减少项目名称"/>
                <w:tag w:val="_GBC_75be63f1efb54632be12885a949e8472"/>
                <w:id w:val="712004822"/>
                <w:lock w:val="sdtLocked"/>
                <w:showingPlcHdr/>
              </w:sdtPr>
              <w:sdtEndPr>
                <w:rPr>
                  <w:rFonts w:hint="eastAsia"/>
                  <w:sz w:val="14"/>
                  <w:szCs w:val="14"/>
                </w:rPr>
              </w:sdtEndPr>
              <w:sdtContent>
                <w:tc>
                  <w:tcPr>
                    <w:tcW w:w="158" w:type="pct"/>
                    <w:shd w:val="clear" w:color="auto" w:fill="auto"/>
                  </w:tcPr>
                  <w:p>
                    <w:pPr>
                      <w:ind w:firstLine="420" w:firstLineChars="300"/>
                      <w:rPr>
                        <w:sz w:val="14"/>
                        <w:szCs w:val="14"/>
                      </w:rPr>
                    </w:pPr>
                    <w:r>
                      <w:rPr>
                        <w:rFonts w:hint="eastAsia"/>
                        <w:sz w:val="14"/>
                        <w:szCs w:val="14"/>
                      </w:rPr>
                      <w:t>　</w:t>
                    </w:r>
                  </w:p>
                </w:tc>
              </w:sdtContent>
            </w:sdt>
            <w:sdt>
              <w:sdtPr>
                <w:rPr>
                  <w:rFonts w:hint="eastAsia"/>
                  <w:sz w:val="14"/>
                  <w:szCs w:val="14"/>
                </w:rPr>
                <w:alias w:val="无形资产账面原值减少项目金额"/>
                <w:tag w:val="_GBC_6bbb19b31f594798a9421218462f8883"/>
                <w:id w:val="-195320022"/>
                <w:lock w:val="sdtLocked"/>
                <w:showingPlcHdr/>
              </w:sdtPr>
              <w:sdtEndPr>
                <w:rPr>
                  <w:rFonts w:hint="eastAsia"/>
                  <w:sz w:val="14"/>
                  <w:szCs w:val="14"/>
                </w:rPr>
              </w:sdtEndPr>
              <w:sdtContent>
                <w:tc>
                  <w:tcPr>
                    <w:tcW w:w="1212" w:type="pct"/>
                    <w:shd w:val="clear" w:color="auto" w:fill="auto"/>
                  </w:tcPr>
                  <w:p>
                    <w:pPr>
                      <w:jc w:val="right"/>
                      <w:rPr>
                        <w:sz w:val="14"/>
                        <w:szCs w:val="14"/>
                      </w:rPr>
                    </w:pPr>
                  </w:p>
                </w:tc>
              </w:sdtContent>
            </w:sdt>
            <w:sdt>
              <w:sdtPr>
                <w:rPr>
                  <w:rFonts w:hint="eastAsia"/>
                  <w:sz w:val="14"/>
                  <w:szCs w:val="14"/>
                </w:rPr>
                <w:alias w:val="无形资产账面原值减少项目金额"/>
                <w:tag w:val="_GBC_6bbb19b31f594798a9421218462f8883"/>
                <w:id w:val="1251629961"/>
                <w:lock w:val="sdtLocked"/>
                <w:showingPlcHdr/>
              </w:sdtPr>
              <w:sdtEndPr>
                <w:rPr>
                  <w:rFonts w:hint="eastAsia"/>
                  <w:sz w:val="14"/>
                  <w:szCs w:val="14"/>
                </w:rPr>
              </w:sdtEndPr>
              <w:sdtContent>
                <w:tc>
                  <w:tcPr>
                    <w:tcW w:w="766" w:type="pct"/>
                    <w:shd w:val="clear" w:color="auto" w:fill="auto"/>
                  </w:tcPr>
                  <w:p>
                    <w:pPr>
                      <w:jc w:val="right"/>
                      <w:rPr>
                        <w:sz w:val="14"/>
                        <w:szCs w:val="14"/>
                      </w:rPr>
                    </w:pPr>
                  </w:p>
                </w:tc>
              </w:sdtContent>
            </w:sdt>
            <w:sdt>
              <w:sdtPr>
                <w:rPr>
                  <w:rFonts w:hint="eastAsia"/>
                  <w:sz w:val="14"/>
                  <w:szCs w:val="14"/>
                </w:rPr>
                <w:alias w:val="无形资产非专利技术账面原值减少项目金额"/>
                <w:tag w:val="_GBC_3d6177bde73241c09725cc86b9009958"/>
                <w:id w:val="-578902522"/>
                <w:lock w:val="sdtLocked"/>
                <w:showingPlcHdr/>
              </w:sdtPr>
              <w:sdtEndPr>
                <w:rPr>
                  <w:rFonts w:hint="eastAsia"/>
                  <w:sz w:val="14"/>
                  <w:szCs w:val="14"/>
                </w:rPr>
              </w:sdtEndPr>
              <w:sdtContent>
                <w:tc>
                  <w:tcPr>
                    <w:tcW w:w="766" w:type="pct"/>
                    <w:shd w:val="clear" w:color="auto" w:fill="auto"/>
                  </w:tcPr>
                  <w:p>
                    <w:pPr>
                      <w:jc w:val="right"/>
                      <w:rPr>
                        <w:sz w:val="14"/>
                        <w:szCs w:val="14"/>
                      </w:rPr>
                    </w:pPr>
                    <w:r>
                      <w:rPr>
                        <w:rFonts w:hint="eastAsia"/>
                        <w:sz w:val="14"/>
                        <w:szCs w:val="14"/>
                      </w:rPr>
                      <w:t>　</w:t>
                    </w:r>
                  </w:p>
                </w:tc>
              </w:sdtContent>
            </w:sdt>
            <w:sdt>
              <w:sdtPr>
                <w:rPr>
                  <w:rFonts w:hint="eastAsia"/>
                  <w:sz w:val="14"/>
                  <w:szCs w:val="14"/>
                </w:rPr>
                <w:alias w:val="无形资产账面原值减少项目金额"/>
                <w:tag w:val="_GBC_6bbb19b31f594798a9421218462f8883"/>
                <w:id w:val="-1543594893"/>
                <w:lock w:val="sdtLocked"/>
                <w:showingPlcHdr/>
              </w:sdtPr>
              <w:sdtEndPr>
                <w:rPr>
                  <w:rFonts w:hint="eastAsia"/>
                  <w:sz w:val="14"/>
                  <w:szCs w:val="14"/>
                </w:rPr>
              </w:sdtEndPr>
              <w:sdtContent>
                <w:tc>
                  <w:tcPr>
                    <w:tcW w:w="645" w:type="pct"/>
                    <w:shd w:val="clear" w:color="auto" w:fill="auto"/>
                  </w:tcPr>
                  <w:p>
                    <w:pPr>
                      <w:jc w:val="right"/>
                      <w:rPr>
                        <w:sz w:val="14"/>
                        <w:szCs w:val="14"/>
                      </w:rPr>
                    </w:pPr>
                    <w:r>
                      <w:rPr>
                        <w:rFonts w:hint="eastAsia"/>
                        <w:sz w:val="14"/>
                        <w:szCs w:val="14"/>
                      </w:rPr>
                      <w:t>　</w:t>
                    </w:r>
                  </w:p>
                </w:tc>
              </w:sdtContent>
            </w:sdt>
            <w:sdt>
              <w:sdtPr>
                <w:rPr>
                  <w:rFonts w:hint="eastAsia"/>
                  <w:sz w:val="14"/>
                  <w:szCs w:val="14"/>
                </w:rPr>
                <w:alias w:val="无形资产账面原值减少项目金额"/>
                <w:tag w:val="_GBC_6bbb19b31f594798a9421218462f8883"/>
                <w:id w:val="1127358106"/>
                <w:lock w:val="sdtLocked"/>
                <w:showingPlcHdr/>
              </w:sdtPr>
              <w:sdtEndPr>
                <w:rPr>
                  <w:rFonts w:hint="eastAsia"/>
                  <w:sz w:val="14"/>
                  <w:szCs w:val="14"/>
                </w:rPr>
              </w:sdtEndPr>
              <w:sdtContent>
                <w:tc>
                  <w:tcPr>
                    <w:tcW w:w="645" w:type="pct"/>
                    <w:shd w:val="clear" w:color="auto" w:fill="auto"/>
                  </w:tcPr>
                  <w:p>
                    <w:pPr>
                      <w:jc w:val="right"/>
                      <w:rPr>
                        <w:sz w:val="14"/>
                        <w:szCs w:val="14"/>
                      </w:rPr>
                    </w:pPr>
                  </w:p>
                </w:tc>
              </w:sdtContent>
            </w:sdt>
            <w:sdt>
              <w:sdtPr>
                <w:rPr>
                  <w:rFonts w:hint="eastAsia"/>
                  <w:sz w:val="14"/>
                  <w:szCs w:val="14"/>
                </w:rPr>
                <w:alias w:val="无形资产账面原值减少项目合计金额"/>
                <w:tag w:val="_GBC_333bceb4bfb942ca90170e359bb81b89"/>
                <w:id w:val="-1161383990"/>
                <w:lock w:val="sdtLocked"/>
                <w:showingPlcHdr/>
              </w:sdtPr>
              <w:sdtEndPr>
                <w:rPr>
                  <w:rFonts w:hint="eastAsia"/>
                  <w:sz w:val="14"/>
                  <w:szCs w:val="14"/>
                </w:rPr>
              </w:sdtEndPr>
              <w:sdtContent>
                <w:tc>
                  <w:tcPr>
                    <w:tcW w:w="806" w:type="pct"/>
                    <w:shd w:val="clear" w:color="auto" w:fill="auto"/>
                  </w:tcPr>
                  <w:p>
                    <w:pPr>
                      <w:jc w:val="right"/>
                      <w:rPr>
                        <w:sz w:val="14"/>
                        <w:szCs w:val="14"/>
                      </w:rPr>
                    </w:pPr>
                    <w:r>
                      <w:rPr>
                        <w:rFonts w:hint="eastAsia"/>
                        <w:sz w:val="14"/>
                        <w:szCs w:val="14"/>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4f7e6faa1a2a40ff9644db9d2bcd8070"/>
                <w:id w:val="852458234"/>
                <w:lock w:val="sdtLocked"/>
              </w:sdtPr>
              <w:sdtEndPr>
                <w:rPr>
                  <w:sz w:val="14"/>
                  <w:szCs w:val="14"/>
                </w:rPr>
              </w:sdtEndPr>
              <w:sdtContent>
                <w:tc>
                  <w:tcPr>
                    <w:tcW w:w="158" w:type="pct"/>
                    <w:shd w:val="clear" w:color="auto" w:fill="auto"/>
                    <w:vAlign w:val="center"/>
                  </w:tcPr>
                  <w:p>
                    <w:pPr>
                      <w:rPr>
                        <w:sz w:val="14"/>
                        <w:szCs w:val="14"/>
                      </w:rPr>
                    </w:pPr>
                    <w:r>
                      <w:rPr>
                        <w:sz w:val="14"/>
                        <w:szCs w:val="14"/>
                      </w:rPr>
                      <w:t xml:space="preserve">   4.期末余额</w:t>
                    </w:r>
                  </w:p>
                </w:tc>
              </w:sdtContent>
            </w:sdt>
            <w:tc>
              <w:tcPr>
                <w:tcW w:w="1212" w:type="pct"/>
                <w:shd w:val="clear" w:color="auto" w:fill="auto"/>
                <w:vAlign w:val="center"/>
              </w:tcPr>
              <w:p>
                <w:pPr>
                  <w:jc w:val="right"/>
                  <w:rPr>
                    <w:sz w:val="14"/>
                    <w:szCs w:val="14"/>
                  </w:rPr>
                </w:pPr>
                <w:r>
                  <w:rPr>
                    <w:sz w:val="14"/>
                    <w:szCs w:val="14"/>
                  </w:rPr>
                  <w:t>50,536,639,004.15</w:t>
                </w:r>
              </w:p>
            </w:tc>
            <w:tc>
              <w:tcPr>
                <w:tcW w:w="766" w:type="pct"/>
                <w:shd w:val="clear" w:color="auto" w:fill="auto"/>
                <w:vAlign w:val="center"/>
              </w:tcPr>
              <w:p>
                <w:pPr>
                  <w:jc w:val="right"/>
                  <w:rPr>
                    <w:sz w:val="14"/>
                    <w:szCs w:val="14"/>
                  </w:rPr>
                </w:pPr>
                <w:r>
                  <w:rPr>
                    <w:sz w:val="14"/>
                    <w:szCs w:val="14"/>
                  </w:rPr>
                  <w:t>6,402,199,265.00</w:t>
                </w:r>
              </w:p>
            </w:tc>
            <w:tc>
              <w:tcPr>
                <w:tcW w:w="766" w:type="pct"/>
                <w:shd w:val="clear" w:color="auto" w:fill="auto"/>
                <w:vAlign w:val="center"/>
              </w:tcPr>
              <w:p>
                <w:pPr>
                  <w:jc w:val="right"/>
                  <w:rPr>
                    <w:sz w:val="14"/>
                    <w:szCs w:val="14"/>
                  </w:rPr>
                </w:pPr>
                <w:r>
                  <w:rPr>
                    <w:sz w:val="14"/>
                    <w:szCs w:val="14"/>
                  </w:rPr>
                  <w:t>1,747,328,971.12</w:t>
                </w:r>
              </w:p>
            </w:tc>
            <w:tc>
              <w:tcPr>
                <w:tcW w:w="645" w:type="pct"/>
                <w:shd w:val="clear" w:color="auto" w:fill="auto"/>
                <w:vAlign w:val="center"/>
              </w:tcPr>
              <w:p>
                <w:pPr>
                  <w:jc w:val="right"/>
                  <w:rPr>
                    <w:sz w:val="14"/>
                    <w:szCs w:val="14"/>
                  </w:rPr>
                </w:pPr>
                <w:r>
                  <w:rPr>
                    <w:sz w:val="14"/>
                    <w:szCs w:val="14"/>
                  </w:rPr>
                  <w:t>75,992,526.65</w:t>
                </w:r>
              </w:p>
            </w:tc>
            <w:tc>
              <w:tcPr>
                <w:tcW w:w="645" w:type="pct"/>
                <w:shd w:val="clear" w:color="auto" w:fill="auto"/>
                <w:vAlign w:val="center"/>
              </w:tcPr>
              <w:p>
                <w:pPr>
                  <w:jc w:val="right"/>
                  <w:rPr>
                    <w:sz w:val="14"/>
                    <w:szCs w:val="14"/>
                  </w:rPr>
                </w:pPr>
                <w:r>
                  <w:rPr>
                    <w:sz w:val="14"/>
                    <w:szCs w:val="14"/>
                  </w:rPr>
                  <w:t>80,546,021.93</w:t>
                </w:r>
              </w:p>
            </w:tc>
            <w:tc>
              <w:tcPr>
                <w:tcW w:w="806" w:type="pct"/>
                <w:shd w:val="clear" w:color="auto" w:fill="auto"/>
                <w:vAlign w:val="center"/>
              </w:tcPr>
              <w:p>
                <w:pPr>
                  <w:jc w:val="right"/>
                  <w:rPr>
                    <w:sz w:val="14"/>
                    <w:szCs w:val="14"/>
                  </w:rPr>
                </w:pPr>
                <w:r>
                  <w:rPr>
                    <w:sz w:val="14"/>
                    <w:szCs w:val="14"/>
                  </w:rPr>
                  <w:t>58,842,705,788.85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3d92ef615d3b41e5abb58e018e2db72b"/>
                <w:id w:val="445350833"/>
                <w:lock w:val="sdtLocked"/>
              </w:sdtPr>
              <w:sdtEndPr>
                <w:rPr>
                  <w:sz w:val="14"/>
                  <w:szCs w:val="14"/>
                </w:rPr>
              </w:sdtEndPr>
              <w:sdtContent>
                <w:tc>
                  <w:tcPr>
                    <w:tcW w:w="5000" w:type="pct"/>
                    <w:gridSpan w:val="7"/>
                    <w:shd w:val="clear" w:color="auto" w:fill="auto"/>
                    <w:vAlign w:val="center"/>
                  </w:tcPr>
                  <w:p>
                    <w:pPr>
                      <w:rPr>
                        <w:sz w:val="14"/>
                        <w:szCs w:val="14"/>
                      </w:rPr>
                    </w:pPr>
                    <w:r>
                      <w:rPr>
                        <w:sz w:val="14"/>
                        <w:szCs w:val="14"/>
                      </w:rPr>
                      <w:t>二、累计</w:t>
                    </w:r>
                    <w:r>
                      <w:rPr>
                        <w:rFonts w:hint="eastAsia"/>
                        <w:sz w:val="14"/>
                        <w:szCs w:val="14"/>
                      </w:rPr>
                      <w:t>摊销</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193e5febfa90446ca630ebb42ca96e06"/>
                <w:id w:val="-1998803083"/>
                <w:lock w:val="sdtLocked"/>
              </w:sdtPr>
              <w:sdtEndPr>
                <w:rPr>
                  <w:sz w:val="14"/>
                  <w:szCs w:val="14"/>
                </w:rPr>
              </w:sdtEndPr>
              <w:sdtContent>
                <w:tc>
                  <w:tcPr>
                    <w:tcW w:w="158" w:type="pct"/>
                    <w:shd w:val="clear" w:color="auto" w:fill="auto"/>
                    <w:vAlign w:val="center"/>
                  </w:tcPr>
                  <w:p>
                    <w:pPr>
                      <w:ind w:firstLine="280" w:firstLineChars="200"/>
                      <w:rPr>
                        <w:sz w:val="14"/>
                        <w:szCs w:val="14"/>
                      </w:rPr>
                    </w:pPr>
                    <w:r>
                      <w:rPr>
                        <w:rFonts w:hint="eastAsia"/>
                        <w:sz w:val="14"/>
                        <w:szCs w:val="14"/>
                      </w:rPr>
                      <w:t>1.期</w:t>
                    </w:r>
                    <w:r>
                      <w:rPr>
                        <w:sz w:val="14"/>
                        <w:szCs w:val="14"/>
                      </w:rPr>
                      <w:t>初余额</w:t>
                    </w:r>
                  </w:p>
                </w:tc>
              </w:sdtContent>
            </w:sdt>
            <w:tc>
              <w:tcPr>
                <w:tcW w:w="1212" w:type="pct"/>
                <w:shd w:val="clear" w:color="auto" w:fill="auto"/>
                <w:vAlign w:val="center"/>
              </w:tcPr>
              <w:p>
                <w:pPr>
                  <w:jc w:val="right"/>
                  <w:rPr>
                    <w:sz w:val="14"/>
                    <w:szCs w:val="14"/>
                  </w:rPr>
                </w:pPr>
                <w:r>
                  <w:rPr>
                    <w:sz w:val="14"/>
                    <w:szCs w:val="14"/>
                  </w:rPr>
                  <w:t>17,073,240,936.31</w:t>
                </w:r>
              </w:p>
            </w:tc>
            <w:tc>
              <w:tcPr>
                <w:tcW w:w="766"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1,477,340,964.92</w:t>
                </w:r>
              </w:p>
            </w:tc>
            <w:tc>
              <w:tcPr>
                <w:tcW w:w="645" w:type="pct"/>
                <w:shd w:val="clear" w:color="auto" w:fill="auto"/>
                <w:vAlign w:val="center"/>
              </w:tcPr>
              <w:p>
                <w:pPr>
                  <w:jc w:val="right"/>
                  <w:rPr>
                    <w:sz w:val="14"/>
                    <w:szCs w:val="14"/>
                  </w:rPr>
                </w:pPr>
                <w:r>
                  <w:rPr>
                    <w:sz w:val="14"/>
                    <w:szCs w:val="14"/>
                  </w:rPr>
                  <w:t>5,620,076.77</w:t>
                </w:r>
              </w:p>
            </w:tc>
            <w:tc>
              <w:tcPr>
                <w:tcW w:w="645" w:type="pct"/>
                <w:shd w:val="clear" w:color="auto" w:fill="auto"/>
                <w:vAlign w:val="center"/>
              </w:tcPr>
              <w:p>
                <w:pPr>
                  <w:jc w:val="right"/>
                  <w:rPr>
                    <w:sz w:val="14"/>
                    <w:szCs w:val="14"/>
                  </w:rPr>
                </w:pPr>
                <w:r>
                  <w:rPr>
                    <w:sz w:val="14"/>
                    <w:szCs w:val="14"/>
                  </w:rPr>
                  <w:t>69,757,004.75</w:t>
                </w:r>
              </w:p>
            </w:tc>
            <w:tc>
              <w:tcPr>
                <w:tcW w:w="806" w:type="pct"/>
                <w:shd w:val="clear" w:color="auto" w:fill="auto"/>
                <w:vAlign w:val="center"/>
              </w:tcPr>
              <w:p>
                <w:pPr>
                  <w:jc w:val="right"/>
                  <w:rPr>
                    <w:sz w:val="14"/>
                    <w:szCs w:val="14"/>
                  </w:rPr>
                </w:pPr>
                <w:r>
                  <w:rPr>
                    <w:sz w:val="14"/>
                    <w:szCs w:val="14"/>
                  </w:rPr>
                  <w:t>18,625,958,982.75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1002de94b721483c99b3b05a42a37601"/>
                <w:id w:val="-2066403091"/>
                <w:lock w:val="sdtLocked"/>
              </w:sdtPr>
              <w:sdtEndPr>
                <w:rPr>
                  <w:sz w:val="14"/>
                  <w:szCs w:val="14"/>
                </w:rPr>
              </w:sdtEndPr>
              <w:sdtContent>
                <w:tc>
                  <w:tcPr>
                    <w:tcW w:w="158" w:type="pct"/>
                    <w:shd w:val="clear" w:color="auto" w:fill="auto"/>
                    <w:vAlign w:val="center"/>
                  </w:tcPr>
                  <w:p>
                    <w:pPr>
                      <w:ind w:firstLine="280" w:firstLineChars="200"/>
                      <w:rPr>
                        <w:sz w:val="14"/>
                        <w:szCs w:val="14"/>
                      </w:rPr>
                    </w:pPr>
                    <w:r>
                      <w:rPr>
                        <w:sz w:val="14"/>
                        <w:szCs w:val="14"/>
                      </w:rPr>
                      <w:t>2.本期增加</w:t>
                    </w:r>
                    <w:r>
                      <w:rPr>
                        <w:rFonts w:hint="eastAsia"/>
                        <w:sz w:val="14"/>
                        <w:szCs w:val="14"/>
                      </w:rPr>
                      <w:t>金额</w:t>
                    </w:r>
                  </w:p>
                </w:tc>
              </w:sdtContent>
            </w:sdt>
            <w:tc>
              <w:tcPr>
                <w:tcW w:w="1212" w:type="pct"/>
                <w:shd w:val="clear" w:color="auto" w:fill="auto"/>
                <w:vAlign w:val="center"/>
              </w:tcPr>
              <w:p>
                <w:pPr>
                  <w:jc w:val="right"/>
                  <w:rPr>
                    <w:sz w:val="14"/>
                    <w:szCs w:val="14"/>
                  </w:rPr>
                </w:pPr>
                <w:r>
                  <w:rPr>
                    <w:sz w:val="14"/>
                    <w:szCs w:val="14"/>
                  </w:rPr>
                  <w:t>842,743,082.63</w:t>
                </w:r>
              </w:p>
            </w:tc>
            <w:tc>
              <w:tcPr>
                <w:tcW w:w="766"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32,360,784.24</w:t>
                </w:r>
              </w:p>
            </w:tc>
            <w:tc>
              <w:tcPr>
                <w:tcW w:w="645" w:type="pct"/>
                <w:shd w:val="clear" w:color="auto" w:fill="auto"/>
                <w:vAlign w:val="center"/>
              </w:tcPr>
              <w:p>
                <w:pPr>
                  <w:jc w:val="right"/>
                  <w:rPr>
                    <w:sz w:val="14"/>
                    <w:szCs w:val="14"/>
                  </w:rPr>
                </w:pPr>
                <w:r>
                  <w:rPr>
                    <w:sz w:val="14"/>
                    <w:szCs w:val="14"/>
                  </w:rPr>
                  <w:t>1,424,170.38</w:t>
                </w:r>
              </w:p>
            </w:tc>
            <w:tc>
              <w:tcPr>
                <w:tcW w:w="645" w:type="pct"/>
                <w:shd w:val="clear" w:color="auto" w:fill="auto"/>
                <w:vAlign w:val="center"/>
              </w:tcPr>
              <w:p>
                <w:pPr>
                  <w:jc w:val="right"/>
                  <w:rPr>
                    <w:sz w:val="14"/>
                    <w:szCs w:val="14"/>
                  </w:rPr>
                </w:pPr>
                <w:r>
                  <w:rPr>
                    <w:sz w:val="14"/>
                    <w:szCs w:val="14"/>
                  </w:rPr>
                  <w:t>1,799,561.10</w:t>
                </w:r>
              </w:p>
            </w:tc>
            <w:tc>
              <w:tcPr>
                <w:tcW w:w="806" w:type="pct"/>
                <w:shd w:val="clear" w:color="auto" w:fill="auto"/>
                <w:vAlign w:val="center"/>
              </w:tcPr>
              <w:p>
                <w:pPr>
                  <w:jc w:val="right"/>
                  <w:rPr>
                    <w:sz w:val="14"/>
                    <w:szCs w:val="14"/>
                  </w:rPr>
                </w:pPr>
                <w:r>
                  <w:rPr>
                    <w:sz w:val="14"/>
                    <w:szCs w:val="14"/>
                  </w:rPr>
                  <w:t>878,327,598.35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8a3c7c560c054537b4caae539fe46c59"/>
                <w:id w:val="893552285"/>
                <w:lock w:val="sdtLocked"/>
              </w:sdtPr>
              <w:sdtEndPr>
                <w:rPr>
                  <w:sz w:val="14"/>
                  <w:szCs w:val="14"/>
                </w:rPr>
              </w:sdtEndPr>
              <w:sdtContent>
                <w:tc>
                  <w:tcPr>
                    <w:tcW w:w="158" w:type="pct"/>
                    <w:shd w:val="clear" w:color="auto" w:fill="auto"/>
                    <w:vAlign w:val="center"/>
                  </w:tcPr>
                  <w:p>
                    <w:pPr>
                      <w:ind w:firstLine="420" w:firstLineChars="300"/>
                      <w:rPr>
                        <w:sz w:val="14"/>
                        <w:szCs w:val="14"/>
                      </w:rPr>
                    </w:pPr>
                    <w:r>
                      <w:rPr>
                        <w:rFonts w:hint="eastAsia"/>
                        <w:sz w:val="14"/>
                        <w:szCs w:val="14"/>
                      </w:rPr>
                      <w:t>（1）</w:t>
                    </w:r>
                    <w:r>
                      <w:rPr>
                        <w:sz w:val="14"/>
                        <w:szCs w:val="14"/>
                      </w:rPr>
                      <w:t>计提</w:t>
                    </w:r>
                  </w:p>
                </w:tc>
              </w:sdtContent>
            </w:sdt>
            <w:tc>
              <w:tcPr>
                <w:tcW w:w="1212" w:type="pct"/>
                <w:shd w:val="clear" w:color="auto" w:fill="auto"/>
                <w:vAlign w:val="center"/>
              </w:tcPr>
              <w:p>
                <w:pPr>
                  <w:jc w:val="right"/>
                  <w:rPr>
                    <w:sz w:val="14"/>
                    <w:szCs w:val="14"/>
                  </w:rPr>
                </w:pPr>
                <w:r>
                  <w:rPr>
                    <w:sz w:val="14"/>
                    <w:szCs w:val="14"/>
                  </w:rPr>
                  <w:t>842,743,082.63</w:t>
                </w:r>
              </w:p>
            </w:tc>
            <w:tc>
              <w:tcPr>
                <w:tcW w:w="766"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32,360,784.24</w:t>
                </w:r>
              </w:p>
            </w:tc>
            <w:tc>
              <w:tcPr>
                <w:tcW w:w="645" w:type="pct"/>
                <w:shd w:val="clear" w:color="auto" w:fill="auto"/>
                <w:vAlign w:val="center"/>
              </w:tcPr>
              <w:p>
                <w:pPr>
                  <w:jc w:val="right"/>
                  <w:rPr>
                    <w:sz w:val="14"/>
                    <w:szCs w:val="14"/>
                  </w:rPr>
                </w:pPr>
                <w:r>
                  <w:rPr>
                    <w:sz w:val="14"/>
                    <w:szCs w:val="14"/>
                  </w:rPr>
                  <w:t>1,424,170.38</w:t>
                </w:r>
              </w:p>
            </w:tc>
            <w:tc>
              <w:tcPr>
                <w:tcW w:w="645" w:type="pct"/>
                <w:shd w:val="clear" w:color="auto" w:fill="auto"/>
                <w:vAlign w:val="center"/>
              </w:tcPr>
              <w:p>
                <w:pPr>
                  <w:jc w:val="right"/>
                  <w:rPr>
                    <w:sz w:val="14"/>
                    <w:szCs w:val="14"/>
                  </w:rPr>
                </w:pPr>
                <w:r>
                  <w:rPr>
                    <w:sz w:val="14"/>
                    <w:szCs w:val="14"/>
                  </w:rPr>
                  <w:t>1,799,561.10</w:t>
                </w:r>
              </w:p>
            </w:tc>
            <w:tc>
              <w:tcPr>
                <w:tcW w:w="806" w:type="pct"/>
                <w:shd w:val="clear" w:color="auto" w:fill="auto"/>
                <w:vAlign w:val="center"/>
              </w:tcPr>
              <w:p>
                <w:pPr>
                  <w:jc w:val="right"/>
                  <w:rPr>
                    <w:sz w:val="14"/>
                    <w:szCs w:val="14"/>
                  </w:rPr>
                </w:pPr>
                <w:r>
                  <w:rPr>
                    <w:sz w:val="14"/>
                    <w:szCs w:val="14"/>
                  </w:rPr>
                  <w:t>878,327,598.35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6b52e77de021464b99b9a2d55cb6dc5b"/>
                <w:id w:val="-1548757701"/>
                <w:lock w:val="sdtLocked"/>
              </w:sdtPr>
              <w:sdtEndPr>
                <w:rPr>
                  <w:sz w:val="14"/>
                  <w:szCs w:val="14"/>
                </w:rPr>
              </w:sdtEndPr>
              <w:sdtContent>
                <w:tc>
                  <w:tcPr>
                    <w:tcW w:w="158" w:type="pct"/>
                    <w:shd w:val="clear" w:color="auto" w:fill="auto"/>
                    <w:vAlign w:val="center"/>
                  </w:tcPr>
                  <w:p>
                    <w:pPr>
                      <w:ind w:firstLine="280" w:firstLineChars="200"/>
                      <w:rPr>
                        <w:sz w:val="14"/>
                        <w:szCs w:val="14"/>
                      </w:rPr>
                    </w:pPr>
                    <w:r>
                      <w:rPr>
                        <w:rFonts w:hint="eastAsia"/>
                        <w:sz w:val="14"/>
                        <w:szCs w:val="14"/>
                      </w:rPr>
                      <w:t>4.</w:t>
                    </w:r>
                    <w:r>
                      <w:rPr>
                        <w:sz w:val="14"/>
                        <w:szCs w:val="14"/>
                      </w:rPr>
                      <w:t>期末余额</w:t>
                    </w:r>
                  </w:p>
                </w:tc>
              </w:sdtContent>
            </w:sdt>
            <w:tc>
              <w:tcPr>
                <w:tcW w:w="1212" w:type="pct"/>
                <w:shd w:val="clear" w:color="auto" w:fill="auto"/>
                <w:vAlign w:val="center"/>
              </w:tcPr>
              <w:p>
                <w:pPr>
                  <w:jc w:val="right"/>
                  <w:rPr>
                    <w:sz w:val="14"/>
                    <w:szCs w:val="14"/>
                  </w:rPr>
                </w:pPr>
                <w:r>
                  <w:rPr>
                    <w:sz w:val="14"/>
                    <w:szCs w:val="14"/>
                  </w:rPr>
                  <w:t>17,915,984,018.94</w:t>
                </w:r>
              </w:p>
            </w:tc>
            <w:tc>
              <w:tcPr>
                <w:tcW w:w="766" w:type="pct"/>
                <w:shd w:val="clear" w:color="auto" w:fill="auto"/>
                <w:vAlign w:val="center"/>
              </w:tcPr>
              <w:p>
                <w:pPr>
                  <w:jc w:val="right"/>
                  <w:rPr>
                    <w:sz w:val="14"/>
                    <w:szCs w:val="14"/>
                  </w:rPr>
                </w:pPr>
                <w:r>
                  <w:rPr>
                    <w:sz w:val="14"/>
                    <w:szCs w:val="14"/>
                  </w:rPr>
                  <w:t>-</w:t>
                </w:r>
              </w:p>
            </w:tc>
            <w:tc>
              <w:tcPr>
                <w:tcW w:w="766" w:type="pct"/>
                <w:shd w:val="clear" w:color="auto" w:fill="auto"/>
                <w:vAlign w:val="center"/>
              </w:tcPr>
              <w:p>
                <w:pPr>
                  <w:jc w:val="right"/>
                  <w:rPr>
                    <w:sz w:val="14"/>
                    <w:szCs w:val="14"/>
                  </w:rPr>
                </w:pPr>
                <w:r>
                  <w:rPr>
                    <w:sz w:val="14"/>
                    <w:szCs w:val="14"/>
                  </w:rPr>
                  <w:t>1,509,701,749.16</w:t>
                </w:r>
              </w:p>
            </w:tc>
            <w:tc>
              <w:tcPr>
                <w:tcW w:w="645" w:type="pct"/>
                <w:shd w:val="clear" w:color="auto" w:fill="auto"/>
                <w:vAlign w:val="center"/>
              </w:tcPr>
              <w:p>
                <w:pPr>
                  <w:jc w:val="right"/>
                  <w:rPr>
                    <w:sz w:val="14"/>
                    <w:szCs w:val="14"/>
                  </w:rPr>
                </w:pPr>
                <w:r>
                  <w:rPr>
                    <w:sz w:val="14"/>
                    <w:szCs w:val="14"/>
                  </w:rPr>
                  <w:t>7,044,247.15</w:t>
                </w:r>
              </w:p>
            </w:tc>
            <w:tc>
              <w:tcPr>
                <w:tcW w:w="645" w:type="pct"/>
                <w:shd w:val="clear" w:color="auto" w:fill="auto"/>
                <w:vAlign w:val="center"/>
              </w:tcPr>
              <w:p>
                <w:pPr>
                  <w:jc w:val="right"/>
                  <w:rPr>
                    <w:sz w:val="14"/>
                    <w:szCs w:val="14"/>
                  </w:rPr>
                </w:pPr>
                <w:r>
                  <w:rPr>
                    <w:sz w:val="14"/>
                    <w:szCs w:val="14"/>
                  </w:rPr>
                  <w:t>71,556,565.85</w:t>
                </w:r>
              </w:p>
            </w:tc>
            <w:tc>
              <w:tcPr>
                <w:tcW w:w="806" w:type="pct"/>
                <w:shd w:val="clear" w:color="auto" w:fill="auto"/>
                <w:vAlign w:val="center"/>
              </w:tcPr>
              <w:p>
                <w:pPr>
                  <w:jc w:val="right"/>
                  <w:rPr>
                    <w:sz w:val="14"/>
                    <w:szCs w:val="14"/>
                  </w:rPr>
                </w:pPr>
                <w:r>
                  <w:rPr>
                    <w:sz w:val="14"/>
                    <w:szCs w:val="14"/>
                  </w:rPr>
                  <w:t>19,504,286,581.10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100d3bc56cc142c1b30c3998528f8af2"/>
                <w:id w:val="-1396113008"/>
                <w:lock w:val="sdtLocked"/>
              </w:sdtPr>
              <w:sdtEndPr>
                <w:rPr>
                  <w:sz w:val="14"/>
                  <w:szCs w:val="14"/>
                </w:rPr>
              </w:sdtEndPr>
              <w:sdtContent>
                <w:tc>
                  <w:tcPr>
                    <w:tcW w:w="5000" w:type="pct"/>
                    <w:gridSpan w:val="7"/>
                    <w:shd w:val="clear" w:color="auto" w:fill="auto"/>
                    <w:vAlign w:val="center"/>
                  </w:tcPr>
                  <w:p>
                    <w:pPr>
                      <w:rPr>
                        <w:sz w:val="14"/>
                        <w:szCs w:val="14"/>
                      </w:rPr>
                    </w:pPr>
                    <w:r>
                      <w:rPr>
                        <w:sz w:val="14"/>
                        <w:szCs w:val="14"/>
                      </w:rPr>
                      <w:t>三、减值准备</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77aceef1b70d43c0846f7e8f529b7784"/>
                <w:id w:val="715938761"/>
                <w:lock w:val="sdtLocked"/>
              </w:sdtPr>
              <w:sdtEndPr>
                <w:rPr>
                  <w:sz w:val="14"/>
                  <w:szCs w:val="14"/>
                </w:rPr>
              </w:sdtEndPr>
              <w:sdtContent>
                <w:tc>
                  <w:tcPr>
                    <w:tcW w:w="5000" w:type="pct"/>
                    <w:gridSpan w:val="7"/>
                    <w:shd w:val="clear" w:color="auto" w:fill="auto"/>
                    <w:vAlign w:val="center"/>
                  </w:tcPr>
                  <w:p>
                    <w:pPr>
                      <w:rPr>
                        <w:sz w:val="14"/>
                        <w:szCs w:val="14"/>
                      </w:rPr>
                    </w:pPr>
                    <w:r>
                      <w:rPr>
                        <w:sz w:val="14"/>
                        <w:szCs w:val="14"/>
                      </w:rPr>
                      <w:t>四、账面价值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7b3cabd4024540c8bf9dc83469ecf7d4"/>
                <w:id w:val="1957748888"/>
                <w:lock w:val="sdtLocked"/>
              </w:sdtPr>
              <w:sdtEndPr>
                <w:rPr>
                  <w:sz w:val="14"/>
                  <w:szCs w:val="14"/>
                </w:rPr>
              </w:sdtEndPr>
              <w:sdtContent>
                <w:tc>
                  <w:tcPr>
                    <w:tcW w:w="158" w:type="pct"/>
                    <w:shd w:val="clear" w:color="auto" w:fill="auto"/>
                    <w:vAlign w:val="center"/>
                  </w:tcPr>
                  <w:p>
                    <w:pPr>
                      <w:rPr>
                        <w:sz w:val="14"/>
                        <w:szCs w:val="14"/>
                      </w:rPr>
                    </w:pPr>
                    <w:r>
                      <w:rPr>
                        <w:sz w:val="14"/>
                        <w:szCs w:val="14"/>
                      </w:rPr>
                      <w:t xml:space="preserve">    1.期末账面价值</w:t>
                    </w:r>
                  </w:p>
                </w:tc>
              </w:sdtContent>
            </w:sdt>
            <w:tc>
              <w:tcPr>
                <w:tcW w:w="1212" w:type="pct"/>
                <w:shd w:val="clear" w:color="auto" w:fill="auto"/>
                <w:vAlign w:val="center"/>
              </w:tcPr>
              <w:p>
                <w:pPr>
                  <w:jc w:val="right"/>
                  <w:rPr>
                    <w:sz w:val="14"/>
                    <w:szCs w:val="14"/>
                  </w:rPr>
                </w:pPr>
                <w:r>
                  <w:rPr>
                    <w:sz w:val="14"/>
                    <w:szCs w:val="14"/>
                  </w:rPr>
                  <w:t>32,620,654,985.21</w:t>
                </w:r>
              </w:p>
            </w:tc>
            <w:tc>
              <w:tcPr>
                <w:tcW w:w="766" w:type="pct"/>
                <w:shd w:val="clear" w:color="auto" w:fill="auto"/>
                <w:vAlign w:val="center"/>
              </w:tcPr>
              <w:p>
                <w:pPr>
                  <w:jc w:val="right"/>
                  <w:rPr>
                    <w:sz w:val="14"/>
                    <w:szCs w:val="14"/>
                  </w:rPr>
                </w:pPr>
                <w:r>
                  <w:rPr>
                    <w:sz w:val="14"/>
                    <w:szCs w:val="14"/>
                  </w:rPr>
                  <w:t>6,402,199,265.00</w:t>
                </w:r>
              </w:p>
            </w:tc>
            <w:tc>
              <w:tcPr>
                <w:tcW w:w="766" w:type="pct"/>
                <w:shd w:val="clear" w:color="auto" w:fill="auto"/>
                <w:vAlign w:val="center"/>
              </w:tcPr>
              <w:p>
                <w:pPr>
                  <w:jc w:val="right"/>
                  <w:rPr>
                    <w:sz w:val="14"/>
                    <w:szCs w:val="14"/>
                  </w:rPr>
                </w:pPr>
                <w:r>
                  <w:rPr>
                    <w:sz w:val="14"/>
                    <w:szCs w:val="14"/>
                  </w:rPr>
                  <w:t>237,627,221.96</w:t>
                </w:r>
              </w:p>
            </w:tc>
            <w:tc>
              <w:tcPr>
                <w:tcW w:w="645" w:type="pct"/>
                <w:shd w:val="clear" w:color="auto" w:fill="auto"/>
                <w:vAlign w:val="center"/>
              </w:tcPr>
              <w:p>
                <w:pPr>
                  <w:jc w:val="right"/>
                  <w:rPr>
                    <w:sz w:val="14"/>
                    <w:szCs w:val="14"/>
                  </w:rPr>
                </w:pPr>
                <w:r>
                  <w:rPr>
                    <w:sz w:val="14"/>
                    <w:szCs w:val="14"/>
                  </w:rPr>
                  <w:t>68,948,279.50</w:t>
                </w:r>
              </w:p>
            </w:tc>
            <w:tc>
              <w:tcPr>
                <w:tcW w:w="645" w:type="pct"/>
                <w:shd w:val="clear" w:color="auto" w:fill="auto"/>
                <w:vAlign w:val="center"/>
              </w:tcPr>
              <w:p>
                <w:pPr>
                  <w:jc w:val="right"/>
                  <w:rPr>
                    <w:sz w:val="14"/>
                    <w:szCs w:val="14"/>
                  </w:rPr>
                </w:pPr>
                <w:r>
                  <w:rPr>
                    <w:sz w:val="14"/>
                    <w:szCs w:val="14"/>
                  </w:rPr>
                  <w:t>8,989,456.08</w:t>
                </w:r>
              </w:p>
            </w:tc>
            <w:tc>
              <w:tcPr>
                <w:tcW w:w="806" w:type="pct"/>
                <w:shd w:val="clear" w:color="auto" w:fill="auto"/>
                <w:vAlign w:val="center"/>
              </w:tcPr>
              <w:p>
                <w:pPr>
                  <w:jc w:val="right"/>
                  <w:rPr>
                    <w:sz w:val="14"/>
                    <w:szCs w:val="14"/>
                  </w:rPr>
                </w:pPr>
                <w:r>
                  <w:rPr>
                    <w:sz w:val="14"/>
                    <w:szCs w:val="14"/>
                  </w:rPr>
                  <w:t>39,338,419,207.75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sdt>
              <w:sdtPr>
                <w:rPr>
                  <w:sz w:val="14"/>
                  <w:szCs w:val="14"/>
                </w:rPr>
                <w:tag w:val="_PLD_04cb9e53cf0d4d8b83570453ac161e64"/>
                <w:id w:val="-1654605131"/>
                <w:lock w:val="sdtLocked"/>
              </w:sdtPr>
              <w:sdtEndPr>
                <w:rPr>
                  <w:sz w:val="14"/>
                  <w:szCs w:val="14"/>
                </w:rPr>
              </w:sdtEndPr>
              <w:sdtContent>
                <w:tc>
                  <w:tcPr>
                    <w:tcW w:w="158" w:type="pct"/>
                    <w:shd w:val="clear" w:color="auto" w:fill="auto"/>
                    <w:vAlign w:val="center"/>
                  </w:tcPr>
                  <w:p>
                    <w:pPr>
                      <w:rPr>
                        <w:sz w:val="14"/>
                        <w:szCs w:val="14"/>
                      </w:rPr>
                    </w:pPr>
                    <w:r>
                      <w:rPr>
                        <w:sz w:val="14"/>
                        <w:szCs w:val="14"/>
                      </w:rPr>
                      <w:t xml:space="preserve">    2.</w:t>
                    </w:r>
                    <w:r>
                      <w:rPr>
                        <w:rFonts w:hint="eastAsia"/>
                        <w:sz w:val="14"/>
                        <w:szCs w:val="14"/>
                      </w:rPr>
                      <w:t>期初</w:t>
                    </w:r>
                    <w:r>
                      <w:rPr>
                        <w:sz w:val="14"/>
                        <w:szCs w:val="14"/>
                      </w:rPr>
                      <w:t>账面价值</w:t>
                    </w:r>
                  </w:p>
                </w:tc>
              </w:sdtContent>
            </w:sdt>
            <w:tc>
              <w:tcPr>
                <w:tcW w:w="1212" w:type="pct"/>
                <w:shd w:val="clear" w:color="auto" w:fill="auto"/>
                <w:vAlign w:val="center"/>
              </w:tcPr>
              <w:p>
                <w:pPr>
                  <w:jc w:val="right"/>
                  <w:rPr>
                    <w:sz w:val="14"/>
                    <w:szCs w:val="14"/>
                  </w:rPr>
                </w:pPr>
                <w:r>
                  <w:rPr>
                    <w:sz w:val="14"/>
                    <w:szCs w:val="14"/>
                  </w:rPr>
                  <w:t>33,464,768,154.27</w:t>
                </w:r>
              </w:p>
            </w:tc>
            <w:tc>
              <w:tcPr>
                <w:tcW w:w="766" w:type="pct"/>
                <w:shd w:val="clear" w:color="auto" w:fill="auto"/>
                <w:vAlign w:val="center"/>
              </w:tcPr>
              <w:p>
                <w:pPr>
                  <w:jc w:val="right"/>
                  <w:rPr>
                    <w:sz w:val="14"/>
                    <w:szCs w:val="14"/>
                  </w:rPr>
                </w:pPr>
                <w:r>
                  <w:rPr>
                    <w:sz w:val="14"/>
                    <w:szCs w:val="14"/>
                  </w:rPr>
                  <w:t>5,346,592,512.27</w:t>
                </w:r>
              </w:p>
            </w:tc>
            <w:tc>
              <w:tcPr>
                <w:tcW w:w="766" w:type="pct"/>
                <w:shd w:val="clear" w:color="auto" w:fill="auto"/>
                <w:vAlign w:val="center"/>
              </w:tcPr>
              <w:p>
                <w:pPr>
                  <w:jc w:val="right"/>
                  <w:rPr>
                    <w:sz w:val="14"/>
                    <w:szCs w:val="14"/>
                  </w:rPr>
                </w:pPr>
                <w:r>
                  <w:rPr>
                    <w:sz w:val="14"/>
                    <w:szCs w:val="14"/>
                  </w:rPr>
                  <w:t>269,988,006.20</w:t>
                </w:r>
              </w:p>
            </w:tc>
            <w:tc>
              <w:tcPr>
                <w:tcW w:w="645" w:type="pct"/>
                <w:shd w:val="clear" w:color="auto" w:fill="auto"/>
                <w:vAlign w:val="center"/>
              </w:tcPr>
              <w:p>
                <w:pPr>
                  <w:jc w:val="right"/>
                  <w:rPr>
                    <w:sz w:val="14"/>
                    <w:szCs w:val="14"/>
                  </w:rPr>
                </w:pPr>
                <w:r>
                  <w:rPr>
                    <w:sz w:val="14"/>
                    <w:szCs w:val="14"/>
                  </w:rPr>
                  <w:t>70,372,449.88</w:t>
                </w:r>
              </w:p>
            </w:tc>
            <w:tc>
              <w:tcPr>
                <w:tcW w:w="645" w:type="pct"/>
                <w:shd w:val="clear" w:color="auto" w:fill="auto"/>
                <w:vAlign w:val="center"/>
              </w:tcPr>
              <w:p>
                <w:pPr>
                  <w:jc w:val="right"/>
                  <w:rPr>
                    <w:sz w:val="14"/>
                    <w:szCs w:val="14"/>
                  </w:rPr>
                </w:pPr>
                <w:r>
                  <w:rPr>
                    <w:sz w:val="14"/>
                    <w:szCs w:val="14"/>
                  </w:rPr>
                  <w:t>9,180,594.35</w:t>
                </w:r>
              </w:p>
            </w:tc>
            <w:tc>
              <w:tcPr>
                <w:tcW w:w="806" w:type="pct"/>
                <w:shd w:val="clear" w:color="auto" w:fill="auto"/>
                <w:vAlign w:val="center"/>
              </w:tcPr>
              <w:p>
                <w:pPr>
                  <w:jc w:val="right"/>
                  <w:rPr>
                    <w:sz w:val="14"/>
                    <w:szCs w:val="14"/>
                  </w:rPr>
                </w:pPr>
                <w:r>
                  <w:rPr>
                    <w:sz w:val="14"/>
                    <w:szCs w:val="14"/>
                  </w:rPr>
                  <w:t>39,160,901,716.97</w:t>
                </w:r>
              </w:p>
            </w:tc>
          </w:tr>
        </w:tbl>
        <w:p>
          <w:pPr>
            <w:snapToGrid w:val="0"/>
            <w:spacing w:line="240" w:lineRule="atLeast"/>
          </w:pPr>
          <w:sdt>
            <w:sdtPr>
              <w:alias w:val="通过公司内部研发形成的无形资产占无形资产账面价值的比例"/>
              <w:tag w:val="_GBC_4eb0f3140a674bd1899e2bd836d51bbb"/>
              <w:id w:val="233281058"/>
              <w:lock w:val="sdtLocked"/>
              <w:placeholder>
                <w:docPart w:val="GBC22222222222222222222222222222"/>
              </w:placeholder>
            </w:sdtPr>
            <w:sdtContent>
              <w:r>
                <w:t>-</w:t>
              </w:r>
            </w:sdtContent>
          </w:sdt>
        </w:p>
        <w:p>
          <w:pPr>
            <w:snapToGrid w:val="0"/>
            <w:spacing w:line="240" w:lineRule="atLeast"/>
          </w:pPr>
          <w:r>
            <w:rPr>
              <w:rFonts w:hint="eastAsia"/>
            </w:rPr>
            <w:t>于</w:t>
          </w:r>
          <w:r>
            <w:t>2023年6月30日，本集团分别将人民币18,607,322,116.94元运营中的公路经营权和人民币5,527,311,168.23元在建项目公路经营权的未来运营期间收款权进行质押以获取银行贷款（2022年12月31日：人民币18,809,575,864.66元和人民币4,781,456,571.94元）。详见附注五、31。</w:t>
          </w:r>
        </w:p>
      </w:sdtContent>
    </w:sdt>
    <w:sdt>
      <w:sdtPr>
        <w:rPr>
          <w:rFonts w:hint="eastAsia" w:ascii="宋体" w:hAnsi="宋体" w:cs="宋体"/>
          <w:b w:val="0"/>
          <w:bCs w:val="0"/>
          <w:kern w:val="0"/>
          <w:szCs w:val="21"/>
        </w:rPr>
        <w:alias w:val="模块:未办妥产权证书的土地使用权情况："/>
        <w:tag w:val="_GBC_0daf5d1e7172402ab885ca5e5b78a389"/>
        <w:id w:val="961851246"/>
        <w:lock w:val="sdtLocked"/>
        <w:placeholder>
          <w:docPart w:val="GBC22222222222222222222222222222"/>
        </w:placeholder>
      </w:sdtPr>
      <w:sdtEndPr>
        <w:rPr>
          <w:rFonts w:hint="eastAsia" w:ascii="宋体" w:hAnsi="宋体" w:cs="宋体"/>
          <w:b w:val="0"/>
          <w:bCs w:val="0"/>
          <w:kern w:val="0"/>
          <w:szCs w:val="21"/>
        </w:rPr>
      </w:sdtEndPr>
      <w:sdtContent>
        <w:p>
          <w:pPr>
            <w:pStyle w:val="212"/>
            <w:numPr>
              <w:ilvl w:val="0"/>
              <w:numId w:val="67"/>
            </w:numPr>
            <w:tabs>
              <w:tab w:val="left" w:pos="602"/>
            </w:tabs>
            <w:rPr>
              <w:rFonts w:ascii="宋体" w:hAnsi="宋体"/>
              <w:szCs w:val="21"/>
            </w:rPr>
          </w:pPr>
          <w:r>
            <w:rPr>
              <w:rFonts w:hint="eastAsia" w:ascii="宋体" w:hAnsi="宋体"/>
              <w:szCs w:val="21"/>
            </w:rPr>
            <w:t>未办妥产权证书的土地使用权情况</w:t>
          </w:r>
        </w:p>
        <w:sdt>
          <w:sdtPr>
            <w:alias w:val="是否适用：未办妥产权证书的土地使用权情况[双击切换]"/>
            <w:tag w:val="_GBC_e8ff0641401a44f19fe64ad31dc15c58"/>
            <w:id w:val="-511995440"/>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无形资产说明"/>
        <w:tag w:val="_GBC_c2d02a8bb1274cb1bf0330030cc64229"/>
        <w:id w:val="1070623358"/>
        <w:lock w:val="sdtLocked"/>
        <w:placeholder>
          <w:docPart w:val="GBC22222222222222222222222222222"/>
        </w:placeholder>
      </w:sdtPr>
      <w:sdtContent>
        <w:p>
          <w:pPr>
            <w:pStyle w:val="208"/>
          </w:pPr>
          <w:bookmarkStart w:id="198" w:name="_Hlk142590443"/>
          <w:bookmarkEnd w:id="198"/>
          <w:r>
            <w:rPr>
              <w:rFonts w:hint="eastAsia"/>
            </w:rPr>
            <w:t>其他说明：</w:t>
          </w:r>
        </w:p>
        <w:sdt>
          <w:sdtPr>
            <w:alias w:val="是否适用：无形资产的说明[双击切换]"/>
            <w:tag w:val="_GBC_dc3c687f3c2c457e9024304c14129458"/>
            <w:id w:val="1701663146"/>
            <w:lock w:val="sdtLocked"/>
            <w:placeholder>
              <w:docPart w:val="GBC22222222222222222222222222222"/>
            </w:placeholder>
          </w:sdtPr>
          <w:sdtContent>
            <w:p>
              <w:pPr>
                <w:pStyle w:val="20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sdt>
      <w:sdtPr>
        <w:rPr>
          <w:rFonts w:hint="eastAsia" w:ascii="宋体" w:hAnsi="宋体" w:cs="宋体"/>
          <w:b w:val="0"/>
          <w:bCs w:val="0"/>
          <w:kern w:val="0"/>
          <w:szCs w:val="21"/>
        </w:rPr>
        <w:alias w:val="模块:公司开发项目支出"/>
        <w:tag w:val="_GBC_41dea900f659431692960536981b1d8d"/>
        <w:id w:val="326867927"/>
        <w:lock w:val="sdtLocked"/>
        <w:placeholder>
          <w:docPart w:val="GBC22222222222222222222222222222"/>
        </w:placeholder>
      </w:sdtPr>
      <w:sdtEndPr>
        <w:rPr>
          <w:rFonts w:hint="default" w:ascii="宋体" w:hAnsi="宋体" w:cstheme="minorBidi"/>
          <w:b w:val="0"/>
          <w:bCs w:val="0"/>
          <w:kern w:val="2"/>
          <w:szCs w:val="21"/>
        </w:rPr>
      </w:sdtEndPr>
      <w:sdtContent>
        <w:p>
          <w:pPr>
            <w:pStyle w:val="4"/>
            <w:numPr>
              <w:ilvl w:val="0"/>
              <w:numId w:val="51"/>
            </w:numPr>
            <w:tabs>
              <w:tab w:val="left" w:pos="504"/>
            </w:tabs>
            <w:rPr>
              <w:rFonts w:ascii="宋体" w:hAnsi="宋体"/>
              <w:kern w:val="0"/>
              <w:szCs w:val="21"/>
            </w:rPr>
          </w:pPr>
          <w:r>
            <w:rPr>
              <w:rFonts w:hint="eastAsia" w:ascii="宋体" w:hAnsi="宋体"/>
              <w:szCs w:val="21"/>
            </w:rPr>
            <w:t>开发</w:t>
          </w:r>
          <w:r>
            <w:rPr>
              <w:rFonts w:hint="eastAsia" w:ascii="宋体" w:hAnsi="宋体"/>
              <w:kern w:val="0"/>
              <w:szCs w:val="21"/>
            </w:rPr>
            <w:t>支出</w:t>
          </w:r>
        </w:p>
        <w:sdt>
          <w:sdtPr>
            <w:alias w:val="是否适用：开发支出[双击切换]"/>
            <w:tag w:val="_GBC_a62fb6e641b048a49c12233ba47c4939"/>
            <w:id w:val="-8654386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p>
      <w:pPr>
        <w:snapToGrid w:val="0"/>
        <w:spacing w:line="240" w:lineRule="atLeast"/>
      </w:pPr>
    </w:p>
    <w:p>
      <w:pPr>
        <w:pStyle w:val="4"/>
        <w:numPr>
          <w:ilvl w:val="0"/>
          <w:numId w:val="51"/>
        </w:numPr>
        <w:tabs>
          <w:tab w:val="left" w:pos="504"/>
        </w:tabs>
        <w:rPr>
          <w:rFonts w:ascii="宋体" w:hAnsi="宋体"/>
          <w:szCs w:val="21"/>
        </w:rPr>
      </w:pPr>
      <w:r>
        <w:rPr>
          <w:rFonts w:hint="eastAsia" w:ascii="宋体" w:hAnsi="宋体"/>
          <w:szCs w:val="21"/>
        </w:rPr>
        <w:t>商誉</w:t>
      </w:r>
    </w:p>
    <w:sdt>
      <w:sdtPr>
        <w:rPr>
          <w:rFonts w:hint="eastAsia" w:ascii="宋体" w:hAnsi="宋体" w:cs="宋体"/>
          <w:b w:val="0"/>
          <w:bCs w:val="0"/>
          <w:kern w:val="0"/>
          <w:szCs w:val="24"/>
        </w:rPr>
        <w:alias w:val="模块:商誉账面原值"/>
        <w:tag w:val="_SEC_0d13253f4b004ecdaea8960cfb92cf26"/>
        <w:id w:val="-1063632862"/>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8"/>
            </w:numPr>
            <w:tabs>
              <w:tab w:val="left" w:pos="588"/>
            </w:tabs>
            <w:rPr>
              <w:rFonts w:ascii="宋体" w:hAnsi="宋体"/>
            </w:rPr>
          </w:pPr>
          <w:r>
            <w:rPr>
              <w:rFonts w:hint="eastAsia" w:ascii="宋体" w:hAnsi="宋体"/>
            </w:rPr>
            <w:t>商誉账面原值</w:t>
          </w:r>
        </w:p>
        <w:sdt>
          <w:sdtPr>
            <w:alias w:val="是否适用：商誉账面原值[双击切换]"/>
            <w:tag w:val="_GBC_e2a869d440cf4b7f9f592f3e22cea85d"/>
            <w:id w:val="-15014005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商誉减值准备"/>
        <w:tag w:val="_SEC_6fe538077d4746d4ba51a5610b4bd03b"/>
        <w:id w:val="-157419795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8"/>
            </w:numPr>
            <w:tabs>
              <w:tab w:val="left" w:pos="588"/>
            </w:tabs>
            <w:rPr>
              <w:rFonts w:ascii="宋体" w:hAnsi="宋体"/>
            </w:rPr>
          </w:pPr>
          <w:r>
            <w:rPr>
              <w:rFonts w:hint="eastAsia" w:ascii="宋体" w:hAnsi="宋体"/>
            </w:rPr>
            <w:t>商誉减值准备</w:t>
          </w:r>
        </w:p>
        <w:sdt>
          <w:sdtPr>
            <w:alias w:val="是否适用：商誉减值准备[双击切换]"/>
            <w:tag w:val="_GBC_743c9a20b5c043668f28664eb36decf8"/>
            <w:id w:val="-140113171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商誉所在资产组或资产组组合的相关信息"/>
        <w:tag w:val="_SEC_d66ac36383ac40138e90a678094ff1a4"/>
        <w:id w:val="183001145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8"/>
            </w:numPr>
            <w:tabs>
              <w:tab w:val="left" w:pos="588"/>
            </w:tabs>
            <w:rPr>
              <w:rFonts w:ascii="宋体" w:hAnsi="宋体"/>
            </w:rPr>
          </w:pPr>
          <w:bookmarkStart w:id="199" w:name="_Hlk10535081"/>
          <w:bookmarkStart w:id="200" w:name="_Hlk10535094"/>
          <w:r>
            <w:rPr>
              <w:rFonts w:hint="eastAsia" w:ascii="宋体" w:hAnsi="宋体"/>
            </w:rPr>
            <w:t>商誉所在资产组或资产组组合的相关信息</w:t>
          </w:r>
          <w:bookmarkEnd w:id="199"/>
        </w:p>
        <w:sdt>
          <w:sdtPr>
            <w:alias w:val="是否适用：商誉所在资产组或资产组组合的相关信息[双击切换]"/>
            <w:tag w:val="_GBC_a40a76b7512a45b79930a13f56d19c6d"/>
            <w:id w:val="-80476665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00"/>
    <w:sdt>
      <w:sdtPr>
        <w:rPr>
          <w:rFonts w:hint="eastAsia" w:ascii="宋体" w:hAnsi="宋体" w:cs="宋体"/>
          <w:b w:val="0"/>
          <w:bCs w:val="0"/>
          <w:kern w:val="0"/>
          <w:szCs w:val="24"/>
        </w:rPr>
        <w:alias w:val="模块:说明商誉减值测试过程、关键参数（例如预计未来现金流量现值时的..."/>
        <w:tag w:val="_SEC_6b753aafd7bf484f982e228cd4c0dde3"/>
        <w:id w:val="110800746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8"/>
            </w:numPr>
            <w:tabs>
              <w:tab w:val="left" w:pos="588"/>
            </w:tabs>
            <w:ind w:left="567" w:hanging="567"/>
            <w:rPr>
              <w:rFonts w:ascii="宋体" w:hAnsi="宋体"/>
            </w:rPr>
          </w:pPr>
          <w:r>
            <w:rPr>
              <w:rFonts w:hint="eastAsia" w:ascii="宋体" w:hAnsi="宋体"/>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168096581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商誉减值测试的影响"/>
        <w:tag w:val="_SEC_fd017e302f8c4189978aac3dc8581f09"/>
        <w:id w:val="133441984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8"/>
            </w:numPr>
            <w:tabs>
              <w:tab w:val="left" w:pos="588"/>
            </w:tabs>
            <w:ind w:left="567" w:hanging="567"/>
            <w:rPr>
              <w:rFonts w:ascii="宋体" w:hAnsi="宋体"/>
              <w:szCs w:val="21"/>
            </w:rPr>
          </w:pPr>
          <w:bookmarkStart w:id="201" w:name="_Hlk10535249"/>
          <w:bookmarkStart w:id="202" w:name="_Hlk10535258"/>
          <w:r>
            <w:rPr>
              <w:rFonts w:hint="eastAsia" w:ascii="宋体" w:hAnsi="宋体"/>
              <w:szCs w:val="21"/>
            </w:rPr>
            <w:t>商誉减值测试的影响</w:t>
          </w:r>
          <w:bookmarkEnd w:id="201"/>
        </w:p>
        <w:sdt>
          <w:sdtPr>
            <w:alias w:val="是否适用：商誉减值测试的影响[双击切换]"/>
            <w:tag w:val="_GBC_24d2ea865aff4dda9d4cd3c8b1eb71cc"/>
            <w:id w:val="213698099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2"/>
    <w:p>
      <w:pPr>
        <w:pStyle w:val="114"/>
      </w:pPr>
    </w:p>
    <w:sdt>
      <w:sdtPr>
        <w:rPr>
          <w:rFonts w:hint="eastAsia"/>
        </w:rPr>
        <w:alias w:val="模块:其他说明"/>
        <w:tag w:val="_SEC_fd9f0a21b0c44e29ba84ddb7842fe32a"/>
        <w:id w:val="2113316869"/>
        <w:lock w:val="sdtLocked"/>
        <w:placeholder>
          <w:docPart w:val="GBC22222222222222222222222222222"/>
        </w:placeholder>
      </w:sdtPr>
      <w:sdtEndPr>
        <w:rPr>
          <w:rFonts w:hint="default"/>
        </w:rPr>
      </w:sdtEndPr>
      <w:sdtContent>
        <w:p>
          <w:pPr>
            <w:pStyle w:val="114"/>
          </w:pPr>
          <w:r>
            <w:rPr>
              <w:rFonts w:hint="eastAsia"/>
            </w:rPr>
            <w:t>其他说明：</w:t>
          </w:r>
        </w:p>
        <w:sdt>
          <w:sdtPr>
            <w:alias w:val="是否适用：商誉其他需要说明的事项[双击切换]"/>
            <w:tag w:val="_GBC_6b2c2377a4a6486b9a4ba845bd2192f6"/>
            <w:id w:val="-21458790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napToGrid w:val="0"/>
        <w:spacing w:line="240" w:lineRule="atLeast"/>
      </w:pPr>
    </w:p>
    <w:sdt>
      <w:sdtPr>
        <w:rPr>
          <w:rFonts w:hint="eastAsia" w:ascii="宋体" w:hAnsi="宋体" w:cs="宋体"/>
          <w:b w:val="0"/>
          <w:bCs w:val="0"/>
          <w:kern w:val="0"/>
          <w:szCs w:val="21"/>
        </w:rPr>
        <w:alias w:val="模块:长期待摊费用"/>
        <w:tag w:val="_GBC_c7f901dce89846cbbbab6c51c3213a6f"/>
        <w:id w:val="1121960668"/>
        <w:lock w:val="sdtLocked"/>
        <w:placeholder>
          <w:docPart w:val="GBC22222222222222222222222222222"/>
        </w:placeholder>
      </w:sdtPr>
      <w:sdtEndPr>
        <w:rPr>
          <w:rFonts w:hint="default" w:ascii="宋体" w:hAnsi="宋体" w:cstheme="minorBidi"/>
          <w:b w:val="0"/>
          <w:bCs w:val="0"/>
          <w:kern w:val="2"/>
          <w:szCs w:val="21"/>
        </w:rPr>
      </w:sdtEndPr>
      <w:sdtContent>
        <w:p>
          <w:pPr>
            <w:pStyle w:val="4"/>
            <w:numPr>
              <w:ilvl w:val="0"/>
              <w:numId w:val="51"/>
            </w:numPr>
            <w:tabs>
              <w:tab w:val="left" w:pos="504"/>
            </w:tabs>
            <w:rPr>
              <w:rFonts w:ascii="宋体" w:hAnsi="宋体"/>
              <w:szCs w:val="21"/>
            </w:rPr>
          </w:pPr>
          <w:r>
            <w:rPr>
              <w:rFonts w:hint="eastAsia" w:ascii="宋体" w:hAnsi="宋体"/>
              <w:szCs w:val="21"/>
            </w:rPr>
            <w:t>长期待摊费用</w:t>
          </w:r>
        </w:p>
        <w:sdt>
          <w:sdtPr>
            <w:alias w:val="是否适用：长期待摊费用[双击切换]"/>
            <w:tag w:val="_GBC_9bec8f9516c84b19bae2fb8a7292063f"/>
            <w:id w:val="74115268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长期待摊费用"/>
              <w:tag w:val="_GBC_aa74f67aac374e54a7768a8434ab0c08"/>
              <w:id w:val="-12330847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14989972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581"/>
            <w:gridCol w:w="1478"/>
            <w:gridCol w:w="1478"/>
            <w:gridCol w:w="1502"/>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0e665ce568e49a5aa1c687384d611b3"/>
                <w:id w:val="1956290503"/>
                <w:lock w:val="sdtLocked"/>
              </w:sdtPr>
              <w:sdtContent>
                <w:tc>
                  <w:tcPr>
                    <w:tcW w:w="800" w:type="pct"/>
                    <w:shd w:val="clear" w:color="auto" w:fill="auto"/>
                    <w:vAlign w:val="center"/>
                  </w:tcPr>
                  <w:p>
                    <w:pPr>
                      <w:jc w:val="center"/>
                    </w:pPr>
                    <w:r>
                      <w:rPr>
                        <w:rFonts w:hint="eastAsia"/>
                      </w:rPr>
                      <w:t>项目</w:t>
                    </w:r>
                  </w:p>
                </w:tc>
              </w:sdtContent>
            </w:sdt>
            <w:sdt>
              <w:sdtPr>
                <w:tag w:val="_PLD_e3597a5d560b48d59d41cd3dc72b1a3a"/>
                <w:id w:val="-104578157"/>
                <w:lock w:val="sdtLocked"/>
              </w:sdtPr>
              <w:sdtContent>
                <w:tc>
                  <w:tcPr>
                    <w:tcW w:w="827" w:type="pct"/>
                    <w:shd w:val="clear" w:color="auto" w:fill="auto"/>
                    <w:vAlign w:val="center"/>
                  </w:tcPr>
                  <w:p>
                    <w:pPr>
                      <w:jc w:val="center"/>
                    </w:pPr>
                    <w:r>
                      <w:rPr>
                        <w:rFonts w:hint="eastAsia"/>
                      </w:rPr>
                      <w:t>期初余额</w:t>
                    </w:r>
                  </w:p>
                </w:tc>
              </w:sdtContent>
            </w:sdt>
            <w:sdt>
              <w:sdtPr>
                <w:tag w:val="_PLD_2edffaf8b24b489e97f2d4a6a5ec5711"/>
                <w:id w:val="-1411768006"/>
                <w:lock w:val="sdtLocked"/>
              </w:sdtPr>
              <w:sdtContent>
                <w:tc>
                  <w:tcPr>
                    <w:tcW w:w="827" w:type="pct"/>
                    <w:shd w:val="clear" w:color="auto" w:fill="auto"/>
                    <w:vAlign w:val="center"/>
                  </w:tcPr>
                  <w:p>
                    <w:pPr>
                      <w:jc w:val="center"/>
                    </w:pPr>
                    <w:r>
                      <w:rPr>
                        <w:rFonts w:hint="eastAsia"/>
                      </w:rPr>
                      <w:t>本期增加金额</w:t>
                    </w:r>
                  </w:p>
                </w:tc>
              </w:sdtContent>
            </w:sdt>
            <w:sdt>
              <w:sdtPr>
                <w:tag w:val="_PLD_f6bc6a07519e4f6cab5889776aa0ecbd"/>
                <w:id w:val="157505341"/>
                <w:lock w:val="sdtLocked"/>
              </w:sdtPr>
              <w:sdtContent>
                <w:tc>
                  <w:tcPr>
                    <w:tcW w:w="827" w:type="pct"/>
                    <w:shd w:val="clear" w:color="auto" w:fill="auto"/>
                    <w:vAlign w:val="center"/>
                  </w:tcPr>
                  <w:p>
                    <w:pPr>
                      <w:jc w:val="center"/>
                    </w:pPr>
                    <w:r>
                      <w:rPr>
                        <w:rFonts w:hint="eastAsia"/>
                      </w:rPr>
                      <w:t>本期摊销金额</w:t>
                    </w:r>
                  </w:p>
                </w:tc>
              </w:sdtContent>
            </w:sdt>
            <w:sdt>
              <w:sdtPr>
                <w:tag w:val="_PLD_f987bb682c974016898d37b474ce35c6"/>
                <w:id w:val="71251699"/>
                <w:lock w:val="sdtLocked"/>
              </w:sdtPr>
              <w:sdtContent>
                <w:tc>
                  <w:tcPr>
                    <w:tcW w:w="840" w:type="pct"/>
                    <w:shd w:val="clear" w:color="auto" w:fill="auto"/>
                    <w:vAlign w:val="center"/>
                  </w:tcPr>
                  <w:p>
                    <w:pPr>
                      <w:jc w:val="center"/>
                    </w:pPr>
                    <w:r>
                      <w:rPr>
                        <w:rFonts w:hint="eastAsia"/>
                      </w:rPr>
                      <w:t>其他减少金额</w:t>
                    </w:r>
                  </w:p>
                </w:tc>
              </w:sdtContent>
            </w:sdt>
            <w:sdt>
              <w:sdtPr>
                <w:tag w:val="_PLD_dab738986fbc4bd7b942faf77cb39605"/>
                <w:id w:val="1400324059"/>
                <w:lock w:val="sdtLocked"/>
              </w:sdtPr>
              <w:sdtContent>
                <w:tc>
                  <w:tcPr>
                    <w:tcW w:w="879" w:type="pct"/>
                    <w:shd w:val="clear" w:color="auto" w:fill="auto"/>
                    <w:vAlign w:val="center"/>
                  </w:tcPr>
                  <w:p>
                    <w:pPr>
                      <w:jc w:val="center"/>
                    </w:pPr>
                    <w:r>
                      <w:rPr>
                        <w:rFonts w:hint="eastAsia"/>
                      </w:rPr>
                      <w:t>期末余额</w:t>
                    </w:r>
                  </w:p>
                </w:tc>
              </w:sdtContent>
            </w:sdt>
          </w:tr>
          <w:sdt>
            <w:sdtPr>
              <w:rPr>
                <w:rFonts w:hint="eastAsia"/>
              </w:rPr>
              <w:alias w:val="长期待摊费用明细"/>
              <w:tag w:val="_GBC_68b20aeabd8c4ce8bf5df712206206af"/>
              <w:id w:val="20461561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pct"/>
                    <w:shd w:val="clear" w:color="auto" w:fill="auto"/>
                  </w:tcPr>
                  <w:p>
                    <w:pPr>
                      <w:pStyle w:val="114"/>
                    </w:pPr>
                    <w:r>
                      <w:t>房屋装修工程</w:t>
                    </w:r>
                  </w:p>
                </w:tc>
                <w:tc>
                  <w:tcPr>
                    <w:tcW w:w="827" w:type="pct"/>
                    <w:shd w:val="clear" w:color="auto" w:fill="auto"/>
                  </w:tcPr>
                  <w:p>
                    <w:pPr>
                      <w:jc w:val="right"/>
                    </w:pPr>
                    <w:r>
                      <w:t>18,310,574.19</w:t>
                    </w:r>
                  </w:p>
                </w:tc>
                <w:tc>
                  <w:tcPr>
                    <w:tcW w:w="827" w:type="pct"/>
                    <w:shd w:val="clear" w:color="auto" w:fill="auto"/>
                  </w:tcPr>
                  <w:p>
                    <w:pPr>
                      <w:jc w:val="right"/>
                    </w:pPr>
                    <w:r>
                      <w:t>4,000,025.99</w:t>
                    </w:r>
                  </w:p>
                </w:tc>
                <w:tc>
                  <w:tcPr>
                    <w:tcW w:w="827" w:type="pct"/>
                    <w:shd w:val="clear" w:color="auto" w:fill="auto"/>
                  </w:tcPr>
                  <w:p>
                    <w:pPr>
                      <w:jc w:val="right"/>
                    </w:pPr>
                    <w:r>
                      <w:t>4,503,562.07</w:t>
                    </w:r>
                  </w:p>
                </w:tc>
                <w:tc>
                  <w:tcPr>
                    <w:tcW w:w="840" w:type="pct"/>
                    <w:shd w:val="clear" w:color="auto" w:fill="auto"/>
                  </w:tcPr>
                  <w:p>
                    <w:pPr>
                      <w:jc w:val="right"/>
                    </w:pPr>
                    <w:r>
                      <w:rPr>
                        <w:rFonts w:hint="eastAsia"/>
                      </w:rPr>
                      <w:t>-</w:t>
                    </w:r>
                  </w:p>
                </w:tc>
                <w:tc>
                  <w:tcPr>
                    <w:tcW w:w="879" w:type="pct"/>
                    <w:shd w:val="clear" w:color="auto" w:fill="auto"/>
                  </w:tcPr>
                  <w:p>
                    <w:pPr>
                      <w:jc w:val="right"/>
                    </w:pPr>
                    <w:r>
                      <w:t>17,807,038.11</w:t>
                    </w:r>
                  </w:p>
                </w:tc>
              </w:tr>
            </w:sdtContent>
          </w:sdt>
          <w:sdt>
            <w:sdtPr>
              <w:rPr>
                <w:rFonts w:hint="eastAsia"/>
              </w:rPr>
              <w:alias w:val="长期待摊费用明细"/>
              <w:tag w:val="_GBC_68b20aeabd8c4ce8bf5df712206206af"/>
              <w:id w:val="-1542895257"/>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pct"/>
                    <w:shd w:val="clear" w:color="auto" w:fill="auto"/>
                  </w:tcPr>
                  <w:p>
                    <w:pPr>
                      <w:pStyle w:val="114"/>
                    </w:pPr>
                    <w:r>
                      <w:t>减：减值准备</w:t>
                    </w:r>
                  </w:p>
                </w:tc>
                <w:tc>
                  <w:tcPr>
                    <w:tcW w:w="827" w:type="pct"/>
                    <w:shd w:val="clear" w:color="auto" w:fill="auto"/>
                  </w:tcPr>
                  <w:p>
                    <w:pPr>
                      <w:jc w:val="right"/>
                    </w:pPr>
                    <w:r>
                      <w:t>-</w:t>
                    </w:r>
                  </w:p>
                </w:tc>
                <w:tc>
                  <w:tcPr>
                    <w:tcW w:w="827" w:type="pct"/>
                    <w:shd w:val="clear" w:color="auto" w:fill="auto"/>
                  </w:tcPr>
                  <w:p>
                    <w:pPr>
                      <w:jc w:val="right"/>
                    </w:pPr>
                    <w:r>
                      <w:t>-</w:t>
                    </w:r>
                  </w:p>
                </w:tc>
                <w:tc>
                  <w:tcPr>
                    <w:tcW w:w="827" w:type="pct"/>
                    <w:shd w:val="clear" w:color="auto" w:fill="auto"/>
                  </w:tcPr>
                  <w:p>
                    <w:pPr>
                      <w:jc w:val="right"/>
                    </w:pPr>
                    <w:r>
                      <w:t>-</w:t>
                    </w:r>
                  </w:p>
                </w:tc>
                <w:tc>
                  <w:tcPr>
                    <w:tcW w:w="840" w:type="pct"/>
                    <w:shd w:val="clear" w:color="auto" w:fill="auto"/>
                  </w:tcPr>
                  <w:p>
                    <w:pPr>
                      <w:jc w:val="right"/>
                    </w:pPr>
                    <w:r>
                      <w:rPr>
                        <w:rFonts w:hint="eastAsia"/>
                      </w:rPr>
                      <w:t>-</w:t>
                    </w:r>
                  </w:p>
                </w:tc>
                <w:tc>
                  <w:tcPr>
                    <w:tcW w:w="879" w:type="pct"/>
                    <w:shd w:val="clear" w:color="auto" w:fill="auto"/>
                  </w:tcPr>
                  <w:p>
                    <w:pPr>
                      <w:jc w:val="right"/>
                    </w:pPr>
                    <w:r>
                      <w:t>-</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d1d6a8046344014824f3cd45e5475be"/>
                <w:id w:val="1535468192"/>
                <w:lock w:val="sdtLocked"/>
              </w:sdtPr>
              <w:sdtContent>
                <w:tc>
                  <w:tcPr>
                    <w:tcW w:w="800" w:type="pct"/>
                    <w:shd w:val="clear" w:color="auto" w:fill="auto"/>
                    <w:vAlign w:val="center"/>
                  </w:tcPr>
                  <w:p>
                    <w:pPr>
                      <w:jc w:val="center"/>
                    </w:pPr>
                    <w:r>
                      <w:rPr>
                        <w:rFonts w:hint="eastAsia"/>
                      </w:rPr>
                      <w:t>合计</w:t>
                    </w:r>
                  </w:p>
                </w:tc>
              </w:sdtContent>
            </w:sdt>
            <w:tc>
              <w:tcPr>
                <w:tcW w:w="827" w:type="pct"/>
                <w:shd w:val="clear" w:color="auto" w:fill="auto"/>
              </w:tcPr>
              <w:p>
                <w:pPr>
                  <w:jc w:val="right"/>
                </w:pPr>
                <w:r>
                  <w:t>18,310,574.19</w:t>
                </w:r>
              </w:p>
            </w:tc>
            <w:tc>
              <w:tcPr>
                <w:tcW w:w="827" w:type="pct"/>
                <w:shd w:val="clear" w:color="auto" w:fill="auto"/>
              </w:tcPr>
              <w:p>
                <w:pPr>
                  <w:jc w:val="right"/>
                </w:pPr>
                <w:r>
                  <w:t>4,000,025.99</w:t>
                </w:r>
              </w:p>
            </w:tc>
            <w:tc>
              <w:tcPr>
                <w:tcW w:w="827" w:type="pct"/>
                <w:shd w:val="clear" w:color="auto" w:fill="auto"/>
              </w:tcPr>
              <w:p>
                <w:pPr>
                  <w:jc w:val="right"/>
                </w:pPr>
                <w:r>
                  <w:t>4,503,562.07</w:t>
                </w:r>
              </w:p>
            </w:tc>
            <w:tc>
              <w:tcPr>
                <w:tcW w:w="840" w:type="pct"/>
                <w:shd w:val="clear" w:color="auto" w:fill="auto"/>
              </w:tcPr>
              <w:p>
                <w:pPr>
                  <w:jc w:val="right"/>
                </w:pPr>
                <w:r>
                  <w:rPr>
                    <w:rFonts w:hint="eastAsia"/>
                  </w:rPr>
                  <w:t>-</w:t>
                </w:r>
              </w:p>
            </w:tc>
            <w:tc>
              <w:tcPr>
                <w:tcW w:w="879" w:type="pct"/>
                <w:shd w:val="clear" w:color="auto" w:fill="auto"/>
              </w:tcPr>
              <w:p>
                <w:pPr>
                  <w:jc w:val="right"/>
                </w:pPr>
                <w:r>
                  <w:t>17,807,038.11</w:t>
                </w:r>
              </w:p>
            </w:tc>
          </w:tr>
        </w:tbl>
        <w:p>
          <w:pPr>
            <w:pStyle w:val="114"/>
          </w:pPr>
          <w:r>
            <w:rPr>
              <w:rFonts w:hint="eastAsia"/>
            </w:rPr>
            <w:t>其他说明：</w:t>
          </w:r>
        </w:p>
        <w:sdt>
          <w:sdtPr>
            <w:alias w:val="长期待摊费用的说明"/>
            <w:tag w:val="_GBC_5b31c466b60f433faaa37d443fae74be"/>
            <w:id w:val="-280185406"/>
            <w:lock w:val="sdtLocked"/>
            <w:placeholder>
              <w:docPart w:val="GBC22222222222222222222222222222"/>
            </w:placeholder>
          </w:sdt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未经抵销的递延所得税资产"/>
        <w:tag w:val="_SEC_24cb6110bf5143448478343c289c754e"/>
        <w:id w:val="760878834"/>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递延所得税资产/ 递延所得税负债</w:t>
          </w:r>
        </w:p>
        <w:p>
          <w:pPr>
            <w:pStyle w:val="118"/>
            <w:numPr>
              <w:ilvl w:val="0"/>
              <w:numId w:val="69"/>
            </w:numPr>
            <w:tabs>
              <w:tab w:val="left" w:pos="588"/>
              <w:tab w:val="left" w:pos="616"/>
            </w:tabs>
            <w:rPr>
              <w:rFonts w:ascii="宋体" w:hAnsi="宋体"/>
            </w:rPr>
          </w:pPr>
          <w:bookmarkStart w:id="203" w:name="_Toc215903151"/>
          <w:r>
            <w:rPr>
              <w:rFonts w:hint="eastAsia" w:ascii="宋体" w:hAnsi="宋体"/>
            </w:rPr>
            <w:t>未经抵销的递延所得税资产</w:t>
          </w:r>
        </w:p>
        <w:sdt>
          <w:sdtPr>
            <w:alias w:val="是否适用：未经抵销的递延所得税资产[双击切换]"/>
            <w:tag w:val="_GBC_fc6e77974a404dc3bef5fc386ae4e1e7"/>
            <w:id w:val="-98423514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已确认的递延所得税资产和递延所得税负债"/>
              <w:tag w:val="_GBC_7be724d3c6f14974914db7d02bb734f9"/>
              <w:id w:val="20124935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bookmarkEnd w:id="203"/>
          <w:sdt>
            <w:sdtPr>
              <w:rPr>
                <w:rFonts w:hint="eastAsia"/>
              </w:rPr>
              <w:alias w:val="币种：财务附注：已确认的递延所得税资产和递延所得税负债"/>
              <w:tag w:val="_GBC_a48237f045494aa9a0ea8c2cb35b1c0f"/>
              <w:id w:val="2147467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8"/>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5"/>
            <w:gridCol w:w="1729"/>
            <w:gridCol w:w="1729"/>
            <w:gridCol w:w="1729"/>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rPr>
                  <w:rFonts w:asciiTheme="majorEastAsia" w:hAnsiTheme="majorEastAsia" w:eastAsiaTheme="majorEastAsia"/>
                </w:rPr>
                <w:tag w:val="_PLD_e45101b3a01946f19f22657bb959574e"/>
                <w:id w:val="631375966"/>
                <w:lock w:val="sdtLocked"/>
              </w:sdtPr>
              <w:sdtEndPr>
                <w:rPr>
                  <w:rFonts w:asciiTheme="majorEastAsia" w:hAnsiTheme="majorEastAsia" w:eastAsiaTheme="majorEastAsia"/>
                </w:rPr>
              </w:sdtEndPr>
              <w:sdtContent>
                <w:tc>
                  <w:tcPr>
                    <w:tcW w:w="1179" w:type="pct"/>
                    <w:vMerge w:val="restart"/>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项目</w:t>
                    </w:r>
                  </w:p>
                </w:tc>
              </w:sdtContent>
            </w:sdt>
            <w:sdt>
              <w:sdtPr>
                <w:rPr>
                  <w:rFonts w:asciiTheme="majorEastAsia" w:hAnsiTheme="majorEastAsia" w:eastAsiaTheme="majorEastAsia"/>
                </w:rPr>
                <w:tag w:val="_PLD_dd892ffecd234c819059bf10f71b1910"/>
                <w:id w:val="1032536594"/>
                <w:lock w:val="sdtLocked"/>
              </w:sdtPr>
              <w:sdtEndPr>
                <w:rPr>
                  <w:rFonts w:asciiTheme="majorEastAsia" w:hAnsiTheme="majorEastAsia" w:eastAsiaTheme="majorEastAsia"/>
                </w:rPr>
              </w:sdtEndPr>
              <w:sdtContent>
                <w:tc>
                  <w:tcPr>
                    <w:tcW w:w="1910" w:type="pct"/>
                    <w:gridSpan w:val="2"/>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期末余额</w:t>
                    </w:r>
                  </w:p>
                </w:tc>
              </w:sdtContent>
            </w:sdt>
            <w:sdt>
              <w:sdtPr>
                <w:rPr>
                  <w:rFonts w:asciiTheme="majorEastAsia" w:hAnsiTheme="majorEastAsia" w:eastAsiaTheme="majorEastAsia"/>
                </w:rPr>
                <w:tag w:val="_PLD_be855fcb002344d6ae2c74083e90b1c1"/>
                <w:id w:val="-214809384"/>
                <w:lock w:val="sdtLocked"/>
              </w:sdtPr>
              <w:sdtEndPr>
                <w:rPr>
                  <w:rFonts w:asciiTheme="majorEastAsia" w:hAnsiTheme="majorEastAsia" w:eastAsiaTheme="majorEastAsia"/>
                </w:rPr>
              </w:sdtEndPr>
              <w:sdtContent>
                <w:tc>
                  <w:tcPr>
                    <w:tcW w:w="1910" w:type="pct"/>
                    <w:gridSpan w:val="2"/>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79" w:type="pct"/>
                <w:vMerge w:val="continue"/>
                <w:shd w:val="clear" w:color="auto" w:fill="auto"/>
                <w:vAlign w:val="center"/>
              </w:tcPr>
              <w:p>
                <w:pPr>
                  <w:jc w:val="center"/>
                  <w:rPr>
                    <w:rFonts w:asciiTheme="majorEastAsia" w:hAnsiTheme="majorEastAsia" w:eastAsiaTheme="majorEastAsia"/>
                    <w:b/>
                  </w:rPr>
                </w:pPr>
              </w:p>
            </w:tc>
            <w:sdt>
              <w:sdtPr>
                <w:rPr>
                  <w:rFonts w:asciiTheme="majorEastAsia" w:hAnsiTheme="majorEastAsia" w:eastAsiaTheme="majorEastAsia"/>
                </w:rPr>
                <w:tag w:val="_PLD_c82eb64547054aa39a1b7bfe7c532e2e"/>
                <w:id w:val="1634057363"/>
                <w:lock w:val="sdtLocked"/>
              </w:sdtPr>
              <w:sdtEndPr>
                <w:rPr>
                  <w:rFonts w:asciiTheme="majorEastAsia" w:hAnsiTheme="majorEastAsia" w:eastAsiaTheme="majorEastAsia"/>
                </w:rPr>
              </w:sdtEndPr>
              <w:sdtContent>
                <w:tc>
                  <w:tcPr>
                    <w:tcW w:w="955" w:type="pct"/>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可抵扣暂时性差异</w:t>
                    </w:r>
                  </w:p>
                </w:tc>
              </w:sdtContent>
            </w:sdt>
            <w:sdt>
              <w:sdtPr>
                <w:rPr>
                  <w:rFonts w:asciiTheme="majorEastAsia" w:hAnsiTheme="majorEastAsia" w:eastAsiaTheme="majorEastAsia"/>
                </w:rPr>
                <w:tag w:val="_PLD_ad2e47975c52486d8bfc7fec079252de"/>
                <w:id w:val="-1485689338"/>
                <w:lock w:val="sdtLocked"/>
              </w:sdtPr>
              <w:sdtEndPr>
                <w:rPr>
                  <w:rFonts w:asciiTheme="majorEastAsia" w:hAnsiTheme="majorEastAsia" w:eastAsiaTheme="majorEastAsia"/>
                </w:rPr>
              </w:sdtEndPr>
              <w:sdtContent>
                <w:tc>
                  <w:tcPr>
                    <w:tcW w:w="955" w:type="pct"/>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递延所得税</w:t>
                    </w:r>
                  </w:p>
                  <w:p>
                    <w:pPr>
                      <w:jc w:val="center"/>
                      <w:rPr>
                        <w:rFonts w:asciiTheme="majorEastAsia" w:hAnsiTheme="majorEastAsia" w:eastAsiaTheme="majorEastAsia"/>
                      </w:rPr>
                    </w:pPr>
                    <w:r>
                      <w:rPr>
                        <w:rFonts w:hint="eastAsia" w:asciiTheme="majorEastAsia" w:hAnsiTheme="majorEastAsia" w:eastAsiaTheme="majorEastAsia"/>
                      </w:rPr>
                      <w:t>资产</w:t>
                    </w:r>
                  </w:p>
                </w:tc>
              </w:sdtContent>
            </w:sdt>
            <w:sdt>
              <w:sdtPr>
                <w:rPr>
                  <w:rFonts w:asciiTheme="majorEastAsia" w:hAnsiTheme="majorEastAsia" w:eastAsiaTheme="majorEastAsia"/>
                </w:rPr>
                <w:tag w:val="_PLD_0e0e7aabb5f8432ea9da8b4066b2e897"/>
                <w:id w:val="-461878949"/>
                <w:lock w:val="sdtLocked"/>
              </w:sdtPr>
              <w:sdtEndPr>
                <w:rPr>
                  <w:rFonts w:asciiTheme="majorEastAsia" w:hAnsiTheme="majorEastAsia" w:eastAsiaTheme="majorEastAsia"/>
                </w:rPr>
              </w:sdtEndPr>
              <w:sdtContent>
                <w:tc>
                  <w:tcPr>
                    <w:tcW w:w="955" w:type="pct"/>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可抵扣暂时性差异</w:t>
                    </w:r>
                  </w:p>
                </w:tc>
              </w:sdtContent>
            </w:sdt>
            <w:sdt>
              <w:sdtPr>
                <w:rPr>
                  <w:rFonts w:asciiTheme="majorEastAsia" w:hAnsiTheme="majorEastAsia" w:eastAsiaTheme="majorEastAsia"/>
                </w:rPr>
                <w:tag w:val="_PLD_34147e3346eb4b24b314e0dadaab6983"/>
                <w:id w:val="-2105491394"/>
                <w:lock w:val="sdtLocked"/>
              </w:sdtPr>
              <w:sdtEndPr>
                <w:rPr>
                  <w:rFonts w:asciiTheme="majorEastAsia" w:hAnsiTheme="majorEastAsia" w:eastAsiaTheme="majorEastAsia"/>
                </w:rPr>
              </w:sdtEndPr>
              <w:sdtContent>
                <w:tc>
                  <w:tcPr>
                    <w:tcW w:w="955" w:type="pct"/>
                    <w:shd w:val="clear" w:color="auto" w:fill="auto"/>
                    <w:vAlign w:val="center"/>
                  </w:tcPr>
                  <w:p>
                    <w:pPr>
                      <w:jc w:val="center"/>
                      <w:rPr>
                        <w:rFonts w:asciiTheme="majorEastAsia" w:hAnsiTheme="majorEastAsia" w:eastAsiaTheme="majorEastAsia"/>
                      </w:rPr>
                    </w:pPr>
                    <w:r>
                      <w:rPr>
                        <w:rFonts w:hint="eastAsia" w:asciiTheme="majorEastAsia" w:hAnsiTheme="majorEastAsia" w:eastAsiaTheme="majorEastAsia"/>
                      </w:rPr>
                      <w:t>递延所得税</w:t>
                    </w:r>
                  </w:p>
                  <w:p>
                    <w:pPr>
                      <w:jc w:val="center"/>
                      <w:rPr>
                        <w:rFonts w:asciiTheme="majorEastAsia" w:hAnsiTheme="majorEastAsia" w:eastAsiaTheme="majorEastAsia"/>
                      </w:rPr>
                    </w:pPr>
                    <w:r>
                      <w:rPr>
                        <w:rFonts w:hint="eastAsia" w:asciiTheme="majorEastAsia" w:hAnsiTheme="majorEastAsia" w:eastAsiaTheme="majorEastAsia"/>
                      </w:rPr>
                      <w:t>资产</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rPr>
                  <w:rFonts w:asciiTheme="majorEastAsia" w:hAnsiTheme="majorEastAsia" w:eastAsiaTheme="majorEastAsia"/>
                </w:rPr>
                <w:tag w:val="_PLD_1bf7e1aa06884192bd26302547776324"/>
                <w:id w:val="1584727466"/>
                <w:lock w:val="sdtLocked"/>
              </w:sdtPr>
              <w:sdtEndPr>
                <w:rPr>
                  <w:rFonts w:asciiTheme="majorEastAsia" w:hAnsiTheme="majorEastAsia" w:eastAsiaTheme="majorEastAsia"/>
                </w:rPr>
              </w:sdtEndPr>
              <w:sdtContent>
                <w:tc>
                  <w:tcPr>
                    <w:tcW w:w="1179" w:type="pct"/>
                    <w:shd w:val="clear" w:color="auto" w:fill="auto"/>
                    <w:vAlign w:val="center"/>
                  </w:tcPr>
                  <w:p>
                    <w:pPr>
                      <w:rPr>
                        <w:rFonts w:asciiTheme="majorEastAsia" w:hAnsiTheme="majorEastAsia" w:eastAsiaTheme="majorEastAsia"/>
                      </w:rPr>
                    </w:pPr>
                    <w:r>
                      <w:rPr>
                        <w:rFonts w:hint="eastAsia" w:asciiTheme="majorEastAsia" w:hAnsiTheme="majorEastAsia" w:eastAsiaTheme="majorEastAsia"/>
                      </w:rPr>
                      <w:t>资产减值准备</w:t>
                    </w:r>
                  </w:p>
                </w:tc>
              </w:sdtContent>
            </w:sdt>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22,485,782.35</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5,177,901.73</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21,293,749.21</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4,790,184.43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rPr>
                  <w:rFonts w:asciiTheme="majorEastAsia" w:hAnsiTheme="majorEastAsia" w:eastAsiaTheme="majorEastAsia"/>
                </w:rPr>
                <w:tag w:val="_PLD_024091818f2b4c9386a36ed63f88f791"/>
                <w:id w:val="-1610425488"/>
                <w:lock w:val="sdtLocked"/>
              </w:sdtPr>
              <w:sdtEndPr>
                <w:rPr>
                  <w:rFonts w:asciiTheme="majorEastAsia" w:hAnsiTheme="majorEastAsia" w:eastAsiaTheme="majorEastAsia"/>
                </w:rPr>
              </w:sdtEndPr>
              <w:sdtContent>
                <w:tc>
                  <w:tcPr>
                    <w:tcW w:w="1179" w:type="pct"/>
                    <w:shd w:val="clear" w:color="auto" w:fill="auto"/>
                    <w:vAlign w:val="center"/>
                  </w:tcPr>
                  <w:p>
                    <w:pPr>
                      <w:rPr>
                        <w:rFonts w:asciiTheme="majorEastAsia" w:hAnsiTheme="majorEastAsia" w:eastAsiaTheme="majorEastAsia"/>
                      </w:rPr>
                    </w:pPr>
                    <w:r>
                      <w:rPr>
                        <w:rFonts w:hint="eastAsia" w:asciiTheme="majorEastAsia" w:hAnsiTheme="majorEastAsia" w:eastAsiaTheme="majorEastAsia"/>
                      </w:rPr>
                      <w:t>内部交易未实现利润</w:t>
                    </w:r>
                  </w:p>
                </w:tc>
              </w:sdtContent>
            </w:sdt>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345,361,857.84</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86,340,464.44</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346,897,713.19</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86,724,428.30</w:t>
                </w:r>
              </w:p>
            </w:tc>
          </w:tr>
          <w:sdt>
            <w:sdtPr>
              <w:alias w:val="递延所得税资产明细"/>
              <w:tag w:val="_GBC_78d44848a87d4473a54948d3e2adbb46"/>
              <w:id w:val="-89157271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79" w:type="pct"/>
                    <w:shd w:val="clear" w:color="auto" w:fill="auto"/>
                    <w:vAlign w:val="center"/>
                  </w:tcPr>
                  <w:p>
                    <w:r>
                      <w:rPr>
                        <w:rFonts w:hint="eastAsia"/>
                      </w:rPr>
                      <w:t>房地产项目土地增值税</w:t>
                    </w:r>
                  </w:p>
                </w:tc>
                <w:tc>
                  <w:tcPr>
                    <w:tcW w:w="955" w:type="pct"/>
                    <w:shd w:val="clear" w:color="auto" w:fill="auto"/>
                    <w:vAlign w:val="center"/>
                  </w:tcPr>
                  <w:p>
                    <w:pPr>
                      <w:jc w:val="right"/>
                    </w:pPr>
                    <w:r>
                      <w:t>290,528,919.67</w:t>
                    </w:r>
                  </w:p>
                </w:tc>
                <w:tc>
                  <w:tcPr>
                    <w:tcW w:w="955" w:type="pct"/>
                    <w:shd w:val="clear" w:color="auto" w:fill="auto"/>
                    <w:vAlign w:val="center"/>
                  </w:tcPr>
                  <w:p>
                    <w:pPr>
                      <w:jc w:val="right"/>
                    </w:pPr>
                    <w:r>
                      <w:t>72,632,229.92</w:t>
                    </w:r>
                  </w:p>
                </w:tc>
                <w:tc>
                  <w:tcPr>
                    <w:tcW w:w="955" w:type="pct"/>
                    <w:shd w:val="clear" w:color="auto" w:fill="auto"/>
                    <w:vAlign w:val="center"/>
                  </w:tcPr>
                  <w:p>
                    <w:pPr>
                      <w:jc w:val="center"/>
                    </w:pPr>
                    <w:r>
                      <w:t>310,655,508.51</w:t>
                    </w:r>
                  </w:p>
                </w:tc>
                <w:tc>
                  <w:tcPr>
                    <w:tcW w:w="955" w:type="pct"/>
                    <w:shd w:val="clear" w:color="auto" w:fill="auto"/>
                    <w:vAlign w:val="center"/>
                  </w:tcPr>
                  <w:p>
                    <w:pPr>
                      <w:jc w:val="right"/>
                    </w:pPr>
                    <w:r>
                      <w:t>77,663,877.16</w:t>
                    </w:r>
                  </w:p>
                </w:tc>
              </w:tr>
            </w:sdtContent>
          </w:sdt>
          <w:sdt>
            <w:sdtPr>
              <w:rPr>
                <w:rFonts w:asciiTheme="majorEastAsia" w:hAnsiTheme="majorEastAsia" w:eastAsiaTheme="majorEastAsia"/>
              </w:rPr>
              <w:alias w:val="递延所得税资产明细"/>
              <w:tag w:val="_GBC_78d44848a87d4473a54948d3e2adbb46"/>
              <w:id w:val="-940991526"/>
              <w:lock w:val="sdtLocked"/>
            </w:sdtPr>
            <w:sdtEndPr>
              <w:rPr>
                <w:rFonts w:asciiTheme="majorEastAsia" w:hAnsiTheme="majorEastAsia" w:eastAsiaTheme="maj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79" w:type="pct"/>
                    <w:shd w:val="clear" w:color="auto" w:fill="auto"/>
                    <w:vAlign w:val="center"/>
                  </w:tcPr>
                  <w:p>
                    <w:pPr>
                      <w:rPr>
                        <w:rFonts w:asciiTheme="majorEastAsia" w:hAnsiTheme="majorEastAsia" w:eastAsiaTheme="majorEastAsia"/>
                      </w:rPr>
                    </w:pPr>
                    <w:r>
                      <w:rPr>
                        <w:rFonts w:hint="eastAsia" w:asciiTheme="majorEastAsia" w:hAnsiTheme="majorEastAsia" w:eastAsiaTheme="majorEastAsia"/>
                      </w:rPr>
                      <w:t>预提费用</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122,325,885.99</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30,504,563.59</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73,601,481.02</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18,269,567.65</w:t>
                    </w:r>
                  </w:p>
                </w:tc>
              </w:tr>
            </w:sdtContent>
          </w:sdt>
          <w:sdt>
            <w:sdtPr>
              <w:rPr>
                <w:rFonts w:asciiTheme="majorEastAsia" w:hAnsiTheme="majorEastAsia" w:eastAsiaTheme="majorEastAsia"/>
              </w:rPr>
              <w:alias w:val="递延所得税资产明细"/>
              <w:tag w:val="_GBC_78d44848a87d4473a54948d3e2adbb46"/>
              <w:id w:val="1297032200"/>
              <w:lock w:val="sdtLocked"/>
            </w:sdtPr>
            <w:sdtEndPr>
              <w:rPr>
                <w:rFonts w:asciiTheme="majorEastAsia" w:hAnsiTheme="majorEastAsia" w:eastAsiaTheme="maj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79" w:type="pct"/>
                    <w:shd w:val="clear" w:color="auto" w:fill="auto"/>
                    <w:vAlign w:val="center"/>
                  </w:tcPr>
                  <w:p>
                    <w:pPr>
                      <w:rPr>
                        <w:rFonts w:asciiTheme="majorEastAsia" w:hAnsiTheme="majorEastAsia" w:eastAsiaTheme="majorEastAsia"/>
                      </w:rPr>
                    </w:pPr>
                    <w:r>
                      <w:rPr>
                        <w:rFonts w:hint="eastAsia" w:asciiTheme="majorEastAsia" w:hAnsiTheme="majorEastAsia" w:eastAsiaTheme="majorEastAsia"/>
                      </w:rPr>
                      <w:t>递延收益</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47,292,422.09</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11,823,105.53</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52,339,187.58</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13,084,796.90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rPr>
                  <w:rFonts w:asciiTheme="majorEastAsia" w:hAnsiTheme="majorEastAsia" w:eastAsiaTheme="majorEastAsia"/>
                </w:rPr>
                <w:tag w:val="_PLD_aff9781bbd7249709be440b59752c5c2"/>
                <w:id w:val="-1780406537"/>
                <w:lock w:val="sdtLocked"/>
              </w:sdtPr>
              <w:sdtEndPr>
                <w:rPr>
                  <w:rFonts w:asciiTheme="majorEastAsia" w:hAnsiTheme="majorEastAsia" w:eastAsiaTheme="majorEastAsia"/>
                </w:rPr>
              </w:sdtEndPr>
              <w:sdtContent>
                <w:tc>
                  <w:tcPr>
                    <w:tcW w:w="1179" w:type="pct"/>
                    <w:shd w:val="clear" w:color="auto" w:fill="auto"/>
                    <w:vAlign w:val="center"/>
                  </w:tcPr>
                  <w:p>
                    <w:pPr>
                      <w:rPr>
                        <w:rFonts w:asciiTheme="majorEastAsia" w:hAnsiTheme="majorEastAsia" w:eastAsiaTheme="majorEastAsia"/>
                      </w:rPr>
                    </w:pPr>
                    <w:r>
                      <w:rPr>
                        <w:rFonts w:hint="eastAsia" w:asciiTheme="majorEastAsia" w:hAnsiTheme="majorEastAsia" w:eastAsiaTheme="majorEastAsia"/>
                      </w:rPr>
                      <w:t>合计</w:t>
                    </w:r>
                  </w:p>
                </w:tc>
              </w:sdtContent>
            </w:sdt>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827,994,867.94</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206,478,265.21</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804,787,639.51</w:t>
                </w:r>
              </w:p>
            </w:tc>
            <w:tc>
              <w:tcPr>
                <w:tcW w:w="955" w:type="pct"/>
                <w:shd w:val="clear" w:color="auto" w:fill="auto"/>
                <w:vAlign w:val="center"/>
              </w:tcPr>
              <w:p>
                <w:pPr>
                  <w:jc w:val="right"/>
                  <w:rPr>
                    <w:rFonts w:asciiTheme="majorEastAsia" w:hAnsiTheme="majorEastAsia" w:eastAsiaTheme="majorEastAsia"/>
                  </w:rPr>
                </w:pPr>
                <w:r>
                  <w:rPr>
                    <w:rFonts w:asciiTheme="majorEastAsia" w:hAnsiTheme="majorEastAsia" w:eastAsiaTheme="majorEastAsia"/>
                  </w:rPr>
                  <w:t>200,532,854.44</w:t>
                </w:r>
              </w:p>
            </w:tc>
          </w:tr>
        </w:tbl>
        <w:p>
          <w:pPr>
            <w:pStyle w:val="114"/>
          </w:pPr>
        </w:p>
      </w:sdtContent>
    </w:sdt>
    <w:sdt>
      <w:sdtPr>
        <w:rPr>
          <w:rFonts w:hint="eastAsia" w:ascii="宋体" w:hAnsi="宋体" w:cs="宋体"/>
          <w:b w:val="0"/>
          <w:bCs w:val="0"/>
          <w:kern w:val="0"/>
          <w:szCs w:val="24"/>
        </w:rPr>
        <w:alias w:val="模块:未经抵销的递延所得税负债"/>
        <w:tag w:val="_SEC_022eb52f9e1542cbb5aaa5a287b8ee2a"/>
        <w:id w:val="1484351937"/>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9"/>
            </w:numPr>
            <w:tabs>
              <w:tab w:val="left" w:pos="588"/>
              <w:tab w:val="left" w:pos="616"/>
            </w:tabs>
            <w:rPr>
              <w:rFonts w:ascii="宋体" w:hAnsi="宋体"/>
            </w:rPr>
          </w:pPr>
          <w:bookmarkStart w:id="204" w:name="_Hlk11160621"/>
          <w:r>
            <w:rPr>
              <w:rFonts w:hint="eastAsia" w:ascii="宋体" w:hAnsi="宋体"/>
            </w:rPr>
            <w:t>未经抵销的递延所得税负债</w:t>
          </w:r>
        </w:p>
        <w:sdt>
          <w:sdtPr>
            <w:alias w:val="是否适用：未经抵销的递延所得税负债[双击切换]"/>
            <w:tag w:val="_GBC_e9cf2825b61d4a9ca57e90c2ed017173"/>
            <w:id w:val="-209531977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未经抵销的递延所得税负债"/>
              <w:tag w:val="_GBC_7fa4a7048e284eb79ceb0dee5165516f"/>
              <w:id w:val="-3201950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274929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5"/>
            <w:gridCol w:w="2001"/>
            <w:gridCol w:w="1791"/>
            <w:gridCol w:w="2001"/>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66ef6111bb2d4b3792b581d6ff38c8d2"/>
                <w:id w:val="1873797050"/>
                <w:lock w:val="sdtLocked"/>
              </w:sdtPr>
              <w:sdtContent>
                <w:tc>
                  <w:tcPr>
                    <w:tcW w:w="1312" w:type="pct"/>
                    <w:vMerge w:val="restart"/>
                    <w:shd w:val="clear" w:color="auto" w:fill="auto"/>
                    <w:vAlign w:val="center"/>
                  </w:tcPr>
                  <w:p>
                    <w:pPr>
                      <w:jc w:val="center"/>
                    </w:pPr>
                    <w:bookmarkStart w:id="205" w:name="_Hlk11857349"/>
                    <w:r>
                      <w:rPr>
                        <w:rFonts w:hint="eastAsia"/>
                      </w:rPr>
                      <w:t>项目</w:t>
                    </w:r>
                  </w:p>
                </w:tc>
              </w:sdtContent>
            </w:sdt>
            <w:sdt>
              <w:sdtPr>
                <w:tag w:val="_PLD_b850d4f63866495f80e69799c9ea1b37"/>
                <w:id w:val="1248539789"/>
                <w:lock w:val="sdtLocked"/>
              </w:sdtPr>
              <w:sdtContent>
                <w:tc>
                  <w:tcPr>
                    <w:tcW w:w="1846" w:type="pct"/>
                    <w:gridSpan w:val="2"/>
                    <w:shd w:val="clear" w:color="auto" w:fill="auto"/>
                    <w:vAlign w:val="center"/>
                  </w:tcPr>
                  <w:p>
                    <w:pPr>
                      <w:jc w:val="center"/>
                    </w:pPr>
                    <w:r>
                      <w:rPr>
                        <w:rFonts w:hint="eastAsia"/>
                      </w:rPr>
                      <w:t>期末余额</w:t>
                    </w:r>
                  </w:p>
                </w:tc>
              </w:sdtContent>
            </w:sdt>
            <w:sdt>
              <w:sdtPr>
                <w:tag w:val="_PLD_951c3eee882c4aaa862f620814f6ce4e"/>
                <w:id w:val="1506947093"/>
                <w:lock w:val="sdtLocked"/>
              </w:sdtPr>
              <w:sdtContent>
                <w:tc>
                  <w:tcPr>
                    <w:tcW w:w="1842" w:type="pct"/>
                    <w:gridSpan w:val="2"/>
                    <w:shd w:val="clear" w:color="auto" w:fill="auto"/>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12" w:type="pct"/>
                <w:vMerge w:val="continue"/>
                <w:shd w:val="clear" w:color="auto" w:fill="auto"/>
                <w:vAlign w:val="center"/>
              </w:tcPr>
              <w:p>
                <w:pPr>
                  <w:jc w:val="center"/>
                  <w:rPr>
                    <w:b/>
                  </w:rPr>
                </w:pPr>
              </w:p>
            </w:tc>
            <w:sdt>
              <w:sdtPr>
                <w:tag w:val="_PLD_f33e3c528ff14a2bac81ec99970641f6"/>
                <w:id w:val="-478229989"/>
                <w:lock w:val="sdtLocked"/>
              </w:sdtPr>
              <w:sdtContent>
                <w:tc>
                  <w:tcPr>
                    <w:tcW w:w="926" w:type="pct"/>
                    <w:shd w:val="clear" w:color="auto" w:fill="auto"/>
                    <w:vAlign w:val="center"/>
                  </w:tcPr>
                  <w:p>
                    <w:pPr>
                      <w:jc w:val="center"/>
                    </w:pPr>
                    <w:r>
                      <w:rPr>
                        <w:rFonts w:hint="eastAsia"/>
                      </w:rPr>
                      <w:t>应纳税暂时性差异</w:t>
                    </w:r>
                  </w:p>
                </w:tc>
              </w:sdtContent>
            </w:sdt>
            <w:sdt>
              <w:sdtPr>
                <w:tag w:val="_PLD_0cb734f9904e4a57a5107d601b9b38d1"/>
                <w:id w:val="-849105152"/>
                <w:lock w:val="sdtLocked"/>
              </w:sdtPr>
              <w:sdtContent>
                <w:tc>
                  <w:tcPr>
                    <w:tcW w:w="920" w:type="pct"/>
                    <w:shd w:val="clear" w:color="auto" w:fill="auto"/>
                    <w:vAlign w:val="center"/>
                  </w:tcPr>
                  <w:p>
                    <w:pPr>
                      <w:jc w:val="center"/>
                    </w:pPr>
                    <w:r>
                      <w:rPr>
                        <w:rFonts w:hint="eastAsia"/>
                      </w:rPr>
                      <w:t>递延所得税</w:t>
                    </w:r>
                  </w:p>
                  <w:p>
                    <w:pPr>
                      <w:jc w:val="center"/>
                    </w:pPr>
                    <w:r>
                      <w:rPr>
                        <w:rFonts w:hint="eastAsia"/>
                      </w:rPr>
                      <w:t>负债</w:t>
                    </w:r>
                  </w:p>
                </w:tc>
              </w:sdtContent>
            </w:sdt>
            <w:sdt>
              <w:sdtPr>
                <w:tag w:val="_PLD_ddf3980c66a840e782386c14bb078052"/>
                <w:id w:val="-457184863"/>
                <w:lock w:val="sdtLocked"/>
              </w:sdtPr>
              <w:sdtContent>
                <w:tc>
                  <w:tcPr>
                    <w:tcW w:w="916" w:type="pct"/>
                    <w:shd w:val="clear" w:color="auto" w:fill="auto"/>
                    <w:vAlign w:val="center"/>
                  </w:tcPr>
                  <w:p>
                    <w:pPr>
                      <w:jc w:val="center"/>
                    </w:pPr>
                    <w:r>
                      <w:rPr>
                        <w:rFonts w:hint="eastAsia"/>
                      </w:rPr>
                      <w:t>应纳税暂时性差异</w:t>
                    </w:r>
                  </w:p>
                </w:tc>
              </w:sdtContent>
            </w:sdt>
            <w:sdt>
              <w:sdtPr>
                <w:tag w:val="_PLD_590dc17e8304449fbff47c3b3cd45eb5"/>
                <w:id w:val="550969274"/>
                <w:lock w:val="sdtLocked"/>
              </w:sdtPr>
              <w:sdtContent>
                <w:tc>
                  <w:tcPr>
                    <w:tcW w:w="926" w:type="pct"/>
                    <w:shd w:val="clear" w:color="auto" w:fill="auto"/>
                    <w:vAlign w:val="center"/>
                  </w:tcPr>
                  <w:p>
                    <w:pPr>
                      <w:jc w:val="center"/>
                    </w:pPr>
                    <w:r>
                      <w:rPr>
                        <w:rFonts w:hint="eastAsia"/>
                      </w:rPr>
                      <w:t>递延所得税</w:t>
                    </w:r>
                  </w:p>
                  <w:p>
                    <w:pPr>
                      <w:jc w:val="center"/>
                    </w:pPr>
                    <w:r>
                      <w:rPr>
                        <w:rFonts w:hint="eastAsia"/>
                      </w:rPr>
                      <w:t>负债</w:t>
                    </w:r>
                  </w:p>
                </w:tc>
              </w:sdtContent>
            </w:sdt>
          </w:tr>
          <w:sdt>
            <w:sdtPr>
              <w:alias w:val="递延所得税负债明细"/>
              <w:tag w:val="_GBC_b1614c80d1bd478fbd0f56aa84238e04"/>
              <w:id w:val="1710836789"/>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12" w:type="pct"/>
                    <w:shd w:val="clear" w:color="auto" w:fill="auto"/>
                    <w:vAlign w:val="center"/>
                  </w:tcPr>
                  <w:p>
                    <w:pPr>
                      <w:pStyle w:val="114"/>
                    </w:pPr>
                    <w:r>
                      <w:rPr>
                        <w:rFonts w:hint="eastAsia"/>
                      </w:rPr>
                      <w:t>交易性金融资产公允价值变动</w:t>
                    </w:r>
                  </w:p>
                </w:tc>
                <w:tc>
                  <w:tcPr>
                    <w:tcW w:w="926" w:type="pct"/>
                    <w:shd w:val="clear" w:color="auto" w:fill="auto"/>
                    <w:vAlign w:val="center"/>
                  </w:tcPr>
                  <w:p>
                    <w:pPr>
                      <w:jc w:val="right"/>
                    </w:pPr>
                    <w:r>
                      <w:t>-21,944,683.28</w:t>
                    </w:r>
                  </w:p>
                </w:tc>
                <w:tc>
                  <w:tcPr>
                    <w:tcW w:w="920" w:type="pct"/>
                    <w:shd w:val="clear" w:color="auto" w:fill="auto"/>
                    <w:vAlign w:val="center"/>
                  </w:tcPr>
                  <w:p>
                    <w:pPr>
                      <w:jc w:val="right"/>
                    </w:pPr>
                  </w:p>
                  <w:p>
                    <w:pPr>
                      <w:jc w:val="right"/>
                    </w:pPr>
                    <w:r>
                      <w:t>-5,486,170.82</w:t>
                    </w:r>
                  </w:p>
                </w:tc>
                <w:tc>
                  <w:tcPr>
                    <w:tcW w:w="916" w:type="pct"/>
                    <w:shd w:val="clear" w:color="auto" w:fill="auto"/>
                    <w:vAlign w:val="center"/>
                  </w:tcPr>
                  <w:p>
                    <w:pPr>
                      <w:jc w:val="right"/>
                    </w:pPr>
                    <w:r>
                      <w:t>-20,613,763.10</w:t>
                    </w:r>
                  </w:p>
                </w:tc>
                <w:tc>
                  <w:tcPr>
                    <w:tcW w:w="926" w:type="pct"/>
                    <w:shd w:val="clear" w:color="auto" w:fill="auto"/>
                    <w:vAlign w:val="center"/>
                  </w:tcPr>
                  <w:p>
                    <w:pPr>
                      <w:jc w:val="right"/>
                    </w:pPr>
                    <w:r>
                      <w:t>-5,153,440.78</w:t>
                    </w:r>
                  </w:p>
                </w:tc>
              </w:tr>
            </w:sdtContent>
          </w:sdt>
          <w:sdt>
            <w:sdtPr>
              <w:alias w:val="递延所得税负债明细"/>
              <w:tag w:val="_GBC_b1614c80d1bd478fbd0f56aa84238e04"/>
              <w:id w:val="-67465268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12" w:type="pct"/>
                    <w:shd w:val="clear" w:color="auto" w:fill="auto"/>
                    <w:vAlign w:val="center"/>
                  </w:tcPr>
                  <w:p>
                    <w:pPr>
                      <w:pStyle w:val="114"/>
                    </w:pPr>
                    <w:r>
                      <w:rPr>
                        <w:rFonts w:hint="eastAsia"/>
                      </w:rPr>
                      <w:t>其他权益工具投资公允价值变动</w:t>
                    </w:r>
                  </w:p>
                </w:tc>
                <w:tc>
                  <w:tcPr>
                    <w:tcW w:w="926" w:type="pct"/>
                    <w:shd w:val="clear" w:color="auto" w:fill="auto"/>
                    <w:vAlign w:val="center"/>
                  </w:tcPr>
                  <w:p>
                    <w:pPr>
                      <w:jc w:val="right"/>
                    </w:pPr>
                    <w:r>
                      <w:t>-2,206,659,095.67</w:t>
                    </w:r>
                  </w:p>
                </w:tc>
                <w:tc>
                  <w:tcPr>
                    <w:tcW w:w="920" w:type="pct"/>
                    <w:shd w:val="clear" w:color="auto" w:fill="auto"/>
                    <w:vAlign w:val="center"/>
                  </w:tcPr>
                  <w:p>
                    <w:pPr>
                      <w:jc w:val="right"/>
                    </w:pPr>
                    <w:r>
                      <w:t>-551,664,773.92</w:t>
                    </w:r>
                  </w:p>
                </w:tc>
                <w:tc>
                  <w:tcPr>
                    <w:tcW w:w="916" w:type="pct"/>
                    <w:shd w:val="clear" w:color="auto" w:fill="auto"/>
                    <w:vAlign w:val="center"/>
                  </w:tcPr>
                  <w:p>
                    <w:pPr>
                      <w:jc w:val="right"/>
                    </w:pPr>
                    <w:r>
                      <w:t>-2,089,018,847.67</w:t>
                    </w:r>
                  </w:p>
                </w:tc>
                <w:tc>
                  <w:tcPr>
                    <w:tcW w:w="926" w:type="pct"/>
                    <w:shd w:val="clear" w:color="auto" w:fill="auto"/>
                    <w:vAlign w:val="center"/>
                  </w:tcPr>
                  <w:p>
                    <w:pPr>
                      <w:jc w:val="right"/>
                    </w:pPr>
                    <w:r>
                      <w:t>-522,254,711.92</w:t>
                    </w:r>
                  </w:p>
                </w:tc>
              </w:tr>
            </w:sdtContent>
          </w:sdt>
          <w:sdt>
            <w:sdtPr>
              <w:alias w:val="递延所得税负债明细"/>
              <w:tag w:val="_GBC_b1614c80d1bd478fbd0f56aa84238e04"/>
              <w:id w:val="-191385534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12" w:type="pct"/>
                    <w:shd w:val="clear" w:color="auto" w:fill="auto"/>
                    <w:vAlign w:val="center"/>
                  </w:tcPr>
                  <w:p>
                    <w:pPr>
                      <w:pStyle w:val="114"/>
                    </w:pPr>
                    <w:r>
                      <w:rPr>
                        <w:rFonts w:hint="eastAsia"/>
                      </w:rPr>
                      <w:t>其他非流动金融资产公允价值变动</w:t>
                    </w:r>
                  </w:p>
                </w:tc>
                <w:tc>
                  <w:tcPr>
                    <w:tcW w:w="926" w:type="pct"/>
                    <w:shd w:val="clear" w:color="auto" w:fill="auto"/>
                    <w:vAlign w:val="center"/>
                  </w:tcPr>
                  <w:p>
                    <w:pPr>
                      <w:jc w:val="right"/>
                    </w:pPr>
                    <w:r>
                      <w:t>-676,890,360.40</w:t>
                    </w:r>
                  </w:p>
                </w:tc>
                <w:tc>
                  <w:tcPr>
                    <w:tcW w:w="920" w:type="pct"/>
                    <w:shd w:val="clear" w:color="auto" w:fill="auto"/>
                    <w:vAlign w:val="center"/>
                  </w:tcPr>
                  <w:p>
                    <w:pPr>
                      <w:jc w:val="right"/>
                    </w:pPr>
                    <w:r>
                      <w:t>-169,222,590.10</w:t>
                    </w:r>
                  </w:p>
                </w:tc>
                <w:tc>
                  <w:tcPr>
                    <w:tcW w:w="916" w:type="pct"/>
                    <w:shd w:val="clear" w:color="auto" w:fill="auto"/>
                    <w:vAlign w:val="center"/>
                  </w:tcPr>
                  <w:p>
                    <w:pPr>
                      <w:jc w:val="right"/>
                    </w:pPr>
                    <w:r>
                      <w:t>-602,619,157.67</w:t>
                    </w:r>
                  </w:p>
                </w:tc>
                <w:tc>
                  <w:tcPr>
                    <w:tcW w:w="926" w:type="pct"/>
                    <w:shd w:val="clear" w:color="auto" w:fill="auto"/>
                    <w:vAlign w:val="center"/>
                  </w:tcPr>
                  <w:p>
                    <w:pPr>
                      <w:jc w:val="right"/>
                    </w:pPr>
                    <w:r>
                      <w:t>-150,654,789.41</w:t>
                    </w:r>
                  </w:p>
                </w:tc>
              </w:tr>
            </w:sdtContent>
          </w:sdt>
          <w:sdt>
            <w:sdtPr>
              <w:alias w:val="递延所得税负债明细"/>
              <w:tag w:val="_GBC_b1614c80d1bd478fbd0f56aa84238e04"/>
              <w:id w:val="-125689677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12" w:type="pct"/>
                    <w:shd w:val="clear" w:color="auto" w:fill="auto"/>
                    <w:vAlign w:val="center"/>
                  </w:tcPr>
                  <w:p>
                    <w:pPr>
                      <w:pStyle w:val="114"/>
                    </w:pPr>
                    <w:r>
                      <w:rPr>
                        <w:rFonts w:hint="eastAsia"/>
                      </w:rPr>
                      <w:t>服务区租赁收入税会差异</w:t>
                    </w:r>
                  </w:p>
                </w:tc>
                <w:tc>
                  <w:tcPr>
                    <w:tcW w:w="926" w:type="pct"/>
                    <w:shd w:val="clear" w:color="auto" w:fill="auto"/>
                    <w:vAlign w:val="center"/>
                  </w:tcPr>
                  <w:p>
                    <w:pPr>
                      <w:jc w:val="right"/>
                    </w:pPr>
                    <w:r>
                      <w:t>-38,582,287.33</w:t>
                    </w:r>
                  </w:p>
                </w:tc>
                <w:tc>
                  <w:tcPr>
                    <w:tcW w:w="920" w:type="pct"/>
                    <w:shd w:val="clear" w:color="auto" w:fill="auto"/>
                    <w:vAlign w:val="center"/>
                  </w:tcPr>
                  <w:p>
                    <w:pPr>
                      <w:jc w:val="right"/>
                    </w:pPr>
                    <w:r>
                      <w:t>-9,645,571.83</w:t>
                    </w:r>
                  </w:p>
                </w:tc>
                <w:tc>
                  <w:tcPr>
                    <w:tcW w:w="916" w:type="pct"/>
                    <w:shd w:val="clear" w:color="auto" w:fill="auto"/>
                    <w:vAlign w:val="center"/>
                  </w:tcPr>
                  <w:p>
                    <w:pPr>
                      <w:jc w:val="right"/>
                    </w:pPr>
                    <w:r>
                      <w:t>-43,629,052.82</w:t>
                    </w:r>
                  </w:p>
                </w:tc>
                <w:tc>
                  <w:tcPr>
                    <w:tcW w:w="926" w:type="pct"/>
                    <w:shd w:val="clear" w:color="auto" w:fill="auto"/>
                    <w:vAlign w:val="center"/>
                  </w:tcPr>
                  <w:p>
                    <w:pPr>
                      <w:jc w:val="right"/>
                    </w:pPr>
                    <w:r>
                      <w:t>-10,907,263.22</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382351978b994852b2d36dbea92fd0cc"/>
                <w:id w:val="-1988776370"/>
                <w:lock w:val="sdtLocked"/>
              </w:sdtPr>
              <w:sdtContent>
                <w:tc>
                  <w:tcPr>
                    <w:tcW w:w="1312" w:type="pct"/>
                    <w:shd w:val="clear" w:color="auto" w:fill="auto"/>
                    <w:vAlign w:val="center"/>
                  </w:tcPr>
                  <w:p>
                    <w:pPr>
                      <w:jc w:val="center"/>
                    </w:pPr>
                    <w:r>
                      <w:rPr>
                        <w:rFonts w:hint="eastAsia"/>
                      </w:rPr>
                      <w:t>合计</w:t>
                    </w:r>
                  </w:p>
                </w:tc>
              </w:sdtContent>
            </w:sdt>
            <w:tc>
              <w:tcPr>
                <w:tcW w:w="926" w:type="pct"/>
                <w:shd w:val="clear" w:color="auto" w:fill="auto"/>
                <w:vAlign w:val="center"/>
              </w:tcPr>
              <w:p>
                <w:pPr>
                  <w:jc w:val="right"/>
                </w:pPr>
                <w:r>
                  <w:t>-2,944,076,426.68</w:t>
                </w:r>
              </w:p>
            </w:tc>
            <w:tc>
              <w:tcPr>
                <w:tcW w:w="920" w:type="pct"/>
                <w:shd w:val="clear" w:color="auto" w:fill="auto"/>
                <w:vAlign w:val="center"/>
              </w:tcPr>
              <w:p>
                <w:pPr>
                  <w:jc w:val="right"/>
                </w:pPr>
                <w:r>
                  <w:t>-736,019,106.67</w:t>
                </w:r>
              </w:p>
            </w:tc>
            <w:tc>
              <w:tcPr>
                <w:tcW w:w="916" w:type="pct"/>
                <w:shd w:val="clear" w:color="auto" w:fill="auto"/>
                <w:vAlign w:val="center"/>
              </w:tcPr>
              <w:p>
                <w:pPr>
                  <w:jc w:val="right"/>
                </w:pPr>
                <w:r>
                  <w:t>-2,755,880,821.26</w:t>
                </w:r>
              </w:p>
            </w:tc>
            <w:tc>
              <w:tcPr>
                <w:tcW w:w="926" w:type="pct"/>
                <w:shd w:val="clear" w:color="auto" w:fill="auto"/>
                <w:vAlign w:val="center"/>
              </w:tcPr>
              <w:p>
                <w:pPr>
                  <w:jc w:val="right"/>
                </w:pPr>
                <w:r>
                  <w:t>-688,970,205.33</w:t>
                </w:r>
              </w:p>
            </w:tc>
          </w:tr>
        </w:tbl>
        <w:p>
          <w:pPr>
            <w:pStyle w:val="114"/>
          </w:pPr>
        </w:p>
      </w:sdtContent>
    </w:sdt>
    <w:bookmarkEnd w:id="204"/>
    <w:bookmarkEnd w:id="205"/>
    <w:sdt>
      <w:sdtPr>
        <w:rPr>
          <w:rFonts w:hint="eastAsia" w:ascii="宋体" w:hAnsi="宋体" w:cs="宋体"/>
          <w:b w:val="0"/>
          <w:bCs w:val="0"/>
          <w:kern w:val="0"/>
          <w:szCs w:val="24"/>
        </w:rPr>
        <w:alias w:val="模块:以抵销后净额列示的递延所得税资产或负债"/>
        <w:tag w:val="_SEC_393d53219fe44274aa0bc5257c75c762"/>
        <w:id w:val="-1234782069"/>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9"/>
            </w:numPr>
            <w:tabs>
              <w:tab w:val="left" w:pos="588"/>
              <w:tab w:val="left" w:pos="616"/>
            </w:tabs>
            <w:rPr>
              <w:rFonts w:ascii="宋体" w:hAnsi="宋体"/>
            </w:rPr>
          </w:pPr>
          <w:bookmarkStart w:id="206" w:name="_Hlk11160645"/>
          <w:r>
            <w:rPr>
              <w:rFonts w:hint="eastAsia" w:ascii="宋体" w:hAnsi="宋体"/>
            </w:rPr>
            <w:t>以抵销后净额列示的递延所得税资产或负债</w:t>
          </w:r>
        </w:p>
        <w:sdt>
          <w:sdtPr>
            <w:alias w:val="是否适用：以抵销后净额列示的递延所得税资产或负债[双击切换]"/>
            <w:tag w:val="_GBC_d6419a9d2dc94127a5f6aea72cb2a94d"/>
            <w:id w:val="151503738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wordWrap w:val="0"/>
            <w:jc w:val="right"/>
          </w:pPr>
          <w:r>
            <w:rPr>
              <w:rFonts w:hint="eastAsia"/>
            </w:rPr>
            <w:t>单位：</w:t>
          </w:r>
          <w:sdt>
            <w:sdtPr>
              <w:rPr>
                <w:rFonts w:hint="eastAsia"/>
              </w:rPr>
              <w:alias w:val="单位：财务附注：互抵后的递延所得税资产及负债的组成项目"/>
              <w:tag w:val="_GBC_87248a34ce3042a5abe2f7b24ba6f68f"/>
              <w:id w:val="5145792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互抵后的递延所得税资产及负债的组成项目"/>
              <w:tag w:val="_GBC_cd0e5c76f450471280579335020253cf"/>
              <w:id w:val="-10134586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1686"/>
            <w:gridCol w:w="1791"/>
            <w:gridCol w:w="1686"/>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eec3f5c36d74a4f98b09e1d2c84ffe5"/>
                <w:id w:val="1578710674"/>
                <w:lock w:val="sdtLocked"/>
              </w:sdtPr>
              <w:sdtContent>
                <w:tc>
                  <w:tcPr>
                    <w:tcW w:w="1306" w:type="pct"/>
                    <w:tcBorders>
                      <w:bottom w:val="single" w:color="auto" w:sz="4" w:space="0"/>
                    </w:tcBorders>
                    <w:shd w:val="clear" w:color="auto" w:fill="auto"/>
                    <w:vAlign w:val="center"/>
                  </w:tcPr>
                  <w:p>
                    <w:pPr>
                      <w:jc w:val="center"/>
                    </w:pPr>
                    <w:r>
                      <w:rPr>
                        <w:rFonts w:hint="eastAsia"/>
                      </w:rPr>
                      <w:t>项目</w:t>
                    </w:r>
                  </w:p>
                </w:tc>
              </w:sdtContent>
            </w:sdt>
            <w:sdt>
              <w:sdtPr>
                <w:tag w:val="_PLD_834fe5ba2d834f8f9b67482b5dbbbc14"/>
                <w:id w:val="-1021618182"/>
                <w:lock w:val="sdtLocked"/>
              </w:sdtPr>
              <w:sdtContent>
                <w:tc>
                  <w:tcPr>
                    <w:tcW w:w="926" w:type="pct"/>
                    <w:tcBorders>
                      <w:bottom w:val="single" w:color="auto" w:sz="4" w:space="0"/>
                    </w:tcBorders>
                    <w:shd w:val="clear" w:color="auto" w:fill="auto"/>
                    <w:vAlign w:val="center"/>
                  </w:tcPr>
                  <w:p>
                    <w:pPr>
                      <w:jc w:val="center"/>
                    </w:pPr>
                    <w:r>
                      <w:rPr>
                        <w:rFonts w:hint="eastAsia"/>
                      </w:rPr>
                      <w:t>递延所得税资产和负债期末互抵金额</w:t>
                    </w:r>
                  </w:p>
                </w:tc>
              </w:sdtContent>
            </w:sdt>
            <w:sdt>
              <w:sdtPr>
                <w:tag w:val="_PLD_1d423a6acdc84a9b86a8f4cfef14d1bc"/>
                <w:id w:val="1982116062"/>
                <w:lock w:val="sdtLocked"/>
              </w:sdtPr>
              <w:sdtContent>
                <w:tc>
                  <w:tcPr>
                    <w:tcW w:w="918" w:type="pct"/>
                    <w:tcBorders>
                      <w:bottom w:val="single" w:color="auto" w:sz="4" w:space="0"/>
                    </w:tcBorders>
                    <w:shd w:val="clear" w:color="auto" w:fill="auto"/>
                    <w:vAlign w:val="center"/>
                  </w:tcPr>
                  <w:p>
                    <w:pPr>
                      <w:jc w:val="center"/>
                    </w:pPr>
                    <w:r>
                      <w:rPr>
                        <w:rFonts w:hint="eastAsia"/>
                      </w:rPr>
                      <w:t>抵销后递延所得税资产或负债期末余额</w:t>
                    </w:r>
                  </w:p>
                </w:tc>
              </w:sdtContent>
            </w:sdt>
            <w:sdt>
              <w:sdtPr>
                <w:tag w:val="_PLD_7e951a92ca604006b07c34e19fd86c46"/>
                <w:id w:val="-1542745846"/>
                <w:lock w:val="sdtLocked"/>
              </w:sdtPr>
              <w:sdtContent>
                <w:tc>
                  <w:tcPr>
                    <w:tcW w:w="933" w:type="pct"/>
                    <w:tcBorders>
                      <w:bottom w:val="single" w:color="auto" w:sz="4" w:space="0"/>
                    </w:tcBorders>
                    <w:shd w:val="clear" w:color="auto" w:fill="auto"/>
                    <w:vAlign w:val="center"/>
                  </w:tcPr>
                  <w:p>
                    <w:pPr>
                      <w:jc w:val="center"/>
                    </w:pPr>
                    <w:r>
                      <w:rPr>
                        <w:rFonts w:hint="eastAsia"/>
                      </w:rPr>
                      <w:t>递延所得税资产和负债期初互抵金额</w:t>
                    </w:r>
                  </w:p>
                </w:tc>
              </w:sdtContent>
            </w:sdt>
            <w:sdt>
              <w:sdtPr>
                <w:tag w:val="_PLD_357e55134bfb4d68a713600691a595cb"/>
                <w:id w:val="-2110571862"/>
                <w:lock w:val="sdtLocked"/>
              </w:sdtPr>
              <w:sdtContent>
                <w:tc>
                  <w:tcPr>
                    <w:tcW w:w="918" w:type="pct"/>
                    <w:tcBorders>
                      <w:bottom w:val="single" w:color="auto" w:sz="4" w:space="0"/>
                    </w:tcBorders>
                    <w:shd w:val="clear" w:color="auto" w:fill="auto"/>
                    <w:vAlign w:val="center"/>
                  </w:tcPr>
                  <w:p>
                    <w:pPr>
                      <w:jc w:val="center"/>
                    </w:pPr>
                    <w:r>
                      <w:rPr>
                        <w:rFonts w:hint="eastAsia"/>
                      </w:rPr>
                      <w:t>抵销后递延所得税资产或负债期初余额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85c5c0825fb4aeda1d64a7aaa00d23d"/>
                <w:id w:val="-803071344"/>
                <w:lock w:val="sdtLocked"/>
              </w:sdtPr>
              <w:sdtContent>
                <w:tc>
                  <w:tcPr>
                    <w:tcW w:w="1306" w:type="pct"/>
                    <w:shd w:val="clear" w:color="auto" w:fill="auto"/>
                  </w:tcPr>
                  <w:p>
                    <w:pPr>
                      <w:pStyle w:val="114"/>
                    </w:pPr>
                    <w:r>
                      <w:rPr>
                        <w:rFonts w:hint="eastAsia"/>
                      </w:rPr>
                      <w:t>递延所得税资产</w:t>
                    </w:r>
                  </w:p>
                </w:tc>
              </w:sdtContent>
            </w:sdt>
            <w:tc>
              <w:tcPr>
                <w:tcW w:w="926" w:type="pct"/>
                <w:shd w:val="clear" w:color="auto" w:fill="auto"/>
                <w:vAlign w:val="center"/>
              </w:tcPr>
              <w:p>
                <w:pPr>
                  <w:jc w:val="right"/>
                </w:pPr>
                <w:r>
                  <w:t>-13,446,518.69</w:t>
                </w:r>
              </w:p>
            </w:tc>
            <w:tc>
              <w:tcPr>
                <w:tcW w:w="918" w:type="pct"/>
                <w:shd w:val="clear" w:color="auto" w:fill="auto"/>
                <w:vAlign w:val="center"/>
              </w:tcPr>
              <w:p>
                <w:pPr>
                  <w:jc w:val="right"/>
                </w:pPr>
                <w:r>
                  <w:t>193,031,746.52</w:t>
                </w:r>
              </w:p>
            </w:tc>
            <w:tc>
              <w:tcPr>
                <w:tcW w:w="933" w:type="pct"/>
                <w:shd w:val="clear" w:color="auto" w:fill="auto"/>
                <w:vAlign w:val="center"/>
              </w:tcPr>
              <w:p>
                <w:pPr>
                  <w:jc w:val="right"/>
                </w:pPr>
                <w:r>
                  <w:t>-68,874,658.84</w:t>
                </w:r>
              </w:p>
            </w:tc>
            <w:tc>
              <w:tcPr>
                <w:tcW w:w="918" w:type="pct"/>
                <w:shd w:val="clear" w:color="auto" w:fill="auto"/>
                <w:vAlign w:val="center"/>
              </w:tcPr>
              <w:p>
                <w:pPr>
                  <w:jc w:val="right"/>
                </w:pPr>
                <w:r>
                  <w:t>183,314,189.73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a23f829080a4a7ba2f4056eba60e1bb"/>
                <w:id w:val="1647156789"/>
                <w:lock w:val="sdtLocked"/>
              </w:sdtPr>
              <w:sdtContent>
                <w:tc>
                  <w:tcPr>
                    <w:tcW w:w="1306" w:type="pct"/>
                    <w:shd w:val="clear" w:color="auto" w:fill="auto"/>
                  </w:tcPr>
                  <w:p>
                    <w:pPr>
                      <w:pStyle w:val="114"/>
                    </w:pPr>
                    <w:r>
                      <w:rPr>
                        <w:rFonts w:hint="eastAsia"/>
                      </w:rPr>
                      <w:t>递延所得税负债</w:t>
                    </w:r>
                  </w:p>
                </w:tc>
              </w:sdtContent>
            </w:sdt>
            <w:tc>
              <w:tcPr>
                <w:tcW w:w="926" w:type="pct"/>
                <w:shd w:val="clear" w:color="auto" w:fill="auto"/>
                <w:vAlign w:val="center"/>
              </w:tcPr>
              <w:p>
                <w:pPr>
                  <w:jc w:val="right"/>
                </w:pPr>
                <w:r>
                  <w:t>13,446,518.69</w:t>
                </w:r>
              </w:p>
            </w:tc>
            <w:tc>
              <w:tcPr>
                <w:tcW w:w="918" w:type="pct"/>
                <w:shd w:val="clear" w:color="auto" w:fill="auto"/>
                <w:vAlign w:val="center"/>
              </w:tcPr>
              <w:p>
                <w:pPr>
                  <w:jc w:val="right"/>
                </w:pPr>
                <w:r>
                  <w:t>-722,572,587.98</w:t>
                </w:r>
              </w:p>
            </w:tc>
            <w:tc>
              <w:tcPr>
                <w:tcW w:w="933" w:type="pct"/>
                <w:shd w:val="clear" w:color="auto" w:fill="auto"/>
                <w:vAlign w:val="center"/>
              </w:tcPr>
              <w:p>
                <w:pPr>
                  <w:jc w:val="right"/>
                </w:pPr>
                <w:r>
                  <w:t>68,874,658.84</w:t>
                </w:r>
              </w:p>
            </w:tc>
            <w:tc>
              <w:tcPr>
                <w:tcW w:w="918" w:type="pct"/>
                <w:shd w:val="clear" w:color="auto" w:fill="auto"/>
                <w:vAlign w:val="center"/>
              </w:tcPr>
              <w:p>
                <w:pPr>
                  <w:jc w:val="right"/>
                </w:pPr>
                <w:r>
                  <w:t>-671,751,540.62</w:t>
                </w:r>
              </w:p>
            </w:tc>
          </w:tr>
        </w:tbl>
        <w:p>
          <w:pPr>
            <w:pStyle w:val="114"/>
          </w:pPr>
        </w:p>
      </w:sdtContent>
    </w:sdt>
    <w:bookmarkEnd w:id="206"/>
    <w:sdt>
      <w:sdtPr>
        <w:rPr>
          <w:rFonts w:hint="eastAsia" w:ascii="宋体" w:hAnsi="宋体" w:cs="宋体"/>
          <w:b w:val="0"/>
          <w:bCs w:val="0"/>
          <w:kern w:val="0"/>
          <w:szCs w:val="21"/>
        </w:rPr>
        <w:alias w:val="模块:未确认递延所得税资产明细"/>
        <w:tag w:val="_SEC_858c4743950048c4949e354ac068e8af"/>
        <w:id w:val="22141991"/>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9"/>
            </w:numPr>
            <w:tabs>
              <w:tab w:val="left" w:pos="588"/>
              <w:tab w:val="left" w:pos="616"/>
            </w:tabs>
            <w:rPr>
              <w:rFonts w:ascii="宋体" w:hAnsi="宋体"/>
              <w:szCs w:val="21"/>
            </w:rPr>
          </w:pPr>
          <w:bookmarkStart w:id="207" w:name="_Hlk11160660"/>
          <w:r>
            <w:rPr>
              <w:rFonts w:hint="eastAsia" w:ascii="宋体" w:hAnsi="宋体"/>
              <w:szCs w:val="21"/>
            </w:rPr>
            <w:t>未确认递延</w:t>
          </w:r>
          <w:r>
            <w:rPr>
              <w:rFonts w:hint="eastAsia" w:ascii="宋体" w:hAnsi="宋体"/>
            </w:rPr>
            <w:t>所得税</w:t>
          </w:r>
          <w:r>
            <w:rPr>
              <w:rFonts w:hint="eastAsia" w:ascii="宋体" w:hAnsi="宋体"/>
              <w:szCs w:val="21"/>
            </w:rPr>
            <w:t>资产明细</w:t>
          </w:r>
        </w:p>
        <w:sdt>
          <w:sdtPr>
            <w:alias w:val="是否适用：未确认递延所得税资产明细[双击切换]"/>
            <w:tag w:val="_GBC_f210878b05204277b5f70ed9ae786ea7"/>
            <w:id w:val="28593278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未确认递延所得税资产明细"/>
              <w:tag w:val="_GBC_ce13c0c07be34b60aa76bbbf1260928d"/>
              <w:id w:val="-904143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未确认递延所得税资产明细"/>
              <w:tag w:val="_GBC_8f1c08c0092d44718e258d0b64b7bf6f"/>
              <w:id w:val="-12273761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9"/>
            <w:gridCol w:w="3082"/>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bfd226eac09b4e2fb1cc66684c879c9b"/>
                <w:id w:val="83041620"/>
                <w:lock w:val="sdtLocked"/>
              </w:sdtPr>
              <w:sdtContent>
                <w:tc>
                  <w:tcPr>
                    <w:tcW w:w="1596"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项目</w:t>
                    </w:r>
                  </w:p>
                </w:tc>
              </w:sdtContent>
            </w:sdt>
            <w:sdt>
              <w:sdtPr>
                <w:tag w:val="_PLD_bba7988c74a34dcf950349beb6df1c0b"/>
                <w:id w:val="1686938521"/>
                <w:lock w:val="sdtLocked"/>
              </w:sdtPr>
              <w:sdtContent>
                <w:tc>
                  <w:tcPr>
                    <w:tcW w:w="1703"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期末余额</w:t>
                    </w:r>
                  </w:p>
                </w:tc>
              </w:sdtContent>
            </w:sdt>
            <w:sdt>
              <w:sdtPr>
                <w:tag w:val="_PLD_36004da9855d4469bf16ab328077f444"/>
                <w:id w:val="-2115203891"/>
                <w:lock w:val="sdtLocked"/>
              </w:sdtPr>
              <w:sdtContent>
                <w:tc>
                  <w:tcPr>
                    <w:tcW w:w="1701"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381c26214cb146ecba0c66da7cccbb9b"/>
                <w:id w:val="-352809710"/>
                <w:lock w:val="sdtLocked"/>
              </w:sdtPr>
              <w:sdtContent>
                <w:tc>
                  <w:tcPr>
                    <w:tcW w:w="1596" w:type="pct"/>
                    <w:tcBorders>
                      <w:top w:val="single" w:color="auto" w:sz="4" w:space="0"/>
                      <w:left w:val="single" w:color="auto" w:sz="4" w:space="0"/>
                      <w:bottom w:val="single" w:color="auto" w:sz="4" w:space="0"/>
                      <w:right w:val="single" w:color="auto" w:sz="4" w:space="0"/>
                    </w:tcBorders>
                    <w:vAlign w:val="center"/>
                  </w:tcPr>
                  <w:p>
                    <w:pPr>
                      <w:pStyle w:val="114"/>
                    </w:pPr>
                    <w:r>
                      <w:rPr>
                        <w:rFonts w:hint="eastAsia"/>
                      </w:rPr>
                      <w:t>可抵扣暂时性差异</w:t>
                    </w:r>
                  </w:p>
                </w:tc>
              </w:sdtContent>
            </w:sdt>
            <w:tc>
              <w:tcPr>
                <w:tcW w:w="1703" w:type="pct"/>
                <w:tcBorders>
                  <w:top w:val="single" w:color="auto" w:sz="4" w:space="0"/>
                  <w:left w:val="single" w:color="auto" w:sz="4" w:space="0"/>
                  <w:bottom w:val="single" w:color="auto" w:sz="4" w:space="0"/>
                  <w:right w:val="single" w:color="auto" w:sz="4" w:space="0"/>
                </w:tcBorders>
                <w:vAlign w:val="center"/>
              </w:tcPr>
              <w:p>
                <w:pPr>
                  <w:jc w:val="right"/>
                </w:pPr>
                <w:r>
                  <w:t>919,458,759.29</w:t>
                </w:r>
              </w:p>
            </w:tc>
            <w:tc>
              <w:tcPr>
                <w:tcW w:w="1701" w:type="pct"/>
                <w:tcBorders>
                  <w:top w:val="single" w:color="auto" w:sz="4" w:space="0"/>
                  <w:left w:val="single" w:color="auto" w:sz="4" w:space="0"/>
                  <w:bottom w:val="single" w:color="auto" w:sz="4" w:space="0"/>
                  <w:right w:val="single" w:color="auto" w:sz="4" w:space="0"/>
                </w:tcBorders>
                <w:vAlign w:val="center"/>
              </w:tcPr>
              <w:p>
                <w:pPr>
                  <w:jc w:val="right"/>
                </w:pPr>
                <w:r>
                  <w:t>868,357,390.62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7d61d57f3afe461287d338be31b7f128"/>
                <w:id w:val="961848223"/>
                <w:lock w:val="sdtLocked"/>
              </w:sdtPr>
              <w:sdtContent>
                <w:tc>
                  <w:tcPr>
                    <w:tcW w:w="1596" w:type="pct"/>
                    <w:tcBorders>
                      <w:top w:val="single" w:color="auto" w:sz="4" w:space="0"/>
                      <w:left w:val="single" w:color="auto" w:sz="4" w:space="0"/>
                      <w:bottom w:val="single" w:color="auto" w:sz="4" w:space="0"/>
                      <w:right w:val="single" w:color="auto" w:sz="4" w:space="0"/>
                    </w:tcBorders>
                    <w:vAlign w:val="center"/>
                  </w:tcPr>
                  <w:p>
                    <w:pPr>
                      <w:pStyle w:val="114"/>
                    </w:pPr>
                    <w:r>
                      <w:rPr>
                        <w:rFonts w:hint="eastAsia"/>
                      </w:rPr>
                      <w:t>可抵扣亏损</w:t>
                    </w:r>
                  </w:p>
                </w:tc>
              </w:sdtContent>
            </w:sdt>
            <w:tc>
              <w:tcPr>
                <w:tcW w:w="1703" w:type="pct"/>
                <w:tcBorders>
                  <w:top w:val="single" w:color="auto" w:sz="4" w:space="0"/>
                  <w:left w:val="single" w:color="auto" w:sz="4" w:space="0"/>
                  <w:bottom w:val="single" w:color="auto" w:sz="4" w:space="0"/>
                  <w:right w:val="single" w:color="auto" w:sz="4" w:space="0"/>
                </w:tcBorders>
                <w:vAlign w:val="center"/>
              </w:tcPr>
              <w:p>
                <w:pPr>
                  <w:jc w:val="right"/>
                </w:pPr>
                <w:r>
                  <w:t>16,917,207.85</w:t>
                </w:r>
              </w:p>
            </w:tc>
            <w:tc>
              <w:tcPr>
                <w:tcW w:w="1701" w:type="pct"/>
                <w:tcBorders>
                  <w:top w:val="single" w:color="auto" w:sz="4" w:space="0"/>
                  <w:left w:val="single" w:color="auto" w:sz="4" w:space="0"/>
                  <w:bottom w:val="single" w:color="auto" w:sz="4" w:space="0"/>
                  <w:right w:val="single" w:color="auto" w:sz="4" w:space="0"/>
                </w:tcBorders>
                <w:vAlign w:val="center"/>
              </w:tcPr>
              <w:p>
                <w:pPr>
                  <w:jc w:val="right"/>
                </w:pPr>
                <w:r>
                  <w:t>9,167,594.99</w:t>
                </w:r>
              </w:p>
            </w:tc>
          </w:tr>
          <w:sdt>
            <w:sdtPr>
              <w:rPr>
                <w:rFonts w:hint="eastAsia"/>
              </w:rPr>
              <w:alias w:val="未确认递延所得税资产明细"/>
              <w:tag w:val="_GBC_dececa13e6ec42e9a7b6dc670fa5ccbb"/>
              <w:id w:val="189924188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596" w:type="pct"/>
                    <w:tcBorders>
                      <w:top w:val="single" w:color="auto" w:sz="4" w:space="0"/>
                      <w:left w:val="single" w:color="auto" w:sz="4" w:space="0"/>
                      <w:bottom w:val="single" w:color="auto" w:sz="4" w:space="0"/>
                      <w:right w:val="single" w:color="auto" w:sz="4" w:space="0"/>
                    </w:tcBorders>
                  </w:tcPr>
                  <w:p>
                    <w:pPr>
                      <w:pStyle w:val="114"/>
                    </w:pPr>
                  </w:p>
                </w:tc>
                <w:tc>
                  <w:tcPr>
                    <w:tcW w:w="1703" w:type="pct"/>
                    <w:tcBorders>
                      <w:top w:val="single" w:color="auto" w:sz="4" w:space="0"/>
                      <w:left w:val="single" w:color="auto" w:sz="4" w:space="0"/>
                      <w:bottom w:val="single" w:color="auto" w:sz="4" w:space="0"/>
                      <w:right w:val="single" w:color="auto" w:sz="4" w:space="0"/>
                    </w:tcBorders>
                  </w:tcPr>
                  <w:p>
                    <w:pPr>
                      <w:jc w:val="right"/>
                    </w:pPr>
                  </w:p>
                </w:tc>
                <w:tc>
                  <w:tcPr>
                    <w:tcW w:w="1701" w:type="pct"/>
                    <w:tcBorders>
                      <w:top w:val="single" w:color="auto" w:sz="4" w:space="0"/>
                      <w:left w:val="single" w:color="auto" w:sz="4" w:space="0"/>
                      <w:bottom w:val="single" w:color="auto" w:sz="4" w:space="0"/>
                      <w:right w:val="single" w:color="auto" w:sz="4" w:space="0"/>
                    </w:tcBorders>
                  </w:tcPr>
                  <w:p>
                    <w:pPr>
                      <w:jc w:val="right"/>
                    </w:pPr>
                  </w:p>
                </w:tc>
              </w:tr>
            </w:sdtContent>
          </w:sdt>
          <w:sdt>
            <w:sdtPr>
              <w:rPr>
                <w:rFonts w:hint="eastAsia"/>
              </w:rPr>
              <w:alias w:val="未确认递延所得税资产明细"/>
              <w:tag w:val="_GBC_dececa13e6ec42e9a7b6dc670fa5ccbb"/>
              <w:id w:val="-10974532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596" w:type="pct"/>
                    <w:tcBorders>
                      <w:top w:val="single" w:color="auto" w:sz="4" w:space="0"/>
                      <w:left w:val="single" w:color="auto" w:sz="4" w:space="0"/>
                      <w:bottom w:val="single" w:color="auto" w:sz="4" w:space="0"/>
                      <w:right w:val="single" w:color="auto" w:sz="4" w:space="0"/>
                    </w:tcBorders>
                  </w:tcPr>
                  <w:p>
                    <w:pPr>
                      <w:pStyle w:val="114"/>
                    </w:pPr>
                  </w:p>
                </w:tc>
                <w:tc>
                  <w:tcPr>
                    <w:tcW w:w="1703" w:type="pct"/>
                    <w:tcBorders>
                      <w:top w:val="single" w:color="auto" w:sz="4" w:space="0"/>
                      <w:left w:val="single" w:color="auto" w:sz="4" w:space="0"/>
                      <w:bottom w:val="single" w:color="auto" w:sz="4" w:space="0"/>
                      <w:right w:val="single" w:color="auto" w:sz="4" w:space="0"/>
                    </w:tcBorders>
                  </w:tcPr>
                  <w:p>
                    <w:pPr>
                      <w:jc w:val="right"/>
                    </w:pPr>
                  </w:p>
                </w:tc>
                <w:tc>
                  <w:tcPr>
                    <w:tcW w:w="1701" w:type="pct"/>
                    <w:tcBorders>
                      <w:top w:val="single" w:color="auto" w:sz="4" w:space="0"/>
                      <w:left w:val="single" w:color="auto" w:sz="4" w:space="0"/>
                      <w:bottom w:val="single" w:color="auto" w:sz="4" w:space="0"/>
                      <w:right w:val="single" w:color="auto" w:sz="4" w:space="0"/>
                    </w:tcBorders>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a867b83c897e41619f1515baeb2b55ff"/>
                <w:id w:val="1164055449"/>
                <w:lock w:val="sdtLocked"/>
              </w:sdtPr>
              <w:sdtContent>
                <w:tc>
                  <w:tcPr>
                    <w:tcW w:w="1596"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合计</w:t>
                    </w:r>
                  </w:p>
                </w:tc>
              </w:sdtContent>
            </w:sdt>
            <w:tc>
              <w:tcPr>
                <w:tcW w:w="1703" w:type="pct"/>
                <w:tcBorders>
                  <w:top w:val="single" w:color="auto" w:sz="4" w:space="0"/>
                  <w:left w:val="single" w:color="auto" w:sz="4" w:space="0"/>
                  <w:bottom w:val="single" w:color="auto" w:sz="4" w:space="0"/>
                  <w:right w:val="single" w:color="auto" w:sz="4" w:space="0"/>
                </w:tcBorders>
                <w:vAlign w:val="center"/>
              </w:tcPr>
              <w:p>
                <w:pPr>
                  <w:jc w:val="right"/>
                </w:pPr>
                <w:r>
                  <w:t>936,375,967.14</w:t>
                </w:r>
              </w:p>
            </w:tc>
            <w:tc>
              <w:tcPr>
                <w:tcW w:w="1701" w:type="pct"/>
                <w:tcBorders>
                  <w:top w:val="single" w:color="auto" w:sz="4" w:space="0"/>
                  <w:left w:val="single" w:color="auto" w:sz="4" w:space="0"/>
                  <w:bottom w:val="single" w:color="auto" w:sz="4" w:space="0"/>
                  <w:right w:val="single" w:color="auto" w:sz="4" w:space="0"/>
                </w:tcBorders>
                <w:vAlign w:val="center"/>
              </w:tcPr>
              <w:p>
                <w:pPr>
                  <w:jc w:val="right"/>
                </w:pPr>
                <w:r>
                  <w:t>877,524,985.61</w:t>
                </w:r>
              </w:p>
            </w:tc>
          </w:tr>
        </w:tbl>
        <w:p>
          <w:pPr>
            <w:pStyle w:val="114"/>
          </w:pPr>
        </w:p>
      </w:sdtContent>
    </w:sdt>
    <w:bookmarkEnd w:id="207"/>
    <w:sdt>
      <w:sdtPr>
        <w:rPr>
          <w:rFonts w:hint="eastAsia" w:ascii="宋体" w:hAnsi="宋体" w:cs="宋体"/>
          <w:b w:val="0"/>
          <w:bCs w:val="0"/>
          <w:kern w:val="0"/>
          <w:szCs w:val="21"/>
        </w:rPr>
        <w:alias w:val="模块:未确认递延所得税资产的可抵扣亏损将于以下年度到期"/>
        <w:tag w:val="_SEC_a5f2b329395b406fa4b30b710f4a81e0"/>
        <w:id w:val="1891142710"/>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69"/>
            </w:numPr>
            <w:tabs>
              <w:tab w:val="left" w:pos="588"/>
              <w:tab w:val="left" w:pos="616"/>
            </w:tabs>
            <w:rPr>
              <w:rFonts w:ascii="宋体" w:hAnsi="宋体"/>
              <w:szCs w:val="21"/>
            </w:rPr>
          </w:pPr>
          <w:bookmarkStart w:id="208" w:name="_Hlk11160672"/>
          <w:r>
            <w:rPr>
              <w:rFonts w:hint="eastAsia" w:ascii="宋体" w:hAnsi="宋体"/>
              <w:szCs w:val="21"/>
            </w:rPr>
            <w:t>未确认递延所得税资产的可抵扣亏损将于以下年度到期</w:t>
          </w:r>
        </w:p>
        <w:sdt>
          <w:sdtPr>
            <w:alias w:val="是否适用：未确认递延所得税资产的可抵扣亏损将于以下年度到期[双击切换]"/>
            <w:tag w:val="_GBC_10d31911cedc4147b90ab71d35742bf4"/>
            <w:id w:val="104256142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right="57"/>
            <w:jc w:val="right"/>
          </w:pPr>
          <w:r>
            <w:rPr>
              <w:rFonts w:hint="eastAsia"/>
            </w:rPr>
            <w:t>单位：</w:t>
          </w:r>
          <w:sdt>
            <w:sdtPr>
              <w:rPr>
                <w:rFonts w:hint="eastAsia"/>
              </w:rPr>
              <w:alias w:val="单位：财务附注：未确认递延所得税资产的可抵扣亏损将于以下年度到期"/>
              <w:tag w:val="_GBC_e5ae9be2f02b49aa93ff11e0e7a11cca"/>
              <w:id w:val="-81922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未确认递延所得税资产的可抵扣亏损将于以下年度到期"/>
              <w:tag w:val="_GBC_83b0fc2196304484aa53ef2b9e2e191a"/>
              <w:id w:val="4437332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4"/>
            <w:gridCol w:w="2286"/>
            <w:gridCol w:w="2324"/>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710a470de2b84ef593de891faad46b6b"/>
                <w:id w:val="182868919"/>
                <w:lock w:val="sdtLocked"/>
              </w:sdtPr>
              <w:sdtContent>
                <w:tc>
                  <w:tcPr>
                    <w:tcW w:w="1152"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年份</w:t>
                    </w:r>
                  </w:p>
                </w:tc>
              </w:sdtContent>
            </w:sdt>
            <w:sdt>
              <w:sdtPr>
                <w:tag w:val="_PLD_a6335ab4fba14ab8946b823c64f03503"/>
                <w:id w:val="-544063271"/>
                <w:lock w:val="sdtLocked"/>
              </w:sdtPr>
              <w:sdtContent>
                <w:tc>
                  <w:tcPr>
                    <w:tcW w:w="1263"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期末金额</w:t>
                    </w:r>
                  </w:p>
                </w:tc>
              </w:sdtContent>
            </w:sdt>
            <w:sdt>
              <w:sdtPr>
                <w:tag w:val="_PLD_7582e6645cec4513a5606c104f2d83f1"/>
                <w:id w:val="295579618"/>
                <w:lock w:val="sdtLocked"/>
              </w:sdtPr>
              <w:sdtContent>
                <w:tc>
                  <w:tcPr>
                    <w:tcW w:w="1284"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期初金额</w:t>
                    </w:r>
                  </w:p>
                </w:tc>
              </w:sdtContent>
            </w:sdt>
            <w:sdt>
              <w:sdtPr>
                <w:tag w:val="_PLD_1a030fe5a0564bed845b9b81b2eda8b8"/>
                <w:id w:val="953133032"/>
                <w:lock w:val="sdtLocked"/>
              </w:sdtPr>
              <w:sdtContent>
                <w:tc>
                  <w:tcPr>
                    <w:tcW w:w="1301"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备注</w:t>
                    </w:r>
                  </w:p>
                </w:tc>
              </w:sdtContent>
            </w:sdt>
          </w:tr>
          <w:sdt>
            <w:sdtPr>
              <w:rPr>
                <w:rFonts w:hint="eastAsia"/>
              </w:rPr>
              <w:alias w:val="未确认递延所得税资产的可抵扣亏损到期明细"/>
              <w:tag w:val="_GBC_a44a3a947eba4ff199b2b5473e07ff8b"/>
              <w:id w:val="-72382529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2023年</w:t>
                    </w:r>
                  </w:p>
                </w:tc>
                <w:tc>
                  <w:tcPr>
                    <w:tcW w:w="1263" w:type="pct"/>
                    <w:tcBorders>
                      <w:top w:val="single" w:color="auto" w:sz="4" w:space="0"/>
                      <w:left w:val="single" w:color="auto" w:sz="4" w:space="0"/>
                      <w:bottom w:val="single" w:color="auto" w:sz="4" w:space="0"/>
                      <w:right w:val="single" w:color="auto" w:sz="4" w:space="0"/>
                    </w:tcBorders>
                  </w:tcPr>
                  <w:p>
                    <w:pPr>
                      <w:jc w:val="right"/>
                    </w:pPr>
                    <w:r>
                      <w:t>-</w:t>
                    </w:r>
                  </w:p>
                </w:tc>
                <w:tc>
                  <w:tcPr>
                    <w:tcW w:w="1284" w:type="pct"/>
                    <w:tcBorders>
                      <w:top w:val="single" w:color="auto" w:sz="4" w:space="0"/>
                      <w:left w:val="single" w:color="auto" w:sz="4" w:space="0"/>
                      <w:bottom w:val="single" w:color="auto" w:sz="4" w:space="0"/>
                      <w:right w:val="single" w:color="auto" w:sz="4" w:space="0"/>
                    </w:tcBorders>
                  </w:tcPr>
                  <w:p>
                    <w:pPr>
                      <w:jc w:val="right"/>
                    </w:pPr>
                    <w:r>
                      <w:t>20,333,192.00</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sdt>
            <w:sdtPr>
              <w:rPr>
                <w:rFonts w:hint="eastAsia"/>
              </w:rPr>
              <w:alias w:val="未确认递延所得税资产的可抵扣亏损到期明细"/>
              <w:tag w:val="_GBC_a44a3a947eba4ff199b2b5473e07ff8b"/>
              <w:id w:val="-158869009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2024年</w:t>
                    </w:r>
                  </w:p>
                </w:tc>
                <w:tc>
                  <w:tcPr>
                    <w:tcW w:w="1263" w:type="pct"/>
                    <w:tcBorders>
                      <w:top w:val="single" w:color="auto" w:sz="4" w:space="0"/>
                      <w:left w:val="single" w:color="auto" w:sz="4" w:space="0"/>
                      <w:bottom w:val="single" w:color="auto" w:sz="4" w:space="0"/>
                      <w:right w:val="single" w:color="auto" w:sz="4" w:space="0"/>
                    </w:tcBorders>
                  </w:tcPr>
                  <w:p>
                    <w:pPr>
                      <w:jc w:val="right"/>
                    </w:pPr>
                    <w:r>
                      <w:t>44,120,844.72</w:t>
                    </w:r>
                  </w:p>
                </w:tc>
                <w:tc>
                  <w:tcPr>
                    <w:tcW w:w="1284" w:type="pct"/>
                    <w:tcBorders>
                      <w:top w:val="single" w:color="auto" w:sz="4" w:space="0"/>
                      <w:left w:val="single" w:color="auto" w:sz="4" w:space="0"/>
                      <w:bottom w:val="single" w:color="auto" w:sz="4" w:space="0"/>
                      <w:right w:val="single" w:color="auto" w:sz="4" w:space="0"/>
                    </w:tcBorders>
                  </w:tcPr>
                  <w:p>
                    <w:pPr>
                      <w:jc w:val="right"/>
                    </w:pPr>
                    <w:r>
                      <w:t>44,120,844.72</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sdt>
            <w:sdtPr>
              <w:rPr>
                <w:rFonts w:hint="eastAsia"/>
              </w:rPr>
              <w:alias w:val="未确认递延所得税资产的可抵扣亏损到期明细"/>
              <w:tag w:val="_GBC_a44a3a947eba4ff199b2b5473e07ff8b"/>
              <w:id w:val="-112607620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2025年</w:t>
                    </w:r>
                  </w:p>
                </w:tc>
                <w:tc>
                  <w:tcPr>
                    <w:tcW w:w="1263" w:type="pct"/>
                    <w:tcBorders>
                      <w:top w:val="single" w:color="auto" w:sz="4" w:space="0"/>
                      <w:left w:val="single" w:color="auto" w:sz="4" w:space="0"/>
                      <w:bottom w:val="single" w:color="auto" w:sz="4" w:space="0"/>
                      <w:right w:val="single" w:color="auto" w:sz="4" w:space="0"/>
                    </w:tcBorders>
                  </w:tcPr>
                  <w:p>
                    <w:pPr>
                      <w:jc w:val="right"/>
                    </w:pPr>
                    <w:r>
                      <w:t>53,341,130.00</w:t>
                    </w:r>
                  </w:p>
                </w:tc>
                <w:tc>
                  <w:tcPr>
                    <w:tcW w:w="1284" w:type="pct"/>
                    <w:tcBorders>
                      <w:top w:val="single" w:color="auto" w:sz="4" w:space="0"/>
                      <w:left w:val="single" w:color="auto" w:sz="4" w:space="0"/>
                      <w:bottom w:val="single" w:color="auto" w:sz="4" w:space="0"/>
                      <w:right w:val="single" w:color="auto" w:sz="4" w:space="0"/>
                    </w:tcBorders>
                  </w:tcPr>
                  <w:p>
                    <w:pPr>
                      <w:jc w:val="right"/>
                    </w:pPr>
                    <w:r>
                      <w:t>53,341,130.00</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sdt>
            <w:sdtPr>
              <w:rPr>
                <w:rFonts w:hint="eastAsia"/>
              </w:rPr>
              <w:alias w:val="未确认递延所得税资产的可抵扣亏损到期明细"/>
              <w:tag w:val="_GBC_a44a3a947eba4ff199b2b5473e07ff8b"/>
              <w:id w:val="149283416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2026年</w:t>
                    </w:r>
                  </w:p>
                </w:tc>
                <w:tc>
                  <w:tcPr>
                    <w:tcW w:w="1263" w:type="pct"/>
                    <w:tcBorders>
                      <w:top w:val="single" w:color="auto" w:sz="4" w:space="0"/>
                      <w:left w:val="single" w:color="auto" w:sz="4" w:space="0"/>
                      <w:bottom w:val="single" w:color="auto" w:sz="4" w:space="0"/>
                      <w:right w:val="single" w:color="auto" w:sz="4" w:space="0"/>
                    </w:tcBorders>
                  </w:tcPr>
                  <w:p>
                    <w:pPr>
                      <w:jc w:val="right"/>
                    </w:pPr>
                    <w:r>
                      <w:t>382,745,632.77</w:t>
                    </w:r>
                  </w:p>
                </w:tc>
                <w:tc>
                  <w:tcPr>
                    <w:tcW w:w="1284" w:type="pct"/>
                    <w:tcBorders>
                      <w:top w:val="single" w:color="auto" w:sz="4" w:space="0"/>
                      <w:left w:val="single" w:color="auto" w:sz="4" w:space="0"/>
                      <w:bottom w:val="single" w:color="auto" w:sz="4" w:space="0"/>
                      <w:right w:val="single" w:color="auto" w:sz="4" w:space="0"/>
                    </w:tcBorders>
                  </w:tcPr>
                  <w:p>
                    <w:pPr>
                      <w:jc w:val="right"/>
                    </w:pPr>
                    <w:r>
                      <w:t>382,745,632.77</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sdt>
            <w:sdtPr>
              <w:rPr>
                <w:rFonts w:hint="eastAsia"/>
              </w:rPr>
              <w:alias w:val="未确认递延所得税资产的可抵扣亏损到期明细"/>
              <w:tag w:val="_GBC_a44a3a947eba4ff199b2b5473e07ff8b"/>
              <w:id w:val="226273334"/>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2027年</w:t>
                    </w:r>
                  </w:p>
                </w:tc>
                <w:tc>
                  <w:tcPr>
                    <w:tcW w:w="1263" w:type="pct"/>
                    <w:tcBorders>
                      <w:top w:val="single" w:color="auto" w:sz="4" w:space="0"/>
                      <w:left w:val="single" w:color="auto" w:sz="4" w:space="0"/>
                      <w:bottom w:val="single" w:color="auto" w:sz="4" w:space="0"/>
                      <w:right w:val="single" w:color="auto" w:sz="4" w:space="0"/>
                    </w:tcBorders>
                  </w:tcPr>
                  <w:p>
                    <w:pPr>
                      <w:jc w:val="right"/>
                    </w:pPr>
                    <w:r>
                      <w:t>367,816,591.13</w:t>
                    </w:r>
                  </w:p>
                </w:tc>
                <w:tc>
                  <w:tcPr>
                    <w:tcW w:w="1284" w:type="pct"/>
                    <w:tcBorders>
                      <w:top w:val="single" w:color="auto" w:sz="4" w:space="0"/>
                      <w:left w:val="single" w:color="auto" w:sz="4" w:space="0"/>
                      <w:bottom w:val="single" w:color="auto" w:sz="4" w:space="0"/>
                      <w:right w:val="single" w:color="auto" w:sz="4" w:space="0"/>
                    </w:tcBorders>
                  </w:tcPr>
                  <w:p>
                    <w:pPr>
                      <w:jc w:val="right"/>
                    </w:pPr>
                    <w:r>
                      <w:t>367,816,591.13</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sdt>
            <w:sdtPr>
              <w:rPr>
                <w:rFonts w:hint="eastAsia"/>
              </w:rPr>
              <w:alias w:val="未确认递延所得税资产的可抵扣亏损到期明细"/>
              <w:tag w:val="_GBC_a44a3a947eba4ff199b2b5473e07ff8b"/>
              <w:id w:val="-211034241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52" w:type="pct"/>
                    <w:tcBorders>
                      <w:top w:val="single" w:color="auto" w:sz="4" w:space="0"/>
                      <w:left w:val="single" w:color="auto" w:sz="4" w:space="0"/>
                      <w:bottom w:val="single" w:color="auto" w:sz="4" w:space="0"/>
                      <w:right w:val="single" w:color="auto" w:sz="4" w:space="0"/>
                    </w:tcBorders>
                  </w:tcPr>
                  <w:p>
                    <w:pPr>
                      <w:pStyle w:val="114"/>
                    </w:pPr>
                    <w:r>
                      <w:t>2028年</w:t>
                    </w:r>
                  </w:p>
                </w:tc>
                <w:tc>
                  <w:tcPr>
                    <w:tcW w:w="1263" w:type="pct"/>
                    <w:tcBorders>
                      <w:top w:val="single" w:color="auto" w:sz="4" w:space="0"/>
                      <w:left w:val="single" w:color="auto" w:sz="4" w:space="0"/>
                      <w:bottom w:val="single" w:color="auto" w:sz="4" w:space="0"/>
                      <w:right w:val="single" w:color="auto" w:sz="4" w:space="0"/>
                    </w:tcBorders>
                  </w:tcPr>
                  <w:p>
                    <w:pPr>
                      <w:jc w:val="right"/>
                    </w:pPr>
                    <w:r>
                      <w:t>71,434,560.67</w:t>
                    </w:r>
                  </w:p>
                </w:tc>
                <w:tc>
                  <w:tcPr>
                    <w:tcW w:w="1284" w:type="pct"/>
                    <w:tcBorders>
                      <w:top w:val="single" w:color="auto" w:sz="4" w:space="0"/>
                      <w:left w:val="single" w:color="auto" w:sz="4" w:space="0"/>
                      <w:bottom w:val="single" w:color="auto" w:sz="4" w:space="0"/>
                      <w:right w:val="single" w:color="auto" w:sz="4" w:space="0"/>
                    </w:tcBorders>
                  </w:tcPr>
                  <w:p>
                    <w:pPr>
                      <w:jc w:val="right"/>
                    </w:pPr>
                    <w:r>
                      <w:t>-</w:t>
                    </w:r>
                  </w:p>
                </w:tc>
                <w:tc>
                  <w:tcPr>
                    <w:tcW w:w="1301" w:type="pct"/>
                    <w:tcBorders>
                      <w:top w:val="single" w:color="auto" w:sz="4" w:space="0"/>
                      <w:left w:val="single" w:color="auto" w:sz="4" w:space="0"/>
                      <w:bottom w:val="single" w:color="auto" w:sz="4" w:space="0"/>
                      <w:right w:val="single" w:color="auto" w:sz="4" w:space="0"/>
                    </w:tcBorders>
                  </w:tcPr>
                  <w:p>
                    <w:pPr>
                      <w:pStyle w:val="114"/>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46168047d07447b6bd845849845604bb"/>
                <w:id w:val="-1352880881"/>
                <w:lock w:val="sdtLocked"/>
              </w:sdtPr>
              <w:sdtContent>
                <w:tc>
                  <w:tcPr>
                    <w:tcW w:w="1152" w:type="pct"/>
                    <w:tcBorders>
                      <w:top w:val="single" w:color="auto" w:sz="4" w:space="0"/>
                      <w:left w:val="single" w:color="auto" w:sz="4" w:space="0"/>
                      <w:bottom w:val="single" w:color="auto" w:sz="4" w:space="0"/>
                      <w:right w:val="single" w:color="auto" w:sz="4" w:space="0"/>
                    </w:tcBorders>
                    <w:vAlign w:val="bottom"/>
                  </w:tcPr>
                  <w:p>
                    <w:pPr>
                      <w:jc w:val="center"/>
                    </w:pPr>
                    <w:r>
                      <w:rPr>
                        <w:rFonts w:hint="eastAsia"/>
                      </w:rPr>
                      <w:t>合计</w:t>
                    </w:r>
                  </w:p>
                </w:tc>
              </w:sdtContent>
            </w:sdt>
            <w:tc>
              <w:tcPr>
                <w:tcW w:w="1263" w:type="pct"/>
                <w:tcBorders>
                  <w:top w:val="single" w:color="auto" w:sz="4" w:space="0"/>
                  <w:left w:val="single" w:color="auto" w:sz="4" w:space="0"/>
                  <w:bottom w:val="single" w:color="auto" w:sz="4" w:space="0"/>
                  <w:right w:val="single" w:color="auto" w:sz="4" w:space="0"/>
                </w:tcBorders>
              </w:tcPr>
              <w:p>
                <w:pPr>
                  <w:jc w:val="right"/>
                </w:pPr>
                <w:r>
                  <w:t>919,458,759.29</w:t>
                </w:r>
              </w:p>
            </w:tc>
            <w:tc>
              <w:tcPr>
                <w:tcW w:w="1284" w:type="pct"/>
                <w:tcBorders>
                  <w:top w:val="single" w:color="auto" w:sz="4" w:space="0"/>
                  <w:left w:val="single" w:color="auto" w:sz="4" w:space="0"/>
                  <w:bottom w:val="single" w:color="auto" w:sz="4" w:space="0"/>
                  <w:right w:val="single" w:color="auto" w:sz="4" w:space="0"/>
                </w:tcBorders>
              </w:tcPr>
              <w:p>
                <w:pPr>
                  <w:jc w:val="right"/>
                </w:pPr>
                <w:r>
                  <w:t>868,357,390.62</w:t>
                </w:r>
              </w:p>
            </w:tc>
            <w:tc>
              <w:tcPr>
                <w:tcW w:w="1301" w:type="pct"/>
                <w:tcBorders>
                  <w:top w:val="single" w:color="auto" w:sz="4" w:space="0"/>
                  <w:left w:val="single" w:color="auto" w:sz="4" w:space="0"/>
                  <w:bottom w:val="single" w:color="auto" w:sz="4" w:space="0"/>
                  <w:right w:val="single" w:color="auto" w:sz="4" w:space="0"/>
                </w:tcBorders>
              </w:tcPr>
              <w:p>
                <w:pPr>
                  <w:jc w:val="center"/>
                </w:pPr>
                <w:r>
                  <w:rPr>
                    <w:rFonts w:hint="eastAsia"/>
                  </w:rPr>
                  <w:t>/</w:t>
                </w:r>
              </w:p>
            </w:tc>
          </w:tr>
        </w:tbl>
        <w:p>
          <w:pPr>
            <w:pStyle w:val="114"/>
          </w:pPr>
        </w:p>
      </w:sdtContent>
    </w:sdt>
    <w:bookmarkEnd w:id="208"/>
    <w:sdt>
      <w:sdtPr>
        <w:rPr>
          <w:rFonts w:hint="eastAsia"/>
        </w:rPr>
        <w:alias w:val="模块:递延所得税资产和递延所得税负债的说明"/>
        <w:tag w:val="_GBC_057749240d604d9ab0db94f6e505935f"/>
        <w:id w:val="1040171399"/>
        <w:lock w:val="sdtLocked"/>
        <w:placeholder>
          <w:docPart w:val="GBC22222222222222222222222222222"/>
        </w:placeholder>
      </w:sdtPr>
      <w:sdtEndPr>
        <w:rPr>
          <w:rFonts w:hint="default"/>
        </w:rPr>
      </w:sdtEndPr>
      <w:sdtContent>
        <w:p>
          <w:pPr>
            <w:pStyle w:val="114"/>
          </w:pPr>
          <w:r>
            <w:rPr>
              <w:rFonts w:hint="eastAsia"/>
            </w:rPr>
            <w:t>其他说明：</w:t>
          </w:r>
        </w:p>
        <w:sdt>
          <w:sdtPr>
            <w:alias w:val="是否适用：递延所得税资产和递延所得税负债的说明[双击切换]"/>
            <w:tag w:val="_GBC_06478ceb6b7447a791a4a5cbf8cc7e95"/>
            <w:id w:val="123266934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其他非流动资产"/>
        <w:tag w:val="_GBC_b8db472f168c433c9cdb46a39ab78b50"/>
        <w:id w:val="149137240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其他非流动资产</w:t>
          </w:r>
        </w:p>
        <w:sdt>
          <w:sdtPr>
            <w:alias w:val="是否适用：其他非流动资产[双击切换]"/>
            <w:tag w:val="_GBC_227882aeaa9b4aa98d6af8bcac2af7a5"/>
            <w:id w:val="-931507146"/>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alias w:val="单位：财务附注：其他非流动资产"/>
              <w:tag w:val="_GBC_5fd172528c7e4c4c8619b250ae90cdb4"/>
              <w:id w:val="-509200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4cd5c26035ba4f7384dee597c98f0cb6"/>
              <w:id w:val="-872993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8"/>
            <w:tblW w:w="50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1104"/>
            <w:gridCol w:w="1633"/>
            <w:gridCol w:w="842"/>
            <w:gridCol w:w="1635"/>
            <w:gridCol w:w="1633"/>
            <w:gridCol w:w="757"/>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sdt>
              <w:sdtPr>
                <w:tag w:val="_PLD_a0072e7adb6c49bb95cec91e0b7ec491"/>
                <w:id w:val="977419512"/>
                <w:lock w:val="sdtLocked"/>
              </w:sdtPr>
              <w:sdtContent>
                <w:tc>
                  <w:tcPr>
                    <w:tcW w:w="597" w:type="pct"/>
                    <w:vMerge w:val="restart"/>
                    <w:shd w:val="clear" w:color="auto" w:fill="auto"/>
                    <w:vAlign w:val="center"/>
                  </w:tcPr>
                  <w:p>
                    <w:pPr>
                      <w:jc w:val="center"/>
                    </w:pPr>
                    <w:r>
                      <w:rPr>
                        <w:rFonts w:hint="eastAsia"/>
                      </w:rPr>
                      <w:t>项目</w:t>
                    </w:r>
                  </w:p>
                </w:tc>
              </w:sdtContent>
            </w:sdt>
            <w:sdt>
              <w:sdtPr>
                <w:tag w:val="_PLD_9557fd4b49c84b3db8c9ae69c7346562"/>
                <w:id w:val="1520888871"/>
                <w:lock w:val="sdtLocked"/>
              </w:sdtPr>
              <w:sdtContent>
                <w:tc>
                  <w:tcPr>
                    <w:tcW w:w="2225" w:type="pct"/>
                    <w:gridSpan w:val="3"/>
                    <w:vAlign w:val="center"/>
                  </w:tcPr>
                  <w:p>
                    <w:pPr>
                      <w:jc w:val="center"/>
                    </w:pPr>
                    <w:r>
                      <w:rPr>
                        <w:rFonts w:hint="eastAsia"/>
                      </w:rPr>
                      <w:t>期末余额</w:t>
                    </w:r>
                  </w:p>
                </w:tc>
              </w:sdtContent>
            </w:sdt>
            <w:sdt>
              <w:sdtPr>
                <w:tag w:val="_PLD_dad73a13c6c344aaa0bec642175f96c3"/>
                <w:id w:val="-44837365"/>
                <w:lock w:val="sdtLocked"/>
              </w:sdtPr>
              <w:sdtContent>
                <w:tc>
                  <w:tcPr>
                    <w:tcW w:w="2178" w:type="pct"/>
                    <w:gridSpan w:val="3"/>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597" w:type="pct"/>
                <w:vMerge w:val="continue"/>
                <w:shd w:val="clear" w:color="auto" w:fill="auto"/>
                <w:vAlign w:val="center"/>
              </w:tcPr>
              <w:p>
                <w:pPr>
                  <w:jc w:val="center"/>
                </w:pPr>
              </w:p>
            </w:tc>
            <w:tc>
              <w:tcPr>
                <w:tcW w:w="884" w:type="pct"/>
                <w:vAlign w:val="center"/>
              </w:tcPr>
              <w:sdt>
                <w:sdtPr>
                  <w:rPr>
                    <w:rFonts w:hint="eastAsia"/>
                  </w:rPr>
                  <w:tag w:val="_PLD_93d316b5ed8d45ea95cfce051b0f999d"/>
                  <w:id w:val="-1045450387"/>
                  <w:lock w:val="sdtLocked"/>
                </w:sdtPr>
                <w:sdtEndPr>
                  <w:rPr>
                    <w:rFonts w:hint="eastAsia"/>
                  </w:rPr>
                </w:sdtEndPr>
                <w:sdtContent>
                  <w:p>
                    <w:pPr>
                      <w:jc w:val="center"/>
                    </w:pPr>
                    <w:r>
                      <w:rPr>
                        <w:rFonts w:hint="eastAsia"/>
                      </w:rPr>
                      <w:t>账面余额</w:t>
                    </w:r>
                  </w:p>
                </w:sdtContent>
              </w:sdt>
            </w:tc>
            <w:tc>
              <w:tcPr>
                <w:tcW w:w="456" w:type="pct"/>
                <w:vAlign w:val="center"/>
              </w:tcPr>
              <w:sdt>
                <w:sdtPr>
                  <w:tag w:val="_PLD_ce9573e9b47f4859912e77c530974f87"/>
                  <w:id w:val="200608023"/>
                  <w:lock w:val="sdtLocked"/>
                </w:sdtPr>
                <w:sdtContent>
                  <w:p>
                    <w:pPr>
                      <w:jc w:val="center"/>
                    </w:pPr>
                    <w:r>
                      <w:t>减值准备</w:t>
                    </w:r>
                  </w:p>
                </w:sdtContent>
              </w:sdt>
            </w:tc>
            <w:tc>
              <w:tcPr>
                <w:tcW w:w="884" w:type="pct"/>
                <w:shd w:val="clear" w:color="auto" w:fill="auto"/>
                <w:vAlign w:val="center"/>
              </w:tcPr>
              <w:sdt>
                <w:sdtPr>
                  <w:tag w:val="_PLD_4b72c2cb7df84a3a9384f2eaa1acaf3a"/>
                  <w:id w:val="114413787"/>
                  <w:lock w:val="sdtLocked"/>
                </w:sdtPr>
                <w:sdtContent>
                  <w:p>
                    <w:pPr>
                      <w:jc w:val="center"/>
                    </w:pPr>
                    <w:r>
                      <w:t>账面价值</w:t>
                    </w:r>
                  </w:p>
                </w:sdtContent>
              </w:sdt>
            </w:tc>
            <w:tc>
              <w:tcPr>
                <w:tcW w:w="884" w:type="pct"/>
                <w:vAlign w:val="center"/>
              </w:tcPr>
              <w:sdt>
                <w:sdtPr>
                  <w:tag w:val="_PLD_31abd03025c54702bba8f28fbcd435be"/>
                  <w:id w:val="-716352621"/>
                  <w:lock w:val="sdtLocked"/>
                </w:sdtPr>
                <w:sdtContent>
                  <w:p>
                    <w:pPr>
                      <w:jc w:val="center"/>
                    </w:pPr>
                    <w:r>
                      <w:t>账面余额</w:t>
                    </w:r>
                  </w:p>
                </w:sdtContent>
              </w:sdt>
            </w:tc>
            <w:tc>
              <w:tcPr>
                <w:tcW w:w="410" w:type="pct"/>
                <w:vAlign w:val="center"/>
              </w:tcPr>
              <w:sdt>
                <w:sdtPr>
                  <w:tag w:val="_PLD_5650816a035d4b9d999e9f87d1506d3b"/>
                  <w:id w:val="-1966806380"/>
                  <w:lock w:val="sdtLocked"/>
                </w:sdtPr>
                <w:sdtContent>
                  <w:p>
                    <w:pPr>
                      <w:jc w:val="center"/>
                    </w:pPr>
                    <w:r>
                      <w:t>减值准备</w:t>
                    </w:r>
                  </w:p>
                </w:sdtContent>
              </w:sdt>
            </w:tc>
            <w:tc>
              <w:tcPr>
                <w:tcW w:w="884" w:type="pct"/>
                <w:shd w:val="clear" w:color="auto" w:fill="auto"/>
                <w:vAlign w:val="center"/>
              </w:tcPr>
              <w:sdt>
                <w:sdtPr>
                  <w:tag w:val="_PLD_76b67d2d1c1543c0b22ec33e5ae8e28a"/>
                  <w:id w:val="-1591845392"/>
                  <w:lock w:val="sdtLocked"/>
                </w:sdtPr>
                <w:sdtContent>
                  <w:p>
                    <w:pPr>
                      <w:jc w:val="center"/>
                    </w:pPr>
                    <w:r>
                      <w:t>账面价值</w:t>
                    </w:r>
                  </w:p>
                </w:sdtContent>
              </w:sdt>
            </w:tc>
          </w:tr>
          <w:sdt>
            <w:sdtPr>
              <w:alias w:val="其他长期资产明细"/>
              <w:tag w:val="_TUP_d1338bd1e5ff437489b690d48cf84797"/>
              <w:id w:val="22526667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597" w:type="pct"/>
                    <w:shd w:val="clear" w:color="auto" w:fill="auto"/>
                    <w:vAlign w:val="center"/>
                  </w:tcPr>
                  <w:p>
                    <w:pPr>
                      <w:jc w:val="both"/>
                    </w:pPr>
                    <w:r>
                      <w:rPr>
                        <w:rFonts w:hint="eastAsia"/>
                      </w:rPr>
                      <w:t>预付土地使用权办证费</w:t>
                    </w:r>
                  </w:p>
                </w:tc>
                <w:tc>
                  <w:tcPr>
                    <w:tcW w:w="884" w:type="pct"/>
                    <w:vAlign w:val="center"/>
                  </w:tcPr>
                  <w:p>
                    <w:pPr>
                      <w:jc w:val="right"/>
                    </w:pPr>
                    <w:r>
                      <w:t>9,713,630.00</w:t>
                    </w:r>
                  </w:p>
                </w:tc>
                <w:tc>
                  <w:tcPr>
                    <w:tcW w:w="456" w:type="pct"/>
                    <w:vAlign w:val="center"/>
                  </w:tcPr>
                  <w:p>
                    <w:pPr>
                      <w:jc w:val="right"/>
                    </w:pPr>
                    <w:r>
                      <w:t>-</w:t>
                    </w:r>
                  </w:p>
                </w:tc>
                <w:tc>
                  <w:tcPr>
                    <w:tcW w:w="884" w:type="pct"/>
                    <w:shd w:val="clear" w:color="auto" w:fill="auto"/>
                    <w:vAlign w:val="center"/>
                  </w:tcPr>
                  <w:p>
                    <w:pPr>
                      <w:jc w:val="right"/>
                    </w:pPr>
                    <w:r>
                      <w:t>9,713,630.00</w:t>
                    </w:r>
                  </w:p>
                </w:tc>
                <w:tc>
                  <w:tcPr>
                    <w:tcW w:w="884" w:type="pct"/>
                    <w:vAlign w:val="center"/>
                  </w:tcPr>
                  <w:p>
                    <w:pPr>
                      <w:jc w:val="right"/>
                    </w:pPr>
                    <w:r>
                      <w:t>9,713,630.00</w:t>
                    </w:r>
                  </w:p>
                </w:tc>
                <w:tc>
                  <w:tcPr>
                    <w:tcW w:w="410" w:type="pct"/>
                    <w:vAlign w:val="center"/>
                  </w:tcPr>
                  <w:p>
                    <w:pPr>
                      <w:jc w:val="right"/>
                    </w:pPr>
                    <w:r>
                      <w:t>-</w:t>
                    </w:r>
                  </w:p>
                </w:tc>
                <w:tc>
                  <w:tcPr>
                    <w:tcW w:w="884" w:type="pct"/>
                    <w:shd w:val="clear" w:color="auto" w:fill="auto"/>
                    <w:vAlign w:val="center"/>
                  </w:tcPr>
                  <w:p>
                    <w:pPr>
                      <w:jc w:val="right"/>
                    </w:pPr>
                    <w:r>
                      <w:t>9,713,630.00</w:t>
                    </w:r>
                  </w:p>
                </w:tc>
              </w:tr>
            </w:sdtContent>
          </w:sdt>
          <w:sdt>
            <w:sdtPr>
              <w:alias w:val="其他长期资产明细"/>
              <w:tag w:val="_TUP_d1338bd1e5ff437489b690d48cf84797"/>
              <w:id w:val="-157365486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597" w:type="pct"/>
                    <w:shd w:val="clear" w:color="auto" w:fill="auto"/>
                    <w:vAlign w:val="center"/>
                  </w:tcPr>
                  <w:p>
                    <w:pPr>
                      <w:jc w:val="both"/>
                    </w:pPr>
                    <w:r>
                      <w:rPr>
                        <w:rFonts w:hint="eastAsia"/>
                      </w:rPr>
                      <w:t>预付工程款</w:t>
                    </w:r>
                  </w:p>
                </w:tc>
                <w:tc>
                  <w:tcPr>
                    <w:tcW w:w="884" w:type="pct"/>
                    <w:vAlign w:val="center"/>
                  </w:tcPr>
                  <w:p>
                    <w:pPr>
                      <w:jc w:val="right"/>
                    </w:pPr>
                    <w:r>
                      <w:t>200,000.00</w:t>
                    </w:r>
                  </w:p>
                </w:tc>
                <w:tc>
                  <w:tcPr>
                    <w:tcW w:w="456" w:type="pct"/>
                    <w:vAlign w:val="center"/>
                  </w:tcPr>
                  <w:p>
                    <w:pPr>
                      <w:jc w:val="right"/>
                    </w:pPr>
                    <w:r>
                      <w:t>-</w:t>
                    </w:r>
                  </w:p>
                </w:tc>
                <w:tc>
                  <w:tcPr>
                    <w:tcW w:w="884" w:type="pct"/>
                    <w:shd w:val="clear" w:color="auto" w:fill="auto"/>
                    <w:vAlign w:val="center"/>
                  </w:tcPr>
                  <w:p>
                    <w:pPr>
                      <w:jc w:val="right"/>
                    </w:pPr>
                    <w:r>
                      <w:t>200,000.00</w:t>
                    </w:r>
                  </w:p>
                </w:tc>
                <w:tc>
                  <w:tcPr>
                    <w:tcW w:w="884" w:type="pct"/>
                    <w:vAlign w:val="center"/>
                  </w:tcPr>
                  <w:p>
                    <w:pPr>
                      <w:jc w:val="right"/>
                    </w:pPr>
                    <w:r>
                      <w:t>200,000.00</w:t>
                    </w:r>
                  </w:p>
                </w:tc>
                <w:tc>
                  <w:tcPr>
                    <w:tcW w:w="410" w:type="pct"/>
                    <w:vAlign w:val="center"/>
                  </w:tcPr>
                  <w:p>
                    <w:pPr>
                      <w:jc w:val="right"/>
                    </w:pPr>
                    <w:r>
                      <w:t>-</w:t>
                    </w:r>
                  </w:p>
                </w:tc>
                <w:tc>
                  <w:tcPr>
                    <w:tcW w:w="884" w:type="pct"/>
                    <w:shd w:val="clear" w:color="auto" w:fill="auto"/>
                    <w:vAlign w:val="center"/>
                  </w:tcPr>
                  <w:p>
                    <w:pPr>
                      <w:jc w:val="right"/>
                    </w:pPr>
                    <w:r>
                      <w:t>200,000.00</w:t>
                    </w:r>
                  </w:p>
                </w:tc>
              </w:tr>
            </w:sdtContent>
          </w:sdt>
          <w:sdt>
            <w:sdtPr>
              <w:alias w:val="其他长期资产明细"/>
              <w:tag w:val="_TUP_d1338bd1e5ff437489b690d48cf84797"/>
              <w:id w:val="-168142684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c>
                  <w:tcPr>
                    <w:tcW w:w="597" w:type="pct"/>
                    <w:shd w:val="clear" w:color="auto" w:fill="auto"/>
                    <w:vAlign w:val="center"/>
                  </w:tcPr>
                  <w:p>
                    <w:pPr>
                      <w:jc w:val="both"/>
                    </w:pPr>
                    <w:r>
                      <w:rPr>
                        <w:rFonts w:hint="eastAsia"/>
                      </w:rPr>
                      <w:t>待抵扣进项税</w:t>
                    </w:r>
                  </w:p>
                </w:tc>
                <w:tc>
                  <w:tcPr>
                    <w:tcW w:w="884" w:type="pct"/>
                    <w:vAlign w:val="center"/>
                  </w:tcPr>
                  <w:p>
                    <w:pPr>
                      <w:jc w:val="right"/>
                    </w:pPr>
                    <w:r>
                      <w:t>70,317,197.55</w:t>
                    </w:r>
                  </w:p>
                </w:tc>
                <w:tc>
                  <w:tcPr>
                    <w:tcW w:w="456" w:type="pct"/>
                    <w:vAlign w:val="center"/>
                  </w:tcPr>
                  <w:p>
                    <w:pPr>
                      <w:jc w:val="right"/>
                    </w:pPr>
                    <w:r>
                      <w:t>-</w:t>
                    </w:r>
                  </w:p>
                </w:tc>
                <w:tc>
                  <w:tcPr>
                    <w:tcW w:w="884" w:type="pct"/>
                    <w:shd w:val="clear" w:color="auto" w:fill="auto"/>
                    <w:vAlign w:val="center"/>
                  </w:tcPr>
                  <w:p>
                    <w:pPr>
                      <w:jc w:val="right"/>
                    </w:pPr>
                    <w:r>
                      <w:t>70,317,197.55</w:t>
                    </w:r>
                  </w:p>
                </w:tc>
                <w:tc>
                  <w:tcPr>
                    <w:tcW w:w="884" w:type="pct"/>
                    <w:vAlign w:val="center"/>
                  </w:tcPr>
                  <w:p>
                    <w:pPr>
                      <w:jc w:val="right"/>
                    </w:pPr>
                    <w:r>
                      <w:t>58,453,230.46</w:t>
                    </w:r>
                  </w:p>
                </w:tc>
                <w:tc>
                  <w:tcPr>
                    <w:tcW w:w="410" w:type="pct"/>
                    <w:vAlign w:val="center"/>
                  </w:tcPr>
                  <w:p>
                    <w:pPr>
                      <w:jc w:val="right"/>
                    </w:pPr>
                    <w:r>
                      <w:t>-</w:t>
                    </w:r>
                  </w:p>
                </w:tc>
                <w:tc>
                  <w:tcPr>
                    <w:tcW w:w="884" w:type="pct"/>
                    <w:shd w:val="clear" w:color="auto" w:fill="auto"/>
                    <w:vAlign w:val="center"/>
                  </w:tcPr>
                  <w:p>
                    <w:pPr>
                      <w:jc w:val="right"/>
                    </w:pPr>
                    <w:r>
                      <w:t>58,453,230.46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sdt>
              <w:sdtPr>
                <w:tag w:val="_PLD_baa34d661ffd46a3a68ebd63193a4444"/>
                <w:id w:val="572788312"/>
                <w:lock w:val="sdtLocked"/>
              </w:sdtPr>
              <w:sdtContent>
                <w:tc>
                  <w:tcPr>
                    <w:tcW w:w="597" w:type="pct"/>
                    <w:shd w:val="clear" w:color="auto" w:fill="auto"/>
                    <w:vAlign w:val="center"/>
                  </w:tcPr>
                  <w:p>
                    <w:pPr>
                      <w:jc w:val="center"/>
                    </w:pPr>
                    <w:r>
                      <w:rPr>
                        <w:rFonts w:hint="eastAsia"/>
                      </w:rPr>
                      <w:t>合计</w:t>
                    </w:r>
                  </w:p>
                </w:tc>
              </w:sdtContent>
            </w:sdt>
            <w:tc>
              <w:tcPr>
                <w:tcW w:w="884" w:type="pct"/>
                <w:vAlign w:val="center"/>
              </w:tcPr>
              <w:p>
                <w:pPr>
                  <w:jc w:val="right"/>
                </w:pPr>
                <w:r>
                  <w:t>80,230,827.55</w:t>
                </w:r>
              </w:p>
            </w:tc>
            <w:tc>
              <w:tcPr>
                <w:tcW w:w="456" w:type="pct"/>
                <w:vAlign w:val="center"/>
              </w:tcPr>
              <w:p>
                <w:pPr>
                  <w:jc w:val="right"/>
                </w:pPr>
                <w:r>
                  <w:t>-</w:t>
                </w:r>
              </w:p>
            </w:tc>
            <w:tc>
              <w:tcPr>
                <w:tcW w:w="884" w:type="pct"/>
                <w:shd w:val="clear" w:color="auto" w:fill="auto"/>
                <w:vAlign w:val="center"/>
              </w:tcPr>
              <w:p>
                <w:pPr>
                  <w:jc w:val="right"/>
                </w:pPr>
                <w:r>
                  <w:t>80,230,827.55</w:t>
                </w:r>
              </w:p>
            </w:tc>
            <w:tc>
              <w:tcPr>
                <w:tcW w:w="884" w:type="pct"/>
                <w:vAlign w:val="center"/>
              </w:tcPr>
              <w:p>
                <w:pPr>
                  <w:jc w:val="right"/>
                </w:pPr>
                <w:r>
                  <w:t>68,366,860.46</w:t>
                </w:r>
              </w:p>
            </w:tc>
            <w:tc>
              <w:tcPr>
                <w:tcW w:w="410" w:type="pct"/>
                <w:vAlign w:val="center"/>
              </w:tcPr>
              <w:p>
                <w:pPr>
                  <w:jc w:val="right"/>
                </w:pPr>
                <w:r>
                  <w:t>-</w:t>
                </w:r>
              </w:p>
            </w:tc>
            <w:tc>
              <w:tcPr>
                <w:tcW w:w="884" w:type="pct"/>
                <w:shd w:val="clear" w:color="auto" w:fill="auto"/>
                <w:vAlign w:val="center"/>
              </w:tcPr>
              <w:p>
                <w:pPr>
                  <w:jc w:val="right"/>
                </w:pPr>
                <w:r>
                  <w:t>68,366,860.46</w:t>
                </w:r>
              </w:p>
            </w:tc>
          </w:tr>
        </w:tbl>
        <w:p>
          <w:r>
            <w:rPr>
              <w:rFonts w:hint="eastAsia"/>
            </w:rPr>
            <w:t>其他说明：</w:t>
          </w:r>
        </w:p>
        <w:p>
          <w:sdt>
            <w:sdtPr>
              <w:alias w:val="其他长期资产的说明"/>
              <w:tag w:val="_GBC_c90d49970b64411f909938927f41ebe5"/>
              <w:id w:val="-1775248998"/>
              <w:lock w:val="sdtLocked"/>
              <w:placeholder>
                <w:docPart w:val="GBC22222222222222222222222222222"/>
              </w:placeholder>
            </w:sdtPr>
            <w:sdtContent>
              <w:r>
                <w:rPr>
                  <w:rFonts w:hint="eastAsia"/>
                </w:rPr>
                <w:t>不适用</w:t>
              </w:r>
            </w:sdtContent>
          </w:sdt>
        </w:p>
      </w:sdtContent>
    </w:sdt>
    <w:p/>
    <w:p>
      <w:pPr>
        <w:pStyle w:val="4"/>
        <w:numPr>
          <w:ilvl w:val="0"/>
          <w:numId w:val="51"/>
        </w:numPr>
        <w:tabs>
          <w:tab w:val="left" w:pos="504"/>
        </w:tabs>
        <w:rPr>
          <w:rFonts w:ascii="宋体" w:hAnsi="宋体"/>
          <w:szCs w:val="21"/>
        </w:rPr>
      </w:pPr>
      <w:r>
        <w:rPr>
          <w:rFonts w:hint="eastAsia" w:ascii="宋体" w:hAnsi="宋体"/>
          <w:szCs w:val="21"/>
        </w:rPr>
        <w:t>短期借款</w:t>
      </w:r>
    </w:p>
    <w:sdt>
      <w:sdtPr>
        <w:rPr>
          <w:rFonts w:hint="eastAsia" w:ascii="宋体" w:hAnsi="宋体" w:cs="宋体"/>
          <w:b w:val="0"/>
          <w:bCs w:val="0"/>
          <w:kern w:val="0"/>
          <w:szCs w:val="21"/>
        </w:rPr>
        <w:alias w:val="模块:短期借款分类"/>
        <w:tag w:val="_GBC_7bd2428d8b3140c1a80e7a88bb928c1f"/>
        <w:id w:val="-1475759315"/>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5"/>
            <w:numPr>
              <w:ilvl w:val="0"/>
              <w:numId w:val="70"/>
            </w:numPr>
            <w:tabs>
              <w:tab w:val="left" w:pos="630"/>
            </w:tabs>
            <w:rPr>
              <w:rFonts w:ascii="宋体" w:hAnsi="宋体"/>
              <w:szCs w:val="21"/>
            </w:rPr>
          </w:pPr>
          <w:r>
            <w:rPr>
              <w:rFonts w:hint="eastAsia" w:ascii="宋体" w:hAnsi="宋体"/>
              <w:szCs w:val="21"/>
            </w:rPr>
            <w:t>短期借款分类</w:t>
          </w:r>
        </w:p>
        <w:sdt>
          <w:sdtPr>
            <w:alias w:val="是否适用：短期借款分类[双击切换]"/>
            <w:tag w:val="_GBC_1074387a68b64f6b9270b522de53ad85"/>
            <w:id w:val="140680118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短期借款分类"/>
              <w:tag w:val="_GBC_f3353209b65c4921b63143340e11aac9"/>
              <w:id w:val="-14417559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短期借款分类"/>
              <w:tag w:val="_GBC_b3a1802faad14eae96cfab316b25f639"/>
              <w:id w:val="-10716611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871"/>
            <w:gridCol w:w="3004"/>
            <w:gridCol w:w="3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3476605067da474199aa03dc83e3d88c"/>
                <w:id w:val="2090812261"/>
                <w:lock w:val="sdtLocked"/>
              </w:sdtPr>
              <w:sdtContent>
                <w:tc>
                  <w:tcPr>
                    <w:tcW w:w="1614" w:type="pct"/>
                    <w:vAlign w:val="center"/>
                  </w:tcPr>
                  <w:p>
                    <w:pPr>
                      <w:autoSpaceDE w:val="0"/>
                      <w:autoSpaceDN w:val="0"/>
                      <w:adjustRightInd w:val="0"/>
                      <w:snapToGrid w:val="0"/>
                      <w:spacing w:line="240" w:lineRule="atLeas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p>
                </w:tc>
              </w:sdtContent>
            </w:sdt>
            <w:sdt>
              <w:sdtPr>
                <w:tag w:val="_PLD_ccd6dc2751cc421e8a2f26f78a44b4c5"/>
                <w:id w:val="-940372137"/>
                <w:lock w:val="sdtLocked"/>
              </w:sdtPr>
              <w:sdtContent>
                <w:tc>
                  <w:tcPr>
                    <w:tcW w:w="168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期末余额</w:t>
                    </w:r>
                  </w:p>
                </w:tc>
              </w:sdtContent>
            </w:sdt>
            <w:sdt>
              <w:sdtPr>
                <w:tag w:val="_PLD_c16f582c583d4324abc605c4bc563081"/>
                <w:id w:val="-1101946786"/>
                <w:lock w:val="sdtLocked"/>
              </w:sdtPr>
              <w:sdtContent>
                <w:tc>
                  <w:tcPr>
                    <w:tcW w:w="1698"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14" w:type="pct"/>
                <w:shd w:val="clear" w:color="auto" w:fill="auto"/>
              </w:tcPr>
              <w:p>
                <w:pPr>
                  <w:autoSpaceDE w:val="0"/>
                  <w:autoSpaceDN w:val="0"/>
                  <w:adjustRightInd w:val="0"/>
                  <w:snapToGrid w:val="0"/>
                  <w:spacing w:line="240" w:lineRule="atLeast"/>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保证借款</w:t>
                </w:r>
              </w:p>
            </w:tc>
            <w:tc>
              <w:tcPr>
                <w:tcW w:w="1689" w:type="pct"/>
                <w:shd w:val="clear" w:color="auto" w:fill="auto"/>
                <w:vAlign w:val="center"/>
              </w:tcPr>
              <w:p>
                <w:pPr>
                  <w:autoSpaceDE w:val="0"/>
                  <w:autoSpaceDN w:val="0"/>
                  <w:adjustRightInd w:val="0"/>
                  <w:snapToGrid w:val="0"/>
                  <w:spacing w:line="240" w:lineRule="atLeast"/>
                  <w:ind w:right="180"/>
                  <w:jc w:val="right"/>
                </w:pPr>
                <w:r>
                  <w:t>-</w:t>
                </w:r>
              </w:p>
            </w:tc>
            <w:tc>
              <w:tcPr>
                <w:tcW w:w="1698" w:type="pct"/>
                <w:shd w:val="clear" w:color="auto" w:fill="auto"/>
                <w:vAlign w:val="center"/>
              </w:tcPr>
              <w:p>
                <w:pPr>
                  <w:autoSpaceDE w:val="0"/>
                  <w:autoSpaceDN w:val="0"/>
                  <w:adjustRightInd w:val="0"/>
                  <w:snapToGrid w:val="0"/>
                  <w:spacing w:line="240" w:lineRule="atLeast"/>
                  <w:ind w:right="180"/>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37" w:hRule="atLeast"/>
            </w:trPr>
            <w:tc>
              <w:tcPr>
                <w:tcW w:w="1614" w:type="pct"/>
                <w:shd w:val="clear" w:color="auto" w:fill="auto"/>
              </w:tcPr>
              <w:p>
                <w:pPr>
                  <w:autoSpaceDE w:val="0"/>
                  <w:autoSpaceDN w:val="0"/>
                  <w:adjustRightInd w:val="0"/>
                  <w:snapToGrid w:val="0"/>
                  <w:spacing w:line="240" w:lineRule="atLeast"/>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信用借款</w:t>
                </w:r>
              </w:p>
            </w:tc>
            <w:tc>
              <w:tcPr>
                <w:tcW w:w="1689" w:type="pct"/>
                <w:shd w:val="clear" w:color="auto" w:fill="auto"/>
              </w:tcPr>
              <w:p>
                <w:pPr>
                  <w:autoSpaceDE w:val="0"/>
                  <w:autoSpaceDN w:val="0"/>
                  <w:adjustRightInd w:val="0"/>
                  <w:snapToGrid w:val="0"/>
                  <w:spacing w:line="240" w:lineRule="atLeast"/>
                  <w:ind w:right="180"/>
                  <w:jc w:val="right"/>
                </w:pPr>
                <w:r>
                  <w:t>1,876,265,454.69</w:t>
                </w:r>
              </w:p>
            </w:tc>
            <w:tc>
              <w:tcPr>
                <w:tcW w:w="1698" w:type="pct"/>
                <w:shd w:val="clear" w:color="auto" w:fill="auto"/>
              </w:tcPr>
              <w:p>
                <w:pPr>
                  <w:autoSpaceDE w:val="0"/>
                  <w:autoSpaceDN w:val="0"/>
                  <w:adjustRightInd w:val="0"/>
                  <w:snapToGrid w:val="0"/>
                  <w:spacing w:line="240" w:lineRule="atLeast"/>
                  <w:ind w:right="180"/>
                  <w:jc w:val="right"/>
                </w:pPr>
                <w:r>
                  <w:t>2,434,124,067.61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14" w:type="pct"/>
                <w:vAlign w:val="center"/>
              </w:tcPr>
              <w:p>
                <w:pPr>
                  <w:autoSpaceDE w:val="0"/>
                  <w:autoSpaceDN w:val="0"/>
                  <w:adjustRightInd w:val="0"/>
                  <w:snapToGrid w:val="0"/>
                  <w:spacing w:line="240" w:lineRule="atLeas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tc>
              <w:tcPr>
                <w:tcW w:w="1689" w:type="pct"/>
              </w:tcPr>
              <w:p>
                <w:pPr>
                  <w:autoSpaceDE w:val="0"/>
                  <w:autoSpaceDN w:val="0"/>
                  <w:adjustRightInd w:val="0"/>
                  <w:snapToGrid w:val="0"/>
                  <w:spacing w:line="240" w:lineRule="atLeast"/>
                  <w:ind w:right="180"/>
                  <w:jc w:val="right"/>
                </w:pPr>
                <w:r>
                  <w:t>1,876,265,454.69</w:t>
                </w:r>
              </w:p>
            </w:tc>
            <w:tc>
              <w:tcPr>
                <w:tcW w:w="1698" w:type="pct"/>
              </w:tcPr>
              <w:p>
                <w:pPr>
                  <w:autoSpaceDE w:val="0"/>
                  <w:autoSpaceDN w:val="0"/>
                  <w:adjustRightInd w:val="0"/>
                  <w:snapToGrid w:val="0"/>
                  <w:spacing w:line="240" w:lineRule="atLeast"/>
                  <w:ind w:right="180"/>
                  <w:jc w:val="right"/>
                </w:pPr>
                <w:r>
                  <w:t>2,434,124,067.61</w:t>
                </w:r>
              </w:p>
            </w:tc>
          </w:tr>
        </w:tbl>
        <w:p>
          <w:pPr>
            <w:snapToGrid w:val="0"/>
            <w:spacing w:line="240" w:lineRule="atLeast"/>
            <w:rPr>
              <w:color w:val="000000" w:themeColor="text1"/>
              <w14:textFill>
                <w14:solidFill>
                  <w14:schemeClr w14:val="tx1"/>
                </w14:solidFill>
              </w14:textFill>
            </w:rPr>
          </w:pPr>
          <w:r>
            <w:rPr>
              <w:rFonts w:hint="eastAsia"/>
              <w:color w:val="000000" w:themeColor="text1"/>
              <w14:textFill>
                <w14:solidFill>
                  <w14:schemeClr w14:val="tx1"/>
                </w14:solidFill>
              </w14:textFill>
            </w:rPr>
            <w:t>短期借款分类的说明：</w:t>
          </w:r>
        </w:p>
        <w:sdt>
          <w:sdtPr>
            <w:alias w:val="短期借款分类的说明"/>
            <w:tag w:val="_GBC_fc19e133dd4f4dbdb9d583e76175b714"/>
            <w:id w:val="-1577591379"/>
            <w:lock w:val="sdtLocked"/>
            <w:placeholder>
              <w:docPart w:val="GBC22222222222222222222222222222"/>
            </w:placeholder>
          </w:sdtPr>
          <w:sdtContent>
            <w:p>
              <w:pPr>
                <w:snapToGrid w:val="0"/>
                <w:spacing w:line="240" w:lineRule="atLeast"/>
                <w:rPr>
                  <w:color w:val="000000" w:themeColor="text1"/>
                  <w14:textFill>
                    <w14:solidFill>
                      <w14:schemeClr w14:val="tx1"/>
                    </w14:solidFill>
                  </w14:textFill>
                </w:rPr>
              </w:pPr>
              <w:r>
                <w:rPr>
                  <w:rFonts w:hint="eastAsia"/>
                </w:rPr>
                <w:t>无</w:t>
              </w:r>
            </w:p>
          </w:sdtContent>
        </w:sdt>
      </w:sdtContent>
    </w:sdt>
    <w:p>
      <w:pPr>
        <w:snapToGrid w:val="0"/>
        <w:spacing w:line="240" w:lineRule="atLeast"/>
        <w:ind w:right="-153" w:rightChars="-73"/>
        <w:rPr>
          <w:b/>
        </w:rPr>
      </w:pPr>
    </w:p>
    <w:sdt>
      <w:sdtPr>
        <w:rPr>
          <w:rFonts w:hint="eastAsia" w:ascii="宋体" w:hAnsi="宋体" w:cs="宋体"/>
          <w:b w:val="0"/>
          <w:bCs w:val="0"/>
          <w:kern w:val="0"/>
          <w:szCs w:val="21"/>
        </w:rPr>
        <w:alias w:val="模块:已到期未偿还的短期借款情况"/>
        <w:tag w:val="_GBC_ed2a6c31b7cf49cda098dbe4c44cf674"/>
        <w:id w:val="-1649269556"/>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5"/>
            <w:numPr>
              <w:ilvl w:val="0"/>
              <w:numId w:val="70"/>
            </w:numPr>
            <w:tabs>
              <w:tab w:val="left" w:pos="630"/>
            </w:tabs>
            <w:rPr>
              <w:rFonts w:ascii="宋体" w:hAnsi="宋体"/>
              <w:szCs w:val="21"/>
            </w:rPr>
          </w:pPr>
          <w:r>
            <w:rPr>
              <w:rFonts w:hint="eastAsia" w:ascii="宋体" w:hAnsi="宋体"/>
              <w:szCs w:val="21"/>
            </w:rPr>
            <w:t>已逾期未偿还的短期借款情况</w:t>
          </w:r>
        </w:p>
        <w:sdt>
          <w:sdtPr>
            <w:alias w:val="是否适用：已逾期未偿还的短期借款情况[双击切换]"/>
            <w:tag w:val="_GBC_57f74ff95a304f19a7c06d7996fc30c7"/>
            <w:id w:val="86626630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短期借款的说明"/>
        <w:tag w:val="_GBC_46c6d163213144f484acc37c597c42f6"/>
        <w:id w:val="-1049453043"/>
        <w:lock w:val="sdtLocked"/>
        <w:placeholder>
          <w:docPart w:val="GBC22222222222222222222222222222"/>
        </w:placeholder>
      </w:sdtPr>
      <w:sdtEndPr>
        <w:rPr>
          <w:rFonts w:hint="eastAsia"/>
        </w:rPr>
      </w:sdtEndPr>
      <w:sdtContent>
        <w:p>
          <w:pPr>
            <w:overflowPunct w:val="0"/>
            <w:adjustRightInd w:val="0"/>
            <w:snapToGrid w:val="0"/>
            <w:jc w:val="both"/>
            <w:textAlignment w:val="baseline"/>
            <w:rPr>
              <w:rFonts w:ascii="Arial" w:hAnsi="Arial" w:eastAsia="LF_Kai"/>
              <w:color w:val="000000" w:themeColor="text1"/>
              <w:sz w:val="24"/>
              <w:szCs w:val="20"/>
              <w14:textFill>
                <w14:solidFill>
                  <w14:schemeClr w14:val="tx1"/>
                </w14:solidFill>
              </w14:textFill>
            </w:rPr>
          </w:pPr>
        </w:p>
        <w:p>
          <w:pPr>
            <w:pStyle w:val="114"/>
          </w:pPr>
        </w:p>
        <w:sdt>
          <w:sdtPr>
            <w:alias w:val="是否适用：短期借款的说明[双击切换]"/>
            <w:tag w:val="_GBC_663e3ee6df014147bb9c7daa18ccb062"/>
            <w:id w:val="-3548090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1"/>
        </w:rPr>
        <w:alias w:val="模块:交易性金融负债"/>
        <w:tag w:val="_SEC_354c17e0a096493bbae36dd9bb3f3774"/>
        <w:id w:val="-1104498867"/>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09" w:name="_Hlk10535388"/>
          <w:r>
            <w:rPr>
              <w:rFonts w:hint="eastAsia" w:ascii="宋体" w:hAnsi="宋体"/>
              <w:szCs w:val="21"/>
            </w:rPr>
            <w:t>交易性金融负债</w:t>
          </w:r>
        </w:p>
        <w:sdt>
          <w:sdtPr>
            <w:alias w:val="是否适用：交易性金融负债[双击切换]"/>
            <w:tag w:val="_GBC_ed513d792f1f4a5f8256d125428aafdf"/>
            <w:id w:val="-141138096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09"/>
    <w:p>
      <w:pPr>
        <w:pStyle w:val="114"/>
      </w:pPr>
    </w:p>
    <w:sdt>
      <w:sdtPr>
        <w:rPr>
          <w:rFonts w:hint="eastAsia" w:ascii="宋体" w:hAnsi="宋体" w:cs="宋体"/>
          <w:b w:val="0"/>
          <w:bCs w:val="0"/>
          <w:kern w:val="0"/>
          <w:szCs w:val="21"/>
        </w:rPr>
        <w:alias w:val="模块:衍生金融负债"/>
        <w:tag w:val="_GBC_c6a901495ec44a7798e3a75ddb5e06bf"/>
        <w:id w:val="1769278794"/>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衍生</w:t>
          </w:r>
          <w:r>
            <w:rPr>
              <w:rFonts w:hint="eastAsia" w:ascii="宋体" w:hAnsi="宋体"/>
            </w:rPr>
            <w:t>金融</w:t>
          </w:r>
          <w:r>
            <w:rPr>
              <w:rFonts w:hint="eastAsia" w:ascii="宋体" w:hAnsi="宋体"/>
              <w:szCs w:val="21"/>
            </w:rPr>
            <w:t>负债</w:t>
          </w:r>
        </w:p>
        <w:sdt>
          <w:sdtPr>
            <w:alias w:val="是否适用：衍生金融负债[双击切换]"/>
            <w:tag w:val="_GBC_3a60c0d3d0534eba80b93475b0a6411f"/>
            <w:id w:val="186024612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p>
      <w:pPr>
        <w:pStyle w:val="4"/>
        <w:numPr>
          <w:ilvl w:val="0"/>
          <w:numId w:val="51"/>
        </w:numPr>
        <w:tabs>
          <w:tab w:val="left" w:pos="504"/>
        </w:tabs>
        <w:rPr>
          <w:rFonts w:ascii="宋体" w:hAnsi="宋体"/>
        </w:rPr>
      </w:pPr>
      <w:r>
        <w:rPr>
          <w:rFonts w:hint="eastAsia" w:ascii="宋体" w:hAnsi="宋体"/>
        </w:rPr>
        <w:t>应付票据</w:t>
      </w:r>
    </w:p>
    <w:sdt>
      <w:sdtPr>
        <w:alias w:val="是否适用：应付票据[双击切换]"/>
        <w:tag w:val="_GBC_57c67181b34944e782b23a48b1843e8f"/>
        <w:id w:val="340207353"/>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商业承兑汇票"/>
        <w:tag w:val="_SEC_a4b116c3ef20487f88d23464626b8bb5"/>
        <w:id w:val="262811282"/>
        <w:lock w:val="sdtLocked"/>
        <w:placeholder>
          <w:docPart w:val="GBC22222222222222222222222222222"/>
        </w:placeholder>
      </w:sdtPr>
      <w:sdtEndPr>
        <w:rPr>
          <w:rFonts w:hint="eastAsia"/>
        </w:rPr>
      </w:sdtEndPr>
      <w:sdtContent>
        <w:p>
          <w:pPr>
            <w:jc w:val="right"/>
          </w:pPr>
          <w:r>
            <w:rPr>
              <w:rFonts w:hint="eastAsia"/>
            </w:rPr>
            <w:t>单位：</w:t>
          </w:r>
          <w:sdt>
            <w:sdtPr>
              <w:rPr>
                <w:rFonts w:hint="eastAsia"/>
              </w:rPr>
              <w:alias w:val="单位：财务附注：应付票据"/>
              <w:tag w:val="_GBC_db69c246a0d14735805df636930e34ba"/>
              <w:id w:val="16763766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7050909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311"/>
            <w:gridCol w:w="3338"/>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faa4f5cfe5ae4b0a9c786ca922191e7e"/>
                <w:id w:val="-831213226"/>
                <w:lock w:val="sdtLocked"/>
              </w:sdtPr>
              <w:sdtContent>
                <w:tc>
                  <w:tcPr>
                    <w:tcW w:w="1299" w:type="pct"/>
                    <w:vAlign w:val="center"/>
                  </w:tcPr>
                  <w:p>
                    <w:pPr>
                      <w:autoSpaceDE w:val="0"/>
                      <w:autoSpaceDN w:val="0"/>
                      <w:adjustRightInd w:val="0"/>
                      <w:snapToGrid w:val="0"/>
                      <w:spacing w:line="240" w:lineRule="atLeast"/>
                      <w:jc w:val="center"/>
                    </w:pPr>
                    <w:r>
                      <w:rPr>
                        <w:rFonts w:hint="eastAsia"/>
                      </w:rPr>
                      <w:t>种类</w:t>
                    </w:r>
                  </w:p>
                </w:tc>
              </w:sdtContent>
            </w:sdt>
            <w:sdt>
              <w:sdtPr>
                <w:tag w:val="_PLD_b51f0f25994640289becfaca28eb1d5c"/>
                <w:id w:val="-1859884810"/>
                <w:lock w:val="sdtLocked"/>
              </w:sdtPr>
              <w:sdtContent>
                <w:tc>
                  <w:tcPr>
                    <w:tcW w:w="1877" w:type="pct"/>
                    <w:vAlign w:val="center"/>
                  </w:tcPr>
                  <w:p>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189109918"/>
                <w:lock w:val="sdtLocked"/>
              </w:sdtPr>
              <w:sdtContent>
                <w:tc>
                  <w:tcPr>
                    <w:tcW w:w="1824" w:type="pct"/>
                    <w:vAlign w:val="center"/>
                  </w:tcPr>
                  <w:p>
                    <w:pPr>
                      <w:autoSpaceDE w:val="0"/>
                      <w:autoSpaceDN w:val="0"/>
                      <w:adjustRightInd w:val="0"/>
                      <w:snapToGrid w:val="0"/>
                      <w:spacing w:line="240" w:lineRule="atLeast"/>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a78177bc2f9c4e819670fb289b9d6192"/>
                <w:id w:val="2119021029"/>
                <w:lock w:val="sdtLocked"/>
              </w:sdtPr>
              <w:sdtContent>
                <w:tc>
                  <w:tcPr>
                    <w:tcW w:w="1299" w:type="pct"/>
                    <w:shd w:val="clear" w:color="auto" w:fill="auto"/>
                  </w:tcPr>
                  <w:p>
                    <w:pPr>
                      <w:autoSpaceDE w:val="0"/>
                      <w:autoSpaceDN w:val="0"/>
                      <w:adjustRightInd w:val="0"/>
                      <w:snapToGrid w:val="0"/>
                      <w:spacing w:line="240" w:lineRule="atLeast"/>
                    </w:pPr>
                    <w:r>
                      <w:rPr>
                        <w:rFonts w:hint="eastAsia"/>
                      </w:rPr>
                      <w:t>银行承兑汇票</w:t>
                    </w:r>
                  </w:p>
                </w:tc>
              </w:sdtContent>
            </w:sdt>
            <w:tc>
              <w:tcPr>
                <w:tcW w:w="1877" w:type="pct"/>
                <w:shd w:val="clear" w:color="auto" w:fill="auto"/>
              </w:tcPr>
              <w:p>
                <w:pPr>
                  <w:ind w:right="13"/>
                  <w:jc w:val="right"/>
                </w:pPr>
                <w:r>
                  <w:t>283,840,000.00</w:t>
                </w:r>
              </w:p>
            </w:tc>
            <w:tc>
              <w:tcPr>
                <w:tcW w:w="1824" w:type="pct"/>
                <w:shd w:val="clear" w:color="auto" w:fill="auto"/>
              </w:tcPr>
              <w:p>
                <w:pPr>
                  <w:jc w:val="right"/>
                </w:pPr>
                <w:r>
                  <w:t>366,000,000.00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91c7e1de96284cd2994cfcf7c0e798dc"/>
                <w:id w:val="-95720027"/>
                <w:lock w:val="sdtLocked"/>
              </w:sdtPr>
              <w:sdtContent>
                <w:tc>
                  <w:tcPr>
                    <w:tcW w:w="1299" w:type="pct"/>
                    <w:vAlign w:val="center"/>
                  </w:tcPr>
                  <w:p>
                    <w:pPr>
                      <w:autoSpaceDE w:val="0"/>
                      <w:autoSpaceDN w:val="0"/>
                      <w:adjustRightInd w:val="0"/>
                      <w:snapToGrid w:val="0"/>
                      <w:spacing w:line="240" w:lineRule="atLeast"/>
                      <w:jc w:val="center"/>
                    </w:pPr>
                    <w:r>
                      <w:rPr>
                        <w:rFonts w:hint="eastAsia"/>
                      </w:rPr>
                      <w:t>合计</w:t>
                    </w:r>
                  </w:p>
                </w:tc>
              </w:sdtContent>
            </w:sdt>
            <w:tc>
              <w:tcPr>
                <w:tcW w:w="1877" w:type="pct"/>
              </w:tcPr>
              <w:p>
                <w:pPr>
                  <w:jc w:val="right"/>
                </w:pPr>
                <w:r>
                  <w:t>283,840,000.00</w:t>
                </w:r>
              </w:p>
            </w:tc>
            <w:tc>
              <w:tcPr>
                <w:tcW w:w="1824" w:type="pct"/>
              </w:tcPr>
              <w:p>
                <w:pPr>
                  <w:jc w:val="right"/>
                </w:pPr>
                <w:r>
                  <w:t>366,000,000.00</w:t>
                </w:r>
              </w:p>
            </w:tc>
          </w:tr>
        </w:tbl>
        <w:p>
          <w:pPr>
            <w:snapToGrid w:val="0"/>
            <w:spacing w:line="240" w:lineRule="atLeast"/>
          </w:pPr>
          <w:r>
            <w:rPr>
              <w:rFonts w:hint="eastAsia"/>
            </w:rPr>
            <w:t>本期末已到期未支付的应付票据总额为</w:t>
          </w:r>
          <w:sdt>
            <w:sdtPr>
              <w:rPr>
                <w:rFonts w:hint="eastAsia"/>
              </w:rPr>
              <w:alias w:val="已到期未支付的应付票据总额"/>
              <w:tag w:val="_GBC_c9651441e218453780f22db83f133e6a"/>
              <w:id w:val="-1397119746"/>
              <w:lock w:val="sdtLocked"/>
              <w:placeholder>
                <w:docPart w:val="GBC22222222222222222222222222222"/>
              </w:placeholder>
            </w:sdtPr>
            <w:sdtEndPr>
              <w:rPr>
                <w:rFonts w:hint="eastAsia"/>
              </w:rPr>
            </w:sdtEndPr>
            <w:sdtContent>
              <w:r>
                <w:t>0</w:t>
              </w:r>
            </w:sdtContent>
          </w:sdt>
          <w:r>
            <w:rPr>
              <w:rFonts w:hint="eastAsia"/>
            </w:rPr>
            <w:t xml:space="preserve"> 元</w:t>
          </w:r>
        </w:p>
        <w:p>
          <w:pPr>
            <w:overflowPunct w:val="0"/>
            <w:adjustRightInd w:val="0"/>
            <w:snapToGrid w:val="0"/>
            <w:ind w:right="-342"/>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于2023年6月30日，本集团无已到期未支付的应付票据（</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w:t>
          </w:r>
          <w:r>
            <w:rPr>
              <w:rFonts w:hint="eastAsia" w:cs="Arial" w:asciiTheme="minorEastAsia" w:hAnsiTheme="minorEastAsia" w:eastAsiaTheme="minorEastAsia"/>
              <w:color w:val="000000" w:themeColor="text1"/>
              <w14:textFill>
                <w14:solidFill>
                  <w14:schemeClr w14:val="tx1"/>
                </w14:solidFill>
              </w14:textFill>
            </w:rPr>
            <w:t>1日：无）。上述金额均为一年内到期的应付票据。</w:t>
          </w:r>
        </w:p>
        <w:p>
          <w:pPr>
            <w:snapToGrid w:val="0"/>
            <w:spacing w:line="240" w:lineRule="atLeast"/>
          </w:pPr>
        </w:p>
      </w:sdtContent>
    </w:sdt>
    <w:p>
      <w:pPr>
        <w:pStyle w:val="114"/>
      </w:pPr>
    </w:p>
    <w:p>
      <w:pPr>
        <w:pStyle w:val="4"/>
        <w:numPr>
          <w:ilvl w:val="0"/>
          <w:numId w:val="51"/>
        </w:numPr>
        <w:tabs>
          <w:tab w:val="left" w:pos="504"/>
        </w:tabs>
        <w:rPr>
          <w:rFonts w:ascii="宋体" w:hAnsi="宋体"/>
          <w:szCs w:val="21"/>
        </w:rPr>
      </w:pPr>
      <w:r>
        <w:rPr>
          <w:rFonts w:hint="eastAsia" w:ascii="宋体" w:hAnsi="宋体"/>
        </w:rPr>
        <w:t>应付</w:t>
      </w:r>
      <w:r>
        <w:rPr>
          <w:rFonts w:hint="eastAsia" w:ascii="宋体" w:hAnsi="宋体"/>
          <w:szCs w:val="21"/>
        </w:rPr>
        <w:t>账款</w:t>
      </w:r>
    </w:p>
    <w:sdt>
      <w:sdtPr>
        <w:rPr>
          <w:rFonts w:hint="eastAsia" w:ascii="宋体" w:hAnsi="宋体" w:cs="宋体"/>
          <w:b w:val="0"/>
          <w:bCs w:val="0"/>
          <w:kern w:val="0"/>
          <w:szCs w:val="21"/>
        </w:rPr>
        <w:alias w:val="模块:应付账款情况"/>
        <w:tag w:val="_GBC_0f1b98b90c3845e1a1ad65786460f84b"/>
        <w:id w:val="-211750966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71"/>
            </w:numPr>
            <w:tabs>
              <w:tab w:val="left" w:pos="588"/>
            </w:tabs>
            <w:rPr>
              <w:rFonts w:ascii="宋体" w:hAnsi="宋体"/>
              <w:szCs w:val="21"/>
            </w:rPr>
          </w:pPr>
          <w:r>
            <w:rPr>
              <w:rFonts w:hint="eastAsia" w:ascii="宋体" w:hAnsi="宋体"/>
              <w:szCs w:val="21"/>
            </w:rPr>
            <w:t>应付账款列示</w:t>
          </w:r>
        </w:p>
        <w:sdt>
          <w:sdtPr>
            <w:alias w:val="是否适用：应付账款列示[双击切换]"/>
            <w:tag w:val="_GBC_8531771c226a4fb0b98e3cdaf7271c71"/>
            <w:id w:val="-9988387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付账款情况"/>
              <w:tag w:val="_GBC_53c05e3ea1bb4f08bbe5cf204a0947b9"/>
              <w:id w:val="3646384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10009317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1"/>
            <w:gridCol w:w="2867"/>
            <w:gridCol w:w="3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dae27caeee34d74add24cd985083c75"/>
                <w:id w:val="213703983"/>
                <w:lock w:val="sdtLocked"/>
              </w:sdtPr>
              <w:sdtContent>
                <w:tc>
                  <w:tcPr>
                    <w:tcW w:w="1570" w:type="pct"/>
                    <w:shd w:val="clear" w:color="auto" w:fill="auto"/>
                  </w:tcPr>
                  <w:p>
                    <w:pPr>
                      <w:jc w:val="center"/>
                    </w:pPr>
                    <w:r>
                      <w:rPr>
                        <w:rFonts w:hint="eastAsia"/>
                      </w:rPr>
                      <w:t>项目</w:t>
                    </w:r>
                  </w:p>
                </w:tc>
              </w:sdtContent>
            </w:sdt>
            <w:sdt>
              <w:sdtPr>
                <w:tag w:val="_PLD_136ba417561e421ea02da8004fdf8b33"/>
                <w:id w:val="-1015687774"/>
                <w:lock w:val="sdtLocked"/>
              </w:sdtPr>
              <w:sdtContent>
                <w:tc>
                  <w:tcPr>
                    <w:tcW w:w="1584" w:type="pct"/>
                    <w:shd w:val="clear" w:color="auto" w:fill="auto"/>
                  </w:tcPr>
                  <w:p>
                    <w:pPr>
                      <w:jc w:val="center"/>
                    </w:pPr>
                    <w:r>
                      <w:rPr>
                        <w:rFonts w:hint="eastAsia"/>
                      </w:rPr>
                      <w:t>期末余额</w:t>
                    </w:r>
                  </w:p>
                </w:tc>
              </w:sdtContent>
            </w:sdt>
            <w:sdt>
              <w:sdtPr>
                <w:tag w:val="_PLD_bc4b311c1ee54bd48b7b2ba2ab79c364"/>
                <w:id w:val="307598137"/>
                <w:lock w:val="sdtLocked"/>
              </w:sdtPr>
              <w:sdtContent>
                <w:tc>
                  <w:tcPr>
                    <w:tcW w:w="1846" w:type="pct"/>
                    <w:shd w:val="clear" w:color="auto" w:fill="auto"/>
                  </w:tcPr>
                  <w:p>
                    <w:pPr>
                      <w:jc w:val="center"/>
                    </w:pPr>
                    <w:r>
                      <w:rPr>
                        <w:rFonts w:hint="eastAsia"/>
                      </w:rPr>
                      <w:t>期初余额</w:t>
                    </w:r>
                  </w:p>
                </w:tc>
              </w:sdtContent>
            </w:sdt>
          </w:tr>
          <w:sdt>
            <w:sdtPr>
              <w:rPr>
                <w:rFonts w:hint="eastAsia"/>
              </w:rPr>
              <w:alias w:val="应付账款情况明细"/>
              <w:tag w:val="_GBC_6a9eb940fbe64774bcca168078c6adaa"/>
              <w:id w:val="1378272567"/>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pct"/>
                    <w:shd w:val="clear" w:color="auto" w:fill="auto"/>
                  </w:tcPr>
                  <w:p>
                    <w:pPr>
                      <w:pStyle w:val="114"/>
                    </w:pPr>
                    <w:r>
                      <w:t>关联方</w:t>
                    </w:r>
                  </w:p>
                </w:tc>
                <w:tc>
                  <w:tcPr>
                    <w:tcW w:w="1584" w:type="pct"/>
                    <w:shd w:val="clear" w:color="auto" w:fill="auto"/>
                  </w:tcPr>
                  <w:p>
                    <w:pPr>
                      <w:jc w:val="right"/>
                    </w:pPr>
                    <w:r>
                      <w:t>79,753,276.68</w:t>
                    </w:r>
                  </w:p>
                </w:tc>
                <w:tc>
                  <w:tcPr>
                    <w:tcW w:w="1846" w:type="pct"/>
                    <w:shd w:val="clear" w:color="auto" w:fill="auto"/>
                  </w:tcPr>
                  <w:p>
                    <w:pPr>
                      <w:jc w:val="right"/>
                    </w:pPr>
                    <w:r>
                      <w:t>186,615,902.53</w:t>
                    </w:r>
                  </w:p>
                </w:tc>
              </w:tr>
            </w:sdtContent>
          </w:sdt>
          <w:sdt>
            <w:sdtPr>
              <w:rPr>
                <w:rFonts w:hint="eastAsia"/>
              </w:rPr>
              <w:alias w:val="应付账款情况明细"/>
              <w:tag w:val="_GBC_6a9eb940fbe64774bcca168078c6adaa"/>
              <w:id w:val="107878287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pct"/>
                    <w:shd w:val="clear" w:color="auto" w:fill="auto"/>
                  </w:tcPr>
                  <w:p>
                    <w:pPr>
                      <w:pStyle w:val="114"/>
                    </w:pPr>
                    <w:r>
                      <w:t>第三方</w:t>
                    </w:r>
                  </w:p>
                </w:tc>
                <w:tc>
                  <w:tcPr>
                    <w:tcW w:w="1584" w:type="pct"/>
                    <w:shd w:val="clear" w:color="auto" w:fill="auto"/>
                  </w:tcPr>
                  <w:p>
                    <w:pPr>
                      <w:jc w:val="right"/>
                    </w:pPr>
                    <w:r>
                      <w:t>2,392,155,368.11</w:t>
                    </w:r>
                  </w:p>
                </w:tc>
                <w:tc>
                  <w:tcPr>
                    <w:tcW w:w="1846" w:type="pct"/>
                    <w:shd w:val="clear" w:color="auto" w:fill="auto"/>
                  </w:tcPr>
                  <w:p>
                    <w:pPr>
                      <w:jc w:val="right"/>
                    </w:pPr>
                    <w:r>
                      <w:t>2,626,825,616.22</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82b4cb1d4fa4c8fb75bed463f2da31b"/>
                <w:id w:val="991601000"/>
                <w:lock w:val="sdtLocked"/>
              </w:sdtPr>
              <w:sdtContent>
                <w:tc>
                  <w:tcPr>
                    <w:tcW w:w="1570" w:type="pct"/>
                    <w:shd w:val="clear" w:color="auto" w:fill="auto"/>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sdtContent>
            </w:sdt>
            <w:tc>
              <w:tcPr>
                <w:tcW w:w="1584" w:type="pct"/>
                <w:shd w:val="clear" w:color="auto" w:fill="auto"/>
              </w:tcPr>
              <w:p>
                <w:pPr>
                  <w:jc w:val="right"/>
                </w:pPr>
                <w:r>
                  <w:t>2,471,908,644.79</w:t>
                </w:r>
              </w:p>
            </w:tc>
            <w:tc>
              <w:tcPr>
                <w:tcW w:w="1846" w:type="pct"/>
                <w:shd w:val="clear" w:color="auto" w:fill="auto"/>
              </w:tcPr>
              <w:p>
                <w:pPr>
                  <w:jc w:val="right"/>
                </w:pPr>
                <w:r>
                  <w:t>2,813,441,518.75</w:t>
                </w:r>
              </w:p>
            </w:tc>
          </w:tr>
        </w:tbl>
        <w:p>
          <w:pPr>
            <w:pStyle w:val="114"/>
          </w:pPr>
        </w:p>
      </w:sdtContent>
    </w:sdt>
    <w:sdt>
      <w:sdtPr>
        <w:rPr>
          <w:rFonts w:hint="eastAsia" w:ascii="宋体" w:hAnsi="宋体" w:cstheme="minorBidi"/>
          <w:b w:val="0"/>
          <w:bCs w:val="0"/>
          <w:kern w:val="0"/>
          <w:szCs w:val="22"/>
        </w:rPr>
        <w:alias w:val="模块:重要的账龄超过1年的应付账款"/>
        <w:tag w:val="_GBC_5fffbd1416eb408d959645d37f190cf5"/>
        <w:id w:val="251635400"/>
        <w:lock w:val="sdtLocked"/>
        <w:placeholder>
          <w:docPart w:val="GBC22222222222222222222222222222"/>
        </w:placeholder>
      </w:sdtPr>
      <w:sdtEndPr>
        <w:rPr>
          <w:rFonts w:hint="eastAsia" w:ascii="宋体" w:hAnsi="宋体" w:cstheme="minorBidi"/>
          <w:b w:val="0"/>
          <w:bCs w:val="0"/>
          <w:kern w:val="2"/>
          <w:szCs w:val="22"/>
        </w:rPr>
      </w:sdtEndPr>
      <w:sdtContent>
        <w:p>
          <w:pPr>
            <w:pStyle w:val="5"/>
            <w:numPr>
              <w:ilvl w:val="0"/>
              <w:numId w:val="71"/>
            </w:numPr>
            <w:tabs>
              <w:tab w:val="left" w:pos="588"/>
            </w:tabs>
            <w:rPr>
              <w:rFonts w:ascii="宋体" w:hAnsi="宋体"/>
              <w:kern w:val="0"/>
            </w:rPr>
          </w:pPr>
          <w:r>
            <w:rPr>
              <w:rFonts w:hint="eastAsia" w:ascii="宋体" w:hAnsi="宋体"/>
              <w:kern w:val="0"/>
            </w:rPr>
            <w:t>账龄超过</w:t>
          </w:r>
          <w:r>
            <w:rPr>
              <w:rFonts w:ascii="宋体" w:hAnsi="宋体"/>
              <w:kern w:val="0"/>
            </w:rPr>
            <w:t>1年的重要应付账款</w:t>
          </w:r>
        </w:p>
        <w:sdt>
          <w:sdtPr>
            <w:alias w:val="是否适用：账龄超过1年的重要应付账款[双击切换]"/>
            <w:tag w:val="_GBC_02c6e7ed8ae149e8a09f5b80217deb89"/>
            <w:id w:val="66020153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重要的账龄超过1年的应付账款"/>
              <w:tag w:val="_GBC_4828fbb06386477f83dfc0c7b55875e7"/>
              <w:id w:val="-15892249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968231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3"/>
            <w:gridCol w:w="2827"/>
            <w:gridCol w:w="2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1272c72b1bc41e2a47d7fbfb0839e2b"/>
                <w:id w:val="-155759644"/>
                <w:lock w:val="sdtLocked"/>
              </w:sdtPr>
              <w:sdtContent>
                <w:tc>
                  <w:tcPr>
                    <w:tcW w:w="1814" w:type="pct"/>
                    <w:shd w:val="clear" w:color="auto" w:fill="auto"/>
                    <w:vAlign w:val="center"/>
                  </w:tcPr>
                  <w:p>
                    <w:pPr>
                      <w:jc w:val="center"/>
                    </w:pPr>
                    <w:r>
                      <w:rPr>
                        <w:rFonts w:hint="eastAsia"/>
                      </w:rPr>
                      <w:t>项目</w:t>
                    </w:r>
                  </w:p>
                </w:tc>
              </w:sdtContent>
            </w:sdt>
            <w:sdt>
              <w:sdtPr>
                <w:tag w:val="_PLD_41b9d7d7e0c84d6c9f8c3a0a59e37c14"/>
                <w:id w:val="-1126698425"/>
                <w:lock w:val="sdtLocked"/>
              </w:sdtPr>
              <w:sdtContent>
                <w:tc>
                  <w:tcPr>
                    <w:tcW w:w="1562" w:type="pct"/>
                    <w:shd w:val="clear" w:color="auto" w:fill="auto"/>
                    <w:vAlign w:val="center"/>
                  </w:tcPr>
                  <w:p>
                    <w:pPr>
                      <w:jc w:val="center"/>
                    </w:pPr>
                    <w:r>
                      <w:rPr>
                        <w:rFonts w:hint="eastAsia"/>
                      </w:rPr>
                      <w:t>期末余额</w:t>
                    </w:r>
                  </w:p>
                </w:tc>
              </w:sdtContent>
            </w:sdt>
            <w:sdt>
              <w:sdtPr>
                <w:tag w:val="_PLD_49e0f43ba09d42649fabb4ecc22986ca"/>
                <w:id w:val="28777636"/>
                <w:lock w:val="sdtLocked"/>
              </w:sdtPr>
              <w:sdtContent>
                <w:tc>
                  <w:tcPr>
                    <w:tcW w:w="1624" w:type="pct"/>
                    <w:shd w:val="clear" w:color="auto" w:fill="auto"/>
                    <w:vAlign w:val="center"/>
                  </w:tcPr>
                  <w:p>
                    <w:pPr>
                      <w:jc w:val="center"/>
                    </w:pPr>
                    <w:r>
                      <w:rPr>
                        <w:rFonts w:hint="eastAsia"/>
                      </w:rPr>
                      <w:t>未偿还或结转的原因</w:t>
                    </w:r>
                  </w:p>
                </w:tc>
              </w:sdtContent>
            </w:sdt>
          </w:tr>
          <w:sdt>
            <w:sdtPr>
              <w:alias w:val="重要的账龄超过1年的应付账款明细"/>
              <w:tag w:val="_GBC_3c24b8450a0a47bd8859f88e883aa952"/>
              <w:id w:val="35269410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pct"/>
                    <w:tcBorders>
                      <w:bottom w:val="single" w:color="auto" w:sz="4" w:space="0"/>
                    </w:tcBorders>
                    <w:shd w:val="clear" w:color="auto" w:fill="auto"/>
                  </w:tcPr>
                  <w:p>
                    <w:pPr>
                      <w:pStyle w:val="114"/>
                    </w:pPr>
                    <w:r>
                      <w:t>应付工程款</w:t>
                    </w:r>
                  </w:p>
                </w:tc>
                <w:tc>
                  <w:tcPr>
                    <w:tcW w:w="1562" w:type="pct"/>
                    <w:shd w:val="clear" w:color="auto" w:fill="auto"/>
                  </w:tcPr>
                  <w:p>
                    <w:pPr>
                      <w:jc w:val="right"/>
                    </w:pPr>
                    <w:r>
                      <w:t>809,546,471.67</w:t>
                    </w:r>
                  </w:p>
                </w:tc>
                <w:tc>
                  <w:tcPr>
                    <w:tcW w:w="1624" w:type="pct"/>
                    <w:shd w:val="clear" w:color="auto" w:fill="auto"/>
                  </w:tcPr>
                  <w:p>
                    <w:pPr>
                      <w:pStyle w:val="114"/>
                    </w:pPr>
                    <w:r>
                      <w:t>工程结算周期长</w:t>
                    </w:r>
                  </w:p>
                </w:tc>
              </w:tr>
            </w:sdtContent>
          </w:sdt>
          <w:sdt>
            <w:sdtPr>
              <w:alias w:val="重要的账龄超过1年的应付账款明细"/>
              <w:tag w:val="_GBC_3c24b8450a0a47bd8859f88e883aa952"/>
              <w:id w:val="-120624775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pct"/>
                    <w:tcBorders>
                      <w:bottom w:val="single" w:color="auto" w:sz="4" w:space="0"/>
                    </w:tcBorders>
                    <w:shd w:val="clear" w:color="auto" w:fill="auto"/>
                  </w:tcPr>
                  <w:p>
                    <w:pPr>
                      <w:pStyle w:val="114"/>
                    </w:pPr>
                    <w:r>
                      <w:t>应付房地产建设款</w:t>
                    </w:r>
                  </w:p>
                </w:tc>
                <w:tc>
                  <w:tcPr>
                    <w:tcW w:w="1562" w:type="pct"/>
                    <w:shd w:val="clear" w:color="auto" w:fill="auto"/>
                  </w:tcPr>
                  <w:p>
                    <w:pPr>
                      <w:jc w:val="right"/>
                    </w:pPr>
                    <w:r>
                      <w:t>167,647,282.60</w:t>
                    </w:r>
                  </w:p>
                </w:tc>
                <w:tc>
                  <w:tcPr>
                    <w:tcW w:w="1624" w:type="pct"/>
                    <w:shd w:val="clear" w:color="auto" w:fill="auto"/>
                  </w:tcPr>
                  <w:p>
                    <w:pPr>
                      <w:pStyle w:val="114"/>
                    </w:pPr>
                    <w:r>
                      <w:t>房地产建设结算周期长</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ca4761bb44d46c18cd4488e72a6e130"/>
                <w:id w:val="-17242337"/>
                <w:lock w:val="sdtLocked"/>
              </w:sdtPr>
              <w:sdtContent>
                <w:tc>
                  <w:tcPr>
                    <w:tcW w:w="1814" w:type="pct"/>
                    <w:shd w:val="clear" w:color="auto" w:fill="auto"/>
                    <w:vAlign w:val="center"/>
                  </w:tcPr>
                  <w:p>
                    <w:pPr>
                      <w:jc w:val="center"/>
                    </w:pPr>
                    <w:r>
                      <w:rPr>
                        <w:rFonts w:hint="eastAsia"/>
                      </w:rPr>
                      <w:t>合计</w:t>
                    </w:r>
                  </w:p>
                </w:tc>
              </w:sdtContent>
            </w:sdt>
            <w:tc>
              <w:tcPr>
                <w:tcW w:w="1562" w:type="pct"/>
                <w:shd w:val="clear" w:color="auto" w:fill="auto"/>
              </w:tcPr>
              <w:p>
                <w:pPr>
                  <w:jc w:val="right"/>
                </w:pPr>
                <w:r>
                  <w:t>977,193,754.27</w:t>
                </w:r>
              </w:p>
            </w:tc>
            <w:tc>
              <w:tcPr>
                <w:tcW w:w="1624" w:type="pct"/>
                <w:shd w:val="clear" w:color="auto" w:fill="auto"/>
              </w:tcPr>
              <w:p>
                <w:pPr>
                  <w:jc w:val="center"/>
                </w:pPr>
                <w:r>
                  <w:rPr>
                    <w:rFonts w:hint="eastAsia"/>
                  </w:rPr>
                  <w:t>/</w:t>
                </w:r>
              </w:p>
            </w:tc>
          </w:tr>
        </w:tbl>
        <w:p>
          <w:pPr>
            <w:pStyle w:val="114"/>
          </w:pPr>
        </w:p>
      </w:sdtContent>
    </w:sdt>
    <w:sdt>
      <w:sdtPr>
        <w:rPr>
          <w:rFonts w:hint="eastAsia"/>
          <w:b/>
          <w:bCs/>
        </w:rPr>
        <w:alias w:val="模块:应付账款的其他说明"/>
        <w:tag w:val="_GBC_aecd44efc3ea456b9149dd662d0a5085"/>
        <w:id w:val="887843821"/>
        <w:lock w:val="sdtLocked"/>
        <w:placeholder>
          <w:docPart w:val="GBC22222222222222222222222222222"/>
        </w:placeholder>
      </w:sdtPr>
      <w:sdtEndPr>
        <w:rPr>
          <w:rFonts w:hint="default" w:cstheme="minorBidi"/>
          <w:b w:val="0"/>
          <w:bCs w:val="0"/>
          <w:kern w:val="2"/>
        </w:rPr>
      </w:sdtEndPr>
      <w:sdtContent>
        <w:p>
          <w:pPr>
            <w:pStyle w:val="114"/>
          </w:pPr>
          <w:r>
            <w:rPr>
              <w:rFonts w:hint="eastAsia"/>
            </w:rPr>
            <w:t>其他说明：</w:t>
          </w:r>
        </w:p>
        <w:sdt>
          <w:sdtPr>
            <w:alias w:val="是否适用：应付账款的其他说明[双击切换]"/>
            <w:tag w:val="_GBC_9a797e83ea1747e9aca4221e6cdfe89f"/>
            <w:id w:val="-127016393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napToGrid w:val="0"/>
        <w:spacing w:line="240" w:lineRule="atLeast"/>
      </w:pPr>
    </w:p>
    <w:p>
      <w:pPr>
        <w:pStyle w:val="4"/>
        <w:numPr>
          <w:ilvl w:val="0"/>
          <w:numId w:val="51"/>
        </w:numPr>
        <w:tabs>
          <w:tab w:val="left" w:pos="504"/>
        </w:tabs>
        <w:rPr>
          <w:rFonts w:ascii="宋体" w:hAnsi="宋体"/>
          <w:szCs w:val="21"/>
        </w:rPr>
      </w:pPr>
      <w:r>
        <w:rPr>
          <w:rFonts w:hint="eastAsia" w:ascii="宋体" w:hAnsi="宋体"/>
          <w:szCs w:val="21"/>
        </w:rPr>
        <w:t>预收款项</w:t>
      </w:r>
    </w:p>
    <w:sdt>
      <w:sdtPr>
        <w:rPr>
          <w:rFonts w:hint="eastAsia" w:ascii="宋体" w:hAnsi="宋体" w:cs="宋体"/>
          <w:b w:val="0"/>
          <w:bCs w:val="0"/>
          <w:kern w:val="0"/>
          <w:szCs w:val="21"/>
        </w:rPr>
        <w:alias w:val="模块:预收账款情况"/>
        <w:tag w:val="_GBC_d7dac18f0444439d83469555857c3195"/>
        <w:id w:val="-1232152780"/>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72"/>
            </w:numPr>
            <w:rPr>
              <w:rFonts w:ascii="宋体" w:hAnsi="宋体"/>
              <w:szCs w:val="21"/>
            </w:rPr>
          </w:pPr>
          <w:r>
            <w:rPr>
              <w:rFonts w:hint="eastAsia" w:ascii="宋体" w:hAnsi="宋体"/>
              <w:szCs w:val="21"/>
            </w:rPr>
            <w:t>预收账款项列示</w:t>
          </w:r>
        </w:p>
        <w:sdt>
          <w:sdtPr>
            <w:alias w:val="是否适用：预收账款项列示[双击切换]"/>
            <w:tag w:val="_GBC_cf9ab7f5f12c4f788a9bbb6e3ef9c9de"/>
            <w:id w:val="-95247054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预收账款情况"/>
              <w:tag w:val="_GBC_f4564e0d7a8a4a9589aae9168c4c8fdb"/>
              <w:id w:val="5204452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预收账款情况"/>
              <w:tag w:val="_GBC_e993db46bf3641c59c10bd3e14a930d9"/>
              <w:id w:val="175319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8"/>
            <w:gridCol w:w="3078"/>
            <w:gridCol w:w="3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5dd98b095374d108e2df93a96e434bb"/>
                <w:id w:val="-87630280"/>
                <w:lock w:val="sdtLocked"/>
              </w:sdtPr>
              <w:sdtContent>
                <w:tc>
                  <w:tcPr>
                    <w:tcW w:w="1601" w:type="pct"/>
                    <w:shd w:val="clear" w:color="auto" w:fill="auto"/>
                  </w:tcPr>
                  <w:p>
                    <w:pPr>
                      <w:jc w:val="center"/>
                    </w:pPr>
                    <w:r>
                      <w:rPr>
                        <w:rFonts w:hint="eastAsia"/>
                      </w:rPr>
                      <w:t>项目</w:t>
                    </w:r>
                  </w:p>
                </w:tc>
              </w:sdtContent>
            </w:sdt>
            <w:sdt>
              <w:sdtPr>
                <w:tag w:val="_PLD_9fc077db74354318b54c7ec24cd1ce0c"/>
                <w:id w:val="2118328609"/>
                <w:lock w:val="sdtLocked"/>
              </w:sdtPr>
              <w:sdtContent>
                <w:tc>
                  <w:tcPr>
                    <w:tcW w:w="1701" w:type="pct"/>
                    <w:shd w:val="clear" w:color="auto" w:fill="auto"/>
                  </w:tcPr>
                  <w:p>
                    <w:pPr>
                      <w:jc w:val="center"/>
                    </w:pPr>
                    <w:r>
                      <w:rPr>
                        <w:rFonts w:hint="eastAsia"/>
                      </w:rPr>
                      <w:t>期末余额</w:t>
                    </w:r>
                  </w:p>
                </w:tc>
              </w:sdtContent>
            </w:sdt>
            <w:sdt>
              <w:sdtPr>
                <w:tag w:val="_PLD_aa9447699c054ad4b698586b835a3180"/>
                <w:id w:val="718637206"/>
                <w:lock w:val="sdtLocked"/>
              </w:sdtPr>
              <w:sdtContent>
                <w:tc>
                  <w:tcPr>
                    <w:tcW w:w="1698" w:type="pct"/>
                    <w:shd w:val="clear" w:color="auto" w:fill="auto"/>
                  </w:tcPr>
                  <w:p>
                    <w:pPr>
                      <w:jc w:val="center"/>
                    </w:pPr>
                    <w:r>
                      <w:rPr>
                        <w:rFonts w:hint="eastAsia"/>
                      </w:rPr>
                      <w:t>期初余额</w:t>
                    </w:r>
                  </w:p>
                </w:tc>
              </w:sdtContent>
            </w:sdt>
          </w:tr>
          <w:sdt>
            <w:sdtPr>
              <w:rPr>
                <w:rFonts w:hint="eastAsia"/>
              </w:rPr>
              <w:alias w:val="预收账款情况明细"/>
              <w:tag w:val="_GBC_230853c1febc415e90da55e0c713ce54"/>
              <w:id w:val="79440731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pct"/>
                    <w:shd w:val="clear" w:color="auto" w:fill="auto"/>
                  </w:tcPr>
                  <w:p>
                    <w:pPr>
                      <w:pStyle w:val="114"/>
                    </w:pPr>
                    <w:r>
                      <w:t>关联方</w:t>
                    </w:r>
                  </w:p>
                </w:tc>
                <w:tc>
                  <w:tcPr>
                    <w:tcW w:w="1701" w:type="pct"/>
                    <w:shd w:val="clear" w:color="auto" w:fill="auto"/>
                  </w:tcPr>
                  <w:p>
                    <w:pPr>
                      <w:jc w:val="right"/>
                    </w:pPr>
                    <w:r>
                      <w:t>80,332.00</w:t>
                    </w:r>
                  </w:p>
                </w:tc>
                <w:tc>
                  <w:tcPr>
                    <w:tcW w:w="1698" w:type="pct"/>
                    <w:shd w:val="clear" w:color="auto" w:fill="auto"/>
                  </w:tcPr>
                  <w:p>
                    <w:pPr>
                      <w:jc w:val="right"/>
                    </w:pPr>
                    <w:r>
                      <w:t>2,879,190.33</w:t>
                    </w:r>
                  </w:p>
                </w:tc>
              </w:tr>
            </w:sdtContent>
          </w:sdt>
          <w:sdt>
            <w:sdtPr>
              <w:rPr>
                <w:rFonts w:hint="eastAsia"/>
              </w:rPr>
              <w:alias w:val="预收账款情况明细"/>
              <w:tag w:val="_GBC_230853c1febc415e90da55e0c713ce54"/>
              <w:id w:val="-9795304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pct"/>
                    <w:shd w:val="clear" w:color="auto" w:fill="auto"/>
                  </w:tcPr>
                  <w:p>
                    <w:pPr>
                      <w:pStyle w:val="114"/>
                    </w:pPr>
                    <w:r>
                      <w:t>第三方</w:t>
                    </w:r>
                  </w:p>
                </w:tc>
                <w:tc>
                  <w:tcPr>
                    <w:tcW w:w="1701" w:type="pct"/>
                    <w:shd w:val="clear" w:color="auto" w:fill="auto"/>
                  </w:tcPr>
                  <w:p>
                    <w:pPr>
                      <w:jc w:val="right"/>
                    </w:pPr>
                    <w:r>
                      <w:t>17,326,702.11</w:t>
                    </w:r>
                  </w:p>
                </w:tc>
                <w:tc>
                  <w:tcPr>
                    <w:tcW w:w="1698" w:type="pct"/>
                    <w:shd w:val="clear" w:color="auto" w:fill="auto"/>
                  </w:tcPr>
                  <w:p>
                    <w:pPr>
                      <w:jc w:val="right"/>
                    </w:pPr>
                    <w:r>
                      <w:t>12,269,652.00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bdcdc98ceee47408e8ac7a0d53c5b39"/>
                <w:id w:val="-942838416"/>
                <w:lock w:val="sdtLocked"/>
              </w:sdtPr>
              <w:sdtContent>
                <w:tc>
                  <w:tcPr>
                    <w:tcW w:w="1601" w:type="pct"/>
                    <w:shd w:val="clear" w:color="auto" w:fill="auto"/>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sdtContent>
            </w:sdt>
            <w:tc>
              <w:tcPr>
                <w:tcW w:w="1701" w:type="pct"/>
                <w:shd w:val="clear" w:color="auto" w:fill="auto"/>
              </w:tcPr>
              <w:p>
                <w:pPr>
                  <w:jc w:val="right"/>
                </w:pPr>
                <w:r>
                  <w:t>17,407,034.11</w:t>
                </w:r>
              </w:p>
            </w:tc>
            <w:tc>
              <w:tcPr>
                <w:tcW w:w="1698" w:type="pct"/>
                <w:shd w:val="clear" w:color="auto" w:fill="auto"/>
              </w:tcPr>
              <w:p>
                <w:pPr>
                  <w:jc w:val="right"/>
                </w:pPr>
                <w:r>
                  <w:t>15,148,842.33</w:t>
                </w:r>
              </w:p>
            </w:tc>
          </w:tr>
        </w:tbl>
        <w:p>
          <w:pPr>
            <w:pStyle w:val="114"/>
          </w:pPr>
        </w:p>
      </w:sdtContent>
    </w:sdt>
    <w:sdt>
      <w:sdtPr>
        <w:rPr>
          <w:rFonts w:hint="eastAsia" w:ascii="宋体" w:hAnsi="宋体" w:cstheme="minorBidi"/>
          <w:b w:val="0"/>
          <w:bCs w:val="0"/>
          <w:kern w:val="0"/>
          <w:szCs w:val="21"/>
        </w:rPr>
        <w:alias w:val="模块:账龄超过1年的重要预收款项"/>
        <w:tag w:val="_GBC_59300802f7ac43e3ab1ce4a570fb0267"/>
        <w:id w:val="954221492"/>
        <w:lock w:val="sdtLocked"/>
        <w:placeholder>
          <w:docPart w:val="GBC22222222222222222222222222222"/>
        </w:placeholder>
      </w:sdtPr>
      <w:sdtEndPr>
        <w:rPr>
          <w:rFonts w:hint="eastAsia" w:ascii="宋体" w:hAnsi="宋体" w:cstheme="minorBidi"/>
          <w:b w:val="0"/>
          <w:bCs w:val="0"/>
          <w:kern w:val="0"/>
          <w:szCs w:val="21"/>
        </w:rPr>
      </w:sdtEndPr>
      <w:sdtContent>
        <w:p>
          <w:pPr>
            <w:pStyle w:val="5"/>
            <w:numPr>
              <w:ilvl w:val="0"/>
              <w:numId w:val="72"/>
            </w:numPr>
            <w:rPr>
              <w:rFonts w:ascii="宋体" w:hAnsi="宋体"/>
              <w:kern w:val="0"/>
            </w:rPr>
          </w:pPr>
          <w:r>
            <w:rPr>
              <w:rFonts w:hint="eastAsia" w:ascii="宋体" w:hAnsi="宋体"/>
              <w:kern w:val="0"/>
            </w:rPr>
            <w:t>账龄超过</w:t>
          </w:r>
          <w:r>
            <w:rPr>
              <w:rFonts w:ascii="宋体" w:hAnsi="宋体"/>
              <w:kern w:val="0"/>
            </w:rPr>
            <w:t>1年的重要预收款项</w:t>
          </w:r>
        </w:p>
        <w:sdt>
          <w:sdtPr>
            <w:alias w:val="是否适用：账龄超过1年的重要预收款项[双击切换]"/>
            <w:tag w:val="_GBC_ae7ea5bab4b04b2cb170af5020f86302"/>
            <w:id w:val="1505082245"/>
            <w:lock w:val="sdtLocked"/>
            <w:placeholder>
              <w:docPart w:val="GBC22222222222222222222222222222"/>
            </w:placeholder>
          </w:sdtPr>
          <w:sdtContent>
            <w:p>
              <w:pPr>
                <w:rPr>
                  <w:rFonts w:ascii="Arial" w:hAnsi="Arial" w:eastAsia="LF_Kai" w:cs="Arial"/>
                  <w:color w:val="000000" w:themeColor="text1"/>
                  <w14:textFill>
                    <w14:solidFill>
                      <w14:schemeClr w14:val="tx1"/>
                    </w14:solidFill>
                  </w14:textFil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overflowPunct w:val="0"/>
            <w:adjustRightInd w:val="0"/>
            <w:snapToGrid w:val="0"/>
            <w:jc w:val="both"/>
            <w:textAlignment w:val="baseline"/>
            <w:rPr>
              <w:rFonts w:ascii="Arial" w:hAnsi="Arial" w:eastAsia="LF_Kai" w:cs="Arial"/>
              <w:color w:val="000000" w:themeColor="text1"/>
              <w14:textFill>
                <w14:solidFill>
                  <w14:schemeClr w14:val="tx1"/>
                </w14:solidFill>
              </w14:textFill>
            </w:rPr>
          </w:pPr>
        </w:p>
        <w:p>
          <w:pPr>
            <w:tabs>
              <w:tab w:val="left" w:pos="8280"/>
              <w:tab w:val="left" w:pos="9720"/>
            </w:tabs>
            <w:ind w:right="25" w:rightChars="12"/>
            <w:rPr>
              <w:rFonts w:cstheme="minorBidi"/>
            </w:rPr>
          </w:pPr>
        </w:p>
      </w:sdtContent>
    </w:sdt>
    <w:sdt>
      <w:sdtPr>
        <w:rPr>
          <w:rFonts w:hint="eastAsia"/>
          <w:b/>
          <w:bCs/>
        </w:rPr>
        <w:alias w:val="模块:账龄超过1年的大额预收款项情况的说明"/>
        <w:tag w:val="_GBC_3b693e8055374a80821823cdad74f225"/>
        <w:id w:val="772982631"/>
        <w:lock w:val="sdtLocked"/>
        <w:placeholder>
          <w:docPart w:val="GBC22222222222222222222222222222"/>
        </w:placeholder>
      </w:sdtPr>
      <w:sdtEndPr>
        <w:rPr>
          <w:rFonts w:hint="default" w:cstheme="minorBidi"/>
          <w:b w:val="0"/>
          <w:bCs w:val="0"/>
          <w:color w:val="000000" w:themeColor="text1"/>
          <w:kern w:val="2"/>
          <w14:textFill>
            <w14:solidFill>
              <w14:schemeClr w14:val="tx1"/>
            </w14:solidFill>
          </w14:textFill>
        </w:rPr>
      </w:sdtEndPr>
      <w:sdtContent>
        <w:p>
          <w:pPr>
            <w:pStyle w:val="114"/>
          </w:pPr>
          <w:r>
            <w:rPr>
              <w:rFonts w:hint="eastAsia"/>
            </w:rPr>
            <w:t>其他说明：</w:t>
          </w:r>
        </w:p>
        <w:sdt>
          <w:sdtPr>
            <w:alias w:val="是否适用：预收账款的其他说明[双击切换]"/>
            <w:tag w:val="_GBC_f473b6b28a104ffc812e6da4cf5177e5"/>
            <w:id w:val="-153866210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合同负债"/>
        <w:tag w:val="_SEC_c98a59ac0d184ea5b3b590c23bf7ff8d"/>
        <w:id w:val="1701053444"/>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10" w:name="_Hlk10535609"/>
          <w:r>
            <w:rPr>
              <w:rFonts w:hint="eastAsia" w:ascii="宋体" w:hAnsi="宋体"/>
              <w:szCs w:val="21"/>
            </w:rPr>
            <w:t>合同负债</w:t>
          </w:r>
        </w:p>
        <w:p>
          <w:pPr>
            <w:pStyle w:val="5"/>
            <w:numPr>
              <w:ilvl w:val="0"/>
              <w:numId w:val="73"/>
            </w:numPr>
            <w:rPr>
              <w:rFonts w:ascii="宋体" w:hAnsi="宋体"/>
            </w:rPr>
          </w:pPr>
          <w:r>
            <w:rPr>
              <w:rFonts w:hint="eastAsia" w:ascii="宋体" w:hAnsi="宋体"/>
            </w:rPr>
            <w:t>合同负债情况</w:t>
          </w:r>
        </w:p>
        <w:sdt>
          <w:sdtPr>
            <w:alias w:val="是否适用：合同负债情况[双击切换]"/>
            <w:tag w:val="_GBC_2b6238a8ea00438eab947f83a5f6451d"/>
            <w:id w:val="73281555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left="360"/>
            <w:jc w:val="right"/>
          </w:pPr>
          <w:r>
            <w:rPr>
              <w:rFonts w:hint="eastAsia"/>
            </w:rPr>
            <w:t>单位：</w:t>
          </w:r>
          <w:sdt>
            <w:sdtPr>
              <w:rPr>
                <w:rFonts w:hint="eastAsia"/>
              </w:rPr>
              <w:alias w:val="单位：合同负债情况"/>
              <w:tag w:val="_GBC_0024c0ddc3514b009e8166b63dc10ae9"/>
              <w:id w:val="-17134858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801269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8"/>
            <w:gridCol w:w="3078"/>
            <w:gridCol w:w="3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5e783ac966e416184ff57e436f98be2"/>
                <w:id w:val="1571461646"/>
                <w:lock w:val="sdtLocked"/>
              </w:sdtPr>
              <w:sdtContent>
                <w:tc>
                  <w:tcPr>
                    <w:tcW w:w="1601" w:type="pct"/>
                    <w:shd w:val="clear" w:color="auto" w:fill="auto"/>
                  </w:tcPr>
                  <w:p>
                    <w:pPr>
                      <w:jc w:val="center"/>
                    </w:pPr>
                    <w:r>
                      <w:rPr>
                        <w:rFonts w:hint="eastAsia"/>
                      </w:rPr>
                      <w:t>项目</w:t>
                    </w:r>
                  </w:p>
                </w:tc>
              </w:sdtContent>
            </w:sdt>
            <w:sdt>
              <w:sdtPr>
                <w:tag w:val="_PLD_a4f8a9567271447e9f7bc01f59c6eed6"/>
                <w:id w:val="1960456485"/>
                <w:lock w:val="sdtLocked"/>
              </w:sdtPr>
              <w:sdtContent>
                <w:tc>
                  <w:tcPr>
                    <w:tcW w:w="1701" w:type="pct"/>
                    <w:shd w:val="clear" w:color="auto" w:fill="auto"/>
                    <w:vAlign w:val="center"/>
                  </w:tcPr>
                  <w:p>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1749725636"/>
                <w:lock w:val="sdtLocked"/>
              </w:sdtPr>
              <w:sdtContent>
                <w:tc>
                  <w:tcPr>
                    <w:tcW w:w="1698" w:type="pct"/>
                    <w:shd w:val="clear" w:color="auto" w:fill="auto"/>
                    <w:vAlign w:val="center"/>
                  </w:tcPr>
                  <w:p>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1197068764"/>
              <w:lock w:val="sdtLocked"/>
            </w:sdtPr>
            <w:sdtEndPr>
              <w:rPr>
                <w:color w:val="0000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pct"/>
                    <w:shd w:val="clear" w:color="auto" w:fill="auto"/>
                  </w:tcPr>
                  <w:p>
                    <w:pPr>
                      <w:pStyle w:val="114"/>
                    </w:pPr>
                    <w:r>
                      <w:t>预收售楼款</w:t>
                    </w:r>
                  </w:p>
                </w:tc>
                <w:tc>
                  <w:tcPr>
                    <w:tcW w:w="1701" w:type="pct"/>
                    <w:shd w:val="clear" w:color="auto" w:fill="auto"/>
                  </w:tcPr>
                  <w:p>
                    <w:pPr>
                      <w:jc w:val="right"/>
                    </w:pPr>
                    <w:r>
                      <w:t>63,256,223.45</w:t>
                    </w:r>
                  </w:p>
                </w:tc>
                <w:tc>
                  <w:tcPr>
                    <w:tcW w:w="1698" w:type="pct"/>
                    <w:shd w:val="clear" w:color="auto" w:fill="auto"/>
                  </w:tcPr>
                  <w:p>
                    <w:pPr>
                      <w:jc w:val="right"/>
                    </w:pPr>
                    <w:r>
                      <w:t>162,928,919.15</w:t>
                    </w:r>
                  </w:p>
                </w:tc>
              </w:tr>
            </w:sdtContent>
          </w:sdt>
          <w:sdt>
            <w:sdtPr>
              <w:rPr>
                <w:color w:val="000000"/>
              </w:rPr>
              <w:alias w:val="合同负债明细"/>
              <w:tag w:val="_TUP_d1c7a7f050fb40619e0f52b844ab99a2"/>
              <w:id w:val="1777904730"/>
              <w:lock w:val="sdtLocked"/>
            </w:sdtPr>
            <w:sdtEndPr>
              <w:rPr>
                <w:color w:val="00000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pct"/>
                    <w:shd w:val="clear" w:color="auto" w:fill="auto"/>
                  </w:tcPr>
                  <w:p>
                    <w:pPr>
                      <w:pStyle w:val="114"/>
                    </w:pPr>
                  </w:p>
                </w:tc>
                <w:tc>
                  <w:tcPr>
                    <w:tcW w:w="1701" w:type="pct"/>
                    <w:shd w:val="clear" w:color="auto" w:fill="auto"/>
                  </w:tcPr>
                  <w:p>
                    <w:pPr>
                      <w:jc w:val="right"/>
                    </w:pPr>
                  </w:p>
                </w:tc>
                <w:tc>
                  <w:tcPr>
                    <w:tcW w:w="1698" w:type="pct"/>
                    <w:shd w:val="clear" w:color="auto" w:fill="auto"/>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49720f346f74db784b99fec9408ed39"/>
                <w:id w:val="1298497706"/>
                <w:lock w:val="sdtLocked"/>
              </w:sdtPr>
              <w:sdtContent>
                <w:tc>
                  <w:tcPr>
                    <w:tcW w:w="1601" w:type="pct"/>
                    <w:shd w:val="clear" w:color="auto" w:fill="auto"/>
                  </w:tcPr>
                  <w:p>
                    <w:pPr>
                      <w:jc w:val="center"/>
                      <w:rPr>
                        <w:color w:val="000000"/>
                      </w:rPr>
                    </w:pPr>
                    <w:r>
                      <w:rPr>
                        <w:rFonts w:hint="eastAsia"/>
                        <w:color w:val="000000"/>
                      </w:rPr>
                      <w:t>合计</w:t>
                    </w:r>
                  </w:p>
                </w:tc>
              </w:sdtContent>
            </w:sdt>
            <w:tc>
              <w:tcPr>
                <w:tcW w:w="1701" w:type="pct"/>
                <w:shd w:val="clear" w:color="auto" w:fill="auto"/>
                <w:vAlign w:val="center"/>
              </w:tcPr>
              <w:p>
                <w:pPr>
                  <w:jc w:val="right"/>
                </w:pPr>
                <w:r>
                  <w:t>63,256,223.45</w:t>
                </w:r>
              </w:p>
            </w:tc>
            <w:tc>
              <w:tcPr>
                <w:tcW w:w="1698" w:type="pct"/>
                <w:shd w:val="clear" w:color="auto" w:fill="auto"/>
                <w:vAlign w:val="center"/>
              </w:tcPr>
              <w:p>
                <w:pPr>
                  <w:jc w:val="right"/>
                </w:pPr>
                <w:r>
                  <w:t>162,928,919.15</w:t>
                </w:r>
              </w:p>
            </w:tc>
          </w:tr>
        </w:tbl>
        <w:p>
          <w:pPr>
            <w:tabs>
              <w:tab w:val="left" w:pos="566"/>
            </w:tabs>
            <w:overflowPunct w:val="0"/>
            <w:adjustRightInd w:val="0"/>
            <w:snapToGrid w:val="0"/>
            <w:jc w:val="both"/>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合同负债主要涉及本集团客户的房地产销售合同中收取的预收款。该预收款在合同签订时收取。该合同的相关收入将在本集团履行履约义务后确认。</w:t>
          </w:r>
        </w:p>
        <w:p>
          <w:pPr>
            <w:pStyle w:val="114"/>
          </w:pPr>
        </w:p>
      </w:sdtContent>
    </w:sdt>
    <w:bookmarkEnd w:id="210"/>
    <w:sdt>
      <w:sdtPr>
        <w:rPr>
          <w:rFonts w:hint="eastAsia" w:ascii="宋体" w:hAnsi="宋体" w:cs="宋体"/>
          <w:b w:val="0"/>
          <w:bCs w:val="0"/>
          <w:kern w:val="0"/>
          <w:szCs w:val="21"/>
        </w:rPr>
        <w:alias w:val="模块:报告期内账面价值发生重大变动的金额和原因"/>
        <w:tag w:val="_SEC_c824c488dbc74824b379bb9187c7bdf0"/>
        <w:id w:val="-206023190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73"/>
            </w:numPr>
            <w:rPr>
              <w:rFonts w:ascii="宋体" w:hAnsi="宋体"/>
              <w:szCs w:val="21"/>
            </w:rPr>
          </w:pPr>
          <w:bookmarkStart w:id="211" w:name="_Hlk10535674"/>
          <w:r>
            <w:rPr>
              <w:rFonts w:hint="eastAsia" w:ascii="宋体" w:hAnsi="宋体"/>
              <w:szCs w:val="21"/>
            </w:rPr>
            <w:t>报告期内账面价值发生重大变动的金额和原因</w:t>
          </w:r>
        </w:p>
        <w:sdt>
          <w:sdtPr>
            <w:alias w:val="是否适用：合同负债账面价值发生重大变动[双击切换]"/>
            <w:tag w:val="_GBC_18d9cdd7095d4bda8f22860c58746248"/>
            <w:id w:val="127489950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1"/>
    <w:sdt>
      <w:sdtPr>
        <w:rPr>
          <w:rFonts w:hint="eastAsia"/>
        </w:rPr>
        <w:alias w:val="模块:其他说明："/>
        <w:tag w:val="_SEC_1910d69cccc04d3fb0422784d0b1dd58"/>
        <w:id w:val="1539231275"/>
        <w:lock w:val="sdtLocked"/>
        <w:placeholder>
          <w:docPart w:val="GBC22222222222222222222222222222"/>
        </w:placeholder>
      </w:sdtPr>
      <w:sdtEndPr>
        <w:rPr>
          <w:rFonts w:hint="default"/>
        </w:rPr>
      </w:sdtEndPr>
      <w:sdtContent>
        <w:p>
          <w:pPr>
            <w:pStyle w:val="114"/>
          </w:pPr>
          <w:bookmarkStart w:id="212" w:name="_Hlk10535687"/>
          <w:bookmarkStart w:id="213" w:name="_Hlk10535696"/>
          <w:r>
            <w:rPr>
              <w:rFonts w:hint="eastAsia"/>
            </w:rPr>
            <w:t>其他说明：</w:t>
          </w:r>
          <w:bookmarkEnd w:id="212"/>
        </w:p>
        <w:sdt>
          <w:sdtPr>
            <w:alias w:val="是否适用：合同负债其他说明[双击切换]"/>
            <w:tag w:val="_GBC_f73cf097b72042508657c656d4dc0c08"/>
            <w:id w:val="69535661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3"/>
    <w:p>
      <w:pPr>
        <w:pStyle w:val="114"/>
      </w:pPr>
    </w:p>
    <w:p>
      <w:pPr>
        <w:pStyle w:val="4"/>
        <w:numPr>
          <w:ilvl w:val="0"/>
          <w:numId w:val="51"/>
        </w:numPr>
        <w:tabs>
          <w:tab w:val="left" w:pos="504"/>
        </w:tabs>
        <w:rPr>
          <w:rFonts w:ascii="宋体" w:hAnsi="宋体"/>
          <w:szCs w:val="21"/>
        </w:rPr>
      </w:pPr>
      <w:r>
        <w:rPr>
          <w:rFonts w:hint="eastAsia" w:ascii="宋体" w:hAnsi="宋体"/>
          <w:szCs w:val="21"/>
        </w:rPr>
        <w:t>应付职工薪酬</w:t>
      </w:r>
    </w:p>
    <w:sdt>
      <w:sdtPr>
        <w:rPr>
          <w:rFonts w:ascii="宋体" w:hAnsi="宋体" w:cs="宋体"/>
          <w:b w:val="0"/>
          <w:bCs w:val="0"/>
          <w:kern w:val="0"/>
          <w:szCs w:val="24"/>
        </w:rPr>
        <w:alias w:val="模块:应付职工薪酬列示："/>
        <w:tag w:val="_GBC_fa609950067149f1a5c0a6c3ba353431"/>
        <w:id w:val="-1993704841"/>
        <w:lock w:val="sdtLocked"/>
        <w:placeholder>
          <w:docPart w:val="GBC22222222222222222222222222222"/>
        </w:placeholder>
      </w:sdtPr>
      <w:sdtEndPr>
        <w:rPr>
          <w:rFonts w:ascii="宋体" w:hAnsi="宋体" w:cs="宋体"/>
          <w:b w:val="0"/>
          <w:bCs w:val="0"/>
          <w:kern w:val="0"/>
          <w:szCs w:val="21"/>
        </w:rPr>
      </w:sdtEndPr>
      <w:sdtContent>
        <w:p>
          <w:pPr>
            <w:pStyle w:val="5"/>
            <w:numPr>
              <w:ilvl w:val="0"/>
              <w:numId w:val="74"/>
            </w:numPr>
            <w:rPr>
              <w:rFonts w:ascii="宋体" w:hAnsi="宋体"/>
            </w:rPr>
          </w:pPr>
          <w:r>
            <w:rPr>
              <w:rFonts w:hint="eastAsia" w:ascii="宋体" w:hAnsi="宋体"/>
            </w:rPr>
            <w:t>应付职工薪酬列示</w:t>
          </w:r>
        </w:p>
        <w:sdt>
          <w:sdtPr>
            <w:alias w:val="是否适用：应付职工薪酬列示[双击切换]"/>
            <w:tag w:val="_GBC_88faccc480a843dca589c1af0d3fee37"/>
            <w:id w:val="-15158480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付职工薪酬"/>
              <w:tag w:val="_GBC_5c4cdcd7cd924c4ca8e87f806bc459b0"/>
              <w:id w:val="3863765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16013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1598"/>
            <w:gridCol w:w="1889"/>
            <w:gridCol w:w="1743"/>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81bea2acb8f49ac9b4cfc92cd4a426e"/>
                <w:id w:val="1156733771"/>
                <w:lock w:val="sdtLocked"/>
              </w:sdtPr>
              <w:sdtContent>
                <w:tc>
                  <w:tcPr>
                    <w:tcW w:w="1204" w:type="pct"/>
                    <w:shd w:val="clear" w:color="auto" w:fill="auto"/>
                    <w:vAlign w:val="center"/>
                  </w:tcPr>
                  <w:p>
                    <w:pPr>
                      <w:jc w:val="center"/>
                    </w:pPr>
                    <w:r>
                      <w:rPr>
                        <w:rFonts w:hint="eastAsia"/>
                      </w:rPr>
                      <w:t>项目</w:t>
                    </w:r>
                  </w:p>
                </w:tc>
              </w:sdtContent>
            </w:sdt>
            <w:sdt>
              <w:sdtPr>
                <w:tag w:val="_PLD_ff27c0f5bcb94d9b932762b91edf2ff1"/>
                <w:id w:val="-1673950339"/>
                <w:lock w:val="sdtLocked"/>
              </w:sdtPr>
              <w:sdtContent>
                <w:tc>
                  <w:tcPr>
                    <w:tcW w:w="883" w:type="pct"/>
                    <w:shd w:val="clear" w:color="auto" w:fill="auto"/>
                    <w:vAlign w:val="center"/>
                  </w:tcPr>
                  <w:p>
                    <w:pPr>
                      <w:jc w:val="center"/>
                    </w:pPr>
                    <w:r>
                      <w:rPr>
                        <w:rFonts w:hint="eastAsia"/>
                      </w:rPr>
                      <w:t>期初余额</w:t>
                    </w:r>
                  </w:p>
                </w:tc>
              </w:sdtContent>
            </w:sdt>
            <w:sdt>
              <w:sdtPr>
                <w:tag w:val="_PLD_7274636f27ae4e048ade60bfddaa8164"/>
                <w:id w:val="-1858733018"/>
                <w:lock w:val="sdtLocked"/>
              </w:sdtPr>
              <w:sdtContent>
                <w:tc>
                  <w:tcPr>
                    <w:tcW w:w="1044" w:type="pct"/>
                    <w:shd w:val="clear" w:color="auto" w:fill="auto"/>
                    <w:vAlign w:val="center"/>
                  </w:tcPr>
                  <w:p>
                    <w:pPr>
                      <w:jc w:val="center"/>
                    </w:pPr>
                    <w:r>
                      <w:rPr>
                        <w:rFonts w:hint="eastAsia"/>
                      </w:rPr>
                      <w:t>本期增加</w:t>
                    </w:r>
                  </w:p>
                </w:tc>
              </w:sdtContent>
            </w:sdt>
            <w:sdt>
              <w:sdtPr>
                <w:tag w:val="_PLD_07ae572963de436aa2308d649a28c23b"/>
                <w:id w:val="-1478679853"/>
                <w:lock w:val="sdtLocked"/>
              </w:sdtPr>
              <w:sdtContent>
                <w:tc>
                  <w:tcPr>
                    <w:tcW w:w="963" w:type="pct"/>
                    <w:shd w:val="clear" w:color="auto" w:fill="auto"/>
                    <w:vAlign w:val="center"/>
                  </w:tcPr>
                  <w:p>
                    <w:pPr>
                      <w:jc w:val="center"/>
                    </w:pPr>
                    <w:r>
                      <w:rPr>
                        <w:rFonts w:hint="eastAsia"/>
                      </w:rPr>
                      <w:t>本期减少</w:t>
                    </w:r>
                  </w:p>
                </w:tc>
              </w:sdtContent>
            </w:sdt>
            <w:sdt>
              <w:sdtPr>
                <w:tag w:val="_PLD_27069329d7654e34bc45ca7dee532204"/>
                <w:id w:val="892699502"/>
                <w:lock w:val="sdtLocked"/>
              </w:sdtPr>
              <w:sdtContent>
                <w:tc>
                  <w:tcPr>
                    <w:tcW w:w="906" w:type="pct"/>
                    <w:shd w:val="clear" w:color="auto" w:fill="auto"/>
                    <w:vAlign w:val="center"/>
                  </w:tcPr>
                  <w:p>
                    <w:pPr>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272d2e82a6f45a197d65c1251ac79c7"/>
                <w:id w:val="1813527492"/>
                <w:lock w:val="sdtLocked"/>
              </w:sdtPr>
              <w:sdtContent>
                <w:tc>
                  <w:tcPr>
                    <w:tcW w:w="1204" w:type="pct"/>
                    <w:shd w:val="clear" w:color="auto" w:fill="auto"/>
                  </w:tcPr>
                  <w:p>
                    <w:pPr>
                      <w:pStyle w:val="114"/>
                    </w:pPr>
                    <w:r>
                      <w:rPr>
                        <w:rFonts w:hint="eastAsia"/>
                      </w:rPr>
                      <w:t>一、短期薪酬</w:t>
                    </w:r>
                  </w:p>
                </w:tc>
              </w:sdtContent>
            </w:sdt>
            <w:tc>
              <w:tcPr>
                <w:tcW w:w="883" w:type="pct"/>
                <w:shd w:val="clear" w:color="auto" w:fill="auto"/>
                <w:vAlign w:val="center"/>
              </w:tcPr>
              <w:p>
                <w:pPr>
                  <w:jc w:val="right"/>
                </w:pPr>
                <w:r>
                  <w:t>7,114,523.65</w:t>
                </w:r>
              </w:p>
            </w:tc>
            <w:tc>
              <w:tcPr>
                <w:tcW w:w="1044" w:type="pct"/>
                <w:shd w:val="clear" w:color="auto" w:fill="auto"/>
                <w:vAlign w:val="center"/>
              </w:tcPr>
              <w:p>
                <w:pPr>
                  <w:jc w:val="right"/>
                  <w:rPr>
                    <w:highlight w:val="yellow"/>
                  </w:rPr>
                </w:pPr>
                <w:r>
                  <w:t>474,720,910.45</w:t>
                </w:r>
              </w:p>
            </w:tc>
            <w:tc>
              <w:tcPr>
                <w:tcW w:w="963" w:type="pct"/>
                <w:shd w:val="clear" w:color="auto" w:fill="auto"/>
                <w:vAlign w:val="center"/>
              </w:tcPr>
              <w:p>
                <w:pPr>
                  <w:jc w:val="right"/>
                  <w:rPr>
                    <w:highlight w:val="yellow"/>
                  </w:rPr>
                </w:pPr>
                <w:r>
                  <w:t>474,832,402.97</w:t>
                </w:r>
              </w:p>
            </w:tc>
            <w:tc>
              <w:tcPr>
                <w:tcW w:w="906" w:type="pct"/>
                <w:shd w:val="clear" w:color="auto" w:fill="auto"/>
                <w:vAlign w:val="center"/>
              </w:tcPr>
              <w:p>
                <w:pPr>
                  <w:jc w:val="right"/>
                </w:pPr>
                <w:r>
                  <w:t>7,003,031.13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3c7b981b4f64fe3993a41cabeb3d888"/>
                <w:id w:val="746391610"/>
                <w:lock w:val="sdtLocked"/>
              </w:sdtPr>
              <w:sdtContent>
                <w:tc>
                  <w:tcPr>
                    <w:tcW w:w="1204" w:type="pct"/>
                    <w:shd w:val="clear" w:color="auto" w:fill="auto"/>
                  </w:tcPr>
                  <w:p>
                    <w:pPr>
                      <w:pStyle w:val="114"/>
                    </w:pPr>
                    <w:r>
                      <w:rPr>
                        <w:rFonts w:hint="eastAsia"/>
                      </w:rPr>
                      <w:t>二、离职后福利-设定提存计划</w:t>
                    </w:r>
                  </w:p>
                </w:tc>
              </w:sdtContent>
            </w:sdt>
            <w:tc>
              <w:tcPr>
                <w:tcW w:w="883" w:type="pct"/>
                <w:shd w:val="clear" w:color="auto" w:fill="auto"/>
                <w:vAlign w:val="center"/>
              </w:tcPr>
              <w:p>
                <w:pPr>
                  <w:jc w:val="right"/>
                </w:pPr>
                <w:r>
                  <w:t>-</w:t>
                </w:r>
              </w:p>
            </w:tc>
            <w:tc>
              <w:tcPr>
                <w:tcW w:w="1044" w:type="pct"/>
                <w:shd w:val="clear" w:color="auto" w:fill="auto"/>
                <w:vAlign w:val="center"/>
              </w:tcPr>
              <w:p>
                <w:pPr>
                  <w:jc w:val="right"/>
                </w:pPr>
                <w:r>
                  <w:t>95,008,982.76</w:t>
                </w:r>
              </w:p>
            </w:tc>
            <w:tc>
              <w:tcPr>
                <w:tcW w:w="963" w:type="pct"/>
                <w:shd w:val="clear" w:color="auto" w:fill="auto"/>
                <w:vAlign w:val="center"/>
              </w:tcPr>
              <w:p>
                <w:pPr>
                  <w:jc w:val="right"/>
                </w:pPr>
                <w:r>
                  <w:t>95,008,982.76</w:t>
                </w:r>
              </w:p>
            </w:tc>
            <w:tc>
              <w:tcPr>
                <w:tcW w:w="906" w:type="pct"/>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ce2e7ac546346f4a7bec33299c89503"/>
                <w:id w:val="-201411779"/>
                <w:lock w:val="sdtLocked"/>
              </w:sdtPr>
              <w:sdtContent>
                <w:tc>
                  <w:tcPr>
                    <w:tcW w:w="1204" w:type="pct"/>
                    <w:shd w:val="clear" w:color="auto" w:fill="auto"/>
                    <w:vAlign w:val="center"/>
                  </w:tcPr>
                  <w:p>
                    <w:pPr>
                      <w:jc w:val="center"/>
                    </w:pPr>
                    <w:r>
                      <w:rPr>
                        <w:rFonts w:hint="eastAsia"/>
                      </w:rPr>
                      <w:t>合计</w:t>
                    </w:r>
                  </w:p>
                </w:tc>
              </w:sdtContent>
            </w:sdt>
            <w:tc>
              <w:tcPr>
                <w:tcW w:w="883" w:type="pct"/>
                <w:shd w:val="clear" w:color="auto" w:fill="auto"/>
                <w:vAlign w:val="center"/>
              </w:tcPr>
              <w:p>
                <w:pPr>
                  <w:jc w:val="right"/>
                </w:pPr>
                <w:r>
                  <w:t>7,114,523.65</w:t>
                </w:r>
              </w:p>
            </w:tc>
            <w:tc>
              <w:tcPr>
                <w:tcW w:w="1044" w:type="pct"/>
                <w:shd w:val="clear" w:color="auto" w:fill="auto"/>
                <w:vAlign w:val="center"/>
              </w:tcPr>
              <w:p>
                <w:pPr>
                  <w:jc w:val="right"/>
                </w:pPr>
                <w:r>
                  <w:t>569,729,893.21</w:t>
                </w:r>
              </w:p>
            </w:tc>
            <w:tc>
              <w:tcPr>
                <w:tcW w:w="963" w:type="pct"/>
                <w:shd w:val="clear" w:color="auto" w:fill="auto"/>
                <w:vAlign w:val="center"/>
              </w:tcPr>
              <w:p>
                <w:pPr>
                  <w:jc w:val="right"/>
                </w:pPr>
                <w:r>
                  <w:t>569,841,385.73</w:t>
                </w:r>
              </w:p>
            </w:tc>
            <w:tc>
              <w:tcPr>
                <w:tcW w:w="906" w:type="pct"/>
                <w:shd w:val="clear" w:color="auto" w:fill="auto"/>
                <w:vAlign w:val="center"/>
              </w:tcPr>
              <w:p>
                <w:pPr>
                  <w:jc w:val="right"/>
                </w:pPr>
                <w:r>
                  <w:t>7,003,031.13</w:t>
                </w:r>
              </w:p>
            </w:tc>
          </w:tr>
        </w:tbl>
        <w:p>
          <w:pPr>
            <w:pStyle w:val="114"/>
          </w:pPr>
        </w:p>
      </w:sdtContent>
    </w:sdt>
    <w:sdt>
      <w:sdtPr>
        <w:rPr>
          <w:rFonts w:hint="eastAsia" w:ascii="宋体" w:hAnsi="宋体" w:cs="宋体"/>
          <w:b w:val="0"/>
          <w:bCs w:val="0"/>
          <w:kern w:val="0"/>
          <w:szCs w:val="24"/>
        </w:rPr>
        <w:alias w:val="模块:短期薪酬列示"/>
        <w:tag w:val="_GBC_8889528627cf49dfa80ba4d972a53405"/>
        <w:id w:val="1218934932"/>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74"/>
            </w:numPr>
            <w:rPr>
              <w:rFonts w:ascii="宋体" w:hAnsi="宋体"/>
            </w:rPr>
          </w:pPr>
          <w:r>
            <w:rPr>
              <w:rFonts w:hint="eastAsia" w:ascii="宋体" w:hAnsi="宋体"/>
            </w:rPr>
            <w:t>短期薪酬列示</w:t>
          </w:r>
        </w:p>
        <w:sdt>
          <w:sdtPr>
            <w:alias w:val="是否适用：短期薪酬列示[双击切换]"/>
            <w:tag w:val="_GBC_fe9cc4ffdf524f4695448b31c76167ce"/>
            <w:id w:val="210598943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短期薪酬"/>
              <w:tag w:val="_GBC_f5a2a934147944d68f11ca2bcce4d80f"/>
              <w:id w:val="12996412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1101772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1598"/>
            <w:gridCol w:w="1889"/>
            <w:gridCol w:w="1765"/>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b5378bc64e24511ae79d643c80f9c98"/>
                <w:id w:val="-429813871"/>
                <w:lock w:val="sdtLocked"/>
              </w:sdtPr>
              <w:sdtContent>
                <w:tc>
                  <w:tcPr>
                    <w:tcW w:w="120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项目</w:t>
                    </w:r>
                  </w:p>
                </w:tc>
              </w:sdtContent>
            </w:sdt>
            <w:sdt>
              <w:sdtPr>
                <w:tag w:val="_PLD_0144fa4bad154236aa75e1dcc0a89e56"/>
                <w:id w:val="324707767"/>
                <w:lock w:val="sdtLocked"/>
              </w:sdtPr>
              <w:sdtContent>
                <w:tc>
                  <w:tcPr>
                    <w:tcW w:w="8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期初余额</w:t>
                    </w:r>
                  </w:p>
                </w:tc>
              </w:sdtContent>
            </w:sdt>
            <w:sdt>
              <w:sdtPr>
                <w:tag w:val="_PLD_2d15a4a9e10b4386a7ed67bc2137e04a"/>
                <w:id w:val="-1308931498"/>
                <w:lock w:val="sdtLocked"/>
              </w:sdtPr>
              <w:sdtContent>
                <w:tc>
                  <w:tcPr>
                    <w:tcW w:w="1044"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本期增加</w:t>
                    </w:r>
                  </w:p>
                </w:tc>
              </w:sdtContent>
            </w:sdt>
            <w:sdt>
              <w:sdtPr>
                <w:tag w:val="_PLD_12a2bbefe0874cde83fdb77f4a4158a1"/>
                <w:id w:val="654418235"/>
                <w:lock w:val="sdtLocked"/>
              </w:sdtPr>
              <w:sdtContent>
                <w:tc>
                  <w:tcPr>
                    <w:tcW w:w="975" w:type="pct"/>
                    <w:tcBorders>
                      <w:top w:val="single" w:color="auto" w:sz="4" w:space="0"/>
                      <w:left w:val="single" w:color="auto" w:sz="4" w:space="0"/>
                      <w:bottom w:val="single" w:color="auto" w:sz="4" w:space="0"/>
                      <w:right w:val="single" w:color="auto" w:sz="4" w:space="0"/>
                    </w:tcBorders>
                    <w:vAlign w:val="center"/>
                  </w:tcPr>
                  <w:p>
                    <w:pPr>
                      <w:jc w:val="center"/>
                    </w:pPr>
                    <w:r>
                      <w:t>本期减少</w:t>
                    </w:r>
                  </w:p>
                </w:tc>
              </w:sdtContent>
            </w:sdt>
            <w:sdt>
              <w:sdtPr>
                <w:tag w:val="_PLD_190d6bcbbde148ffb48f230c6d9d7186"/>
                <w:id w:val="-930273673"/>
                <w:lock w:val="sdtLocked"/>
              </w:sdtPr>
              <w:sdtContent>
                <w:tc>
                  <w:tcPr>
                    <w:tcW w:w="89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24db0ed8285493c9b46db6af314618d"/>
                <w:id w:val="35404774"/>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一、工资、奖金、津贴和补贴</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821,886.62</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359,996,574.87</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360,118,772.44</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699,689.05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557df41d0484816863da6fa2f5bb6e0"/>
                <w:id w:val="743218949"/>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二、职工福利费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3,236,793.15</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3,236,793.15</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bac61dc87104ba08157258eaf632c94"/>
                <w:id w:val="-219900530"/>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三、社会保险费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3,765.00</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33,717,327.08</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33,718,285.06</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2,807.02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ae6ec180f494dc4bdbe2a71caadcf9d"/>
                <w:id w:val="-669252153"/>
                <w:lock w:val="sdtLocked"/>
              </w:sdtPr>
              <w:sdtContent>
                <w:tc>
                  <w:tcPr>
                    <w:tcW w:w="1204" w:type="pct"/>
                    <w:tcBorders>
                      <w:top w:val="single" w:color="auto" w:sz="4" w:space="0"/>
                      <w:left w:val="single" w:color="auto" w:sz="4" w:space="0"/>
                      <w:bottom w:val="single" w:color="auto" w:sz="4" w:space="0"/>
                      <w:right w:val="single" w:color="auto" w:sz="4" w:space="0"/>
                    </w:tcBorders>
                  </w:tcPr>
                  <w:p>
                    <w:pPr>
                      <w:rPr>
                        <w:color w:val="008000"/>
                      </w:rPr>
                    </w:pPr>
                    <w:r>
                      <w:rPr>
                        <w:rFonts w:hint="eastAsia"/>
                      </w:rPr>
                      <w:t>其中：</w:t>
                    </w:r>
                    <w:r>
                      <w:t>医疗保险费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3,765.00</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28,998,928.45</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28,999,886.43</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2,807.02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5396281963e4191a16040ecc2da4b44"/>
                <w:id w:val="-385644681"/>
                <w:lock w:val="sdtLocked"/>
              </w:sdtPr>
              <w:sdtContent>
                <w:tc>
                  <w:tcPr>
                    <w:tcW w:w="1204" w:type="pct"/>
                    <w:tcBorders>
                      <w:top w:val="single" w:color="auto" w:sz="4" w:space="0"/>
                      <w:left w:val="single" w:color="auto" w:sz="4" w:space="0"/>
                      <w:bottom w:val="single" w:color="auto" w:sz="4" w:space="0"/>
                      <w:right w:val="single" w:color="auto" w:sz="4" w:space="0"/>
                    </w:tcBorders>
                  </w:tcPr>
                  <w:p>
                    <w:pPr>
                      <w:ind w:firstLine="630" w:firstLineChars="300"/>
                    </w:pPr>
                    <w:r>
                      <w:rPr>
                        <w:rFonts w:hint="eastAsia"/>
                      </w:rPr>
                      <w:t>工伤保险费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1,951,826.72</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1,951,826.72</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04a3b1683d741ebb83bd99deed156d6"/>
                <w:id w:val="1095214125"/>
                <w:lock w:val="sdtLocked"/>
              </w:sdtPr>
              <w:sdtContent>
                <w:tc>
                  <w:tcPr>
                    <w:tcW w:w="1204" w:type="pct"/>
                    <w:tcBorders>
                      <w:top w:val="single" w:color="auto" w:sz="4" w:space="0"/>
                      <w:left w:val="single" w:color="auto" w:sz="4" w:space="0"/>
                      <w:bottom w:val="single" w:color="auto" w:sz="4" w:space="0"/>
                      <w:right w:val="single" w:color="auto" w:sz="4" w:space="0"/>
                    </w:tcBorders>
                  </w:tcPr>
                  <w:p>
                    <w:pPr>
                      <w:ind w:firstLine="630" w:firstLineChars="300"/>
                    </w:pPr>
                    <w:r>
                      <w:rPr>
                        <w:rFonts w:hint="eastAsia"/>
                      </w:rPr>
                      <w:t>生育保险费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2,766,571.91</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2,766,571.91</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cd8935ff2544a81820fdc14f7afe2b7"/>
                <w:id w:val="-1300453170"/>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四、住房公积金</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44,931,502.00</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44,931,502.00</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a4d3040fb464e23a007dcea5588dfc0"/>
                <w:id w:val="1428995532"/>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五、工会经费和职工教育经费</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6,288,872.03</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9,627,008.92</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9,615,345.89</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6,300,535.06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c842d3a1ac64d43805380b3757b59de"/>
                <w:id w:val="-1343241624"/>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六、短期带薪缺勤</w:t>
                    </w:r>
                  </w:p>
                </w:tc>
              </w:sdtContent>
            </w:sdt>
            <w:tc>
              <w:tcPr>
                <w:tcW w:w="883" w:type="pct"/>
                <w:tcBorders>
                  <w:top w:val="single" w:color="auto" w:sz="4" w:space="0"/>
                  <w:left w:val="single" w:color="auto" w:sz="4" w:space="0"/>
                  <w:bottom w:val="single" w:color="auto" w:sz="4" w:space="0"/>
                  <w:right w:val="single" w:color="auto" w:sz="4" w:space="0"/>
                </w:tcBorders>
              </w:tcPr>
              <w:p>
                <w:pPr>
                  <w:jc w:val="right"/>
                </w:pPr>
              </w:p>
            </w:tc>
            <w:tc>
              <w:tcPr>
                <w:tcW w:w="1044" w:type="pct"/>
                <w:tcBorders>
                  <w:top w:val="single" w:color="auto" w:sz="4" w:space="0"/>
                  <w:left w:val="single" w:color="auto" w:sz="4" w:space="0"/>
                  <w:bottom w:val="single" w:color="auto" w:sz="4" w:space="0"/>
                  <w:right w:val="single" w:color="auto" w:sz="4" w:space="0"/>
                </w:tcBorders>
              </w:tcPr>
              <w:p>
                <w:pPr>
                  <w:jc w:val="right"/>
                </w:pPr>
              </w:p>
            </w:tc>
            <w:tc>
              <w:tcPr>
                <w:tcW w:w="975" w:type="pct"/>
                <w:tcBorders>
                  <w:top w:val="single" w:color="auto" w:sz="4" w:space="0"/>
                  <w:left w:val="single" w:color="auto" w:sz="4" w:space="0"/>
                  <w:bottom w:val="single" w:color="auto" w:sz="4" w:space="0"/>
                  <w:right w:val="single" w:color="auto" w:sz="4" w:space="0"/>
                </w:tcBorders>
              </w:tcPr>
              <w:p>
                <w:pPr>
                  <w:jc w:val="right"/>
                </w:pPr>
              </w:p>
            </w:tc>
            <w:tc>
              <w:tcPr>
                <w:tcW w:w="894" w:type="pct"/>
                <w:tcBorders>
                  <w:top w:val="single" w:color="auto" w:sz="4" w:space="0"/>
                  <w:left w:val="single" w:color="auto" w:sz="4" w:space="0"/>
                  <w:bottom w:val="single" w:color="auto" w:sz="4" w:space="0"/>
                  <w:right w:val="single"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4541d44000e431dabc3b1ad9c535a6b"/>
                <w:id w:val="1878816393"/>
                <w:lock w:val="sdtLocked"/>
              </w:sdtPr>
              <w:sdtContent>
                <w:tc>
                  <w:tcPr>
                    <w:tcW w:w="1204" w:type="pct"/>
                    <w:tcBorders>
                      <w:top w:val="single" w:color="auto" w:sz="4" w:space="0"/>
                      <w:left w:val="single" w:color="auto" w:sz="4" w:space="0"/>
                      <w:bottom w:val="single" w:color="auto" w:sz="4" w:space="0"/>
                      <w:right w:val="single" w:color="auto" w:sz="4" w:space="0"/>
                    </w:tcBorders>
                  </w:tcPr>
                  <w:p>
                    <w:pPr>
                      <w:autoSpaceDE w:val="0"/>
                      <w:autoSpaceDN w:val="0"/>
                      <w:adjustRightInd w:val="0"/>
                    </w:pPr>
                    <w:r>
                      <w:rPr>
                        <w:rFonts w:hint="eastAsia"/>
                      </w:rPr>
                      <w:t>七、短期利润分享计划</w:t>
                    </w:r>
                  </w:p>
                </w:tc>
              </w:sdtContent>
            </w:sdt>
            <w:tc>
              <w:tcPr>
                <w:tcW w:w="883" w:type="pct"/>
                <w:tcBorders>
                  <w:top w:val="single" w:color="auto" w:sz="4" w:space="0"/>
                  <w:left w:val="single" w:color="auto" w:sz="4" w:space="0"/>
                  <w:bottom w:val="single" w:color="auto" w:sz="4" w:space="0"/>
                  <w:right w:val="single" w:color="auto" w:sz="4" w:space="0"/>
                </w:tcBorders>
              </w:tcPr>
              <w:p>
                <w:pPr>
                  <w:jc w:val="right"/>
                </w:pPr>
              </w:p>
            </w:tc>
            <w:tc>
              <w:tcPr>
                <w:tcW w:w="1044" w:type="pct"/>
                <w:tcBorders>
                  <w:top w:val="single" w:color="auto" w:sz="4" w:space="0"/>
                  <w:left w:val="single" w:color="auto" w:sz="4" w:space="0"/>
                  <w:bottom w:val="single" w:color="auto" w:sz="4" w:space="0"/>
                  <w:right w:val="single" w:color="auto" w:sz="4" w:space="0"/>
                </w:tcBorders>
              </w:tcPr>
              <w:p>
                <w:pPr>
                  <w:jc w:val="right"/>
                </w:pPr>
              </w:p>
            </w:tc>
            <w:tc>
              <w:tcPr>
                <w:tcW w:w="975" w:type="pct"/>
                <w:tcBorders>
                  <w:top w:val="single" w:color="auto" w:sz="4" w:space="0"/>
                  <w:left w:val="single" w:color="auto" w:sz="4" w:space="0"/>
                  <w:bottom w:val="single" w:color="auto" w:sz="4" w:space="0"/>
                  <w:right w:val="single" w:color="auto" w:sz="4" w:space="0"/>
                </w:tcBorders>
              </w:tcPr>
              <w:p>
                <w:pPr>
                  <w:jc w:val="right"/>
                </w:pPr>
              </w:p>
            </w:tc>
            <w:tc>
              <w:tcPr>
                <w:tcW w:w="894" w:type="pct"/>
                <w:tcBorders>
                  <w:top w:val="single" w:color="auto" w:sz="4" w:space="0"/>
                  <w:left w:val="single" w:color="auto" w:sz="4" w:space="0"/>
                  <w:bottom w:val="single" w:color="auto" w:sz="4" w:space="0"/>
                  <w:right w:val="single" w:color="auto" w:sz="4" w:space="0"/>
                </w:tcBorders>
              </w:tcPr>
              <w:p>
                <w:pPr>
                  <w:jc w:val="right"/>
                </w:pPr>
              </w:p>
            </w:tc>
          </w:tr>
          <w:sdt>
            <w:sdtPr>
              <w:alias w:val="应付职工薪酬中的其他应付薪酬明细"/>
              <w:tag w:val="_GBC_68e70a06bfb74c23922ba3755003afbc"/>
              <w:id w:val="-995410996"/>
              <w:lock w:val="sdtLocked"/>
            </w:sdtPr>
            <w:sdtEndPr>
              <w:rPr>
                <w:color w:val="000000" w:themeColor="text1"/>
                <w14:textFill>
                  <w14:solidFill>
                    <w14:schemeClr w14:val="tx1"/>
                  </w14:solidFill>
                </w14:textFil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pct"/>
                    <w:tcBorders>
                      <w:top w:val="single" w:color="auto" w:sz="4" w:space="0"/>
                      <w:left w:val="single" w:color="auto" w:sz="4" w:space="0"/>
                      <w:bottom w:val="single" w:color="auto" w:sz="4" w:space="0"/>
                      <w:right w:val="single" w:color="auto" w:sz="4" w:space="0"/>
                    </w:tcBorders>
                  </w:tcPr>
                  <w:p>
                    <w:pPr>
                      <w:pStyle w:val="114"/>
                    </w:pPr>
                    <w:r>
                      <w:rPr>
                        <w:rFonts w:hint="eastAsia"/>
                      </w:rPr>
                      <w:t>八、非货币性福利</w:t>
                    </w:r>
                  </w:p>
                </w:tc>
                <w:tc>
                  <w:tcPr>
                    <w:tcW w:w="883" w:type="pct"/>
                    <w:tcBorders>
                      <w:top w:val="single" w:color="auto" w:sz="4" w:space="0"/>
                      <w:left w:val="single" w:color="auto" w:sz="4" w:space="0"/>
                      <w:bottom w:val="single" w:color="auto" w:sz="4" w:space="0"/>
                      <w:right w:val="single" w:color="auto" w:sz="4" w:space="0"/>
                    </w:tcBorders>
                  </w:tcPr>
                  <w:p>
                    <w:pPr>
                      <w:jc w:val="right"/>
                    </w:pPr>
                    <w:r>
                      <w:t>-</w:t>
                    </w:r>
                  </w:p>
                </w:tc>
                <w:tc>
                  <w:tcPr>
                    <w:tcW w:w="1044" w:type="pct"/>
                    <w:tcBorders>
                      <w:top w:val="single" w:color="auto" w:sz="4" w:space="0"/>
                      <w:left w:val="single" w:color="auto" w:sz="4" w:space="0"/>
                      <w:bottom w:val="single" w:color="auto" w:sz="4" w:space="0"/>
                      <w:right w:val="single" w:color="auto" w:sz="4" w:space="0"/>
                    </w:tcBorders>
                  </w:tcPr>
                  <w:p>
                    <w:pPr>
                      <w:jc w:val="right"/>
                    </w:pPr>
                    <w:r>
                      <w:t>23,211,704.43</w:t>
                    </w:r>
                  </w:p>
                </w:tc>
                <w:tc>
                  <w:tcPr>
                    <w:tcW w:w="975" w:type="pct"/>
                    <w:tcBorders>
                      <w:top w:val="single" w:color="auto" w:sz="4" w:space="0"/>
                      <w:left w:val="single" w:color="auto" w:sz="4" w:space="0"/>
                      <w:bottom w:val="single" w:color="auto" w:sz="4" w:space="0"/>
                      <w:right w:val="single" w:color="auto" w:sz="4" w:space="0"/>
                    </w:tcBorders>
                  </w:tcPr>
                  <w:p>
                    <w:pPr>
                      <w:jc w:val="right"/>
                    </w:pPr>
                    <w:r>
                      <w:t>23,211,704.43</w:t>
                    </w:r>
                  </w:p>
                </w:tc>
                <w:tc>
                  <w:tcPr>
                    <w:tcW w:w="894" w:type="pct"/>
                    <w:tcBorders>
                      <w:top w:val="single" w:color="auto" w:sz="4" w:space="0"/>
                      <w:left w:val="single" w:color="auto" w:sz="4" w:space="0"/>
                      <w:bottom w:val="single" w:color="auto" w:sz="4" w:space="0"/>
                      <w:right w:val="single" w:color="auto" w:sz="4" w:space="0"/>
                    </w:tcBorders>
                  </w:tcPr>
                  <w:p>
                    <w:pPr>
                      <w:jc w:val="right"/>
                    </w:pPr>
                  </w:p>
                </w:tc>
              </w:tr>
            </w:sdtContent>
          </w:sdt>
          <w:sdt>
            <w:sdtPr>
              <w:alias w:val="应付职工薪酬中的其他应付薪酬明细"/>
              <w:tag w:val="_GBC_68e70a06bfb74c23922ba3755003afbc"/>
              <w:id w:val="1376963579"/>
              <w:lock w:val="sdtLocked"/>
            </w:sdtPr>
            <w:sdtEndPr>
              <w:rPr>
                <w:color w:val="000000" w:themeColor="text1"/>
                <w14:textFill>
                  <w14:solidFill>
                    <w14:schemeClr w14:val="tx1"/>
                  </w14:solidFill>
                </w14:textFil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pct"/>
                    <w:tcBorders>
                      <w:top w:val="single" w:color="auto" w:sz="4" w:space="0"/>
                      <w:left w:val="single" w:color="auto" w:sz="4" w:space="0"/>
                      <w:bottom w:val="single" w:color="auto" w:sz="4" w:space="0"/>
                      <w:right w:val="single" w:color="auto" w:sz="4" w:space="0"/>
                    </w:tcBorders>
                  </w:tcPr>
                  <w:p>
                    <w:pPr>
                      <w:pStyle w:val="114"/>
                    </w:pPr>
                    <w:r>
                      <w:rPr>
                        <w:rFonts w:hint="eastAsia"/>
                      </w:rPr>
                      <w:t>九、辞退福利</w:t>
                    </w:r>
                  </w:p>
                </w:tc>
                <w:tc>
                  <w:tcPr>
                    <w:tcW w:w="883" w:type="pct"/>
                    <w:tcBorders>
                      <w:top w:val="single" w:color="auto" w:sz="4" w:space="0"/>
                      <w:left w:val="single" w:color="auto" w:sz="4" w:space="0"/>
                      <w:bottom w:val="single" w:color="auto" w:sz="4" w:space="0"/>
                      <w:right w:val="single" w:color="auto" w:sz="4" w:space="0"/>
                    </w:tcBorders>
                  </w:tcPr>
                  <w:p>
                    <w:pPr>
                      <w:jc w:val="right"/>
                    </w:pPr>
                    <w:r>
                      <w:t>-</w:t>
                    </w:r>
                  </w:p>
                </w:tc>
                <w:tc>
                  <w:tcPr>
                    <w:tcW w:w="1044" w:type="pct"/>
                    <w:tcBorders>
                      <w:top w:val="single" w:color="auto" w:sz="4" w:space="0"/>
                      <w:left w:val="single" w:color="auto" w:sz="4" w:space="0"/>
                      <w:bottom w:val="single" w:color="auto" w:sz="4" w:space="0"/>
                      <w:right w:val="single" w:color="auto" w:sz="4" w:space="0"/>
                    </w:tcBorders>
                  </w:tcPr>
                  <w:p>
                    <w:pPr>
                      <w:jc w:val="right"/>
                    </w:pPr>
                  </w:p>
                </w:tc>
                <w:tc>
                  <w:tcPr>
                    <w:tcW w:w="975" w:type="pct"/>
                    <w:tcBorders>
                      <w:top w:val="single" w:color="auto" w:sz="4" w:space="0"/>
                      <w:left w:val="single" w:color="auto" w:sz="4" w:space="0"/>
                      <w:bottom w:val="single" w:color="auto" w:sz="4" w:space="0"/>
                      <w:right w:val="single" w:color="auto" w:sz="4" w:space="0"/>
                    </w:tcBorders>
                  </w:tcPr>
                  <w:p>
                    <w:pPr>
                      <w:jc w:val="right"/>
                    </w:pPr>
                  </w:p>
                </w:tc>
                <w:tc>
                  <w:tcPr>
                    <w:tcW w:w="894" w:type="pct"/>
                    <w:tcBorders>
                      <w:top w:val="single" w:color="auto" w:sz="4" w:space="0"/>
                      <w:left w:val="single" w:color="auto" w:sz="4" w:space="0"/>
                      <w:bottom w:val="single" w:color="auto" w:sz="4" w:space="0"/>
                      <w:right w:val="single" w:color="auto" w:sz="4" w:space="0"/>
                    </w:tcBorders>
                  </w:tcPr>
                  <w:p>
                    <w:pPr>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abbed23473c4b4bb51ec9b7d667e31c"/>
                <w:id w:val="-784186146"/>
                <w:lock w:val="sdtLocked"/>
              </w:sdtPr>
              <w:sdtContent>
                <w:tc>
                  <w:tcPr>
                    <w:tcW w:w="120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合计</w:t>
                    </w:r>
                  </w:p>
                </w:tc>
              </w:sdtContent>
            </w:sdt>
            <w:tc>
              <w:tcPr>
                <w:tcW w:w="883" w:type="pct"/>
                <w:tcBorders>
                  <w:top w:val="single" w:color="auto" w:sz="4" w:space="0"/>
                  <w:left w:val="single" w:color="auto" w:sz="4" w:space="0"/>
                  <w:bottom w:val="single" w:color="auto" w:sz="4" w:space="0"/>
                  <w:right w:val="single" w:color="auto" w:sz="4" w:space="0"/>
                </w:tcBorders>
                <w:vAlign w:val="center"/>
              </w:tcPr>
              <w:p>
                <w:pPr>
                  <w:jc w:val="right"/>
                </w:pPr>
                <w:r>
                  <w:t>7,114,523.65</w:t>
                </w:r>
              </w:p>
            </w:tc>
            <w:tc>
              <w:tcPr>
                <w:tcW w:w="1044" w:type="pct"/>
                <w:tcBorders>
                  <w:top w:val="single" w:color="auto" w:sz="4" w:space="0"/>
                  <w:left w:val="single" w:color="auto" w:sz="4" w:space="0"/>
                  <w:bottom w:val="single" w:color="auto" w:sz="4" w:space="0"/>
                  <w:right w:val="single" w:color="auto" w:sz="4" w:space="0"/>
                </w:tcBorders>
                <w:vAlign w:val="center"/>
              </w:tcPr>
              <w:p>
                <w:pPr>
                  <w:jc w:val="right"/>
                </w:pPr>
                <w:r>
                  <w:t>474,720,910.45</w:t>
                </w:r>
              </w:p>
            </w:tc>
            <w:tc>
              <w:tcPr>
                <w:tcW w:w="975" w:type="pct"/>
                <w:tcBorders>
                  <w:top w:val="single" w:color="auto" w:sz="4" w:space="0"/>
                  <w:left w:val="single" w:color="auto" w:sz="4" w:space="0"/>
                  <w:bottom w:val="single" w:color="auto" w:sz="4" w:space="0"/>
                  <w:right w:val="single" w:color="auto" w:sz="4" w:space="0"/>
                </w:tcBorders>
                <w:vAlign w:val="center"/>
              </w:tcPr>
              <w:p>
                <w:pPr>
                  <w:jc w:val="right"/>
                </w:pPr>
                <w:r>
                  <w:t>474,832,402.97</w:t>
                </w:r>
              </w:p>
            </w:tc>
            <w:tc>
              <w:tcPr>
                <w:tcW w:w="894" w:type="pct"/>
                <w:tcBorders>
                  <w:top w:val="single" w:color="auto" w:sz="4" w:space="0"/>
                  <w:left w:val="single" w:color="auto" w:sz="4" w:space="0"/>
                  <w:bottom w:val="single" w:color="auto" w:sz="4" w:space="0"/>
                  <w:right w:val="single" w:color="auto" w:sz="4" w:space="0"/>
                </w:tcBorders>
                <w:vAlign w:val="center"/>
              </w:tcPr>
              <w:p>
                <w:pPr>
                  <w:jc w:val="right"/>
                </w:pPr>
                <w:r>
                  <w:t>7,003,031.13</w:t>
                </w:r>
              </w:p>
            </w:tc>
          </w:tr>
        </w:tbl>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本集团本期为职工提供了非货币性福利，金额为人民币</w:t>
          </w:r>
          <w:r>
            <w:rPr>
              <w:rFonts w:cs="Arial" w:asciiTheme="minorEastAsia" w:hAnsiTheme="minorEastAsia" w:eastAsiaTheme="minorEastAsia"/>
              <w:color w:val="000000" w:themeColor="text1"/>
              <w:kern w:val="2"/>
              <w14:textFill>
                <w14:solidFill>
                  <w14:schemeClr w14:val="tx1"/>
                </w14:solidFill>
              </w14:textFill>
            </w:rPr>
            <w:t xml:space="preserve">23,211,704.43 </w:t>
          </w:r>
          <w:r>
            <w:rPr>
              <w:rFonts w:hint="eastAsia" w:cs="Arial" w:asciiTheme="minorEastAsia" w:hAnsiTheme="minorEastAsia" w:eastAsiaTheme="minorEastAsia"/>
              <w:color w:val="000000" w:themeColor="text1"/>
              <w:kern w:val="2"/>
              <w14:textFill>
                <w14:solidFill>
                  <w14:schemeClr w14:val="tx1"/>
                </w14:solidFill>
              </w14:textFill>
            </w:rPr>
            <w:t>元（</w:t>
          </w:r>
          <w:r>
            <w:rPr>
              <w:rFonts w:cs="Arial" w:asciiTheme="minorEastAsia" w:hAnsiTheme="minorEastAsia" w:eastAsiaTheme="minorEastAsia"/>
              <w:color w:val="000000" w:themeColor="text1"/>
              <w:kern w:val="2"/>
              <w14:textFill>
                <w14:solidFill>
                  <w14:schemeClr w14:val="tx1"/>
                </w14:solidFill>
              </w14:textFill>
            </w:rPr>
            <w:t>2022</w:t>
          </w:r>
          <w:r>
            <w:rPr>
              <w:rFonts w:hint="eastAsia" w:cs="Arial" w:asciiTheme="minorEastAsia" w:hAnsiTheme="minorEastAsia" w:eastAsiaTheme="minorEastAsia"/>
              <w:color w:val="000000" w:themeColor="text1"/>
              <w:kern w:val="2"/>
              <w14:textFill>
                <w14:solidFill>
                  <w14:schemeClr w14:val="tx1"/>
                </w14:solidFill>
              </w14:textFill>
            </w:rPr>
            <w:t>年同期：人民币</w:t>
          </w:r>
          <w:r>
            <w:rPr>
              <w:rFonts w:cs="Arial" w:asciiTheme="minorEastAsia" w:hAnsiTheme="minorEastAsia" w:eastAsiaTheme="minorEastAsia"/>
              <w:color w:val="000000" w:themeColor="text1"/>
              <w:kern w:val="2"/>
              <w14:textFill>
                <w14:solidFill>
                  <w14:schemeClr w14:val="tx1"/>
                </w14:solidFill>
              </w14:textFill>
            </w:rPr>
            <w:t xml:space="preserve">21,453,306.90 </w:t>
          </w:r>
          <w:r>
            <w:rPr>
              <w:rFonts w:hint="eastAsia" w:cs="Arial" w:asciiTheme="minorEastAsia" w:hAnsiTheme="minorEastAsia" w:eastAsiaTheme="minorEastAsia"/>
              <w:color w:val="000000" w:themeColor="text1"/>
              <w:kern w:val="2"/>
              <w14:textFill>
                <w14:solidFill>
                  <w14:schemeClr w14:val="tx1"/>
                </w14:solidFill>
              </w14:textFill>
            </w:rPr>
            <w:t>元</w:t>
          </w:r>
          <w:r>
            <w:rPr>
              <w:rFonts w:cs="Arial" w:asciiTheme="minorEastAsia" w:hAnsiTheme="minorEastAsia" w:eastAsiaTheme="minorEastAsia"/>
              <w:color w:val="000000" w:themeColor="text1"/>
              <w:kern w:val="2"/>
              <w14:textFill>
                <w14:solidFill>
                  <w14:schemeClr w14:val="tx1"/>
                </w14:solidFill>
              </w14:textFill>
            </w:rPr>
            <w:t>)</w:t>
          </w:r>
          <w:r>
            <w:rPr>
              <w:rFonts w:hint="eastAsia" w:cs="Arial" w:asciiTheme="minorEastAsia" w:hAnsiTheme="minorEastAsia" w:eastAsiaTheme="minorEastAsia"/>
              <w:color w:val="000000" w:themeColor="text1"/>
              <w:kern w:val="2"/>
              <w14:textFill>
                <w14:solidFill>
                  <w14:schemeClr w14:val="tx1"/>
                </w14:solidFill>
              </w14:textFill>
            </w:rPr>
            <w:t>，主要指本集团向员工发放的外购福利品，节日慰问品等非货币形式支付的福利，计算依据为购置福利品的实际成本。</w:t>
          </w:r>
        </w:p>
        <w:p>
          <w:pPr>
            <w:rPr>
              <w:color w:val="000000" w:themeColor="text1"/>
              <w14:textFill>
                <w14:solidFill>
                  <w14:schemeClr w14:val="tx1"/>
                </w14:solidFill>
              </w14:textFill>
            </w:rPr>
          </w:pPr>
        </w:p>
      </w:sdtContent>
    </w:sdt>
    <w:sdt>
      <w:sdtPr>
        <w:rPr>
          <w:rFonts w:hint="eastAsia" w:ascii="宋体" w:hAnsi="宋体" w:cs="宋体"/>
          <w:b w:val="0"/>
          <w:bCs w:val="0"/>
          <w:kern w:val="0"/>
          <w:szCs w:val="21"/>
        </w:rPr>
        <w:alias w:val="模块:设定提存计划列示"/>
        <w:tag w:val="_GBC_b98ebc9fce454755bd30d763bee0283a"/>
        <w:id w:val="-449625230"/>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74"/>
            </w:numPr>
            <w:rPr>
              <w:rFonts w:ascii="宋体" w:hAnsi="宋体"/>
              <w:szCs w:val="21"/>
            </w:rPr>
          </w:pPr>
          <w:r>
            <w:rPr>
              <w:rFonts w:hint="eastAsia" w:ascii="宋体" w:hAnsi="宋体" w:cs="宋体"/>
              <w:b w:val="0"/>
              <w:bCs w:val="0"/>
              <w:kern w:val="0"/>
              <w:szCs w:val="21"/>
            </w:rPr>
            <w:t>离职后福利-</w:t>
          </w:r>
          <w:r>
            <w:rPr>
              <w:rFonts w:hint="eastAsia" w:ascii="宋体" w:hAnsi="宋体"/>
              <w:szCs w:val="21"/>
            </w:rPr>
            <w:t>设定提存计划列示</w:t>
          </w:r>
        </w:p>
        <w:sdt>
          <w:sdtPr>
            <w:alias w:val="是否适用：设定提存计划列示[双击切换]"/>
            <w:tag w:val="_GBC_107b7eec6d75473e8809e93d01e00021"/>
            <w:id w:val="41952638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设定提存计划列示"/>
              <w:tag w:val="_GBC_744d8f829e6040c78616ef1951ef7e59"/>
              <w:id w:val="481241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8834832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4"/>
            <w:gridCol w:w="1480"/>
            <w:gridCol w:w="1754"/>
            <w:gridCol w:w="1638"/>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8a9011ca6bd4cc895a50279da6547e9"/>
                <w:id w:val="-1524619743"/>
                <w:lock w:val="sdtLocked"/>
              </w:sdtPr>
              <w:sdtContent>
                <w:tc>
                  <w:tcPr>
                    <w:tcW w:w="142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项目</w:t>
                    </w:r>
                  </w:p>
                </w:tc>
              </w:sdtContent>
            </w:sdt>
            <w:sdt>
              <w:sdtPr>
                <w:tag w:val="_PLD_db9ecea0e08e4c1bb5fe2474183a8480"/>
                <w:id w:val="335816448"/>
                <w:lock w:val="sdtLocked"/>
              </w:sdtPr>
              <w:sdtContent>
                <w:tc>
                  <w:tcPr>
                    <w:tcW w:w="81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期初余额</w:t>
                    </w:r>
                  </w:p>
                </w:tc>
              </w:sdtContent>
            </w:sdt>
            <w:sdt>
              <w:sdtPr>
                <w:tag w:val="_PLD_11b6b53867b44c92b19ef791cad0c8c4"/>
                <w:id w:val="2112169722"/>
                <w:lock w:val="sdtLocked"/>
              </w:sdtPr>
              <w:sdtContent>
                <w:tc>
                  <w:tcPr>
                    <w:tcW w:w="969"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本期增加</w:t>
                    </w:r>
                  </w:p>
                </w:tc>
              </w:sdtContent>
            </w:sdt>
            <w:sdt>
              <w:sdtPr>
                <w:tag w:val="_PLD_c2cbd009dd4248ceb9040da5fc326084"/>
                <w:id w:val="-2101401343"/>
                <w:lock w:val="sdtLocked"/>
              </w:sdtPr>
              <w:sdtContent>
                <w:tc>
                  <w:tcPr>
                    <w:tcW w:w="905"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本期减少</w:t>
                    </w:r>
                  </w:p>
                </w:tc>
              </w:sdtContent>
            </w:sdt>
            <w:sdt>
              <w:sdtPr>
                <w:tag w:val="_PLD_0ded00fbf217420ebfe8ace86c12086d"/>
                <w:id w:val="1844275020"/>
                <w:lock w:val="sdtLocked"/>
              </w:sdtPr>
              <w:sdtContent>
                <w:tc>
                  <w:tcPr>
                    <w:tcW w:w="880"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93c5842361145079010296748b2acbc"/>
                <w:id w:val="589277650"/>
                <w:lock w:val="sdtLocked"/>
              </w:sdtPr>
              <w:sdtContent>
                <w:tc>
                  <w:tcPr>
                    <w:tcW w:w="1428" w:type="pct"/>
                    <w:tcBorders>
                      <w:top w:val="single" w:color="auto" w:sz="6" w:space="0"/>
                      <w:left w:val="single" w:color="auto" w:sz="6" w:space="0"/>
                      <w:bottom w:val="single" w:color="auto" w:sz="6" w:space="0"/>
                      <w:right w:val="single" w:color="auto" w:sz="6" w:space="0"/>
                    </w:tcBorders>
                    <w:shd w:val="clear" w:color="auto" w:fill="auto"/>
                  </w:tcPr>
                  <w:p>
                    <w:pPr>
                      <w:pStyle w:val="114"/>
                    </w:pPr>
                    <w:r>
                      <w:rPr>
                        <w:rFonts w:hint="eastAsia"/>
                      </w:rPr>
                      <w:t>1、基本养老保险</w:t>
                    </w:r>
                  </w:p>
                </w:tc>
              </w:sdtContent>
            </w:sdt>
            <w:tc>
              <w:tcPr>
                <w:tcW w:w="818" w:type="pct"/>
                <w:tcBorders>
                  <w:top w:val="single" w:color="auto" w:sz="4" w:space="0"/>
                  <w:left w:val="single" w:color="auto" w:sz="6" w:space="0"/>
                  <w:bottom w:val="single" w:color="auto" w:sz="4" w:space="0"/>
                  <w:right w:val="single" w:color="auto" w:sz="4" w:space="0"/>
                </w:tcBorders>
                <w:shd w:val="clear" w:color="auto" w:fill="auto"/>
                <w:vAlign w:val="center"/>
              </w:tcPr>
              <w:p>
                <w:pPr>
                  <w:jc w:val="right"/>
                </w:pPr>
                <w:r>
                  <w:t>-</w:t>
                </w:r>
              </w:p>
            </w:tc>
            <w:tc>
              <w:tcPr>
                <w:tcW w:w="96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61,295,450.38</w:t>
                </w:r>
              </w:p>
            </w:tc>
            <w:tc>
              <w:tcPr>
                <w:tcW w:w="905"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61,295,450.38</w:t>
                </w:r>
              </w:p>
            </w:tc>
            <w:tc>
              <w:tcPr>
                <w:tcW w:w="88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09a72476f78427892237821bb7d583f"/>
                <w:id w:val="1320769213"/>
                <w:lock w:val="sdtLocked"/>
              </w:sdtPr>
              <w:sdtContent>
                <w:tc>
                  <w:tcPr>
                    <w:tcW w:w="1428" w:type="pct"/>
                    <w:tcBorders>
                      <w:top w:val="single" w:color="auto" w:sz="6" w:space="0"/>
                      <w:left w:val="single" w:color="auto" w:sz="6" w:space="0"/>
                      <w:bottom w:val="single" w:color="auto" w:sz="6" w:space="0"/>
                      <w:right w:val="single" w:color="auto" w:sz="6" w:space="0"/>
                    </w:tcBorders>
                    <w:shd w:val="clear" w:color="auto" w:fill="auto"/>
                  </w:tcPr>
                  <w:p>
                    <w:pPr>
                      <w:pStyle w:val="114"/>
                    </w:pPr>
                    <w:r>
                      <w:rPr>
                        <w:rFonts w:hint="eastAsia"/>
                      </w:rPr>
                      <w:t>2、失业保险费</w:t>
                    </w:r>
                  </w:p>
                </w:tc>
              </w:sdtContent>
            </w:sdt>
            <w:tc>
              <w:tcPr>
                <w:tcW w:w="818" w:type="pct"/>
                <w:tcBorders>
                  <w:top w:val="single" w:color="auto" w:sz="4" w:space="0"/>
                  <w:left w:val="single" w:color="auto" w:sz="6" w:space="0"/>
                  <w:bottom w:val="single" w:color="auto" w:sz="4" w:space="0"/>
                  <w:right w:val="single" w:color="auto" w:sz="4" w:space="0"/>
                </w:tcBorders>
                <w:shd w:val="clear" w:color="auto" w:fill="auto"/>
                <w:vAlign w:val="center"/>
              </w:tcPr>
              <w:p>
                <w:pPr>
                  <w:jc w:val="right"/>
                </w:pPr>
                <w:r>
                  <w:t>-</w:t>
                </w:r>
              </w:p>
            </w:tc>
            <w:tc>
              <w:tcPr>
                <w:tcW w:w="96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1,927,300.48</w:t>
                </w:r>
              </w:p>
            </w:tc>
            <w:tc>
              <w:tcPr>
                <w:tcW w:w="905"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1,927,300.48</w:t>
                </w:r>
              </w:p>
            </w:tc>
            <w:tc>
              <w:tcPr>
                <w:tcW w:w="88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2bb08099d4d4b2a96054f71c4e23a24"/>
                <w:id w:val="-285436170"/>
                <w:lock w:val="sdtLocked"/>
              </w:sdtPr>
              <w:sdtContent>
                <w:tc>
                  <w:tcPr>
                    <w:tcW w:w="1428" w:type="pct"/>
                    <w:tcBorders>
                      <w:top w:val="single" w:color="auto" w:sz="6" w:space="0"/>
                      <w:left w:val="single" w:color="auto" w:sz="6" w:space="0"/>
                      <w:bottom w:val="single" w:color="auto" w:sz="6" w:space="0"/>
                      <w:right w:val="single" w:color="auto" w:sz="6" w:space="0"/>
                    </w:tcBorders>
                    <w:shd w:val="clear" w:color="auto" w:fill="auto"/>
                  </w:tcPr>
                  <w:p>
                    <w:pPr>
                      <w:pStyle w:val="114"/>
                    </w:pPr>
                    <w:r>
                      <w:rPr>
                        <w:rFonts w:hint="eastAsia"/>
                      </w:rPr>
                      <w:t>3、企业年金缴费</w:t>
                    </w:r>
                  </w:p>
                </w:tc>
              </w:sdtContent>
            </w:sdt>
            <w:tc>
              <w:tcPr>
                <w:tcW w:w="818" w:type="pct"/>
                <w:tcBorders>
                  <w:top w:val="single" w:color="auto" w:sz="4" w:space="0"/>
                  <w:left w:val="single" w:color="auto" w:sz="6" w:space="0"/>
                  <w:bottom w:val="single" w:color="auto" w:sz="4" w:space="0"/>
                  <w:right w:val="single" w:color="auto" w:sz="4" w:space="0"/>
                </w:tcBorders>
                <w:shd w:val="clear" w:color="auto" w:fill="auto"/>
                <w:vAlign w:val="center"/>
              </w:tcPr>
              <w:p>
                <w:pPr>
                  <w:jc w:val="right"/>
                </w:pPr>
                <w:r>
                  <w:t>-</w:t>
                </w:r>
              </w:p>
            </w:tc>
            <w:tc>
              <w:tcPr>
                <w:tcW w:w="96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31,786,231.90</w:t>
                </w:r>
              </w:p>
            </w:tc>
            <w:tc>
              <w:tcPr>
                <w:tcW w:w="905"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31,786,231.90</w:t>
                </w:r>
              </w:p>
            </w:tc>
            <w:tc>
              <w:tcPr>
                <w:tcW w:w="88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58ec0cea28b41718457ba73ff6955af"/>
                <w:id w:val="-1125153061"/>
                <w:lock w:val="sdtLocked"/>
              </w:sdtPr>
              <w:sdtContent>
                <w:tc>
                  <w:tcPr>
                    <w:tcW w:w="142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rPr>
                      <w:t>合计</w:t>
                    </w:r>
                  </w:p>
                </w:tc>
              </w:sdtContent>
            </w:sdt>
            <w:tc>
              <w:tcPr>
                <w:tcW w:w="818" w:type="pct"/>
                <w:tcBorders>
                  <w:top w:val="single" w:color="auto" w:sz="4" w:space="0"/>
                  <w:left w:val="single" w:color="auto" w:sz="6" w:space="0"/>
                  <w:bottom w:val="single" w:color="auto" w:sz="4" w:space="0"/>
                  <w:right w:val="single" w:color="auto" w:sz="4" w:space="0"/>
                </w:tcBorders>
                <w:shd w:val="clear" w:color="auto" w:fill="auto"/>
                <w:vAlign w:val="center"/>
              </w:tcPr>
              <w:p>
                <w:pPr>
                  <w:jc w:val="right"/>
                </w:pPr>
                <w:r>
                  <w:t>-</w:t>
                </w:r>
              </w:p>
            </w:tc>
            <w:tc>
              <w:tcPr>
                <w:tcW w:w="96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95,008,982.76</w:t>
                </w:r>
              </w:p>
            </w:tc>
            <w:tc>
              <w:tcPr>
                <w:tcW w:w="905"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95,008,982.76</w:t>
                </w:r>
              </w:p>
            </w:tc>
            <w:tc>
              <w:tcPr>
                <w:tcW w:w="88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r>
        </w:tbl>
        <w:p>
          <w:pPr>
            <w:autoSpaceDE w:val="0"/>
            <w:autoSpaceDN w:val="0"/>
            <w:adjustRightInd w:val="0"/>
          </w:pPr>
        </w:p>
      </w:sdtContent>
    </w:sdt>
    <w:sdt>
      <w:sdtPr>
        <w:rPr>
          <w:rFonts w:hint="eastAsia"/>
        </w:rPr>
        <w:alias w:val="模块:应付职工薪酬说明"/>
        <w:tag w:val="_GBC_9173eff793e04226ba65f69088a27313"/>
        <w:id w:val="946426672"/>
        <w:lock w:val="sdtLocked"/>
        <w:placeholder>
          <w:docPart w:val="GBC22222222222222222222222222222"/>
        </w:placeholder>
      </w:sdtPr>
      <w:sdtEndPr>
        <w:rPr>
          <w:rFonts w:hint="eastAsia"/>
        </w:rPr>
      </w:sdtEndPr>
      <w:sdtContent>
        <w:p>
          <w:pPr>
            <w:autoSpaceDE w:val="0"/>
            <w:autoSpaceDN w:val="0"/>
            <w:adjustRightInd w:val="0"/>
          </w:pPr>
          <w:r>
            <w:rPr>
              <w:rFonts w:hint="eastAsia"/>
            </w:rPr>
            <w:t>其他说明：</w:t>
          </w:r>
        </w:p>
        <w:sdt>
          <w:sdtPr>
            <w:alias w:val="是否适用：应付职工薪酬的说明[双击切换]"/>
            <w:tag w:val="_GBC_f41ecc08d4994ba99707111806caa376"/>
            <w:id w:val="-1342231853"/>
            <w:lock w:val="sdtLocked"/>
            <w:placeholder>
              <w:docPart w:val="GBC22222222222222222222222222222"/>
            </w:placeholder>
          </w:sdtPr>
          <w:sdtContent>
            <w:p>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autoSpaceDE w:val="0"/>
        <w:autoSpaceDN w:val="0"/>
        <w:adjustRightInd w:val="0"/>
      </w:pPr>
    </w:p>
    <w:sdt>
      <w:sdtPr>
        <w:rPr>
          <w:rFonts w:hint="eastAsia" w:ascii="宋体" w:hAnsi="宋体" w:cs="宋体"/>
          <w:b w:val="0"/>
          <w:bCs w:val="0"/>
          <w:kern w:val="0"/>
          <w:szCs w:val="21"/>
        </w:rPr>
        <w:alias w:val="模块:应交税费"/>
        <w:tag w:val="_GBC_50fc9ef51868432e98c401f69097dfc6"/>
        <w:id w:val="-15624700"/>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4"/>
            <w:numPr>
              <w:ilvl w:val="0"/>
              <w:numId w:val="51"/>
            </w:numPr>
            <w:tabs>
              <w:tab w:val="left" w:pos="504"/>
            </w:tabs>
            <w:rPr>
              <w:rFonts w:ascii="宋体" w:hAnsi="宋体"/>
              <w:szCs w:val="21"/>
            </w:rPr>
          </w:pPr>
          <w:r>
            <w:rPr>
              <w:rFonts w:hint="eastAsia" w:ascii="宋体" w:hAnsi="宋体"/>
              <w:szCs w:val="21"/>
            </w:rPr>
            <w:t>应交税费</w:t>
          </w:r>
        </w:p>
        <w:sdt>
          <w:sdtPr>
            <w:alias w:val="是否适用：应交税费[双击切换]"/>
            <w:tag w:val="_GBC_e7e2664720b9408384c5d3cd6d97c132"/>
            <w:id w:val="-11649325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交税费"/>
              <w:tag w:val="_GBC_a6162c9f021640929018406be611b834"/>
              <w:id w:val="1372882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9724098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2980"/>
            <w:gridCol w:w="2955"/>
            <w:gridCol w:w="2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ab0019be2d10489d885d15626d85168f"/>
                <w:id w:val="-1215894251"/>
                <w:lock w:val="sdtLocked"/>
              </w:sdtPr>
              <w:sdtContent>
                <w:tc>
                  <w:tcPr>
                    <w:tcW w:w="1675" w:type="pct"/>
                    <w:vAlign w:val="center"/>
                  </w:tcPr>
                  <w:p>
                    <w:pPr>
                      <w:ind w:right="105"/>
                      <w:jc w:val="center"/>
                    </w:pPr>
                    <w:r>
                      <w:rPr>
                        <w:rFonts w:hint="eastAsia"/>
                      </w:rPr>
                      <w:t>项目</w:t>
                    </w:r>
                  </w:p>
                </w:tc>
              </w:sdtContent>
            </w:sdt>
            <w:sdt>
              <w:sdtPr>
                <w:tag w:val="_PLD_4d086e8f4e004ee3aa116a5d10a7ecbd"/>
                <w:id w:val="-1647974702"/>
                <w:lock w:val="sdtLocked"/>
              </w:sdtPr>
              <w:sdtContent>
                <w:tc>
                  <w:tcPr>
                    <w:tcW w:w="1661" w:type="pct"/>
                    <w:vAlign w:val="center"/>
                  </w:tcPr>
                  <w:p>
                    <w:pPr>
                      <w:jc w:val="center"/>
                    </w:pPr>
                    <w:r>
                      <w:rPr>
                        <w:rFonts w:hint="eastAsia"/>
                      </w:rPr>
                      <w:t>期末余额</w:t>
                    </w:r>
                  </w:p>
                </w:tc>
              </w:sdtContent>
            </w:sdt>
            <w:sdt>
              <w:sdtPr>
                <w:tag w:val="_PLD_8b866f731e474c6ebfb67cd903ab95c8"/>
                <w:id w:val="1903172995"/>
                <w:lock w:val="sdtLocked"/>
              </w:sdtPr>
              <w:sdtContent>
                <w:tc>
                  <w:tcPr>
                    <w:tcW w:w="1664" w:type="pct"/>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shd w:val="clear" w:color="auto" w:fill="auto"/>
              </w:tcPr>
              <w:p>
                <w:pPr>
                  <w:ind w:right="105"/>
                </w:pPr>
                <w:r>
                  <w:rPr>
                    <w:rFonts w:hint="eastAsia"/>
                  </w:rPr>
                  <w:t>增值税</w:t>
                </w:r>
              </w:p>
            </w:tc>
            <w:tc>
              <w:tcPr>
                <w:tcW w:w="1661" w:type="pct"/>
                <w:shd w:val="clear" w:color="auto" w:fill="auto"/>
                <w:vAlign w:val="center"/>
              </w:tcPr>
              <w:p>
                <w:pPr>
                  <w:ind w:right="73"/>
                  <w:jc w:val="right"/>
                </w:pPr>
                <w:r>
                  <w:t>63,715,473.46</w:t>
                </w:r>
              </w:p>
            </w:tc>
            <w:tc>
              <w:tcPr>
                <w:tcW w:w="1664" w:type="pct"/>
                <w:shd w:val="clear" w:color="auto" w:fill="auto"/>
                <w:vAlign w:val="center"/>
              </w:tcPr>
              <w:p>
                <w:pPr>
                  <w:jc w:val="right"/>
                </w:pPr>
                <w:r>
                  <w:t>55,485,288.40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shd w:val="clear" w:color="auto" w:fill="auto"/>
              </w:tcPr>
              <w:p>
                <w:pPr>
                  <w:ind w:right="105"/>
                </w:pPr>
                <w:r>
                  <w:rPr>
                    <w:rFonts w:hint="eastAsia"/>
                  </w:rPr>
                  <w:t>企业所得税</w:t>
                </w:r>
              </w:p>
            </w:tc>
            <w:tc>
              <w:tcPr>
                <w:tcW w:w="1661" w:type="pct"/>
                <w:shd w:val="clear" w:color="auto" w:fill="auto"/>
                <w:vAlign w:val="center"/>
              </w:tcPr>
              <w:p>
                <w:pPr>
                  <w:ind w:right="73"/>
                  <w:jc w:val="right"/>
                </w:pPr>
                <w:r>
                  <w:t>98,765,791.22</w:t>
                </w:r>
              </w:p>
            </w:tc>
            <w:tc>
              <w:tcPr>
                <w:tcW w:w="1664" w:type="pct"/>
                <w:shd w:val="clear" w:color="auto" w:fill="auto"/>
                <w:vAlign w:val="center"/>
              </w:tcPr>
              <w:p>
                <w:pPr>
                  <w:jc w:val="right"/>
                </w:pPr>
                <w:r>
                  <w:t>7,797,007.24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shd w:val="clear" w:color="auto" w:fill="auto"/>
              </w:tcPr>
              <w:p>
                <w:pPr>
                  <w:ind w:right="105"/>
                </w:pPr>
                <w:r>
                  <w:rPr>
                    <w:rFonts w:hint="eastAsia"/>
                  </w:rPr>
                  <w:t>个人所得税</w:t>
                </w:r>
              </w:p>
            </w:tc>
            <w:tc>
              <w:tcPr>
                <w:tcW w:w="1661" w:type="pct"/>
                <w:shd w:val="clear" w:color="auto" w:fill="auto"/>
                <w:vAlign w:val="center"/>
              </w:tcPr>
              <w:p>
                <w:pPr>
                  <w:ind w:right="73"/>
                  <w:jc w:val="right"/>
                </w:pPr>
                <w:r>
                  <w:t>476,853.51</w:t>
                </w:r>
              </w:p>
            </w:tc>
            <w:tc>
              <w:tcPr>
                <w:tcW w:w="1664" w:type="pct"/>
                <w:shd w:val="clear" w:color="auto" w:fill="auto"/>
                <w:vAlign w:val="center"/>
              </w:tcPr>
              <w:p>
                <w:pPr>
                  <w:jc w:val="right"/>
                </w:pPr>
                <w:r>
                  <w:t>3,509,747.26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shd w:val="clear" w:color="auto" w:fill="auto"/>
              </w:tcPr>
              <w:p>
                <w:pPr>
                  <w:ind w:right="105"/>
                </w:pPr>
                <w:r>
                  <w:rPr>
                    <w:rFonts w:hint="eastAsia"/>
                  </w:rPr>
                  <w:t>城市维护建设税</w:t>
                </w:r>
              </w:p>
            </w:tc>
            <w:tc>
              <w:tcPr>
                <w:tcW w:w="1661" w:type="pct"/>
                <w:shd w:val="clear" w:color="auto" w:fill="auto"/>
                <w:vAlign w:val="center"/>
              </w:tcPr>
              <w:p>
                <w:pPr>
                  <w:ind w:right="73"/>
                  <w:jc w:val="right"/>
                </w:pPr>
                <w:r>
                  <w:t>2,236,709.56</w:t>
                </w:r>
              </w:p>
            </w:tc>
            <w:tc>
              <w:tcPr>
                <w:tcW w:w="1664" w:type="pct"/>
                <w:shd w:val="clear" w:color="auto" w:fill="auto"/>
                <w:vAlign w:val="center"/>
              </w:tcPr>
              <w:p>
                <w:pPr>
                  <w:jc w:val="right"/>
                </w:pPr>
                <w:r>
                  <w:t>1,797,099.26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tcPr>
              <w:p>
                <w:pPr>
                  <w:ind w:right="945"/>
                </w:pPr>
                <w:r>
                  <w:rPr>
                    <w:rFonts w:hint="eastAsia"/>
                  </w:rPr>
                  <w:t>土地增值税</w:t>
                </w:r>
              </w:p>
            </w:tc>
            <w:tc>
              <w:tcPr>
                <w:tcW w:w="1661" w:type="pct"/>
              </w:tcPr>
              <w:p>
                <w:pPr>
                  <w:ind w:right="73"/>
                  <w:jc w:val="right"/>
                </w:pPr>
                <w:r>
                  <w:t>290,528,919.67</w:t>
                </w:r>
              </w:p>
            </w:tc>
            <w:tc>
              <w:tcPr>
                <w:tcW w:w="1664" w:type="pct"/>
              </w:tcPr>
              <w:p>
                <w:pPr>
                  <w:jc w:val="right"/>
                </w:pPr>
                <w:r>
                  <w:t>310,655,508.51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tcPr>
              <w:p>
                <w:pPr>
                  <w:ind w:right="105"/>
                </w:pPr>
                <w:r>
                  <w:t>房产税</w:t>
                </w:r>
              </w:p>
            </w:tc>
            <w:tc>
              <w:tcPr>
                <w:tcW w:w="1661" w:type="pct"/>
              </w:tcPr>
              <w:p>
                <w:pPr>
                  <w:ind w:right="73"/>
                  <w:jc w:val="right"/>
                </w:pPr>
                <w:r>
                  <w:t>3,028,541.12</w:t>
                </w:r>
              </w:p>
            </w:tc>
            <w:tc>
              <w:tcPr>
                <w:tcW w:w="1664" w:type="pct"/>
              </w:tcPr>
              <w:p>
                <w:pPr>
                  <w:jc w:val="right"/>
                </w:pPr>
                <w:r>
                  <w:t>1,207,116.32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tcPr>
              <w:p>
                <w:pPr>
                  <w:ind w:right="105"/>
                </w:pPr>
                <w:r>
                  <w:t>其他</w:t>
                </w:r>
              </w:p>
            </w:tc>
            <w:tc>
              <w:tcPr>
                <w:tcW w:w="1661" w:type="pct"/>
              </w:tcPr>
              <w:p>
                <w:pPr>
                  <w:ind w:right="73"/>
                  <w:jc w:val="right"/>
                </w:pPr>
                <w:r>
                  <w:t>2,831,621.96</w:t>
                </w:r>
              </w:p>
            </w:tc>
            <w:tc>
              <w:tcPr>
                <w:tcW w:w="1664" w:type="pct"/>
              </w:tcPr>
              <w:p>
                <w:pPr>
                  <w:jc w:val="right"/>
                </w:pPr>
                <w:r>
                  <w:t>2,571,902.04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675" w:type="pct"/>
                <w:vAlign w:val="center"/>
              </w:tcPr>
              <w:p>
                <w:pPr>
                  <w:ind w:right="105"/>
                  <w:jc w:val="center"/>
                </w:pPr>
                <w:r>
                  <w:rPr>
                    <w:rFonts w:hint="eastAsia"/>
                  </w:rPr>
                  <w:t>合计</w:t>
                </w:r>
              </w:p>
            </w:tc>
            <w:tc>
              <w:tcPr>
                <w:tcW w:w="1661" w:type="pct"/>
                <w:vAlign w:val="center"/>
              </w:tcPr>
              <w:p>
                <w:pPr>
                  <w:ind w:right="73"/>
                  <w:jc w:val="right"/>
                </w:pPr>
                <w:r>
                  <w:t>461,583,910.50</w:t>
                </w:r>
              </w:p>
            </w:tc>
            <w:tc>
              <w:tcPr>
                <w:tcW w:w="1664" w:type="pct"/>
                <w:vAlign w:val="center"/>
              </w:tcPr>
              <w:p>
                <w:pPr>
                  <w:jc w:val="right"/>
                </w:pPr>
                <w:r>
                  <w:t>383,023,669.03</w:t>
                </w:r>
              </w:p>
            </w:tc>
          </w:tr>
        </w:tbl>
        <w:p>
          <w:pPr>
            <w:pStyle w:val="114"/>
          </w:pPr>
          <w:r>
            <w:rPr>
              <w:rFonts w:hint="eastAsia"/>
            </w:rPr>
            <w:t>其他说明：</w:t>
          </w:r>
        </w:p>
        <w:sdt>
          <w:sdtPr>
            <w:alias w:val="应交税金的说明"/>
            <w:tag w:val="_GBC_fb59f8f9de2d41c3aaf0dc3b0970dd91"/>
            <w:id w:val="2048951120"/>
            <w:lock w:val="sdtLocked"/>
            <w:placeholder>
              <w:docPart w:val="GBC22222222222222222222222222222"/>
            </w:placeholder>
          </w:sdtPr>
          <w:sdtContent>
            <w:p>
              <w:pPr>
                <w:pStyle w:val="114"/>
              </w:pPr>
              <w:r>
                <w:rPr>
                  <w:rFonts w:hint="eastAsia"/>
                </w:rPr>
                <w:t>不适用</w:t>
              </w: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其他应付款</w:t>
      </w:r>
    </w:p>
    <w:sdt>
      <w:sdtPr>
        <w:rPr>
          <w:rFonts w:hint="eastAsia" w:ascii="宋体" w:hAnsi="宋体" w:cs="宋体"/>
          <w:b w:val="0"/>
          <w:bCs w:val="0"/>
          <w:kern w:val="0"/>
          <w:szCs w:val="24"/>
        </w:rPr>
        <w:alias w:val="模块:项目列示"/>
        <w:tag w:val="_SEC_d4a31631d4c141d39fd547efdfcde484"/>
        <w:id w:val="-1513982531"/>
        <w:lock w:val="sdtLocked"/>
        <w:placeholder>
          <w:docPart w:val="GBC22222222222222222222222222222"/>
        </w:placeholder>
      </w:sdtPr>
      <w:sdtEndPr>
        <w:rPr>
          <w:rFonts w:hint="eastAsia" w:ascii="宋体" w:hAnsi="宋体" w:cs="宋体"/>
          <w:b w:val="0"/>
          <w:bCs w:val="0"/>
          <w:kern w:val="0"/>
          <w:szCs w:val="21"/>
        </w:rPr>
      </w:sdtEndPr>
      <w:sdtContent>
        <w:p>
          <w:pPr>
            <w:pStyle w:val="5"/>
            <w:rPr>
              <w:rFonts w:ascii="宋体" w:hAnsi="宋体"/>
            </w:rPr>
          </w:pPr>
          <w:bookmarkStart w:id="214" w:name="_Hlk10535943"/>
          <w:r>
            <w:rPr>
              <w:rFonts w:hint="eastAsia" w:ascii="宋体" w:hAnsi="宋体"/>
            </w:rPr>
            <w:t>项目列示</w:t>
          </w:r>
        </w:p>
        <w:sdt>
          <w:sdtPr>
            <w:alias w:val="是否适用：其他应付款分类列示[双击切换]"/>
            <w:tag w:val="_GBC_8136b8c1140049519ac46075abed3220"/>
            <w:id w:val="17055228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其他应付款分类列示"/>
              <w:tag w:val="_GBC_f725af1ac18e4ea28ff0b171fd9076b1"/>
              <w:id w:val="-1506273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1546099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8"/>
            <w:gridCol w:w="2863"/>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66a9d37a92f4ab8ae47e30c7542c8f2"/>
                <w:id w:val="639225382"/>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tcPr>
              <w:p>
                <w:pPr>
                  <w:tabs>
                    <w:tab w:val="right" w:pos="3690"/>
                    <w:tab w:val="right" w:pos="5130"/>
                    <w:tab w:val="right" w:pos="6030"/>
                    <w:tab w:val="right" w:pos="7650"/>
                    <w:tab w:val="right" w:pos="9270"/>
                  </w:tabs>
                  <w:adjustRightInd w:val="0"/>
                  <w:snapToGrid w:val="0"/>
                  <w:jc w:val="right"/>
                </w:pPr>
                <w:r>
                  <w:rPr>
                    <w:rFonts w:hint="eastAsia"/>
                  </w:rPr>
                  <w:t>-</w:t>
                </w:r>
              </w:p>
            </w:tc>
            <w:tc>
              <w:tcPr>
                <w:tcW w:w="1590" w:type="pct"/>
                <w:shd w:val="clear" w:color="auto" w:fill="auto"/>
              </w:tcPr>
              <w:p>
                <w:pPr>
                  <w:tabs>
                    <w:tab w:val="right" w:pos="3690"/>
                    <w:tab w:val="right" w:pos="5130"/>
                    <w:tab w:val="right" w:pos="6030"/>
                    <w:tab w:val="right" w:pos="7650"/>
                    <w:tab w:val="right" w:pos="9270"/>
                  </w:tabs>
                  <w:adjustRightInd w:val="0"/>
                  <w:snapToGrid w:val="0"/>
                  <w:jc w:val="right"/>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7c963c0ee7f4ae9a9ee01376e1c10a3"/>
                <w:id w:val="-563335776"/>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vAlign w:val="center"/>
              </w:tcPr>
              <w:p>
                <w:pPr>
                  <w:tabs>
                    <w:tab w:val="right" w:pos="3690"/>
                    <w:tab w:val="right" w:pos="5130"/>
                    <w:tab w:val="right" w:pos="6030"/>
                    <w:tab w:val="right" w:pos="7650"/>
                    <w:tab w:val="right" w:pos="9270"/>
                  </w:tabs>
                  <w:adjustRightInd w:val="0"/>
                  <w:snapToGrid w:val="0"/>
                  <w:jc w:val="right"/>
                </w:pPr>
                <w:r>
                  <w:t>2,419,619,432.18</w:t>
                </w:r>
              </w:p>
            </w:tc>
            <w:tc>
              <w:tcPr>
                <w:tcW w:w="1590" w:type="pct"/>
                <w:shd w:val="clear" w:color="auto" w:fill="auto"/>
                <w:vAlign w:val="center"/>
              </w:tcPr>
              <w:p>
                <w:pPr>
                  <w:tabs>
                    <w:tab w:val="right" w:pos="3690"/>
                    <w:tab w:val="right" w:pos="5130"/>
                    <w:tab w:val="right" w:pos="6030"/>
                    <w:tab w:val="right" w:pos="7650"/>
                    <w:tab w:val="right" w:pos="9270"/>
                  </w:tabs>
                  <w:adjustRightInd w:val="0"/>
                  <w:snapToGrid w:val="0"/>
                  <w:jc w:val="right"/>
                </w:pPr>
                <w:r>
                  <w:t>104,557,522.67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ef380fd911e4f2a9e651243d4593795"/>
                <w:id w:val="-1511295143"/>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vAlign w:val="center"/>
              </w:tcPr>
              <w:p>
                <w:pPr>
                  <w:tabs>
                    <w:tab w:val="right" w:pos="3690"/>
                    <w:tab w:val="right" w:pos="5130"/>
                    <w:tab w:val="right" w:pos="6030"/>
                    <w:tab w:val="right" w:pos="7650"/>
                    <w:tab w:val="right" w:pos="9270"/>
                  </w:tabs>
                  <w:adjustRightInd w:val="0"/>
                  <w:snapToGrid w:val="0"/>
                  <w:jc w:val="right"/>
                </w:pPr>
                <w:r>
                  <w:t>260,132,853.27</w:t>
                </w:r>
              </w:p>
            </w:tc>
            <w:tc>
              <w:tcPr>
                <w:tcW w:w="1590" w:type="pct"/>
                <w:shd w:val="clear" w:color="auto" w:fill="auto"/>
                <w:vAlign w:val="center"/>
              </w:tcPr>
              <w:p>
                <w:pPr>
                  <w:tabs>
                    <w:tab w:val="right" w:pos="3690"/>
                    <w:tab w:val="right" w:pos="5130"/>
                    <w:tab w:val="right" w:pos="6030"/>
                    <w:tab w:val="right" w:pos="7650"/>
                    <w:tab w:val="right" w:pos="9270"/>
                  </w:tabs>
                  <w:adjustRightInd w:val="0"/>
                  <w:snapToGrid w:val="0"/>
                  <w:jc w:val="right"/>
                </w:pPr>
                <w:r>
                  <w:t>183,484,872.05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90dc33535197444a8eb7c8a4e477d9b7"/>
                <w:id w:val="-195539004"/>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vAlign w:val="center"/>
              </w:tcPr>
              <w:p>
                <w:pPr>
                  <w:tabs>
                    <w:tab w:val="right" w:pos="3690"/>
                    <w:tab w:val="right" w:pos="5130"/>
                    <w:tab w:val="right" w:pos="6030"/>
                    <w:tab w:val="right" w:pos="7650"/>
                    <w:tab w:val="right" w:pos="9270"/>
                  </w:tabs>
                  <w:adjustRightInd w:val="0"/>
                  <w:snapToGrid w:val="0"/>
                  <w:jc w:val="right"/>
                </w:pPr>
                <w:r>
                  <w:t>2,679,752,285.45</w:t>
                </w:r>
              </w:p>
            </w:tc>
            <w:tc>
              <w:tcPr>
                <w:tcW w:w="1590" w:type="pct"/>
                <w:shd w:val="clear" w:color="auto" w:fill="auto"/>
                <w:vAlign w:val="center"/>
              </w:tcPr>
              <w:p>
                <w:pPr>
                  <w:tabs>
                    <w:tab w:val="right" w:pos="3690"/>
                    <w:tab w:val="right" w:pos="5130"/>
                    <w:tab w:val="right" w:pos="6030"/>
                    <w:tab w:val="right" w:pos="7650"/>
                    <w:tab w:val="right" w:pos="9270"/>
                  </w:tabs>
                  <w:adjustRightInd w:val="0"/>
                  <w:snapToGrid w:val="0"/>
                  <w:jc w:val="right"/>
                </w:pPr>
                <w:r>
                  <w:t>288,042,394.72</w:t>
                </w:r>
              </w:p>
            </w:tc>
          </w:tr>
        </w:tbl>
        <w:p>
          <w:pPr>
            <w:pStyle w:val="114"/>
          </w:pPr>
          <w:r>
            <w:rPr>
              <w:rFonts w:hint="eastAsia"/>
            </w:rPr>
            <w:t>其他说明：</w:t>
          </w:r>
        </w:p>
        <w:p>
          <w:pPr>
            <w:pStyle w:val="114"/>
          </w:pPr>
          <w:sdt>
            <w:sdtPr>
              <w:alias w:val="其他应付款分类列示其他说明"/>
              <w:tag w:val="_GBC_8fa93aac828f4ed1ab8ba954856081f1"/>
              <w:id w:val="1420287005"/>
              <w:lock w:val="sdtLocked"/>
              <w:placeholder>
                <w:docPart w:val="GBC22222222222222222222222222222"/>
              </w:placeholder>
            </w:sdtPr>
            <w:sdtContent>
              <w:r>
                <w:rPr>
                  <w:rFonts w:hint="eastAsia"/>
                </w:rPr>
                <w:t>不适用</w:t>
              </w:r>
            </w:sdtContent>
          </w:sdt>
        </w:p>
        <w:p>
          <w:pPr>
            <w:pStyle w:val="114"/>
          </w:pPr>
        </w:p>
      </w:sdtContent>
    </w:sdt>
    <w:bookmarkEnd w:id="214"/>
    <w:sdt>
      <w:sdtPr>
        <w:rPr>
          <w:rFonts w:hint="eastAsia" w:ascii="宋体" w:hAnsi="宋体" w:cs="宋体"/>
          <w:b w:val="0"/>
          <w:bCs w:val="0"/>
          <w:kern w:val="0"/>
          <w:szCs w:val="24"/>
        </w:rPr>
        <w:alias w:val="模块:应付利息"/>
        <w:tag w:val="_SEC_60feb8ef6f7c4655a263f50d12c222d8"/>
        <w:id w:val="-1223759852"/>
        <w:lock w:val="sdtLocked"/>
        <w:placeholder>
          <w:docPart w:val="GBC22222222222222222222222222222"/>
        </w:placeholder>
      </w:sdtPr>
      <w:sdtEndPr>
        <w:rPr>
          <w:rFonts w:hint="eastAsia" w:ascii="宋体" w:hAnsi="宋体" w:cs="宋体"/>
          <w:b w:val="0"/>
          <w:bCs w:val="0"/>
          <w:kern w:val="0"/>
          <w:szCs w:val="21"/>
        </w:rPr>
      </w:sdtEndPr>
      <w:sdtContent>
        <w:p>
          <w:pPr>
            <w:pStyle w:val="5"/>
            <w:rPr>
              <w:rFonts w:ascii="宋体" w:hAnsi="宋体"/>
            </w:rPr>
          </w:pPr>
          <w:bookmarkStart w:id="215" w:name="_Hlk10536047"/>
          <w:r>
            <w:rPr>
              <w:rFonts w:hint="eastAsia" w:ascii="宋体" w:hAnsi="宋体"/>
            </w:rPr>
            <w:t>应付利息</w:t>
          </w:r>
        </w:p>
        <w:sdt>
          <w:sdtPr>
            <w:alias w:val="是否适用：应付利息[双击切换]"/>
            <w:tag w:val="_GBC_9058c1c6b0a94f6a8c531ec2dbd35706"/>
            <w:id w:val="651181480"/>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bookmarkEnd w:id="215"/>
    <w:sdt>
      <w:sdtPr>
        <w:rPr>
          <w:rFonts w:hint="eastAsia" w:ascii="宋体" w:hAnsi="宋体" w:cs="宋体"/>
          <w:b w:val="0"/>
          <w:bCs w:val="0"/>
          <w:kern w:val="0"/>
          <w:szCs w:val="24"/>
        </w:rPr>
        <w:alias w:val="模块:应付股利"/>
        <w:tag w:val="_SEC_454db7ed64ca40e48e42eb6c38ae54ca"/>
        <w:id w:val="-1333750624"/>
        <w:lock w:val="sdtLocked"/>
        <w:placeholder>
          <w:docPart w:val="GBC22222222222222222222222222222"/>
        </w:placeholder>
      </w:sdtPr>
      <w:sdtEndPr>
        <w:rPr>
          <w:rFonts w:hint="default" w:ascii="宋体" w:hAnsi="宋体" w:cs="宋体"/>
          <w:b w:val="0"/>
          <w:bCs w:val="0"/>
          <w:kern w:val="0"/>
          <w:szCs w:val="21"/>
        </w:rPr>
      </w:sdtEndPr>
      <w:sdtContent>
        <w:p>
          <w:pPr>
            <w:pStyle w:val="5"/>
            <w:rPr>
              <w:rFonts w:ascii="宋体" w:hAnsi="宋体"/>
            </w:rPr>
          </w:pPr>
          <w:bookmarkStart w:id="216" w:name="_Hlk10536068"/>
          <w:bookmarkStart w:id="217" w:name="_Hlk10536082"/>
          <w:r>
            <w:rPr>
              <w:rFonts w:hint="eastAsia" w:ascii="宋体" w:hAnsi="宋体"/>
            </w:rPr>
            <w:t>应付股利</w:t>
          </w:r>
          <w:bookmarkEnd w:id="216"/>
        </w:p>
        <w:sdt>
          <w:sdtPr>
            <w:alias w:val="是否适用：应付股利[双击切换]"/>
            <w:tag w:val="_GBC_09dc75ba10d44acfb18b03320a40e4c5"/>
            <w:id w:val="-972596124"/>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付股利"/>
              <w:tag w:val="_GBC_794436f63bf446c4b4d5d09922a87476"/>
              <w:id w:val="-1142339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股利"/>
              <w:tag w:val="_GBC_3ac9f6019d6040e79214de869765e7c9"/>
              <w:id w:val="-967162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2859"/>
            <w:gridCol w:w="3017"/>
            <w:gridCol w:w="3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9d58938574b04fdbb97abe896d2ae73a"/>
                <w:id w:val="766660690"/>
                <w:lock w:val="sdtLocked"/>
              </w:sdtPr>
              <w:sdtContent>
                <w:tc>
                  <w:tcPr>
                    <w:tcW w:w="1607" w:type="pct"/>
                  </w:tcPr>
                  <w:p>
                    <w:pPr>
                      <w:ind w:right="105"/>
                      <w:jc w:val="center"/>
                    </w:pPr>
                    <w:r>
                      <w:rPr>
                        <w:rFonts w:hint="eastAsia"/>
                      </w:rPr>
                      <w:t>项目</w:t>
                    </w:r>
                  </w:p>
                </w:tc>
              </w:sdtContent>
            </w:sdt>
            <w:sdt>
              <w:sdtPr>
                <w:tag w:val="_PLD_464a3e2801194be5b8f549044d634880"/>
                <w:id w:val="-1532020847"/>
                <w:lock w:val="sdtLocked"/>
              </w:sdtPr>
              <w:sdtContent>
                <w:tc>
                  <w:tcPr>
                    <w:tcW w:w="1696" w:type="pct"/>
                  </w:tcPr>
                  <w:p>
                    <w:pPr>
                      <w:jc w:val="center"/>
                    </w:pPr>
                    <w:r>
                      <w:rPr>
                        <w:rFonts w:hint="eastAsia"/>
                      </w:rPr>
                      <w:t>期末余额</w:t>
                    </w:r>
                  </w:p>
                </w:tc>
              </w:sdtContent>
            </w:sdt>
            <w:sdt>
              <w:sdtPr>
                <w:tag w:val="_PLD_b96a666c25174aeab9bab423f51ae94f"/>
                <w:id w:val="251553463"/>
                <w:lock w:val="sdtLocked"/>
              </w:sdtPr>
              <w:sdtContent>
                <w:tc>
                  <w:tcPr>
                    <w:tcW w:w="1697" w:type="pct"/>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ccc30ab30e5a4b788d1af42d774d7b85"/>
                <w:id w:val="-745034844"/>
                <w:lock w:val="sdtLocked"/>
              </w:sdtPr>
              <w:sdtContent>
                <w:tc>
                  <w:tcPr>
                    <w:tcW w:w="1607" w:type="pct"/>
                  </w:tcPr>
                  <w:p>
                    <w:pPr>
                      <w:ind w:right="105"/>
                    </w:pPr>
                    <w:r>
                      <w:rPr>
                        <w:rFonts w:hint="eastAsia"/>
                      </w:rPr>
                      <w:t>普通股股利</w:t>
                    </w:r>
                  </w:p>
                </w:tc>
              </w:sdtContent>
            </w:sdt>
            <w:tc>
              <w:tcPr>
                <w:tcW w:w="1696" w:type="pct"/>
                <w:vAlign w:val="center"/>
              </w:tcPr>
              <w:p>
                <w:pPr>
                  <w:ind w:right="73"/>
                  <w:jc w:val="right"/>
                </w:pPr>
                <w:r>
                  <w:t>2,419,619,432.18</w:t>
                </w:r>
              </w:p>
            </w:tc>
            <w:tc>
              <w:tcPr>
                <w:tcW w:w="1697" w:type="pct"/>
                <w:vAlign w:val="center"/>
              </w:tcPr>
              <w:p>
                <w:pPr>
                  <w:ind w:right="73"/>
                  <w:jc w:val="right"/>
                </w:pPr>
                <w:r>
                  <w:t>104,557,522.67</w:t>
                </w:r>
              </w:p>
            </w:tc>
          </w:tr>
        </w:tbl>
        <w:p>
          <w:pPr>
            <w:snapToGrid w:val="0"/>
            <w:rPr>
              <w:rFonts w:asciiTheme="majorEastAsia" w:hAnsiTheme="majorEastAsia" w:eastAsiaTheme="majorEastAsia"/>
            </w:rPr>
          </w:pPr>
          <w:r>
            <w:rPr>
              <w:rFonts w:hint="eastAsia" w:asciiTheme="majorEastAsia" w:hAnsiTheme="majorEastAsia" w:eastAsiaTheme="majorEastAsia"/>
            </w:rPr>
            <w:t>其他，包括重要的超过</w:t>
          </w:r>
          <w:r>
            <w:rPr>
              <w:rFonts w:asciiTheme="majorEastAsia" w:hAnsiTheme="majorEastAsia" w:eastAsiaTheme="majorEastAsia"/>
            </w:rPr>
            <w:t>1年未支付的应付股利，应披露未支付原因：</w:t>
          </w:r>
        </w:p>
        <w:p>
          <w:pPr>
            <w:snapToGrid w:val="0"/>
          </w:pPr>
          <w:sdt>
            <w:sdtPr>
              <w:alias w:val="应付股利的说明"/>
              <w:tag w:val="_GBC_44da1c5f7ab647d2891e8b1c5f5bd521"/>
              <w:id w:val="445587034"/>
              <w:lock w:val="sdtLocked"/>
              <w:placeholder>
                <w:docPart w:val="GBC22222222222222222222222222222"/>
              </w:placeholder>
            </w:sdtPr>
            <w:sdtContent>
              <w:r>
                <w:rPr>
                  <w:rFonts w:hint="eastAsia"/>
                </w:rPr>
                <w:t>不适用</w:t>
              </w:r>
            </w:sdtContent>
          </w:sdt>
        </w:p>
      </w:sdtContent>
    </w:sdt>
    <w:bookmarkEnd w:id="217"/>
    <w:p>
      <w:pPr>
        <w:pStyle w:val="114"/>
      </w:pPr>
    </w:p>
    <w:p>
      <w:pPr>
        <w:pStyle w:val="5"/>
        <w:rPr>
          <w:rFonts w:ascii="宋体" w:hAnsi="宋体"/>
        </w:rPr>
      </w:pPr>
      <w:bookmarkStart w:id="218" w:name="_Hlk10536163"/>
      <w:r>
        <w:rPr>
          <w:rFonts w:hint="eastAsia" w:ascii="宋体" w:hAnsi="宋体"/>
        </w:rPr>
        <w:t>其他应付款</w:t>
      </w:r>
    </w:p>
    <w:sdt>
      <w:sdtPr>
        <w:rPr>
          <w:rFonts w:hint="eastAsia" w:ascii="宋体" w:hAnsi="宋体" w:cs="宋体"/>
          <w:b w:val="0"/>
          <w:bCs w:val="0"/>
          <w:kern w:val="0"/>
          <w:szCs w:val="24"/>
        </w:rPr>
        <w:alias w:val="模块:按款项性质列示其他应付款"/>
        <w:tag w:val="_SEC_df361e68406f49208d47d08674984872"/>
        <w:id w:val="1855918890"/>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75"/>
            </w:numPr>
            <w:rPr>
              <w:rFonts w:ascii="宋体" w:hAnsi="宋体"/>
            </w:rPr>
          </w:pPr>
          <w:r>
            <w:rPr>
              <w:rFonts w:hint="eastAsia" w:ascii="宋体" w:hAnsi="宋体"/>
            </w:rPr>
            <w:t>按款项性质列示其他应付款</w:t>
          </w:r>
        </w:p>
        <w:sdt>
          <w:sdtPr>
            <w:alias w:val="是否适用：按款项性质列示其他应付款[双击切换]"/>
            <w:tag w:val="_GBC_a099ebd596de4984814ff6b49af92e86"/>
            <w:id w:val="771438677"/>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其他应付款情况"/>
              <w:tag w:val="_GBC_781a05c0c742470b88557fa8878adf9c"/>
              <w:id w:val="1800419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18918416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2999"/>
            <w:gridCol w:w="3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991c4118c8d4069811e5f758978143f"/>
                <w:id w:val="622742946"/>
                <w:lock w:val="sdtLocked"/>
              </w:sdtPr>
              <w:sdtContent>
                <w:tc>
                  <w:tcPr>
                    <w:tcW w:w="1615" w:type="pct"/>
                    <w:shd w:val="clear" w:color="auto" w:fill="auto"/>
                  </w:tcPr>
                  <w:p>
                    <w:pPr>
                      <w:jc w:val="center"/>
                    </w:pPr>
                    <w:r>
                      <w:rPr>
                        <w:rFonts w:hint="eastAsia"/>
                      </w:rPr>
                      <w:t>项目</w:t>
                    </w:r>
                  </w:p>
                </w:tc>
              </w:sdtContent>
            </w:sdt>
            <w:sdt>
              <w:sdtPr>
                <w:tag w:val="_PLD_c1bcea3523f040f08da3a1bd0d135ad5"/>
                <w:id w:val="-1548212971"/>
                <w:lock w:val="sdtLocked"/>
              </w:sdtPr>
              <w:sdtContent>
                <w:tc>
                  <w:tcPr>
                    <w:tcW w:w="1657" w:type="pct"/>
                    <w:shd w:val="clear" w:color="auto" w:fill="auto"/>
                  </w:tcPr>
                  <w:p>
                    <w:pPr>
                      <w:jc w:val="center"/>
                    </w:pPr>
                    <w:r>
                      <w:rPr>
                        <w:rFonts w:hint="eastAsia"/>
                      </w:rPr>
                      <w:t>期末余额</w:t>
                    </w:r>
                  </w:p>
                </w:tc>
              </w:sdtContent>
            </w:sdt>
            <w:sdt>
              <w:sdtPr>
                <w:tag w:val="_PLD_b89663858245498c995c58e2bab384aa"/>
                <w:id w:val="-349340562"/>
                <w:lock w:val="sdtLocked"/>
              </w:sdtPr>
              <w:sdtContent>
                <w:tc>
                  <w:tcPr>
                    <w:tcW w:w="1728" w:type="pct"/>
                    <w:shd w:val="clear" w:color="auto" w:fill="auto"/>
                  </w:tcPr>
                  <w:p>
                    <w:pPr>
                      <w:jc w:val="center"/>
                    </w:pPr>
                    <w:r>
                      <w:rPr>
                        <w:rFonts w:hint="eastAsia"/>
                      </w:rPr>
                      <w:t>期初余额</w:t>
                    </w:r>
                  </w:p>
                </w:tc>
              </w:sdtContent>
            </w:sdt>
          </w:tr>
          <w:sdt>
            <w:sdtPr>
              <w:rPr>
                <w:rFonts w:hint="eastAsia"/>
              </w:rPr>
              <w:alias w:val="其他应付款情况明细"/>
              <w:tag w:val="_TUP_d68cb62e22fc4f99ab4d25c145efcd43"/>
              <w:id w:val="-157390743"/>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服务区租赁保证金</w:t>
                    </w:r>
                  </w:p>
                </w:tc>
                <w:tc>
                  <w:tcPr>
                    <w:tcW w:w="1657" w:type="pct"/>
                    <w:shd w:val="clear" w:color="auto" w:fill="auto"/>
                  </w:tcPr>
                  <w:p>
                    <w:pPr>
                      <w:jc w:val="right"/>
                    </w:pPr>
                    <w:r>
                      <w:t>60,548,485.26</w:t>
                    </w:r>
                  </w:p>
                </w:tc>
                <w:tc>
                  <w:tcPr>
                    <w:tcW w:w="1728" w:type="pct"/>
                    <w:shd w:val="clear" w:color="auto" w:fill="auto"/>
                  </w:tcPr>
                  <w:p>
                    <w:pPr>
                      <w:jc w:val="right"/>
                    </w:pPr>
                    <w:r>
                      <w:t>49,178,438.65</w:t>
                    </w:r>
                  </w:p>
                </w:tc>
              </w:tr>
            </w:sdtContent>
          </w:sdt>
          <w:sdt>
            <w:sdtPr>
              <w:rPr>
                <w:rFonts w:hint="eastAsia"/>
              </w:rPr>
              <w:alias w:val="其他应付款情况明细"/>
              <w:tag w:val="_TUP_d68cb62e22fc4f99ab4d25c145efcd43"/>
              <w:id w:val="-838923741"/>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履约与其他保证金</w:t>
                    </w:r>
                  </w:p>
                </w:tc>
                <w:tc>
                  <w:tcPr>
                    <w:tcW w:w="1657" w:type="pct"/>
                    <w:shd w:val="clear" w:color="auto" w:fill="auto"/>
                  </w:tcPr>
                  <w:p>
                    <w:pPr>
                      <w:jc w:val="right"/>
                    </w:pPr>
                    <w:r>
                      <w:t>34,471,921.65</w:t>
                    </w:r>
                  </w:p>
                </w:tc>
                <w:tc>
                  <w:tcPr>
                    <w:tcW w:w="1728" w:type="pct"/>
                    <w:shd w:val="clear" w:color="auto" w:fill="auto"/>
                  </w:tcPr>
                  <w:p>
                    <w:pPr>
                      <w:jc w:val="right"/>
                    </w:pPr>
                    <w:r>
                      <w:t>35,977,215.85</w:t>
                    </w:r>
                  </w:p>
                </w:tc>
              </w:tr>
            </w:sdtContent>
          </w:sdt>
          <w:sdt>
            <w:sdtPr>
              <w:rPr>
                <w:rFonts w:hint="eastAsia"/>
              </w:rPr>
              <w:alias w:val="其他应付款情况明细"/>
              <w:tag w:val="_TUP_d68cb62e22fc4f99ab4d25c145efcd43"/>
              <w:id w:val="997856219"/>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工程质量保证金</w:t>
                    </w:r>
                  </w:p>
                </w:tc>
                <w:tc>
                  <w:tcPr>
                    <w:tcW w:w="1657" w:type="pct"/>
                    <w:shd w:val="clear" w:color="auto" w:fill="auto"/>
                  </w:tcPr>
                  <w:p>
                    <w:pPr>
                      <w:jc w:val="right"/>
                    </w:pPr>
                    <w:r>
                      <w:t>36,287,796.94</w:t>
                    </w:r>
                  </w:p>
                </w:tc>
                <w:tc>
                  <w:tcPr>
                    <w:tcW w:w="1728" w:type="pct"/>
                    <w:shd w:val="clear" w:color="auto" w:fill="auto"/>
                  </w:tcPr>
                  <w:p>
                    <w:pPr>
                      <w:jc w:val="right"/>
                    </w:pPr>
                    <w:r>
                      <w:t>30,458,222.82</w:t>
                    </w:r>
                  </w:p>
                </w:tc>
              </w:tr>
            </w:sdtContent>
          </w:sdt>
          <w:sdt>
            <w:sdtPr>
              <w:rPr>
                <w:rFonts w:hint="eastAsia"/>
              </w:rPr>
              <w:alias w:val="其他应付款情况明细"/>
              <w:tag w:val="_TUP_d68cb62e22fc4f99ab4d25c145efcd43"/>
              <w:id w:val="50511844"/>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购房诚意金</w:t>
                    </w:r>
                  </w:p>
                </w:tc>
                <w:tc>
                  <w:tcPr>
                    <w:tcW w:w="1657" w:type="pct"/>
                    <w:shd w:val="clear" w:color="auto" w:fill="auto"/>
                  </w:tcPr>
                  <w:p>
                    <w:pPr>
                      <w:jc w:val="right"/>
                    </w:pPr>
                    <w:r>
                      <w:t>12,630,000.07</w:t>
                    </w:r>
                  </w:p>
                </w:tc>
                <w:tc>
                  <w:tcPr>
                    <w:tcW w:w="1728" w:type="pct"/>
                    <w:shd w:val="clear" w:color="auto" w:fill="auto"/>
                  </w:tcPr>
                  <w:p>
                    <w:pPr>
                      <w:jc w:val="right"/>
                    </w:pPr>
                    <w:r>
                      <w:t>3,232,935.28</w:t>
                    </w:r>
                  </w:p>
                </w:tc>
              </w:tr>
            </w:sdtContent>
          </w:sdt>
          <w:sdt>
            <w:sdtPr>
              <w:rPr>
                <w:rFonts w:hint="eastAsia"/>
              </w:rPr>
              <w:alias w:val="其他应付款情况明细"/>
              <w:tag w:val="_TUP_d68cb62e22fc4f99ab4d25c145efcd43"/>
              <w:id w:val="-490642891"/>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代收工程款</w:t>
                    </w:r>
                  </w:p>
                </w:tc>
                <w:tc>
                  <w:tcPr>
                    <w:tcW w:w="1657" w:type="pct"/>
                    <w:shd w:val="clear" w:color="auto" w:fill="auto"/>
                  </w:tcPr>
                  <w:p>
                    <w:pPr>
                      <w:jc w:val="right"/>
                    </w:pPr>
                    <w:r>
                      <w:t>56,226,040.00</w:t>
                    </w:r>
                  </w:p>
                </w:tc>
                <w:tc>
                  <w:tcPr>
                    <w:tcW w:w="1728" w:type="pct"/>
                    <w:shd w:val="clear" w:color="auto" w:fill="auto"/>
                  </w:tcPr>
                  <w:p>
                    <w:pPr>
                      <w:jc w:val="right"/>
                    </w:pPr>
                    <w:r>
                      <w:t>-</w:t>
                    </w:r>
                  </w:p>
                </w:tc>
              </w:tr>
            </w:sdtContent>
          </w:sdt>
          <w:sdt>
            <w:sdtPr>
              <w:rPr>
                <w:rFonts w:hint="eastAsia"/>
              </w:rPr>
              <w:alias w:val="其他应付款情况明细"/>
              <w:tag w:val="_TUP_d68cb62e22fc4f99ab4d25c145efcd43"/>
              <w:id w:val="-1531019303"/>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pct"/>
                    <w:shd w:val="clear" w:color="auto" w:fill="auto"/>
                  </w:tcPr>
                  <w:p>
                    <w:pPr>
                      <w:pStyle w:val="114"/>
                    </w:pPr>
                    <w:r>
                      <w:t>其他</w:t>
                    </w:r>
                  </w:p>
                </w:tc>
                <w:tc>
                  <w:tcPr>
                    <w:tcW w:w="1657" w:type="pct"/>
                    <w:shd w:val="clear" w:color="auto" w:fill="auto"/>
                  </w:tcPr>
                  <w:p>
                    <w:pPr>
                      <w:jc w:val="right"/>
                    </w:pPr>
                    <w:r>
                      <w:t>59,968,609.35</w:t>
                    </w:r>
                  </w:p>
                </w:tc>
                <w:tc>
                  <w:tcPr>
                    <w:tcW w:w="1728" w:type="pct"/>
                    <w:shd w:val="clear" w:color="auto" w:fill="auto"/>
                  </w:tcPr>
                  <w:p>
                    <w:pPr>
                      <w:jc w:val="right"/>
                    </w:pPr>
                    <w:r>
                      <w:t>64,638,059.45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c1df66b4e6549929c6b91b265854e4c"/>
                <w:id w:val="14508073"/>
                <w:lock w:val="sdtLocked"/>
              </w:sdtPr>
              <w:sdtContent>
                <w:tc>
                  <w:tcPr>
                    <w:tcW w:w="1615" w:type="pct"/>
                    <w:shd w:val="clear" w:color="auto" w:fill="auto"/>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sdtContent>
            </w:sdt>
            <w:tc>
              <w:tcPr>
                <w:tcW w:w="1657" w:type="pct"/>
                <w:shd w:val="clear" w:color="auto" w:fill="auto"/>
                <w:vAlign w:val="center"/>
              </w:tcPr>
              <w:p>
                <w:pPr>
                  <w:jc w:val="right"/>
                </w:pPr>
                <w:r>
                  <w:t>260,132,853.27</w:t>
                </w:r>
              </w:p>
            </w:tc>
            <w:tc>
              <w:tcPr>
                <w:tcW w:w="1728" w:type="pct"/>
                <w:shd w:val="clear" w:color="auto" w:fill="auto"/>
                <w:vAlign w:val="center"/>
              </w:tcPr>
              <w:p>
                <w:pPr>
                  <w:jc w:val="right"/>
                </w:pPr>
                <w:r>
                  <w:t>183,484,872.05</w:t>
                </w:r>
              </w:p>
            </w:tc>
          </w:tr>
        </w:tbl>
        <w:p>
          <w:pPr>
            <w:pStyle w:val="114"/>
          </w:pPr>
        </w:p>
      </w:sdtContent>
    </w:sdt>
    <w:sdt>
      <w:sdtPr>
        <w:rPr>
          <w:rFonts w:hint="eastAsia" w:ascii="宋体" w:hAnsi="宋体" w:cs="宋体"/>
          <w:b w:val="0"/>
          <w:bCs w:val="0"/>
          <w:kern w:val="0"/>
          <w:szCs w:val="24"/>
        </w:rPr>
        <w:alias w:val="模块:账龄超过1年的重要其他应付款"/>
        <w:tag w:val="_SEC_83408720712d4902a68e6c9ddd4c67ae"/>
        <w:id w:val="-103303238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75"/>
            </w:numPr>
            <w:rPr>
              <w:rFonts w:ascii="宋体" w:hAnsi="宋体"/>
            </w:rPr>
          </w:pPr>
          <w:r>
            <w:rPr>
              <w:rFonts w:hint="eastAsia" w:ascii="宋体" w:hAnsi="宋体"/>
            </w:rPr>
            <w:t>账龄超过</w:t>
          </w:r>
          <w:r>
            <w:rPr>
              <w:rFonts w:ascii="宋体" w:hAnsi="宋体"/>
            </w:rPr>
            <w:t>1年的重要其他应付款</w:t>
          </w:r>
        </w:p>
        <w:p>
          <w:pPr>
            <w:pStyle w:val="114"/>
          </w:pPr>
          <w:sdt>
            <w:sdtPr>
              <w:alias w:val="是否适用：账龄超过1年的重要其他应付款[双击切换]"/>
              <w:tag w:val="_GBC_484cd63ee8b54a41978c822ae4ec5689"/>
              <w:id w:val="-2098015944"/>
              <w:lock w:val="sdtLocked"/>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sdtContent>
    </w:sdt>
    <w:sdt>
      <w:sdtPr>
        <w:rPr>
          <w:rFonts w:hint="eastAsia"/>
        </w:rPr>
        <w:alias w:val="模块:其他说明"/>
        <w:tag w:val="_SEC_b03fcb02b4b747249703cbc2e0a127fd"/>
        <w:id w:val="-1848319063"/>
        <w:lock w:val="sdtLocked"/>
        <w:placeholder>
          <w:docPart w:val="GBC22222222222222222222222222222"/>
        </w:placeholder>
      </w:sdtPr>
      <w:sdtEndPr>
        <w:rPr>
          <w:rFonts w:hint="default"/>
        </w:rPr>
      </w:sdtEndPr>
      <w:sdtContent>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pStyle w:val="114"/>
          </w:pPr>
        </w:p>
        <w:sdt>
          <w:sdtPr>
            <w:alias w:val="是否适用：其他应付款的其他说明[双击切换]"/>
            <w:tag w:val="_GBC_c968ec386e144657884a6b5b483acbfd"/>
            <w:id w:val="1218161382"/>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8"/>
    <w:p>
      <w:pPr>
        <w:pStyle w:val="114"/>
      </w:pPr>
    </w:p>
    <w:p>
      <w:pPr>
        <w:pStyle w:val="114"/>
      </w:pPr>
    </w:p>
    <w:sdt>
      <w:sdtPr>
        <w:rPr>
          <w:rFonts w:hint="eastAsia" w:ascii="宋体" w:hAnsi="宋体" w:cs="宋体"/>
          <w:b w:val="0"/>
          <w:bCs w:val="0"/>
          <w:kern w:val="0"/>
          <w:szCs w:val="21"/>
        </w:rPr>
        <w:alias w:val="模块:划分为持有待售的负债"/>
        <w:tag w:val="_GBC_b863defdccbc448695ee82953f3da273"/>
        <w:id w:val="2056194390"/>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持有待售负债</w:t>
          </w:r>
        </w:p>
        <w:sdt>
          <w:sdtPr>
            <w:alias w:val="是否适用：划分为持有待售的负债[双击切换]"/>
            <w:tag w:val="_GBC_039b9e06b132407a89f578be468d6ec8"/>
            <w:id w:val="116011930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1"/>
        </w:rPr>
        <w:alias w:val="模块:1年内到期的非流动负债"/>
        <w:tag w:val="_GBC_d5b7f9c02d494f85b85a36713895b9f8"/>
        <w:id w:val="1182864141"/>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一年内到期的非流动负债</w:t>
          </w:r>
        </w:p>
        <w:sdt>
          <w:sdtPr>
            <w:alias w:val="是否适用：1年内到期的非流动负债[双击切换]"/>
            <w:tag w:val="_GBC_9b606bc3f0cf4f77be9b0f299d212c73"/>
            <w:id w:val="160792785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1年内到期的非流动负债情况"/>
              <w:tag w:val="_GBC_7bad01766fa0485ea9c16109704ff32e"/>
              <w:id w:val="-15862204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17389760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8"/>
            <w:gridCol w:w="3037"/>
            <w:gridCol w:w="3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f2815b84ebe4a1e94909ee96ec31ac1"/>
                <w:id w:val="1979107412"/>
                <w:lock w:val="sdtLocked"/>
              </w:sdtPr>
              <w:sdtContent>
                <w:tc>
                  <w:tcPr>
                    <w:tcW w:w="1607" w:type="pct"/>
                    <w:shd w:val="clear" w:color="auto" w:fill="auto"/>
                  </w:tcPr>
                  <w:p>
                    <w:pPr>
                      <w:jc w:val="center"/>
                    </w:pPr>
                    <w:r>
                      <w:rPr>
                        <w:rFonts w:hint="eastAsia"/>
                      </w:rPr>
                      <w:t>项目</w:t>
                    </w:r>
                  </w:p>
                </w:tc>
              </w:sdtContent>
            </w:sdt>
            <w:sdt>
              <w:sdtPr>
                <w:tag w:val="_PLD_db7abcf611bc4296ad7bd9c8177202e0"/>
                <w:id w:val="-1235922332"/>
                <w:lock w:val="sdtLocked"/>
              </w:sdtPr>
              <w:sdtContent>
                <w:tc>
                  <w:tcPr>
                    <w:tcW w:w="1678" w:type="pct"/>
                    <w:shd w:val="clear" w:color="auto" w:fill="auto"/>
                  </w:tcPr>
                  <w:p>
                    <w:pPr>
                      <w:jc w:val="center"/>
                    </w:pPr>
                    <w:r>
                      <w:rPr>
                        <w:rFonts w:hint="eastAsia"/>
                      </w:rPr>
                      <w:t>期末余额</w:t>
                    </w:r>
                  </w:p>
                </w:tc>
              </w:sdtContent>
            </w:sdt>
            <w:sdt>
              <w:sdtPr>
                <w:tag w:val="_PLD_371959274ef4493ca1fe426c930e0bf2"/>
                <w:id w:val="495924347"/>
                <w:lock w:val="sdtLocked"/>
              </w:sdtPr>
              <w:sdtContent>
                <w:tc>
                  <w:tcPr>
                    <w:tcW w:w="1715" w:type="pct"/>
                    <w:shd w:val="clear" w:color="auto" w:fill="auto"/>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604ff944003432285ae67c4dffb978f"/>
                <w:id w:val="-1855181088"/>
                <w:lock w:val="sdtLocked"/>
              </w:sdtPr>
              <w:sdtContent>
                <w:tc>
                  <w:tcPr>
                    <w:tcW w:w="1607" w:type="pct"/>
                    <w:shd w:val="clear" w:color="auto" w:fill="auto"/>
                  </w:tcPr>
                  <w:p>
                    <w:pPr>
                      <w:pStyle w:val="114"/>
                    </w:pPr>
                    <w:r>
                      <w:rPr>
                        <w:rFonts w:hint="eastAsia"/>
                      </w:rPr>
                      <w:t>1年内到期的长期借款</w:t>
                    </w:r>
                  </w:p>
                </w:tc>
              </w:sdtContent>
            </w:sdt>
            <w:tc>
              <w:tcPr>
                <w:tcW w:w="1678" w:type="pct"/>
                <w:shd w:val="clear" w:color="auto" w:fill="auto"/>
                <w:vAlign w:val="center"/>
              </w:tcPr>
              <w:p>
                <w:pPr>
                  <w:jc w:val="right"/>
                </w:pPr>
                <w:r>
                  <w:t>1,366,324,814.38</w:t>
                </w:r>
              </w:p>
            </w:tc>
            <w:tc>
              <w:tcPr>
                <w:tcW w:w="1715" w:type="pct"/>
                <w:shd w:val="clear" w:color="auto" w:fill="auto"/>
                <w:vAlign w:val="center"/>
              </w:tcPr>
              <w:p>
                <w:pPr>
                  <w:jc w:val="right"/>
                </w:pPr>
                <w:r>
                  <w:t>1,673,998,534.30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33302dbab574c0490258d7885fc5bb5"/>
                <w:id w:val="-1696839781"/>
                <w:lock w:val="sdtLocked"/>
              </w:sdtPr>
              <w:sdtContent>
                <w:tc>
                  <w:tcPr>
                    <w:tcW w:w="1607" w:type="pct"/>
                    <w:shd w:val="clear" w:color="auto" w:fill="auto"/>
                  </w:tcPr>
                  <w:p>
                    <w:pPr>
                      <w:pStyle w:val="114"/>
                    </w:pPr>
                    <w:r>
                      <w:rPr>
                        <w:rFonts w:hint="eastAsia"/>
                      </w:rPr>
                      <w:t>1年内到期的应付债券</w:t>
                    </w:r>
                  </w:p>
                </w:tc>
              </w:sdtContent>
            </w:sdt>
            <w:tc>
              <w:tcPr>
                <w:tcW w:w="1678" w:type="pct"/>
                <w:shd w:val="clear" w:color="auto" w:fill="auto"/>
                <w:vAlign w:val="center"/>
              </w:tcPr>
              <w:p>
                <w:pPr>
                  <w:jc w:val="right"/>
                </w:pPr>
                <w:r>
                  <w:t>1,184,488,225.32</w:t>
                </w:r>
              </w:p>
            </w:tc>
            <w:tc>
              <w:tcPr>
                <w:tcW w:w="1715" w:type="pct"/>
                <w:shd w:val="clear" w:color="auto" w:fill="auto"/>
                <w:vAlign w:val="center"/>
              </w:tcPr>
              <w:p>
                <w:pPr>
                  <w:jc w:val="right"/>
                </w:pPr>
                <w:r>
                  <w:t>127,249,150.67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0ec0c08bdec4a7cab5a5163221b0aa3"/>
                <w:id w:val="1645538097"/>
                <w:lock w:val="sdtLocked"/>
              </w:sdtPr>
              <w:sdtContent>
                <w:tc>
                  <w:tcPr>
                    <w:tcW w:w="1607" w:type="pct"/>
                    <w:shd w:val="clear" w:color="auto" w:fill="auto"/>
                  </w:tcPr>
                  <w:p>
                    <w:pPr>
                      <w:pStyle w:val="114"/>
                    </w:pPr>
                    <w:r>
                      <w:rPr>
                        <w:rFonts w:hint="eastAsia"/>
                      </w:rPr>
                      <w:t>1年内到期的长期应付款</w:t>
                    </w:r>
                  </w:p>
                </w:tc>
              </w:sdtContent>
            </w:sdt>
            <w:tc>
              <w:tcPr>
                <w:tcW w:w="1678" w:type="pct"/>
                <w:shd w:val="clear" w:color="auto" w:fill="auto"/>
                <w:vAlign w:val="center"/>
              </w:tcPr>
              <w:p>
                <w:pPr>
                  <w:jc w:val="right"/>
                </w:pPr>
                <w:r>
                  <w:t>3,277,520.96</w:t>
                </w:r>
              </w:p>
            </w:tc>
            <w:tc>
              <w:tcPr>
                <w:tcW w:w="1715" w:type="pct"/>
                <w:shd w:val="clear" w:color="auto" w:fill="auto"/>
                <w:vAlign w:val="center"/>
              </w:tcPr>
              <w:p>
                <w:pPr>
                  <w:jc w:val="right"/>
                </w:pPr>
                <w:r>
                  <w:t>1,598,441.96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shd w:val="clear" w:color="auto" w:fill="auto"/>
              </w:tcPr>
              <w:sdt>
                <w:sdtPr>
                  <w:rPr>
                    <w:rFonts w:hint="eastAsia"/>
                  </w:rPr>
                  <w:tag w:val="_PLD_da928b33f6eb40d197d7afd28664c8f8"/>
                  <w:id w:val="545957450"/>
                  <w:lock w:val="sdtLocked"/>
                </w:sdtPr>
                <w:sdtEndPr>
                  <w:rPr>
                    <w:rFonts w:hint="eastAsia"/>
                  </w:rPr>
                </w:sdtEndPr>
                <w:sdtContent>
                  <w:p>
                    <w:pPr>
                      <w:pStyle w:val="114"/>
                    </w:pPr>
                    <w:r>
                      <w:rPr>
                        <w:rFonts w:hint="eastAsia"/>
                      </w:rPr>
                      <w:t>1年内到期的租赁负债</w:t>
                    </w:r>
                  </w:p>
                </w:sdtContent>
              </w:sdt>
            </w:tc>
            <w:tc>
              <w:tcPr>
                <w:tcW w:w="1678" w:type="pct"/>
                <w:shd w:val="clear" w:color="auto" w:fill="auto"/>
                <w:vAlign w:val="center"/>
              </w:tcPr>
              <w:p>
                <w:pPr>
                  <w:jc w:val="right"/>
                </w:pPr>
                <w:r>
                  <w:t>3,807,064.82</w:t>
                </w:r>
              </w:p>
            </w:tc>
            <w:tc>
              <w:tcPr>
                <w:tcW w:w="1715" w:type="pct"/>
                <w:shd w:val="clear" w:color="auto" w:fill="auto"/>
                <w:vAlign w:val="center"/>
              </w:tcPr>
              <w:p>
                <w:pPr>
                  <w:jc w:val="right"/>
                </w:pPr>
                <w:r>
                  <w:t>7,911,433.32</w:t>
                </w:r>
              </w:p>
            </w:tc>
          </w:tr>
          <w:sdt>
            <w:sdtPr>
              <w:rPr>
                <w:rFonts w:hint="eastAsia"/>
              </w:rPr>
              <w:alias w:val="1年内到期的非流动负债明细"/>
              <w:tag w:val="_GBC_dc4153fe5748430b8292d10d4e47eebf"/>
              <w:id w:val="-882629609"/>
              <w:lock w:val="sdtLocked"/>
            </w:sdtPr>
            <w:sdtEndPr>
              <w:rPr>
                <w:rFonts w:hint="default"/>
                <w:color w:val="000000" w:themeColor="text1"/>
                <w14:textFill>
                  <w14:solidFill>
                    <w14:schemeClr w14:val="tx1"/>
                  </w14:solidFill>
                </w14:textFil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1607" w:type="pct"/>
                    <w:shd w:val="clear" w:color="auto" w:fill="auto"/>
                  </w:tcPr>
                  <w:p>
                    <w:pPr>
                      <w:pStyle w:val="114"/>
                    </w:pPr>
                    <w:r>
                      <w:rPr>
                        <w:rFonts w:hint="eastAsia"/>
                      </w:rPr>
                      <w:t>1</w:t>
                    </w:r>
                    <w:r>
                      <w:t>年内到期的非流动负债</w:t>
                    </w:r>
                  </w:p>
                </w:tc>
                <w:tc>
                  <w:tcPr>
                    <w:tcW w:w="1678" w:type="pct"/>
                    <w:shd w:val="clear" w:color="auto" w:fill="auto"/>
                  </w:tcPr>
                  <w:p>
                    <w:pPr>
                      <w:jc w:val="right"/>
                    </w:pPr>
                    <w:r>
                      <w:t>-</w:t>
                    </w:r>
                  </w:p>
                </w:tc>
                <w:tc>
                  <w:tcPr>
                    <w:tcW w:w="1715" w:type="pct"/>
                    <w:shd w:val="clear" w:color="auto" w:fill="auto"/>
                  </w:tcPr>
                  <w:p>
                    <w:pPr>
                      <w:jc w:val="right"/>
                    </w:pPr>
                    <w:r>
                      <w:t>4,451,000.00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shd w:val="clear" w:color="auto" w:fill="auto"/>
              </w:tcPr>
              <w:p>
                <w:pPr>
                  <w:jc w:val="center"/>
                </w:pPr>
                <w:sdt>
                  <w:sdtPr>
                    <w:tag w:val="_PLD_f9405fec461a4b079f93c72be0490bbf"/>
                    <w:id w:val="-1028634102"/>
                    <w:lock w:val="sdtLocked"/>
                  </w:sdtPr>
                  <w:sdtContent>
                    <w:r>
                      <w:rPr>
                        <w:rFonts w:hint="eastAsia"/>
                      </w:rPr>
                      <w:t>合计</w:t>
                    </w:r>
                  </w:sdtContent>
                </w:sdt>
              </w:p>
            </w:tc>
            <w:tc>
              <w:tcPr>
                <w:tcW w:w="1678" w:type="pct"/>
                <w:shd w:val="clear" w:color="auto" w:fill="auto"/>
                <w:vAlign w:val="center"/>
              </w:tcPr>
              <w:p>
                <w:pPr>
                  <w:jc w:val="right"/>
                </w:pPr>
                <w:r>
                  <w:t>2,557,897,625.48</w:t>
                </w:r>
              </w:p>
            </w:tc>
            <w:tc>
              <w:tcPr>
                <w:tcW w:w="1715" w:type="pct"/>
                <w:shd w:val="clear" w:color="auto" w:fill="auto"/>
                <w:vAlign w:val="center"/>
              </w:tcPr>
              <w:p>
                <w:pPr>
                  <w:jc w:val="right"/>
                </w:pPr>
                <w:r>
                  <w:t>1,815,208,560.25</w:t>
                </w:r>
              </w:p>
            </w:tc>
          </w:tr>
        </w:tbl>
        <w:p>
          <w:pPr>
            <w:pStyle w:val="114"/>
          </w:pPr>
          <w:r>
            <w:rPr>
              <w:rFonts w:hint="eastAsia"/>
            </w:rPr>
            <w:t>其他说明：</w:t>
          </w:r>
        </w:p>
        <w:sdt>
          <w:sdtPr>
            <w:alias w:val="1年内到期的非流动负债说明"/>
            <w:tag w:val="_GBC_ae2cc1bff1994660ac9e57279493bfe6"/>
            <w:id w:val="-1167775821"/>
            <w:lock w:val="sdtLocked"/>
            <w:placeholder>
              <w:docPart w:val="GBC22222222222222222222222222222"/>
            </w:placeholder>
          </w:sdtPr>
          <w:sdtContent>
            <w:p>
              <w:pPr>
                <w:pStyle w:val="114"/>
              </w:pPr>
              <w:r>
                <w:rPr>
                  <w:rFonts w:hint="eastAsia"/>
                </w:rPr>
                <w:t>不适用</w:t>
              </w:r>
            </w:p>
          </w:sdtContent>
        </w:sdt>
        <w:p>
          <w:pPr>
            <w:pStyle w:val="114"/>
          </w:pPr>
        </w:p>
      </w:sdtContent>
    </w:sdt>
    <w:p>
      <w:pPr>
        <w:pStyle w:val="4"/>
        <w:numPr>
          <w:ilvl w:val="0"/>
          <w:numId w:val="51"/>
        </w:numPr>
        <w:tabs>
          <w:tab w:val="left" w:pos="504"/>
        </w:tabs>
        <w:rPr>
          <w:rFonts w:ascii="宋体" w:hAnsi="宋体"/>
          <w:szCs w:val="21"/>
        </w:rPr>
      </w:pPr>
      <w:r>
        <w:rPr>
          <w:rFonts w:hint="eastAsia" w:ascii="宋体" w:hAnsi="宋体"/>
          <w:szCs w:val="21"/>
        </w:rPr>
        <w:t>其他流动负债</w:t>
      </w:r>
      <w:bookmarkStart w:id="219" w:name="_Hlk10536328"/>
    </w:p>
    <w:sdt>
      <w:sdtPr>
        <w:rPr>
          <w:rFonts w:hint="eastAsia"/>
        </w:rPr>
        <w:alias w:val="是否适用：其他流动负债情况 [双击切换]"/>
        <w:tag w:val="_GBC_80907e3e53c44260b850f42646eb3d63"/>
        <w:id w:val="407194338"/>
        <w:lock w:val="sdtConten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1675920286"/>
        <w:lock w:val="sdtLocked"/>
        <w:placeholder>
          <w:docPart w:val="GBC22222222222222222222222222222"/>
        </w:placeholder>
      </w:sdtPr>
      <w:sdtEndPr>
        <w:rPr>
          <w:rFonts w:hint="default"/>
        </w:rPr>
      </w:sdtEndPr>
      <w:sdtContent>
        <w:p>
          <w:pPr>
            <w:jc w:val="right"/>
          </w:pPr>
          <w:r>
            <w:rPr>
              <w:rFonts w:hint="eastAsia"/>
            </w:rPr>
            <w:t>单位：</w:t>
          </w:r>
          <w:sdt>
            <w:sdtPr>
              <w:rPr>
                <w:rFonts w:hint="eastAsia"/>
              </w:rPr>
              <w:alias w:val="单位：财务附注：其他流动负债"/>
              <w:tag w:val="_GBC_6d31349460124941a4929421727aab0e"/>
              <w:id w:val="5543508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17221019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3118"/>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8fb682e3d6ad4a60b648ec38137fbf9d"/>
                <w:id w:val="1203365512"/>
                <w:lock w:val="sdtLocked"/>
              </w:sdtPr>
              <w:sdtContent>
                <w:tc>
                  <w:tcPr>
                    <w:tcW w:w="1548" w:type="pct"/>
                    <w:tcBorders>
                      <w:top w:val="single" w:color="auto" w:sz="4" w:space="0"/>
                      <w:left w:val="single" w:color="auto" w:sz="4" w:space="0"/>
                      <w:bottom w:val="single" w:color="auto" w:sz="4" w:space="0"/>
                      <w:right w:val="single" w:color="auto" w:sz="4" w:space="0"/>
                    </w:tcBorders>
                    <w:vAlign w:val="bottom"/>
                  </w:tcPr>
                  <w:p>
                    <w:pPr>
                      <w:tabs>
                        <w:tab w:val="right" w:pos="3690"/>
                        <w:tab w:val="right" w:pos="5130"/>
                        <w:tab w:val="right" w:pos="6030"/>
                        <w:tab w:val="right" w:pos="7650"/>
                        <w:tab w:val="right" w:pos="9270"/>
                      </w:tabs>
                      <w:snapToGrid w:val="0"/>
                      <w:ind w:left="-109" w:leftChars="-52"/>
                      <w:jc w:val="center"/>
                    </w:pPr>
                    <w:r>
                      <w:rPr>
                        <w:rFonts w:hint="eastAsia"/>
                      </w:rPr>
                      <w:t>项目</w:t>
                    </w:r>
                  </w:p>
                </w:tc>
              </w:sdtContent>
            </w:sdt>
            <w:sdt>
              <w:sdtPr>
                <w:tag w:val="_PLD_0c0b762dc58f486f9f736b7ace21e9a0"/>
                <w:id w:val="1742366971"/>
                <w:lock w:val="sdtLocked"/>
              </w:sdtPr>
              <w:sdtContent>
                <w:tc>
                  <w:tcPr>
                    <w:tcW w:w="1723" w:type="pct"/>
                    <w:tcBorders>
                      <w:top w:val="single" w:color="auto" w:sz="4" w:space="0"/>
                      <w:left w:val="single" w:color="auto" w:sz="4" w:space="0"/>
                      <w:bottom w:val="single" w:color="auto" w:sz="4" w:space="0"/>
                      <w:right w:val="single" w:color="auto" w:sz="4" w:space="0"/>
                    </w:tcBorders>
                  </w:tcPr>
                  <w:p>
                    <w:pPr>
                      <w:adjustRightInd w:val="0"/>
                      <w:snapToGrid w:val="0"/>
                      <w:jc w:val="center"/>
                    </w:pPr>
                    <w:r>
                      <w:rPr>
                        <w:rFonts w:hint="eastAsia"/>
                      </w:rPr>
                      <w:t>期末余额</w:t>
                    </w:r>
                  </w:p>
                </w:tc>
              </w:sdtContent>
            </w:sdt>
            <w:sdt>
              <w:sdtPr>
                <w:tag w:val="_PLD_942d693f41424f82b813e282a8210643"/>
                <w:id w:val="-801155085"/>
                <w:lock w:val="sdtLocked"/>
              </w:sdtPr>
              <w:sdtContent>
                <w:tc>
                  <w:tcPr>
                    <w:tcW w:w="1729" w:type="pct"/>
                    <w:tcBorders>
                      <w:top w:val="single" w:color="auto" w:sz="4" w:space="0"/>
                      <w:left w:val="single" w:color="auto" w:sz="4" w:space="0"/>
                      <w:bottom w:val="single" w:color="auto" w:sz="4" w:space="0"/>
                      <w:right w:val="single" w:color="auto" w:sz="4" w:space="0"/>
                    </w:tcBorders>
                  </w:tcPr>
                  <w:p>
                    <w:pPr>
                      <w:adjustRightInd w:val="0"/>
                      <w:snapToGrid w:val="0"/>
                      <w:jc w:val="center"/>
                    </w:pPr>
                    <w:r>
                      <w:rPr>
                        <w:rFonts w:hint="eastAsia"/>
                      </w:rPr>
                      <w:t>期初余额</w:t>
                    </w:r>
                  </w:p>
                </w:tc>
              </w:sdtContent>
            </w:sdt>
          </w:tr>
          <w:sdt>
            <w:sdtPr>
              <w:rPr>
                <w:rFonts w:hint="eastAsia"/>
              </w:rPr>
              <w:alias w:val="其他流动负债明细"/>
              <w:tag w:val="_GBC_6ad57a8cdfbd4161b9e29fe9e473fce8"/>
              <w:id w:val="160646210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pct"/>
                    <w:tcBorders>
                      <w:top w:val="single" w:color="auto" w:sz="4" w:space="0"/>
                      <w:left w:val="single" w:color="auto" w:sz="4" w:space="0"/>
                      <w:bottom w:val="single" w:color="auto" w:sz="4" w:space="0"/>
                      <w:right w:val="single" w:color="auto" w:sz="4" w:space="0"/>
                    </w:tcBorders>
                  </w:tcPr>
                  <w:p>
                    <w:pPr>
                      <w:pStyle w:val="114"/>
                    </w:pPr>
                    <w:r>
                      <w:t>超短期融资券</w:t>
                    </w:r>
                  </w:p>
                </w:tc>
                <w:tc>
                  <w:tcPr>
                    <w:tcW w:w="1723" w:type="pct"/>
                    <w:tcBorders>
                      <w:top w:val="single" w:color="auto" w:sz="4" w:space="0"/>
                      <w:left w:val="single" w:color="auto" w:sz="4" w:space="0"/>
                      <w:bottom w:val="single" w:color="auto" w:sz="4" w:space="0"/>
                      <w:right w:val="single" w:color="auto" w:sz="4" w:space="0"/>
                    </w:tcBorders>
                  </w:tcPr>
                  <w:p>
                    <w:pPr>
                      <w:jc w:val="right"/>
                    </w:pPr>
                    <w:r>
                      <w:t>4,421,226,006.00</w:t>
                    </w:r>
                  </w:p>
                </w:tc>
                <w:tc>
                  <w:tcPr>
                    <w:tcW w:w="1729" w:type="pct"/>
                    <w:tcBorders>
                      <w:top w:val="single" w:color="auto" w:sz="4" w:space="0"/>
                      <w:left w:val="single" w:color="auto" w:sz="4" w:space="0"/>
                      <w:bottom w:val="single" w:color="auto" w:sz="4" w:space="0"/>
                      <w:right w:val="single" w:color="auto" w:sz="4" w:space="0"/>
                    </w:tcBorders>
                  </w:tcPr>
                  <w:p>
                    <w:pPr>
                      <w:jc w:val="right"/>
                    </w:pPr>
                    <w:r>
                      <w:t>5,334,649,066.00</w:t>
                    </w:r>
                  </w:p>
                </w:tc>
              </w:tr>
            </w:sdtContent>
          </w:sdt>
          <w:sdt>
            <w:sdtPr>
              <w:rPr>
                <w:rFonts w:hint="eastAsia"/>
              </w:rPr>
              <w:alias w:val="其他流动负债明细"/>
              <w:tag w:val="_GBC_6ad57a8cdfbd4161b9e29fe9e473fce8"/>
              <w:id w:val="-199178079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pct"/>
                    <w:tcBorders>
                      <w:top w:val="single" w:color="auto" w:sz="4" w:space="0"/>
                      <w:left w:val="single" w:color="auto" w:sz="4" w:space="0"/>
                      <w:bottom w:val="single" w:color="auto" w:sz="4" w:space="0"/>
                      <w:right w:val="single" w:color="auto" w:sz="4" w:space="0"/>
                    </w:tcBorders>
                  </w:tcPr>
                  <w:p>
                    <w:pPr>
                      <w:pStyle w:val="114"/>
                    </w:pPr>
                    <w:r>
                      <w:t>待转销项税</w:t>
                    </w:r>
                  </w:p>
                </w:tc>
                <w:tc>
                  <w:tcPr>
                    <w:tcW w:w="1723" w:type="pct"/>
                    <w:tcBorders>
                      <w:top w:val="single" w:color="auto" w:sz="4" w:space="0"/>
                      <w:left w:val="single" w:color="auto" w:sz="4" w:space="0"/>
                      <w:bottom w:val="single" w:color="auto" w:sz="4" w:space="0"/>
                      <w:right w:val="single" w:color="auto" w:sz="4" w:space="0"/>
                    </w:tcBorders>
                  </w:tcPr>
                  <w:p>
                    <w:pPr>
                      <w:jc w:val="right"/>
                    </w:pPr>
                    <w:r>
                      <w:t>18,433,059.80</w:t>
                    </w:r>
                  </w:p>
                </w:tc>
                <w:tc>
                  <w:tcPr>
                    <w:tcW w:w="1729" w:type="pct"/>
                    <w:tcBorders>
                      <w:top w:val="single" w:color="auto" w:sz="4" w:space="0"/>
                      <w:left w:val="single" w:color="auto" w:sz="4" w:space="0"/>
                      <w:bottom w:val="single" w:color="auto" w:sz="4" w:space="0"/>
                      <w:right w:val="single" w:color="auto" w:sz="4" w:space="0"/>
                    </w:tcBorders>
                  </w:tcPr>
                  <w:p>
                    <w:pPr>
                      <w:jc w:val="right"/>
                    </w:pPr>
                    <w:r>
                      <w:t>25,079,026.37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3835b041db764a298b09897ff76b9cf1"/>
                <w:id w:val="-909924713"/>
                <w:lock w:val="sdtLocked"/>
              </w:sdtPr>
              <w:sdtContent>
                <w:tc>
                  <w:tcPr>
                    <w:tcW w:w="1548" w:type="pct"/>
                    <w:tcBorders>
                      <w:top w:val="single" w:color="auto" w:sz="4" w:space="0"/>
                      <w:left w:val="single" w:color="auto" w:sz="4" w:space="0"/>
                      <w:bottom w:val="single" w:color="auto" w:sz="4" w:space="0"/>
                      <w:right w:val="single" w:color="auto" w:sz="4" w:space="0"/>
                    </w:tcBorders>
                  </w:tcPr>
                  <w:p>
                    <w:pPr>
                      <w:jc w:val="center"/>
                    </w:pPr>
                    <w:r>
                      <w:rPr>
                        <w:rFonts w:hint="eastAsia"/>
                      </w:rPr>
                      <w:t>合计</w:t>
                    </w:r>
                  </w:p>
                </w:tc>
              </w:sdtContent>
            </w:sdt>
            <w:tc>
              <w:tcPr>
                <w:tcW w:w="1723" w:type="pct"/>
                <w:tcBorders>
                  <w:top w:val="single" w:color="auto" w:sz="4" w:space="0"/>
                  <w:left w:val="single" w:color="auto" w:sz="4" w:space="0"/>
                  <w:bottom w:val="single" w:color="auto" w:sz="4" w:space="0"/>
                  <w:right w:val="single" w:color="auto" w:sz="4" w:space="0"/>
                </w:tcBorders>
                <w:vAlign w:val="center"/>
              </w:tcPr>
              <w:p>
                <w:pPr>
                  <w:jc w:val="right"/>
                </w:pPr>
                <w:r>
                  <w:t>4,439,659,065.80</w:t>
                </w:r>
              </w:p>
            </w:tc>
            <w:tc>
              <w:tcPr>
                <w:tcW w:w="1729" w:type="pct"/>
                <w:tcBorders>
                  <w:top w:val="single" w:color="auto" w:sz="4" w:space="0"/>
                  <w:left w:val="single" w:color="auto" w:sz="4" w:space="0"/>
                  <w:bottom w:val="single" w:color="auto" w:sz="4" w:space="0"/>
                  <w:right w:val="single" w:color="auto" w:sz="4" w:space="0"/>
                </w:tcBorders>
                <w:vAlign w:val="center"/>
              </w:tcPr>
              <w:p>
                <w:pPr>
                  <w:jc w:val="right"/>
                </w:pPr>
                <w:r>
                  <w:t>5,359,728,092.37</w:t>
                </w:r>
              </w:p>
            </w:tc>
          </w:tr>
        </w:tbl>
        <w:p>
          <w:pPr>
            <w:pStyle w:val="114"/>
          </w:pPr>
        </w:p>
      </w:sdtContent>
    </w:sdt>
    <w:bookmarkEnd w:id="219"/>
    <w:sdt>
      <w:sdtPr>
        <w:rPr>
          <w:rFonts w:hint="eastAsia"/>
          <w:bCs/>
          <w:szCs w:val="22"/>
        </w:rPr>
        <w:alias w:val="模块:短期应付债券的增减变动"/>
        <w:tag w:val="_GBC_4577b030bbab4faa991328e6acd5a589"/>
        <w:id w:val="-1536574976"/>
        <w:lock w:val="sdtLocked"/>
        <w:placeholder>
          <w:docPart w:val="GBC22222222222222222222222222222"/>
        </w:placeholder>
      </w:sdtPr>
      <w:sdtEndPr>
        <w:rPr>
          <w:rFonts w:hint="default" w:cstheme="minorBidi"/>
          <w:bCs w:val="0"/>
          <w:color w:val="000000" w:themeColor="text1"/>
          <w:kern w:val="2"/>
          <w:sz w:val="16"/>
          <w:szCs w:val="16"/>
          <w14:textFill>
            <w14:solidFill>
              <w14:schemeClr w14:val="tx1"/>
            </w14:solidFill>
          </w14:textFill>
        </w:rPr>
      </w:sdtEndPr>
      <w:sdtContent>
        <w:p>
          <w:r>
            <w:rPr>
              <w:rFonts w:hint="eastAsia"/>
            </w:rPr>
            <w:t>短期</w:t>
          </w:r>
          <w:r>
            <w:t>应付债券的增减变动</w:t>
          </w:r>
          <w:r>
            <w:rPr>
              <w:rFonts w:hint="eastAsia"/>
            </w:rPr>
            <w:t>：</w:t>
          </w:r>
        </w:p>
        <w:sdt>
          <w:sdtPr>
            <w:rPr>
              <w:sz w:val="16"/>
              <w:szCs w:val="16"/>
            </w:rPr>
            <w:alias w:val="是否适用：短期应付债券的增减变动[双击切换]"/>
            <w:tag w:val="_GBC_82d0c6ce58744d20918b6a0221dbac6b"/>
            <w:id w:val="-1596471665"/>
            <w:lock w:val="sdtLocked"/>
            <w:placeholder>
              <w:docPart w:val="GBC22222222222222222222222222222"/>
            </w:placeholder>
          </w:sdtPr>
          <w:sdtEndPr>
            <w:rPr>
              <w:sz w:val="16"/>
              <w:szCs w:val="16"/>
            </w:rPr>
          </w:sdtEndPr>
          <w:sdtContent>
            <w:p>
              <w:pPr>
                <w:rPr>
                  <w:sz w:val="16"/>
                  <w:szCs w:val="16"/>
                </w:rPr>
              </w:pPr>
              <w:r>
                <w:rPr>
                  <w:sz w:val="16"/>
                  <w:szCs w:val="16"/>
                </w:rPr>
                <w:fldChar w:fldCharType="begin"/>
              </w:r>
              <w:r>
                <w:rPr>
                  <w:sz w:val="16"/>
                  <w:szCs w:val="16"/>
                </w:rPr>
                <w:instrText xml:space="preserve"> MACROBUTTON  SnrToggleCheckbox √适用 </w:instrText>
              </w:r>
              <w:r>
                <w:rPr>
                  <w:sz w:val="16"/>
                  <w:szCs w:val="16"/>
                </w:rPr>
                <w:fldChar w:fldCharType="end"/>
              </w:r>
              <w:r>
                <w:rPr>
                  <w:sz w:val="16"/>
                  <w:szCs w:val="16"/>
                </w:rPr>
                <w:fldChar w:fldCharType="begin"/>
              </w:r>
              <w:r>
                <w:rPr>
                  <w:sz w:val="16"/>
                  <w:szCs w:val="16"/>
                </w:rPr>
                <w:instrText xml:space="preserve"> MACROBUTTON  SnrToggleCheckbox □不适用 </w:instrText>
              </w:r>
              <w:r>
                <w:rPr>
                  <w:sz w:val="16"/>
                  <w:szCs w:val="16"/>
                </w:rPr>
                <w:fldChar w:fldCharType="end"/>
              </w:r>
            </w:p>
          </w:sdtContent>
        </w:sdt>
        <w:p>
          <w:pPr>
            <w:jc w:val="right"/>
            <w:rPr>
              <w:sz w:val="16"/>
              <w:szCs w:val="16"/>
            </w:rPr>
          </w:pPr>
          <w:r>
            <w:rPr>
              <w:rFonts w:hint="eastAsia"/>
              <w:sz w:val="16"/>
              <w:szCs w:val="16"/>
            </w:rPr>
            <w:t>单位：</w:t>
          </w:r>
          <w:sdt>
            <w:sdtPr>
              <w:rPr>
                <w:rFonts w:hint="eastAsia"/>
                <w:sz w:val="16"/>
                <w:szCs w:val="16"/>
              </w:rPr>
              <w:alias w:val="单位：财务附注：短期应付债券的增减变动"/>
              <w:tag w:val="_GBC_77aaa92de5de4505bd6b482014e7cf6b"/>
              <w:id w:val="-13322044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sz w:val="16"/>
                <w:szCs w:val="16"/>
              </w:rPr>
            </w:sdtEndPr>
            <w:sdtContent>
              <w:r>
                <w:rPr>
                  <w:rFonts w:hint="eastAsia"/>
                  <w:sz w:val="16"/>
                  <w:szCs w:val="16"/>
                </w:rPr>
                <w:t>元</w:t>
              </w:r>
            </w:sdtContent>
          </w:sdt>
          <w:r>
            <w:rPr>
              <w:rFonts w:hint="eastAsia"/>
              <w:sz w:val="16"/>
              <w:szCs w:val="16"/>
            </w:rPr>
            <w:t xml:space="preserve">  币种：</w:t>
          </w:r>
          <w:sdt>
            <w:sdtPr>
              <w:rPr>
                <w:rFonts w:hint="eastAsia"/>
                <w:sz w:val="16"/>
                <w:szCs w:val="16"/>
              </w:rPr>
              <w:alias w:val="币种：财务附注：短期应付债券的增减变动"/>
              <w:tag w:val="_GBC_be6c70f7ccdc4344bdde801a6b0bb3a6"/>
              <w:id w:val="-19527740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sz w:val="16"/>
                <w:szCs w:val="16"/>
              </w:rPr>
            </w:sdtEndPr>
            <w:sdtContent>
              <w:r>
                <w:rPr>
                  <w:rFonts w:hint="eastAsia"/>
                  <w:sz w:val="16"/>
                  <w:szCs w:val="16"/>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773"/>
            <w:gridCol w:w="624"/>
            <w:gridCol w:w="767"/>
            <w:gridCol w:w="434"/>
            <w:gridCol w:w="1115"/>
            <w:gridCol w:w="1000"/>
            <w:gridCol w:w="857"/>
            <w:gridCol w:w="1000"/>
            <w:gridCol w:w="1286"/>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816" w:hRule="atLeast"/>
            </w:trPr>
            <w:sdt>
              <w:sdtPr>
                <w:rPr>
                  <w:sz w:val="14"/>
                  <w:szCs w:val="14"/>
                </w:rPr>
                <w:tag w:val="_PLD_16817769f19f45ac9c46df788b579d1c"/>
                <w:id w:val="1113020130"/>
                <w:lock w:val="sdtLocked"/>
              </w:sdtPr>
              <w:sdtEndPr>
                <w:rPr>
                  <w:sz w:val="14"/>
                  <w:szCs w:val="14"/>
                </w:rPr>
              </w:sdtEndPr>
              <w:sdtContent>
                <w:tc>
                  <w:tcPr>
                    <w:tcW w:w="435" w:type="pct"/>
                    <w:shd w:val="clear" w:color="auto" w:fill="auto"/>
                    <w:vAlign w:val="center"/>
                  </w:tcPr>
                  <w:p>
                    <w:pPr>
                      <w:jc w:val="center"/>
                      <w:rPr>
                        <w:sz w:val="14"/>
                        <w:szCs w:val="14"/>
                      </w:rPr>
                    </w:pPr>
                    <w:bookmarkStart w:id="220" w:name="_Hlk142471735"/>
                    <w:r>
                      <w:rPr>
                        <w:rFonts w:hint="eastAsia"/>
                        <w:sz w:val="14"/>
                        <w:szCs w:val="14"/>
                      </w:rPr>
                      <w:t>债券</w:t>
                    </w:r>
                  </w:p>
                  <w:p>
                    <w:pPr>
                      <w:jc w:val="center"/>
                      <w:rPr>
                        <w:sz w:val="14"/>
                        <w:szCs w:val="14"/>
                      </w:rPr>
                    </w:pPr>
                    <w:r>
                      <w:rPr>
                        <w:rFonts w:hint="eastAsia"/>
                        <w:sz w:val="14"/>
                        <w:szCs w:val="14"/>
                      </w:rPr>
                      <w:t>名称</w:t>
                    </w:r>
                  </w:p>
                </w:tc>
              </w:sdtContent>
            </w:sdt>
            <w:sdt>
              <w:sdtPr>
                <w:rPr>
                  <w:sz w:val="14"/>
                  <w:szCs w:val="14"/>
                </w:rPr>
                <w:tag w:val="_PLD_b64770d90b334eb1a037fdb31a538d36"/>
                <w:id w:val="2013098176"/>
                <w:lock w:val="sdtLocked"/>
              </w:sdtPr>
              <w:sdtEndPr>
                <w:rPr>
                  <w:sz w:val="14"/>
                  <w:szCs w:val="14"/>
                </w:rPr>
              </w:sdtEndPr>
              <w:sdtContent>
                <w:tc>
                  <w:tcPr>
                    <w:tcW w:w="351" w:type="pct"/>
                    <w:shd w:val="clear" w:color="auto" w:fill="auto"/>
                    <w:vAlign w:val="center"/>
                  </w:tcPr>
                  <w:p>
                    <w:pPr>
                      <w:jc w:val="center"/>
                      <w:rPr>
                        <w:sz w:val="14"/>
                        <w:szCs w:val="14"/>
                      </w:rPr>
                    </w:pPr>
                    <w:r>
                      <w:rPr>
                        <w:rFonts w:hint="eastAsia"/>
                        <w:sz w:val="14"/>
                        <w:szCs w:val="14"/>
                      </w:rPr>
                      <w:t>面值</w:t>
                    </w:r>
                  </w:p>
                </w:tc>
              </w:sdtContent>
            </w:sdt>
            <w:sdt>
              <w:sdtPr>
                <w:rPr>
                  <w:sz w:val="14"/>
                  <w:szCs w:val="14"/>
                </w:rPr>
                <w:tag w:val="_PLD_d384f007cfed4552826071d001810b87"/>
                <w:id w:val="-1125389542"/>
                <w:lock w:val="sdtLocked"/>
              </w:sdtPr>
              <w:sdtEndPr>
                <w:rPr>
                  <w:sz w:val="14"/>
                  <w:szCs w:val="14"/>
                </w:rPr>
              </w:sdtEndPr>
              <w:sdtContent>
                <w:tc>
                  <w:tcPr>
                    <w:tcW w:w="431" w:type="pct"/>
                    <w:shd w:val="clear" w:color="auto" w:fill="auto"/>
                    <w:vAlign w:val="center"/>
                  </w:tcPr>
                  <w:p>
                    <w:pPr>
                      <w:jc w:val="center"/>
                      <w:rPr>
                        <w:sz w:val="14"/>
                        <w:szCs w:val="14"/>
                      </w:rPr>
                    </w:pPr>
                    <w:r>
                      <w:rPr>
                        <w:rFonts w:hint="eastAsia"/>
                        <w:sz w:val="14"/>
                        <w:szCs w:val="14"/>
                      </w:rPr>
                      <w:t>发行</w:t>
                    </w:r>
                  </w:p>
                  <w:p>
                    <w:pPr>
                      <w:jc w:val="center"/>
                      <w:rPr>
                        <w:sz w:val="14"/>
                        <w:szCs w:val="14"/>
                      </w:rPr>
                    </w:pPr>
                    <w:r>
                      <w:rPr>
                        <w:rFonts w:hint="eastAsia"/>
                        <w:sz w:val="14"/>
                        <w:szCs w:val="14"/>
                      </w:rPr>
                      <w:t>日期</w:t>
                    </w:r>
                  </w:p>
                </w:tc>
              </w:sdtContent>
            </w:sdt>
            <w:sdt>
              <w:sdtPr>
                <w:rPr>
                  <w:sz w:val="14"/>
                  <w:szCs w:val="14"/>
                </w:rPr>
                <w:tag w:val="_PLD_02b0b0cda7b14d5eb4d5c37c17fb4d3b"/>
                <w:id w:val="-1357802918"/>
                <w:lock w:val="sdtLocked"/>
              </w:sdtPr>
              <w:sdtEndPr>
                <w:rPr>
                  <w:sz w:val="14"/>
                  <w:szCs w:val="14"/>
                </w:rPr>
              </w:sdtEndPr>
              <w:sdtContent>
                <w:tc>
                  <w:tcPr>
                    <w:tcW w:w="244" w:type="pct"/>
                    <w:shd w:val="clear" w:color="auto" w:fill="auto"/>
                    <w:vAlign w:val="center"/>
                  </w:tcPr>
                  <w:p>
                    <w:pPr>
                      <w:jc w:val="center"/>
                      <w:rPr>
                        <w:sz w:val="14"/>
                        <w:szCs w:val="14"/>
                      </w:rPr>
                    </w:pPr>
                    <w:r>
                      <w:rPr>
                        <w:rFonts w:hint="eastAsia"/>
                        <w:sz w:val="14"/>
                        <w:szCs w:val="14"/>
                      </w:rPr>
                      <w:t>债券</w:t>
                    </w:r>
                  </w:p>
                  <w:p>
                    <w:pPr>
                      <w:jc w:val="center"/>
                      <w:rPr>
                        <w:sz w:val="14"/>
                        <w:szCs w:val="14"/>
                      </w:rPr>
                    </w:pPr>
                    <w:r>
                      <w:rPr>
                        <w:rFonts w:hint="eastAsia"/>
                        <w:sz w:val="14"/>
                        <w:szCs w:val="14"/>
                      </w:rPr>
                      <w:t>期限</w:t>
                    </w:r>
                  </w:p>
                </w:tc>
              </w:sdtContent>
            </w:sdt>
            <w:sdt>
              <w:sdtPr>
                <w:rPr>
                  <w:sz w:val="14"/>
                  <w:szCs w:val="14"/>
                </w:rPr>
                <w:tag w:val="_PLD_a8b9f211416c4764859b1ecbb67d7338"/>
                <w:id w:val="-341787503"/>
                <w:lock w:val="sdtLocked"/>
              </w:sdtPr>
              <w:sdtEndPr>
                <w:rPr>
                  <w:sz w:val="14"/>
                  <w:szCs w:val="14"/>
                </w:rPr>
              </w:sdtEndPr>
              <w:sdtContent>
                <w:tc>
                  <w:tcPr>
                    <w:tcW w:w="627" w:type="pct"/>
                    <w:shd w:val="clear" w:color="auto" w:fill="auto"/>
                    <w:vAlign w:val="center"/>
                  </w:tcPr>
                  <w:p>
                    <w:pPr>
                      <w:jc w:val="center"/>
                      <w:rPr>
                        <w:sz w:val="14"/>
                        <w:szCs w:val="14"/>
                      </w:rPr>
                    </w:pPr>
                    <w:r>
                      <w:rPr>
                        <w:rFonts w:hint="eastAsia"/>
                        <w:sz w:val="14"/>
                        <w:szCs w:val="14"/>
                      </w:rPr>
                      <w:t>发行</w:t>
                    </w:r>
                  </w:p>
                  <w:p>
                    <w:pPr>
                      <w:jc w:val="center"/>
                      <w:rPr>
                        <w:sz w:val="14"/>
                        <w:szCs w:val="14"/>
                      </w:rPr>
                    </w:pPr>
                    <w:r>
                      <w:rPr>
                        <w:rFonts w:hint="eastAsia"/>
                        <w:sz w:val="14"/>
                        <w:szCs w:val="14"/>
                      </w:rPr>
                      <w:t>金额</w:t>
                    </w:r>
                  </w:p>
                </w:tc>
              </w:sdtContent>
            </w:sdt>
            <w:sdt>
              <w:sdtPr>
                <w:rPr>
                  <w:sz w:val="14"/>
                  <w:szCs w:val="14"/>
                </w:rPr>
                <w:tag w:val="_PLD_a0e12e62a0ce4b78b139e5d1ffd5611e"/>
                <w:id w:val="1794479684"/>
                <w:lock w:val="sdtLocked"/>
              </w:sdtPr>
              <w:sdtEndPr>
                <w:rPr>
                  <w:sz w:val="14"/>
                  <w:szCs w:val="14"/>
                </w:rPr>
              </w:sdtEndPr>
              <w:sdtContent>
                <w:tc>
                  <w:tcPr>
                    <w:tcW w:w="562" w:type="pct"/>
                    <w:shd w:val="clear" w:color="auto" w:fill="auto"/>
                    <w:vAlign w:val="center"/>
                  </w:tcPr>
                  <w:p>
                    <w:pPr>
                      <w:jc w:val="center"/>
                      <w:rPr>
                        <w:sz w:val="14"/>
                        <w:szCs w:val="14"/>
                      </w:rPr>
                    </w:pPr>
                    <w:r>
                      <w:rPr>
                        <w:rFonts w:hint="eastAsia"/>
                        <w:sz w:val="14"/>
                        <w:szCs w:val="14"/>
                      </w:rPr>
                      <w:t>期初</w:t>
                    </w:r>
                  </w:p>
                  <w:p>
                    <w:pPr>
                      <w:jc w:val="center"/>
                      <w:rPr>
                        <w:sz w:val="14"/>
                        <w:szCs w:val="14"/>
                      </w:rPr>
                    </w:pPr>
                    <w:r>
                      <w:rPr>
                        <w:rFonts w:hint="eastAsia"/>
                        <w:sz w:val="14"/>
                        <w:szCs w:val="14"/>
                      </w:rPr>
                      <w:t>余额</w:t>
                    </w:r>
                  </w:p>
                </w:tc>
              </w:sdtContent>
            </w:sdt>
            <w:sdt>
              <w:sdtPr>
                <w:rPr>
                  <w:sz w:val="14"/>
                  <w:szCs w:val="14"/>
                </w:rPr>
                <w:tag w:val="_PLD_0d7f8012461b4f7388cc653ce721a2af"/>
                <w:id w:val="346378156"/>
                <w:lock w:val="sdtLocked"/>
              </w:sdtPr>
              <w:sdtEndPr>
                <w:rPr>
                  <w:sz w:val="14"/>
                  <w:szCs w:val="14"/>
                </w:rPr>
              </w:sdtEndPr>
              <w:sdtContent>
                <w:tc>
                  <w:tcPr>
                    <w:tcW w:w="482" w:type="pct"/>
                    <w:shd w:val="clear" w:color="auto" w:fill="auto"/>
                    <w:vAlign w:val="center"/>
                  </w:tcPr>
                  <w:p>
                    <w:pPr>
                      <w:jc w:val="center"/>
                      <w:rPr>
                        <w:sz w:val="14"/>
                        <w:szCs w:val="14"/>
                      </w:rPr>
                    </w:pPr>
                    <w:r>
                      <w:rPr>
                        <w:rFonts w:hint="eastAsia"/>
                        <w:sz w:val="14"/>
                        <w:szCs w:val="14"/>
                      </w:rPr>
                      <w:t>本期</w:t>
                    </w:r>
                  </w:p>
                  <w:p>
                    <w:pPr>
                      <w:jc w:val="center"/>
                      <w:rPr>
                        <w:sz w:val="14"/>
                        <w:szCs w:val="14"/>
                      </w:rPr>
                    </w:pPr>
                    <w:r>
                      <w:rPr>
                        <w:rFonts w:hint="eastAsia"/>
                        <w:sz w:val="14"/>
                        <w:szCs w:val="14"/>
                      </w:rPr>
                      <w:t>发行</w:t>
                    </w:r>
                  </w:p>
                </w:tc>
              </w:sdtContent>
            </w:sdt>
            <w:sdt>
              <w:sdtPr>
                <w:rPr>
                  <w:sz w:val="14"/>
                  <w:szCs w:val="14"/>
                </w:rPr>
                <w:tag w:val="_PLD_4203a9a167d241c193135a89949e50d1"/>
                <w:id w:val="-887033470"/>
                <w:lock w:val="sdtLocked"/>
              </w:sdtPr>
              <w:sdtEndPr>
                <w:rPr>
                  <w:sz w:val="14"/>
                  <w:szCs w:val="14"/>
                </w:rPr>
              </w:sdtEndPr>
              <w:sdtContent>
                <w:tc>
                  <w:tcPr>
                    <w:tcW w:w="562" w:type="pct"/>
                    <w:shd w:val="clear" w:color="auto" w:fill="auto"/>
                    <w:vAlign w:val="center"/>
                  </w:tcPr>
                  <w:p>
                    <w:pPr>
                      <w:jc w:val="center"/>
                      <w:rPr>
                        <w:sz w:val="14"/>
                        <w:szCs w:val="14"/>
                      </w:rPr>
                    </w:pPr>
                    <w:r>
                      <w:rPr>
                        <w:rFonts w:hint="eastAsia"/>
                        <w:sz w:val="14"/>
                        <w:szCs w:val="14"/>
                      </w:rPr>
                      <w:t>按面值计提利息</w:t>
                    </w:r>
                  </w:p>
                </w:tc>
              </w:sdtContent>
            </w:sdt>
            <w:sdt>
              <w:sdtPr>
                <w:rPr>
                  <w:sz w:val="14"/>
                  <w:szCs w:val="14"/>
                </w:rPr>
                <w:tag w:val="_PLD_7e3967d502ee43a8a740aec0c4372b76"/>
                <w:id w:val="1859153236"/>
                <w:lock w:val="sdtLocked"/>
              </w:sdtPr>
              <w:sdtEndPr>
                <w:rPr>
                  <w:sz w:val="14"/>
                  <w:szCs w:val="14"/>
                </w:rPr>
              </w:sdtEndPr>
              <w:sdtContent>
                <w:tc>
                  <w:tcPr>
                    <w:tcW w:w="723" w:type="pct"/>
                    <w:shd w:val="clear" w:color="auto" w:fill="auto"/>
                    <w:vAlign w:val="center"/>
                  </w:tcPr>
                  <w:p>
                    <w:pPr>
                      <w:jc w:val="center"/>
                      <w:rPr>
                        <w:sz w:val="14"/>
                        <w:szCs w:val="14"/>
                      </w:rPr>
                    </w:pPr>
                    <w:r>
                      <w:rPr>
                        <w:rFonts w:hint="eastAsia"/>
                        <w:sz w:val="14"/>
                        <w:szCs w:val="14"/>
                      </w:rPr>
                      <w:t>本期</w:t>
                    </w:r>
                  </w:p>
                  <w:p>
                    <w:pPr>
                      <w:jc w:val="center"/>
                      <w:rPr>
                        <w:sz w:val="14"/>
                        <w:szCs w:val="14"/>
                      </w:rPr>
                    </w:pPr>
                    <w:r>
                      <w:rPr>
                        <w:rFonts w:hint="eastAsia"/>
                        <w:sz w:val="14"/>
                        <w:szCs w:val="14"/>
                      </w:rPr>
                      <w:t>偿还</w:t>
                    </w:r>
                  </w:p>
                </w:tc>
              </w:sdtContent>
            </w:sdt>
            <w:sdt>
              <w:sdtPr>
                <w:rPr>
                  <w:sz w:val="14"/>
                  <w:szCs w:val="14"/>
                </w:rPr>
                <w:tag w:val="_PLD_bbd9c2a0e44642eda11733198d3795d9"/>
                <w:id w:val="-1819334322"/>
                <w:lock w:val="sdtLocked"/>
              </w:sdtPr>
              <w:sdtEndPr>
                <w:rPr>
                  <w:sz w:val="14"/>
                  <w:szCs w:val="14"/>
                </w:rPr>
              </w:sdtEndPr>
              <w:sdtContent>
                <w:tc>
                  <w:tcPr>
                    <w:tcW w:w="583" w:type="pct"/>
                    <w:shd w:val="clear" w:color="auto" w:fill="auto"/>
                    <w:vAlign w:val="center"/>
                  </w:tcPr>
                  <w:p>
                    <w:pPr>
                      <w:jc w:val="center"/>
                      <w:rPr>
                        <w:sz w:val="14"/>
                        <w:szCs w:val="14"/>
                      </w:rPr>
                    </w:pPr>
                    <w:r>
                      <w:rPr>
                        <w:rFonts w:hint="eastAsia"/>
                        <w:sz w:val="14"/>
                        <w:szCs w:val="14"/>
                      </w:rPr>
                      <w:t>期末</w:t>
                    </w:r>
                  </w:p>
                  <w:p>
                    <w:pPr>
                      <w:jc w:val="center"/>
                      <w:rPr>
                        <w:sz w:val="14"/>
                        <w:szCs w:val="14"/>
                      </w:rPr>
                    </w:pPr>
                    <w:r>
                      <w:rPr>
                        <w:rFonts w:hint="eastAsia"/>
                        <w:sz w:val="14"/>
                        <w:szCs w:val="14"/>
                      </w:rPr>
                      <w:t>余额</w:t>
                    </w:r>
                  </w:p>
                </w:tc>
              </w:sdtContent>
            </w:sdt>
          </w:tr>
          <w:sdt>
            <w:sdtPr>
              <w:rPr>
                <w:sz w:val="14"/>
                <w:szCs w:val="14"/>
              </w:rPr>
              <w:alias w:val="短期应付债券的增减变动明细"/>
              <w:tag w:val="_GBC_550226a5f8464e86bf34017674f48f7f"/>
              <w:id w:val="-441920048"/>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超短期融资券</w:t>
                    </w:r>
                  </w:p>
                </w:tc>
                <w:tc>
                  <w:tcPr>
                    <w:tcW w:w="351" w:type="pct"/>
                  </w:tcPr>
                  <w:p>
                    <w:pPr>
                      <w:jc w:val="right"/>
                      <w:rPr>
                        <w:sz w:val="14"/>
                        <w:szCs w:val="14"/>
                      </w:rPr>
                    </w:pPr>
                  </w:p>
                </w:tc>
                <w:tc>
                  <w:tcPr>
                    <w:tcW w:w="431" w:type="pct"/>
                  </w:tcPr>
                  <w:p>
                    <w:pPr>
                      <w:rPr>
                        <w:sz w:val="14"/>
                        <w:szCs w:val="14"/>
                      </w:rPr>
                    </w:pPr>
                    <w:r>
                      <w:rPr>
                        <w:sz w:val="14"/>
                        <w:szCs w:val="14"/>
                      </w:rPr>
                      <w:t> </w:t>
                    </w:r>
                  </w:p>
                </w:tc>
                <w:tc>
                  <w:tcPr>
                    <w:tcW w:w="244" w:type="pct"/>
                  </w:tcPr>
                  <w:p>
                    <w:pPr>
                      <w:rPr>
                        <w:sz w:val="14"/>
                        <w:szCs w:val="14"/>
                      </w:rPr>
                    </w:pPr>
                    <w:r>
                      <w:rPr>
                        <w:sz w:val="14"/>
                        <w:szCs w:val="14"/>
                      </w:rPr>
                      <w:t> </w:t>
                    </w:r>
                  </w:p>
                </w:tc>
                <w:tc>
                  <w:tcPr>
                    <w:tcW w:w="627" w:type="pct"/>
                  </w:tcPr>
                  <w:p>
                    <w:pPr>
                      <w:jc w:val="right"/>
                      <w:rPr>
                        <w:sz w:val="14"/>
                        <w:szCs w:val="14"/>
                      </w:rPr>
                    </w:pPr>
                  </w:p>
                </w:tc>
                <w:tc>
                  <w:tcPr>
                    <w:tcW w:w="562" w:type="pct"/>
                  </w:tcPr>
                  <w:p>
                    <w:pPr>
                      <w:jc w:val="right"/>
                      <w:rPr>
                        <w:sz w:val="14"/>
                        <w:szCs w:val="14"/>
                      </w:rPr>
                    </w:pPr>
                  </w:p>
                </w:tc>
                <w:tc>
                  <w:tcPr>
                    <w:tcW w:w="482" w:type="pct"/>
                  </w:tcPr>
                  <w:p>
                    <w:pPr>
                      <w:jc w:val="right"/>
                      <w:rPr>
                        <w:sz w:val="14"/>
                        <w:szCs w:val="14"/>
                      </w:rPr>
                    </w:pPr>
                  </w:p>
                </w:tc>
                <w:tc>
                  <w:tcPr>
                    <w:tcW w:w="562" w:type="pct"/>
                  </w:tcPr>
                  <w:p>
                    <w:pPr>
                      <w:jc w:val="right"/>
                      <w:rPr>
                        <w:sz w:val="14"/>
                        <w:szCs w:val="14"/>
                      </w:rPr>
                    </w:pPr>
                  </w:p>
                </w:tc>
                <w:tc>
                  <w:tcPr>
                    <w:tcW w:w="723" w:type="pct"/>
                  </w:tcPr>
                  <w:p>
                    <w:pPr>
                      <w:jc w:val="right"/>
                      <w:rPr>
                        <w:sz w:val="14"/>
                        <w:szCs w:val="14"/>
                      </w:rPr>
                    </w:pPr>
                  </w:p>
                </w:tc>
                <w:tc>
                  <w:tcPr>
                    <w:tcW w:w="583" w:type="pct"/>
                  </w:tcPr>
                  <w:p>
                    <w:pPr>
                      <w:jc w:val="right"/>
                      <w:rPr>
                        <w:sz w:val="14"/>
                        <w:szCs w:val="14"/>
                      </w:rPr>
                    </w:pPr>
                  </w:p>
                </w:tc>
              </w:tr>
            </w:sdtContent>
          </w:sdt>
          <w:sdt>
            <w:sdtPr>
              <w:rPr>
                <w:sz w:val="14"/>
                <w:szCs w:val="14"/>
              </w:rPr>
              <w:alias w:val="短期应付债券的增减变动明细"/>
              <w:tag w:val="_GBC_550226a5f8464e86bf34017674f48f7f"/>
              <w:id w:val="-295369861"/>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22宁沪高SCP039</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2022年9月21日</w:t>
                    </w:r>
                  </w:p>
                </w:tc>
                <w:tc>
                  <w:tcPr>
                    <w:tcW w:w="244" w:type="pct"/>
                  </w:tcPr>
                  <w:p>
                    <w:pPr>
                      <w:rPr>
                        <w:sz w:val="14"/>
                        <w:szCs w:val="14"/>
                      </w:rPr>
                    </w:pPr>
                    <w:r>
                      <w:rPr>
                        <w:sz w:val="14"/>
                        <w:szCs w:val="14"/>
                      </w:rPr>
                      <w:t>92</w:t>
                    </w:r>
                  </w:p>
                </w:tc>
                <w:tc>
                  <w:tcPr>
                    <w:tcW w:w="627" w:type="pct"/>
                  </w:tcPr>
                  <w:p>
                    <w:pPr>
                      <w:jc w:val="right"/>
                      <w:rPr>
                        <w:sz w:val="14"/>
                        <w:szCs w:val="14"/>
                      </w:rPr>
                    </w:pPr>
                    <w:r>
                      <w:rPr>
                        <w:sz w:val="14"/>
                        <w:szCs w:val="14"/>
                      </w:rPr>
                      <w:t>1,000,000,000.00</w:t>
                    </w:r>
                  </w:p>
                </w:tc>
                <w:tc>
                  <w:tcPr>
                    <w:tcW w:w="562" w:type="pct"/>
                  </w:tcPr>
                  <w:p>
                    <w:pPr>
                      <w:jc w:val="right"/>
                      <w:rPr>
                        <w:sz w:val="14"/>
                        <w:szCs w:val="14"/>
                      </w:rPr>
                    </w:pPr>
                    <w:r>
                      <w:rPr>
                        <w:sz w:val="14"/>
                        <w:szCs w:val="14"/>
                      </w:rPr>
                      <w:t>1,004,443,287.00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217,808.89</w:t>
                    </w:r>
                  </w:p>
                </w:tc>
                <w:tc>
                  <w:tcPr>
                    <w:tcW w:w="723" w:type="pct"/>
                  </w:tcPr>
                  <w:p>
                    <w:pPr>
                      <w:jc w:val="right"/>
                      <w:rPr>
                        <w:sz w:val="14"/>
                        <w:szCs w:val="14"/>
                      </w:rPr>
                    </w:pPr>
                    <w:r>
                      <w:rPr>
                        <w:sz w:val="14"/>
                        <w:szCs w:val="14"/>
                      </w:rPr>
                      <w:t>1,004,661,095.89</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926800138"/>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22宁沪高SCP040</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2022年10月8日</w:t>
                    </w:r>
                  </w:p>
                </w:tc>
                <w:tc>
                  <w:tcPr>
                    <w:tcW w:w="244" w:type="pct"/>
                  </w:tcPr>
                  <w:p>
                    <w:pPr>
                      <w:rPr>
                        <w:sz w:val="14"/>
                        <w:szCs w:val="14"/>
                      </w:rPr>
                    </w:pPr>
                    <w:r>
                      <w:rPr>
                        <w:sz w:val="14"/>
                        <w:szCs w:val="14"/>
                      </w:rPr>
                      <w:t>92</w:t>
                    </w:r>
                  </w:p>
                </w:tc>
                <w:tc>
                  <w:tcPr>
                    <w:tcW w:w="627" w:type="pct"/>
                  </w:tcPr>
                  <w:p>
                    <w:pPr>
                      <w:jc w:val="right"/>
                      <w:rPr>
                        <w:sz w:val="14"/>
                        <w:szCs w:val="14"/>
                      </w:rPr>
                    </w:pPr>
                    <w:r>
                      <w:rPr>
                        <w:sz w:val="14"/>
                        <w:szCs w:val="14"/>
                      </w:rPr>
                      <w:t>500,000,000.00</w:t>
                    </w:r>
                  </w:p>
                </w:tc>
                <w:tc>
                  <w:tcPr>
                    <w:tcW w:w="562" w:type="pct"/>
                  </w:tcPr>
                  <w:p>
                    <w:pPr>
                      <w:jc w:val="right"/>
                      <w:rPr>
                        <w:sz w:val="14"/>
                        <w:szCs w:val="14"/>
                      </w:rPr>
                    </w:pPr>
                    <w:r>
                      <w:rPr>
                        <w:sz w:val="14"/>
                        <w:szCs w:val="14"/>
                      </w:rPr>
                      <w:t>501,874,658.00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110,273.51</w:t>
                    </w:r>
                  </w:p>
                </w:tc>
                <w:tc>
                  <w:tcPr>
                    <w:tcW w:w="723" w:type="pct"/>
                  </w:tcPr>
                  <w:p>
                    <w:pPr>
                      <w:jc w:val="right"/>
                      <w:rPr>
                        <w:sz w:val="14"/>
                        <w:szCs w:val="14"/>
                      </w:rPr>
                    </w:pPr>
                    <w:r>
                      <w:rPr>
                        <w:sz w:val="14"/>
                        <w:szCs w:val="14"/>
                      </w:rPr>
                      <w:t>501,984,931.51</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3050461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22宁沪高SCP041</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2022年10月8日</w:t>
                    </w:r>
                  </w:p>
                </w:tc>
                <w:tc>
                  <w:tcPr>
                    <w:tcW w:w="244" w:type="pct"/>
                  </w:tcPr>
                  <w:p>
                    <w:pPr>
                      <w:rPr>
                        <w:sz w:val="14"/>
                        <w:szCs w:val="14"/>
                      </w:rPr>
                    </w:pPr>
                    <w:r>
                      <w:rPr>
                        <w:sz w:val="14"/>
                        <w:szCs w:val="14"/>
                      </w:rPr>
                      <w:t>123</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401,499,726.00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88,219.21</w:t>
                    </w:r>
                  </w:p>
                </w:tc>
                <w:tc>
                  <w:tcPr>
                    <w:tcW w:w="723" w:type="pct"/>
                  </w:tcPr>
                  <w:p>
                    <w:pPr>
                      <w:jc w:val="right"/>
                      <w:rPr>
                        <w:sz w:val="14"/>
                        <w:szCs w:val="14"/>
                      </w:rPr>
                    </w:pPr>
                    <w:r>
                      <w:rPr>
                        <w:sz w:val="14"/>
                        <w:szCs w:val="14"/>
                      </w:rPr>
                      <w:t>401,587,945.21</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58606764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22宁沪高SCP042</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2022年10月8日</w:t>
                    </w:r>
                  </w:p>
                </w:tc>
                <w:tc>
                  <w:tcPr>
                    <w:tcW w:w="244" w:type="pct"/>
                  </w:tcPr>
                  <w:p>
                    <w:pPr>
                      <w:rPr>
                        <w:sz w:val="14"/>
                        <w:szCs w:val="14"/>
                      </w:rPr>
                    </w:pPr>
                    <w:r>
                      <w:rPr>
                        <w:sz w:val="14"/>
                        <w:szCs w:val="14"/>
                      </w:rPr>
                      <w:t>121</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401,499,726.00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88,219.21</w:t>
                    </w:r>
                  </w:p>
                </w:tc>
                <w:tc>
                  <w:tcPr>
                    <w:tcW w:w="723" w:type="pct"/>
                  </w:tcPr>
                  <w:p>
                    <w:pPr>
                      <w:jc w:val="right"/>
                      <w:rPr>
                        <w:sz w:val="14"/>
                        <w:szCs w:val="14"/>
                      </w:rPr>
                    </w:pPr>
                    <w:r>
                      <w:rPr>
                        <w:sz w:val="14"/>
                        <w:szCs w:val="14"/>
                      </w:rPr>
                      <w:t>401,587,945.21</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689525951"/>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22宁沪高SCP043</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2022年11月10日</w:t>
                    </w:r>
                  </w:p>
                </w:tc>
                <w:tc>
                  <w:tcPr>
                    <w:tcW w:w="244" w:type="pct"/>
                  </w:tcPr>
                  <w:p>
                    <w:pPr>
                      <w:rPr>
                        <w:sz w:val="14"/>
                        <w:szCs w:val="14"/>
                      </w:rPr>
                    </w:pPr>
                    <w:r>
                      <w:rPr>
                        <w:sz w:val="14"/>
                        <w:szCs w:val="14"/>
                      </w:rPr>
                      <w:t>92</w:t>
                    </w:r>
                  </w:p>
                </w:tc>
                <w:tc>
                  <w:tcPr>
                    <w:tcW w:w="627" w:type="pct"/>
                  </w:tcPr>
                  <w:p>
                    <w:pPr>
                      <w:jc w:val="right"/>
                      <w:rPr>
                        <w:sz w:val="14"/>
                        <w:szCs w:val="14"/>
                      </w:rPr>
                    </w:pPr>
                    <w:r>
                      <w:rPr>
                        <w:sz w:val="14"/>
                        <w:szCs w:val="14"/>
                      </w:rPr>
                      <w:t>800,000,000.00</w:t>
                    </w:r>
                  </w:p>
                </w:tc>
                <w:tc>
                  <w:tcPr>
                    <w:tcW w:w="562" w:type="pct"/>
                  </w:tcPr>
                  <w:p>
                    <w:pPr>
                      <w:jc w:val="right"/>
                      <w:rPr>
                        <w:sz w:val="14"/>
                        <w:szCs w:val="14"/>
                      </w:rPr>
                    </w:pPr>
                    <w:r>
                      <w:rPr>
                        <w:sz w:val="14"/>
                        <w:szCs w:val="14"/>
                      </w:rPr>
                      <w:t>802,028,713.00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1,560,547.27</w:t>
                    </w:r>
                  </w:p>
                </w:tc>
                <w:tc>
                  <w:tcPr>
                    <w:tcW w:w="723" w:type="pct"/>
                  </w:tcPr>
                  <w:p>
                    <w:pPr>
                      <w:jc w:val="right"/>
                      <w:rPr>
                        <w:sz w:val="14"/>
                        <w:szCs w:val="14"/>
                      </w:rPr>
                    </w:pPr>
                    <w:r>
                      <w:rPr>
                        <w:sz w:val="14"/>
                        <w:szCs w:val="14"/>
                      </w:rPr>
                      <w:t>803,589,260.27</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33985385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22宁沪高SCP044</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2022年12月1日</w:t>
                    </w:r>
                  </w:p>
                </w:tc>
                <w:tc>
                  <w:tcPr>
                    <w:tcW w:w="244" w:type="pct"/>
                  </w:tcPr>
                  <w:p>
                    <w:pPr>
                      <w:rPr>
                        <w:sz w:val="14"/>
                        <w:szCs w:val="14"/>
                      </w:rPr>
                    </w:pPr>
                    <w:r>
                      <w:rPr>
                        <w:sz w:val="14"/>
                        <w:szCs w:val="14"/>
                      </w:rPr>
                      <w:t>92</w:t>
                    </w:r>
                  </w:p>
                </w:tc>
                <w:tc>
                  <w:tcPr>
                    <w:tcW w:w="627" w:type="pct"/>
                  </w:tcPr>
                  <w:p>
                    <w:pPr>
                      <w:jc w:val="right"/>
                      <w:rPr>
                        <w:sz w:val="14"/>
                        <w:szCs w:val="14"/>
                      </w:rPr>
                    </w:pPr>
                    <w:r>
                      <w:rPr>
                        <w:sz w:val="14"/>
                        <w:szCs w:val="14"/>
                      </w:rPr>
                      <w:t>770,000,000.00</w:t>
                    </w:r>
                  </w:p>
                </w:tc>
                <w:tc>
                  <w:tcPr>
                    <w:tcW w:w="562" w:type="pct"/>
                  </w:tcPr>
                  <w:p>
                    <w:pPr>
                      <w:jc w:val="right"/>
                      <w:rPr>
                        <w:sz w:val="14"/>
                        <w:szCs w:val="14"/>
                      </w:rPr>
                    </w:pPr>
                    <w:r>
                      <w:rPr>
                        <w:sz w:val="14"/>
                        <w:szCs w:val="14"/>
                      </w:rPr>
                      <w:t>771,419,121.00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2,792,462.56</w:t>
                    </w:r>
                  </w:p>
                </w:tc>
                <w:tc>
                  <w:tcPr>
                    <w:tcW w:w="723" w:type="pct"/>
                  </w:tcPr>
                  <w:p>
                    <w:pPr>
                      <w:jc w:val="right"/>
                      <w:rPr>
                        <w:sz w:val="14"/>
                        <w:szCs w:val="14"/>
                      </w:rPr>
                    </w:pPr>
                    <w:r>
                      <w:rPr>
                        <w:sz w:val="14"/>
                        <w:szCs w:val="14"/>
                      </w:rPr>
                      <w:t>774,211,583.56</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388764027"/>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22宁沪高SCP045</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2022年12月12日</w:t>
                    </w:r>
                  </w:p>
                </w:tc>
                <w:tc>
                  <w:tcPr>
                    <w:tcW w:w="244" w:type="pct"/>
                  </w:tcPr>
                  <w:p>
                    <w:pPr>
                      <w:rPr>
                        <w:sz w:val="14"/>
                        <w:szCs w:val="14"/>
                      </w:rPr>
                    </w:pPr>
                    <w:r>
                      <w:rPr>
                        <w:sz w:val="14"/>
                        <w:szCs w:val="14"/>
                      </w:rPr>
                      <w:t>123</w:t>
                    </w:r>
                  </w:p>
                </w:tc>
                <w:tc>
                  <w:tcPr>
                    <w:tcW w:w="627" w:type="pct"/>
                  </w:tcPr>
                  <w:p>
                    <w:pPr>
                      <w:jc w:val="right"/>
                      <w:rPr>
                        <w:sz w:val="14"/>
                        <w:szCs w:val="14"/>
                      </w:rPr>
                    </w:pPr>
                    <w:r>
                      <w:rPr>
                        <w:sz w:val="14"/>
                        <w:szCs w:val="14"/>
                      </w:rPr>
                      <w:t>750,000,000.00</w:t>
                    </w:r>
                  </w:p>
                </w:tc>
                <w:tc>
                  <w:tcPr>
                    <w:tcW w:w="562" w:type="pct"/>
                  </w:tcPr>
                  <w:p>
                    <w:pPr>
                      <w:jc w:val="right"/>
                      <w:rPr>
                        <w:sz w:val="14"/>
                        <w:szCs w:val="14"/>
                      </w:rPr>
                    </w:pPr>
                    <w:r>
                      <w:rPr>
                        <w:sz w:val="14"/>
                        <w:szCs w:val="14"/>
                      </w:rPr>
                      <w:t>750,986,301.00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5,079,452.42</w:t>
                    </w:r>
                  </w:p>
                </w:tc>
                <w:tc>
                  <w:tcPr>
                    <w:tcW w:w="723" w:type="pct"/>
                  </w:tcPr>
                  <w:p>
                    <w:pPr>
                      <w:jc w:val="right"/>
                      <w:rPr>
                        <w:sz w:val="14"/>
                        <w:szCs w:val="14"/>
                      </w:rPr>
                    </w:pPr>
                    <w:r>
                      <w:rPr>
                        <w:sz w:val="14"/>
                        <w:szCs w:val="14"/>
                      </w:rPr>
                      <w:t>756,065,753.42</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605535179"/>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22宁沪高SCP046</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2022年12月14日</w:t>
                    </w:r>
                  </w:p>
                </w:tc>
                <w:tc>
                  <w:tcPr>
                    <w:tcW w:w="244" w:type="pct"/>
                  </w:tcPr>
                  <w:p>
                    <w:pPr>
                      <w:rPr>
                        <w:sz w:val="14"/>
                        <w:szCs w:val="14"/>
                      </w:rPr>
                    </w:pPr>
                    <w:r>
                      <w:rPr>
                        <w:sz w:val="14"/>
                        <w:szCs w:val="14"/>
                      </w:rPr>
                      <w:t>121</w:t>
                    </w:r>
                  </w:p>
                </w:tc>
                <w:tc>
                  <w:tcPr>
                    <w:tcW w:w="627" w:type="pct"/>
                  </w:tcPr>
                  <w:p>
                    <w:pPr>
                      <w:jc w:val="right"/>
                      <w:rPr>
                        <w:sz w:val="14"/>
                        <w:szCs w:val="14"/>
                      </w:rPr>
                    </w:pPr>
                    <w:r>
                      <w:rPr>
                        <w:sz w:val="14"/>
                        <w:szCs w:val="14"/>
                      </w:rPr>
                      <w:t>700,000,000.00</w:t>
                    </w:r>
                  </w:p>
                </w:tc>
                <w:tc>
                  <w:tcPr>
                    <w:tcW w:w="562" w:type="pct"/>
                  </w:tcPr>
                  <w:p>
                    <w:pPr>
                      <w:jc w:val="right"/>
                      <w:rPr>
                        <w:sz w:val="14"/>
                        <w:szCs w:val="14"/>
                      </w:rPr>
                    </w:pPr>
                    <w:r>
                      <w:rPr>
                        <w:sz w:val="14"/>
                        <w:szCs w:val="14"/>
                      </w:rPr>
                      <w:t>700,897,534.00</w:t>
                    </w:r>
                  </w:p>
                </w:tc>
                <w:tc>
                  <w:tcPr>
                    <w:tcW w:w="482" w:type="pct"/>
                  </w:tcPr>
                  <w:p>
                    <w:pPr>
                      <w:jc w:val="right"/>
                      <w:rPr>
                        <w:sz w:val="14"/>
                        <w:szCs w:val="14"/>
                      </w:rPr>
                    </w:pPr>
                    <w:r>
                      <w:rPr>
                        <w:sz w:val="14"/>
                        <w:szCs w:val="14"/>
                      </w:rPr>
                      <w:t> -  </w:t>
                    </w:r>
                  </w:p>
                </w:tc>
                <w:tc>
                  <w:tcPr>
                    <w:tcW w:w="562" w:type="pct"/>
                  </w:tcPr>
                  <w:p>
                    <w:pPr>
                      <w:jc w:val="right"/>
                      <w:rPr>
                        <w:sz w:val="14"/>
                        <w:szCs w:val="14"/>
                      </w:rPr>
                    </w:pPr>
                    <w:r>
                      <w:rPr>
                        <w:sz w:val="14"/>
                        <w:szCs w:val="14"/>
                      </w:rPr>
                      <w:t>5,135,890.66</w:t>
                    </w:r>
                  </w:p>
                </w:tc>
                <w:tc>
                  <w:tcPr>
                    <w:tcW w:w="723" w:type="pct"/>
                  </w:tcPr>
                  <w:p>
                    <w:pPr>
                      <w:jc w:val="right"/>
                      <w:rPr>
                        <w:sz w:val="14"/>
                        <w:szCs w:val="14"/>
                      </w:rPr>
                    </w:pPr>
                    <w:r>
                      <w:rPr>
                        <w:sz w:val="14"/>
                        <w:szCs w:val="14"/>
                      </w:rPr>
                      <w:t>706,033,424.66</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662283889"/>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23宁沪高SCP001</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2023年1月4日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600,000,000.00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600,000,000.00</w:t>
                    </w:r>
                  </w:p>
                </w:tc>
                <w:tc>
                  <w:tcPr>
                    <w:tcW w:w="562" w:type="pct"/>
                  </w:tcPr>
                  <w:p>
                    <w:pPr>
                      <w:jc w:val="right"/>
                      <w:rPr>
                        <w:sz w:val="14"/>
                        <w:szCs w:val="14"/>
                      </w:rPr>
                    </w:pPr>
                    <w:r>
                      <w:rPr>
                        <w:sz w:val="14"/>
                        <w:szCs w:val="14"/>
                      </w:rPr>
                      <w:t>3,516,164.38</w:t>
                    </w:r>
                  </w:p>
                </w:tc>
                <w:tc>
                  <w:tcPr>
                    <w:tcW w:w="723" w:type="pct"/>
                  </w:tcPr>
                  <w:p>
                    <w:pPr>
                      <w:jc w:val="right"/>
                      <w:rPr>
                        <w:sz w:val="14"/>
                        <w:szCs w:val="14"/>
                      </w:rPr>
                    </w:pPr>
                    <w:r>
                      <w:rPr>
                        <w:sz w:val="14"/>
                        <w:szCs w:val="14"/>
                      </w:rPr>
                      <w:t>603,516,164.38</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864354038"/>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23宁沪高SCP002</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2023年1月4日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600,000,000.00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600,000,000.00</w:t>
                    </w:r>
                  </w:p>
                </w:tc>
                <w:tc>
                  <w:tcPr>
                    <w:tcW w:w="562" w:type="pct"/>
                  </w:tcPr>
                  <w:p>
                    <w:pPr>
                      <w:jc w:val="right"/>
                      <w:rPr>
                        <w:sz w:val="14"/>
                        <w:szCs w:val="14"/>
                      </w:rPr>
                    </w:pPr>
                    <w:r>
                      <w:rPr>
                        <w:sz w:val="14"/>
                        <w:szCs w:val="14"/>
                      </w:rPr>
                      <w:t>3,516,164.38</w:t>
                    </w:r>
                  </w:p>
                </w:tc>
                <w:tc>
                  <w:tcPr>
                    <w:tcW w:w="723" w:type="pct"/>
                  </w:tcPr>
                  <w:p>
                    <w:pPr>
                      <w:jc w:val="right"/>
                      <w:rPr>
                        <w:sz w:val="14"/>
                        <w:szCs w:val="14"/>
                      </w:rPr>
                    </w:pPr>
                    <w:r>
                      <w:rPr>
                        <w:sz w:val="14"/>
                        <w:szCs w:val="14"/>
                      </w:rPr>
                      <w:t>603,516,164.38</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713809713"/>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23宁沪高SCP003</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2023年1月4日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500,000,000.00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500,000,000.00</w:t>
                    </w:r>
                  </w:p>
                </w:tc>
                <w:tc>
                  <w:tcPr>
                    <w:tcW w:w="562" w:type="pct"/>
                  </w:tcPr>
                  <w:p>
                    <w:pPr>
                      <w:jc w:val="right"/>
                      <w:rPr>
                        <w:sz w:val="14"/>
                        <w:szCs w:val="14"/>
                      </w:rPr>
                    </w:pPr>
                    <w:r>
                      <w:rPr>
                        <w:sz w:val="14"/>
                        <w:szCs w:val="14"/>
                      </w:rPr>
                      <w:t>2,930,136.99</w:t>
                    </w:r>
                  </w:p>
                </w:tc>
                <w:tc>
                  <w:tcPr>
                    <w:tcW w:w="723" w:type="pct"/>
                  </w:tcPr>
                  <w:p>
                    <w:pPr>
                      <w:jc w:val="right"/>
                      <w:rPr>
                        <w:sz w:val="14"/>
                        <w:szCs w:val="14"/>
                      </w:rPr>
                    </w:pPr>
                    <w:r>
                      <w:rPr>
                        <w:sz w:val="14"/>
                        <w:szCs w:val="14"/>
                      </w:rPr>
                      <w:t>502,930,136.99</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75372838"/>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23宁沪高SCP004</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2023年1月4日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600,000,000.00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600,000,000.00</w:t>
                    </w:r>
                  </w:p>
                </w:tc>
                <w:tc>
                  <w:tcPr>
                    <w:tcW w:w="562" w:type="pct"/>
                  </w:tcPr>
                  <w:p>
                    <w:pPr>
                      <w:jc w:val="right"/>
                      <w:rPr>
                        <w:sz w:val="14"/>
                        <w:szCs w:val="14"/>
                      </w:rPr>
                    </w:pPr>
                    <w:r>
                      <w:rPr>
                        <w:sz w:val="14"/>
                        <w:szCs w:val="14"/>
                      </w:rPr>
                      <w:t>3,516,164.38</w:t>
                    </w:r>
                  </w:p>
                </w:tc>
                <w:tc>
                  <w:tcPr>
                    <w:tcW w:w="723" w:type="pct"/>
                  </w:tcPr>
                  <w:p>
                    <w:pPr>
                      <w:jc w:val="right"/>
                      <w:rPr>
                        <w:sz w:val="14"/>
                        <w:szCs w:val="14"/>
                      </w:rPr>
                    </w:pPr>
                    <w:r>
                      <w:rPr>
                        <w:sz w:val="14"/>
                        <w:szCs w:val="14"/>
                      </w:rPr>
                      <w:t>603,516,164.38</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55839565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23宁沪高SCP005</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2023年2月7日</w:t>
                    </w:r>
                  </w:p>
                </w:tc>
                <w:tc>
                  <w:tcPr>
                    <w:tcW w:w="244" w:type="pct"/>
                  </w:tcPr>
                  <w:p>
                    <w:pPr>
                      <w:rPr>
                        <w:sz w:val="14"/>
                        <w:szCs w:val="14"/>
                      </w:rPr>
                    </w:pPr>
                    <w:r>
                      <w:rPr>
                        <w:sz w:val="14"/>
                        <w:szCs w:val="14"/>
                      </w:rPr>
                      <w:t>94</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2,214,794.52</w:t>
                    </w:r>
                  </w:p>
                </w:tc>
                <w:tc>
                  <w:tcPr>
                    <w:tcW w:w="723" w:type="pct"/>
                  </w:tcPr>
                  <w:p>
                    <w:pPr>
                      <w:jc w:val="right"/>
                      <w:rPr>
                        <w:sz w:val="14"/>
                        <w:szCs w:val="14"/>
                      </w:rPr>
                    </w:pPr>
                    <w:r>
                      <w:rPr>
                        <w:sz w:val="14"/>
                        <w:szCs w:val="14"/>
                      </w:rPr>
                      <w:t>402,214,794.52</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397641917"/>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23宁沪高SCP006</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2023年2月7日</w:t>
                    </w:r>
                  </w:p>
                </w:tc>
                <w:tc>
                  <w:tcPr>
                    <w:tcW w:w="244" w:type="pct"/>
                  </w:tcPr>
                  <w:p>
                    <w:pPr>
                      <w:rPr>
                        <w:sz w:val="14"/>
                        <w:szCs w:val="14"/>
                      </w:rPr>
                    </w:pPr>
                    <w:r>
                      <w:rPr>
                        <w:sz w:val="14"/>
                        <w:szCs w:val="14"/>
                      </w:rPr>
                      <w:t>94</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2,214,794.52</w:t>
                    </w:r>
                  </w:p>
                </w:tc>
                <w:tc>
                  <w:tcPr>
                    <w:tcW w:w="723" w:type="pct"/>
                  </w:tcPr>
                  <w:p>
                    <w:pPr>
                      <w:jc w:val="right"/>
                      <w:rPr>
                        <w:sz w:val="14"/>
                        <w:szCs w:val="14"/>
                      </w:rPr>
                    </w:pPr>
                    <w:r>
                      <w:rPr>
                        <w:sz w:val="14"/>
                        <w:szCs w:val="14"/>
                      </w:rPr>
                      <w:t>402,214,794.52</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192435942"/>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23宁沪高SCP007</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2023年3月1日</w:t>
                    </w:r>
                  </w:p>
                </w:tc>
                <w:tc>
                  <w:tcPr>
                    <w:tcW w:w="244" w:type="pct"/>
                  </w:tcPr>
                  <w:p>
                    <w:pPr>
                      <w:rPr>
                        <w:sz w:val="14"/>
                        <w:szCs w:val="14"/>
                      </w:rPr>
                    </w:pPr>
                    <w:r>
                      <w:rPr>
                        <w:sz w:val="14"/>
                        <w:szCs w:val="14"/>
                      </w:rPr>
                      <w:t>86</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2,218,142.08</w:t>
                    </w:r>
                  </w:p>
                </w:tc>
                <w:tc>
                  <w:tcPr>
                    <w:tcW w:w="723" w:type="pct"/>
                  </w:tcPr>
                  <w:p>
                    <w:pPr>
                      <w:jc w:val="right"/>
                      <w:rPr>
                        <w:sz w:val="14"/>
                        <w:szCs w:val="14"/>
                      </w:rPr>
                    </w:pPr>
                    <w:r>
                      <w:rPr>
                        <w:sz w:val="14"/>
                        <w:szCs w:val="14"/>
                      </w:rPr>
                      <w:t>402,218,142.08</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383919917"/>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23宁沪高SCP008</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2023年3月1日</w:t>
                    </w:r>
                  </w:p>
                </w:tc>
                <w:tc>
                  <w:tcPr>
                    <w:tcW w:w="244" w:type="pct"/>
                  </w:tcPr>
                  <w:p>
                    <w:pPr>
                      <w:rPr>
                        <w:sz w:val="14"/>
                        <w:szCs w:val="14"/>
                      </w:rPr>
                    </w:pPr>
                    <w:r>
                      <w:rPr>
                        <w:sz w:val="14"/>
                        <w:szCs w:val="14"/>
                      </w:rPr>
                      <w:t>86</w:t>
                    </w:r>
                  </w:p>
                </w:tc>
                <w:tc>
                  <w:tcPr>
                    <w:tcW w:w="627" w:type="pct"/>
                  </w:tcPr>
                  <w:p>
                    <w:pPr>
                      <w:jc w:val="right"/>
                      <w:rPr>
                        <w:sz w:val="14"/>
                        <w:szCs w:val="14"/>
                      </w:rPr>
                    </w:pPr>
                    <w:r>
                      <w:rPr>
                        <w:sz w:val="14"/>
                        <w:szCs w:val="14"/>
                      </w:rPr>
                      <w:t>370,000,000.00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370,000,000.00</w:t>
                    </w:r>
                  </w:p>
                </w:tc>
                <w:tc>
                  <w:tcPr>
                    <w:tcW w:w="562" w:type="pct"/>
                  </w:tcPr>
                  <w:p>
                    <w:pPr>
                      <w:jc w:val="right"/>
                      <w:rPr>
                        <w:sz w:val="14"/>
                        <w:szCs w:val="14"/>
                      </w:rPr>
                    </w:pPr>
                    <w:r>
                      <w:rPr>
                        <w:sz w:val="14"/>
                        <w:szCs w:val="14"/>
                      </w:rPr>
                      <w:t>2,051,781.42</w:t>
                    </w:r>
                  </w:p>
                </w:tc>
                <w:tc>
                  <w:tcPr>
                    <w:tcW w:w="723" w:type="pct"/>
                  </w:tcPr>
                  <w:p>
                    <w:pPr>
                      <w:jc w:val="right"/>
                      <w:rPr>
                        <w:sz w:val="14"/>
                        <w:szCs w:val="14"/>
                      </w:rPr>
                    </w:pPr>
                    <w:r>
                      <w:rPr>
                        <w:sz w:val="14"/>
                        <w:szCs w:val="14"/>
                      </w:rPr>
                      <w:t>372,051,781.42</w:t>
                    </w:r>
                  </w:p>
                </w:tc>
                <w:tc>
                  <w:tcPr>
                    <w:tcW w:w="583" w:type="pct"/>
                  </w:tcPr>
                  <w:p>
                    <w:pPr>
                      <w:jc w:val="right"/>
                      <w:rPr>
                        <w:sz w:val="14"/>
                        <w:szCs w:val="14"/>
                      </w:rPr>
                    </w:pPr>
                    <w:r>
                      <w:rPr>
                        <w:sz w:val="14"/>
                        <w:szCs w:val="14"/>
                      </w:rPr>
                      <w:t> -  </w:t>
                    </w:r>
                  </w:p>
                </w:tc>
              </w:tr>
            </w:sdtContent>
          </w:sdt>
          <w:sdt>
            <w:sdtPr>
              <w:rPr>
                <w:sz w:val="14"/>
                <w:szCs w:val="14"/>
              </w:rPr>
              <w:alias w:val="短期应付债券的增减变动明细"/>
              <w:tag w:val="_GBC_550226a5f8464e86bf34017674f48f7f"/>
              <w:id w:val="635763419"/>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23宁沪高SCP009</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2023年4月3日</w:t>
                    </w:r>
                  </w:p>
                </w:tc>
                <w:tc>
                  <w:tcPr>
                    <w:tcW w:w="244" w:type="pct"/>
                  </w:tcPr>
                  <w:p>
                    <w:pPr>
                      <w:rPr>
                        <w:sz w:val="14"/>
                        <w:szCs w:val="14"/>
                      </w:rPr>
                    </w:pPr>
                    <w:r>
                      <w:rPr>
                        <w:sz w:val="14"/>
                        <w:szCs w:val="14"/>
                      </w:rPr>
                      <w:t>95</w:t>
                    </w:r>
                  </w:p>
                </w:tc>
                <w:tc>
                  <w:tcPr>
                    <w:tcW w:w="627" w:type="pct"/>
                  </w:tcPr>
                  <w:p>
                    <w:pPr>
                      <w:jc w:val="right"/>
                      <w:rPr>
                        <w:sz w:val="14"/>
                        <w:szCs w:val="14"/>
                      </w:rPr>
                    </w:pPr>
                    <w:r>
                      <w:rPr>
                        <w:sz w:val="14"/>
                        <w:szCs w:val="14"/>
                      </w:rPr>
                      <w:t>1,050,000,000.00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1,050,000,000.00</w:t>
                    </w:r>
                  </w:p>
                </w:tc>
                <w:tc>
                  <w:tcPr>
                    <w:tcW w:w="562" w:type="pct"/>
                  </w:tcPr>
                  <w:p>
                    <w:pPr>
                      <w:jc w:val="right"/>
                      <w:rPr>
                        <w:sz w:val="14"/>
                        <w:szCs w:val="14"/>
                      </w:rPr>
                    </w:pPr>
                    <w:r>
                      <w:rPr>
                        <w:sz w:val="14"/>
                        <w:szCs w:val="14"/>
                      </w:rPr>
                      <w:t>5,634,528.00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1,055,634,528.00</w:t>
                    </w:r>
                  </w:p>
                </w:tc>
              </w:tr>
            </w:sdtContent>
          </w:sdt>
          <w:sdt>
            <w:sdtPr>
              <w:rPr>
                <w:sz w:val="14"/>
                <w:szCs w:val="14"/>
              </w:rPr>
              <w:alias w:val="短期应付债券的增减变动明细"/>
              <w:tag w:val="_GBC_550226a5f8464e86bf34017674f48f7f"/>
              <w:id w:val="30158632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23宁沪高SCP010</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2023年4月4日</w:t>
                    </w:r>
                  </w:p>
                </w:tc>
                <w:tc>
                  <w:tcPr>
                    <w:tcW w:w="244" w:type="pct"/>
                  </w:tcPr>
                  <w:p>
                    <w:pPr>
                      <w:rPr>
                        <w:sz w:val="14"/>
                        <w:szCs w:val="14"/>
                      </w:rPr>
                    </w:pPr>
                    <w:r>
                      <w:rPr>
                        <w:sz w:val="14"/>
                        <w:szCs w:val="14"/>
                      </w:rPr>
                      <w:t>94</w:t>
                    </w:r>
                  </w:p>
                </w:tc>
                <w:tc>
                  <w:tcPr>
                    <w:tcW w:w="627" w:type="pct"/>
                  </w:tcPr>
                  <w:p>
                    <w:pPr>
                      <w:jc w:val="right"/>
                      <w:rPr>
                        <w:sz w:val="14"/>
                        <w:szCs w:val="14"/>
                      </w:rPr>
                    </w:pPr>
                    <w:r>
                      <w:rPr>
                        <w:sz w:val="14"/>
                        <w:szCs w:val="14"/>
                      </w:rPr>
                      <w:t>500,000,000.00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500,000,000.00</w:t>
                    </w:r>
                  </w:p>
                </w:tc>
                <w:tc>
                  <w:tcPr>
                    <w:tcW w:w="562" w:type="pct"/>
                  </w:tcPr>
                  <w:p>
                    <w:pPr>
                      <w:jc w:val="right"/>
                      <w:rPr>
                        <w:sz w:val="14"/>
                        <w:szCs w:val="14"/>
                      </w:rPr>
                    </w:pPr>
                    <w:r>
                      <w:rPr>
                        <w:sz w:val="14"/>
                        <w:szCs w:val="14"/>
                      </w:rPr>
                      <w:t>2,653,245.00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502,653,245.00</w:t>
                    </w:r>
                  </w:p>
                </w:tc>
              </w:tr>
            </w:sdtContent>
          </w:sdt>
          <w:sdt>
            <w:sdtPr>
              <w:rPr>
                <w:sz w:val="14"/>
                <w:szCs w:val="14"/>
              </w:rPr>
              <w:alias w:val="短期应付债券的增减变动明细"/>
              <w:tag w:val="_GBC_550226a5f8464e86bf34017674f48f7f"/>
              <w:id w:val="-61775782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23宁沪高SCP011</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2023年4月4日</w:t>
                    </w:r>
                  </w:p>
                </w:tc>
                <w:tc>
                  <w:tcPr>
                    <w:tcW w:w="244" w:type="pct"/>
                  </w:tcPr>
                  <w:p>
                    <w:pPr>
                      <w:rPr>
                        <w:sz w:val="14"/>
                        <w:szCs w:val="14"/>
                      </w:rPr>
                    </w:pPr>
                    <w:r>
                      <w:rPr>
                        <w:sz w:val="14"/>
                        <w:szCs w:val="14"/>
                      </w:rPr>
                      <w:t>94</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2,122,597.00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402,122,597.00</w:t>
                    </w:r>
                  </w:p>
                </w:tc>
              </w:tr>
            </w:sdtContent>
          </w:sdt>
          <w:sdt>
            <w:sdtPr>
              <w:rPr>
                <w:sz w:val="14"/>
                <w:szCs w:val="14"/>
              </w:rPr>
              <w:alias w:val="短期应付债券的增减变动明细"/>
              <w:tag w:val="_GBC_550226a5f8464e86bf34017674f48f7f"/>
              <w:id w:val="1385990372"/>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23宁沪高SCP012</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2023年4月4日</w:t>
                    </w:r>
                  </w:p>
                </w:tc>
                <w:tc>
                  <w:tcPr>
                    <w:tcW w:w="244" w:type="pct"/>
                  </w:tcPr>
                  <w:p>
                    <w:pPr>
                      <w:rPr>
                        <w:sz w:val="14"/>
                        <w:szCs w:val="14"/>
                      </w:rPr>
                    </w:pPr>
                    <w:r>
                      <w:rPr>
                        <w:sz w:val="14"/>
                        <w:szCs w:val="14"/>
                      </w:rPr>
                      <w:t>94</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2,122,597.00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402,122,597.00</w:t>
                    </w:r>
                  </w:p>
                </w:tc>
              </w:tr>
            </w:sdtContent>
          </w:sdt>
          <w:sdt>
            <w:sdtPr>
              <w:rPr>
                <w:sz w:val="14"/>
                <w:szCs w:val="14"/>
              </w:rPr>
              <w:alias w:val="短期应付债券的增减变动明细"/>
              <w:tag w:val="_GBC_550226a5f8464e86bf34017674f48f7f"/>
              <w:id w:val="-8192475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23宁沪高SCP013</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2023年4月12日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1,000,000,000.00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1,000,000,000.00</w:t>
                    </w:r>
                  </w:p>
                </w:tc>
                <w:tc>
                  <w:tcPr>
                    <w:tcW w:w="562" w:type="pct"/>
                  </w:tcPr>
                  <w:p>
                    <w:pPr>
                      <w:jc w:val="right"/>
                      <w:rPr>
                        <w:sz w:val="14"/>
                        <w:szCs w:val="14"/>
                      </w:rPr>
                    </w:pPr>
                    <w:r>
                      <w:rPr>
                        <w:sz w:val="14"/>
                        <w:szCs w:val="14"/>
                      </w:rPr>
                      <w:t>4,939,433.00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1,004,939,433.00</w:t>
                    </w:r>
                  </w:p>
                </w:tc>
              </w:tr>
            </w:sdtContent>
          </w:sdt>
          <w:sdt>
            <w:sdtPr>
              <w:rPr>
                <w:sz w:val="14"/>
                <w:szCs w:val="14"/>
              </w:rPr>
              <w:alias w:val="短期应付债券的增减变动明细"/>
              <w:tag w:val="_GBC_550226a5f8464e86bf34017674f48f7f"/>
              <w:id w:val="-428895199"/>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23宁沪高SCP014</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2023年4月12日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400,000,000.00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400,000,000.00</w:t>
                    </w:r>
                  </w:p>
                </w:tc>
                <w:tc>
                  <w:tcPr>
                    <w:tcW w:w="562" w:type="pct"/>
                  </w:tcPr>
                  <w:p>
                    <w:pPr>
                      <w:jc w:val="right"/>
                      <w:rPr>
                        <w:sz w:val="14"/>
                        <w:szCs w:val="14"/>
                      </w:rPr>
                    </w:pPr>
                    <w:r>
                      <w:rPr>
                        <w:sz w:val="14"/>
                        <w:szCs w:val="14"/>
                      </w:rPr>
                      <w:t>1,975,773.00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401,975,773.00</w:t>
                    </w:r>
                  </w:p>
                </w:tc>
              </w:tr>
            </w:sdtContent>
          </w:sdt>
          <w:sdt>
            <w:sdtPr>
              <w:rPr>
                <w:sz w:val="14"/>
                <w:szCs w:val="14"/>
              </w:rPr>
              <w:alias w:val="短期应付债券的增减变动明细"/>
              <w:tag w:val="_GBC_550226a5f8464e86bf34017674f48f7f"/>
              <w:id w:val="387375800"/>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23宁沪高SCP015</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2023年5月10日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350,000,000.00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350,000,000.00</w:t>
                    </w:r>
                  </w:p>
                </w:tc>
                <w:tc>
                  <w:tcPr>
                    <w:tcW w:w="562" w:type="pct"/>
                  </w:tcPr>
                  <w:p>
                    <w:pPr>
                      <w:jc w:val="right"/>
                      <w:rPr>
                        <w:sz w:val="14"/>
                        <w:szCs w:val="14"/>
                      </w:rPr>
                    </w:pPr>
                    <w:r>
                      <w:rPr>
                        <w:sz w:val="14"/>
                        <w:szCs w:val="14"/>
                      </w:rPr>
                      <w:t>1,122,333.00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351,122,333.00</w:t>
                    </w:r>
                  </w:p>
                </w:tc>
              </w:tr>
            </w:sdtContent>
          </w:sdt>
          <w:sdt>
            <w:sdtPr>
              <w:rPr>
                <w:sz w:val="14"/>
                <w:szCs w:val="14"/>
              </w:rPr>
              <w:alias w:val="短期应付债券的增减变动明细"/>
              <w:tag w:val="_GBC_550226a5f8464e86bf34017674f48f7f"/>
              <w:id w:val="11888974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tc>
                  <w:tcPr>
                    <w:tcW w:w="435" w:type="pct"/>
                  </w:tcPr>
                  <w:p>
                    <w:pPr>
                      <w:jc w:val="both"/>
                      <w:rPr>
                        <w:sz w:val="14"/>
                        <w:szCs w:val="14"/>
                      </w:rPr>
                    </w:pPr>
                    <w:r>
                      <w:rPr>
                        <w:sz w:val="14"/>
                        <w:szCs w:val="14"/>
                      </w:rPr>
                      <w:t>23宁沪高SCP016</w:t>
                    </w:r>
                  </w:p>
                </w:tc>
                <w:tc>
                  <w:tcPr>
                    <w:tcW w:w="351" w:type="pct"/>
                  </w:tcPr>
                  <w:p>
                    <w:pPr>
                      <w:jc w:val="right"/>
                      <w:rPr>
                        <w:sz w:val="14"/>
                        <w:szCs w:val="14"/>
                      </w:rPr>
                    </w:pPr>
                    <w:r>
                      <w:rPr>
                        <w:sz w:val="14"/>
                        <w:szCs w:val="14"/>
                      </w:rPr>
                      <w:t>100.00</w:t>
                    </w:r>
                  </w:p>
                </w:tc>
                <w:tc>
                  <w:tcPr>
                    <w:tcW w:w="431" w:type="pct"/>
                  </w:tcPr>
                  <w:p>
                    <w:pPr>
                      <w:rPr>
                        <w:sz w:val="14"/>
                        <w:szCs w:val="14"/>
                      </w:rPr>
                    </w:pPr>
                    <w:r>
                      <w:rPr>
                        <w:sz w:val="14"/>
                        <w:szCs w:val="14"/>
                      </w:rPr>
                      <w:t>2023年5月24日</w:t>
                    </w:r>
                  </w:p>
                </w:tc>
                <w:tc>
                  <w:tcPr>
                    <w:tcW w:w="244" w:type="pct"/>
                  </w:tcPr>
                  <w:p>
                    <w:pPr>
                      <w:rPr>
                        <w:sz w:val="14"/>
                        <w:szCs w:val="14"/>
                      </w:rPr>
                    </w:pPr>
                    <w:r>
                      <w:rPr>
                        <w:sz w:val="14"/>
                        <w:szCs w:val="14"/>
                      </w:rPr>
                      <w:t>93</w:t>
                    </w:r>
                  </w:p>
                </w:tc>
                <w:tc>
                  <w:tcPr>
                    <w:tcW w:w="627" w:type="pct"/>
                  </w:tcPr>
                  <w:p>
                    <w:pPr>
                      <w:jc w:val="right"/>
                      <w:rPr>
                        <w:sz w:val="14"/>
                        <w:szCs w:val="14"/>
                      </w:rPr>
                    </w:pPr>
                    <w:r>
                      <w:rPr>
                        <w:sz w:val="14"/>
                        <w:szCs w:val="14"/>
                      </w:rPr>
                      <w:t>300,000,000.00</w:t>
                    </w:r>
                  </w:p>
                </w:tc>
                <w:tc>
                  <w:tcPr>
                    <w:tcW w:w="562" w:type="pct"/>
                  </w:tcPr>
                  <w:p>
                    <w:pPr>
                      <w:jc w:val="right"/>
                      <w:rPr>
                        <w:sz w:val="14"/>
                        <w:szCs w:val="14"/>
                      </w:rPr>
                    </w:pPr>
                    <w:r>
                      <w:rPr>
                        <w:sz w:val="14"/>
                        <w:szCs w:val="14"/>
                      </w:rPr>
                      <w:t> -  </w:t>
                    </w:r>
                  </w:p>
                </w:tc>
                <w:tc>
                  <w:tcPr>
                    <w:tcW w:w="482" w:type="pct"/>
                  </w:tcPr>
                  <w:p>
                    <w:pPr>
                      <w:jc w:val="right"/>
                      <w:rPr>
                        <w:sz w:val="14"/>
                        <w:szCs w:val="14"/>
                      </w:rPr>
                    </w:pPr>
                    <w:r>
                      <w:rPr>
                        <w:sz w:val="14"/>
                        <w:szCs w:val="14"/>
                      </w:rPr>
                      <w:t>300,000,000.00</w:t>
                    </w:r>
                  </w:p>
                </w:tc>
                <w:tc>
                  <w:tcPr>
                    <w:tcW w:w="562" w:type="pct"/>
                  </w:tcPr>
                  <w:p>
                    <w:pPr>
                      <w:jc w:val="right"/>
                      <w:rPr>
                        <w:sz w:val="14"/>
                        <w:szCs w:val="14"/>
                      </w:rPr>
                    </w:pPr>
                    <w:r>
                      <w:rPr>
                        <w:sz w:val="14"/>
                        <w:szCs w:val="14"/>
                      </w:rPr>
                      <w:t>655,500.00</w:t>
                    </w:r>
                  </w:p>
                </w:tc>
                <w:tc>
                  <w:tcPr>
                    <w:tcW w:w="723" w:type="pct"/>
                  </w:tcPr>
                  <w:p>
                    <w:pPr>
                      <w:jc w:val="right"/>
                      <w:rPr>
                        <w:sz w:val="14"/>
                        <w:szCs w:val="14"/>
                      </w:rPr>
                    </w:pPr>
                    <w:r>
                      <w:rPr>
                        <w:sz w:val="14"/>
                        <w:szCs w:val="14"/>
                      </w:rPr>
                      <w:t>-</w:t>
                    </w:r>
                  </w:p>
                </w:tc>
                <w:tc>
                  <w:tcPr>
                    <w:tcW w:w="583" w:type="pct"/>
                  </w:tcPr>
                  <w:p>
                    <w:pPr>
                      <w:jc w:val="right"/>
                      <w:rPr>
                        <w:sz w:val="14"/>
                        <w:szCs w:val="14"/>
                      </w:rPr>
                    </w:pPr>
                    <w:r>
                      <w:rPr>
                        <w:sz w:val="14"/>
                        <w:szCs w:val="14"/>
                      </w:rPr>
                      <w:t>300,655,500.00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19" w:hRule="atLeast"/>
            </w:trPr>
            <w:sdt>
              <w:sdtPr>
                <w:tag w:val="_PLD_15782e589e5649d192db034a7f0f7a7f"/>
                <w:id w:val="1970168425"/>
                <w:lock w:val="sdtLocked"/>
              </w:sdtPr>
              <w:sdtContent>
                <w:tc>
                  <w:tcPr>
                    <w:tcW w:w="435" w:type="pct"/>
                    <w:vAlign w:val="center"/>
                  </w:tcPr>
                  <w:p>
                    <w:pPr>
                      <w:pStyle w:val="55"/>
                      <w:numPr>
                        <w:ilvl w:val="0"/>
                        <w:numId w:val="76"/>
                      </w:numPr>
                      <w:ind w:firstLineChars="0"/>
                      <w:jc w:val="left"/>
                      <w:rPr>
                        <w:sz w:val="14"/>
                        <w:szCs w:val="14"/>
                      </w:rPr>
                    </w:pPr>
                    <w:r>
                      <w:rPr>
                        <w:rFonts w:hint="eastAsia"/>
                        <w:sz w:val="14"/>
                        <w:szCs w:val="14"/>
                      </w:rPr>
                      <w:t>合计</w:t>
                    </w:r>
                  </w:p>
                </w:tc>
              </w:sdtContent>
            </w:sdt>
            <w:tc>
              <w:tcPr>
                <w:tcW w:w="351" w:type="pct"/>
              </w:tcPr>
              <w:p>
                <w:pPr>
                  <w:jc w:val="center"/>
                  <w:rPr>
                    <w:sz w:val="14"/>
                    <w:szCs w:val="14"/>
                  </w:rPr>
                </w:pPr>
                <w:r>
                  <w:rPr>
                    <w:rFonts w:hint="eastAsia"/>
                    <w:sz w:val="14"/>
                    <w:szCs w:val="14"/>
                  </w:rPr>
                  <w:t>/</w:t>
                </w:r>
              </w:p>
            </w:tc>
            <w:tc>
              <w:tcPr>
                <w:tcW w:w="431" w:type="pct"/>
              </w:tcPr>
              <w:p>
                <w:pPr>
                  <w:jc w:val="center"/>
                  <w:rPr>
                    <w:sz w:val="14"/>
                    <w:szCs w:val="14"/>
                  </w:rPr>
                </w:pPr>
                <w:r>
                  <w:rPr>
                    <w:rFonts w:hint="eastAsia"/>
                    <w:sz w:val="14"/>
                    <w:szCs w:val="14"/>
                  </w:rPr>
                  <w:t>/</w:t>
                </w:r>
              </w:p>
            </w:tc>
            <w:tc>
              <w:tcPr>
                <w:tcW w:w="244" w:type="pct"/>
              </w:tcPr>
              <w:p>
                <w:pPr>
                  <w:jc w:val="center"/>
                  <w:rPr>
                    <w:sz w:val="14"/>
                    <w:szCs w:val="14"/>
                  </w:rPr>
                </w:pPr>
                <w:r>
                  <w:rPr>
                    <w:rFonts w:hint="eastAsia"/>
                    <w:sz w:val="14"/>
                    <w:szCs w:val="14"/>
                  </w:rPr>
                  <w:t>/</w:t>
                </w:r>
              </w:p>
            </w:tc>
            <w:tc>
              <w:tcPr>
                <w:tcW w:w="627" w:type="pct"/>
                <w:vAlign w:val="center"/>
              </w:tcPr>
              <w:p>
                <w:pPr>
                  <w:jc w:val="right"/>
                  <w:rPr>
                    <w:sz w:val="14"/>
                    <w:szCs w:val="14"/>
                  </w:rPr>
                </w:pPr>
                <w:r>
                  <w:rPr>
                    <w:sz w:val="14"/>
                    <w:szCs w:val="14"/>
                  </w:rPr>
                  <w:t>13,590,000,000.00</w:t>
                </w:r>
              </w:p>
            </w:tc>
            <w:tc>
              <w:tcPr>
                <w:tcW w:w="562" w:type="pct"/>
                <w:vAlign w:val="center"/>
              </w:tcPr>
              <w:p>
                <w:pPr>
                  <w:jc w:val="right"/>
                  <w:rPr>
                    <w:sz w:val="14"/>
                    <w:szCs w:val="14"/>
                  </w:rPr>
                </w:pPr>
                <w:r>
                  <w:rPr>
                    <w:sz w:val="14"/>
                    <w:szCs w:val="14"/>
                  </w:rPr>
                  <w:t>5,334,649,066.00</w:t>
                </w:r>
              </w:p>
            </w:tc>
            <w:tc>
              <w:tcPr>
                <w:tcW w:w="482" w:type="pct"/>
                <w:vAlign w:val="center"/>
              </w:tcPr>
              <w:p>
                <w:pPr>
                  <w:jc w:val="right"/>
                  <w:rPr>
                    <w:sz w:val="14"/>
                    <w:szCs w:val="14"/>
                  </w:rPr>
                </w:pPr>
                <w:r>
                  <w:rPr>
                    <w:sz w:val="14"/>
                    <w:szCs w:val="14"/>
                  </w:rPr>
                  <w:t>8,270,000,000.00</w:t>
                </w:r>
              </w:p>
            </w:tc>
            <w:tc>
              <w:tcPr>
                <w:tcW w:w="562" w:type="pct"/>
                <w:vAlign w:val="center"/>
              </w:tcPr>
              <w:p>
                <w:pPr>
                  <w:jc w:val="right"/>
                  <w:rPr>
                    <w:sz w:val="14"/>
                    <w:szCs w:val="14"/>
                  </w:rPr>
                </w:pPr>
                <w:r>
                  <w:rPr>
                    <w:sz w:val="14"/>
                    <w:szCs w:val="14"/>
                  </w:rPr>
                  <w:t>58,477,022.40</w:t>
                </w:r>
              </w:p>
            </w:tc>
            <w:tc>
              <w:tcPr>
                <w:tcW w:w="723" w:type="pct"/>
                <w:vAlign w:val="center"/>
              </w:tcPr>
              <w:p>
                <w:pPr>
                  <w:jc w:val="right"/>
                  <w:rPr>
                    <w:sz w:val="14"/>
                    <w:szCs w:val="14"/>
                  </w:rPr>
                </w:pPr>
                <w:r>
                  <w:rPr>
                    <w:sz w:val="14"/>
                    <w:szCs w:val="14"/>
                  </w:rPr>
                  <w:t>9,241,900,082.40</w:t>
                </w:r>
              </w:p>
            </w:tc>
            <w:tc>
              <w:tcPr>
                <w:tcW w:w="583" w:type="pct"/>
                <w:vAlign w:val="center"/>
              </w:tcPr>
              <w:p>
                <w:pPr>
                  <w:jc w:val="right"/>
                  <w:rPr>
                    <w:sz w:val="14"/>
                    <w:szCs w:val="14"/>
                  </w:rPr>
                </w:pPr>
                <w:r>
                  <w:rPr>
                    <w:sz w:val="14"/>
                    <w:szCs w:val="14"/>
                  </w:rPr>
                  <w:t>4,421,226,006.00</w:t>
                </w:r>
              </w:p>
            </w:tc>
          </w:tr>
        </w:tbl>
        <w:p>
          <w:pPr>
            <w:rPr>
              <w:sz w:val="16"/>
              <w:szCs w:val="16"/>
            </w:rPr>
          </w:pPr>
        </w:p>
      </w:sdtContent>
    </w:sdt>
    <w:bookmarkEnd w:id="220"/>
    <w:sdt>
      <w:sdtPr>
        <w:rPr>
          <w:rFonts w:hint="eastAsia"/>
        </w:rPr>
        <w:alias w:val="模块:其他流动负债说明"/>
        <w:tag w:val="_GBC_b1cb6faf7bad41e4868a075c1a423566"/>
        <w:id w:val="-1581285215"/>
        <w:lock w:val="sdtLocked"/>
        <w:placeholder>
          <w:docPart w:val="GBC22222222222222222222222222222"/>
        </w:placeholder>
      </w:sdtPr>
      <w:sdtEndPr>
        <w:rPr>
          <w:rFonts w:hint="default"/>
          <w:color w:val="000000" w:themeColor="text1"/>
          <w14:textFill>
            <w14:solidFill>
              <w14:schemeClr w14:val="tx1"/>
            </w14:solidFill>
          </w14:textFill>
        </w:rPr>
      </w:sdtEndPr>
      <w:sdtContent>
        <w:p>
          <w:pPr>
            <w:spacing w:before="60" w:after="60"/>
          </w:pPr>
          <w:r>
            <w:rPr>
              <w:rFonts w:hint="eastAsia"/>
            </w:rPr>
            <w:t>其他说明：</w:t>
          </w:r>
        </w:p>
        <w:sdt>
          <w:sdtPr>
            <w:alias w:val="是否适用：其他流动负债说明[双击切换]"/>
            <w:tag w:val="_GBC_6ebc9e220fb04ea584ed56f756d92d59"/>
            <w:id w:val="-204032264"/>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长期借款</w:t>
      </w:r>
    </w:p>
    <w:sdt>
      <w:sdtPr>
        <w:rPr>
          <w:rFonts w:hint="eastAsia" w:ascii="宋体" w:hAnsi="宋体" w:cs="宋体"/>
          <w:b w:val="0"/>
          <w:bCs w:val="0"/>
          <w:kern w:val="0"/>
          <w:szCs w:val="22"/>
        </w:rPr>
        <w:alias w:val="模块:长期借款分类 "/>
        <w:tag w:val="_GBC_8b6acb9acc4745f09cf8ff1a98787eb9"/>
        <w:id w:val="902025183"/>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5"/>
            <w:numPr>
              <w:ilvl w:val="0"/>
              <w:numId w:val="77"/>
            </w:numPr>
            <w:tabs>
              <w:tab w:val="left" w:pos="630"/>
            </w:tabs>
            <w:ind w:left="420"/>
            <w:rPr>
              <w:rFonts w:ascii="宋体" w:hAnsi="宋体"/>
              <w:szCs w:val="21"/>
            </w:rPr>
          </w:pPr>
          <w:r>
            <w:rPr>
              <w:rFonts w:hint="eastAsia" w:ascii="宋体" w:hAnsi="宋体"/>
              <w:szCs w:val="21"/>
            </w:rPr>
            <w:t>长期借款分类</w:t>
          </w:r>
        </w:p>
        <w:sdt>
          <w:sdtPr>
            <w:alias w:val="是否适用：长期借款分类[双击切换]"/>
            <w:tag w:val="_GBC_6ef43a5268e7491db189883a31952469"/>
            <w:id w:val="-1371904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长期借款分类"/>
              <w:tag w:val="_GBC_146f044f7fd14a45bf9247f0af389a14"/>
              <w:id w:val="-2015587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长期借款分类"/>
              <w:tag w:val="_GBC_7570ad6f1fd04c3d939be649ce4cfc30"/>
              <w:id w:val="-5337212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998"/>
            <w:gridCol w:w="2999"/>
            <w:gridCol w:w="2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3ee60507a6384334b819485e73faa1f4"/>
                <w:id w:val="-1980294547"/>
                <w:lock w:val="sdtLocked"/>
              </w:sdtPr>
              <w:sdtContent>
                <w:tc>
                  <w:tcPr>
                    <w:tcW w:w="1686" w:type="pct"/>
                  </w:tcPr>
                  <w:p>
                    <w:pPr>
                      <w:autoSpaceDE w:val="0"/>
                      <w:autoSpaceDN w:val="0"/>
                      <w:adjustRightInd w:val="0"/>
                      <w:snapToGrid w:val="0"/>
                      <w:jc w:val="center"/>
                    </w:pPr>
                    <w:r>
                      <w:rPr>
                        <w:rFonts w:hint="eastAsia"/>
                      </w:rPr>
                      <w:t>项目</w:t>
                    </w:r>
                  </w:p>
                </w:tc>
              </w:sdtContent>
            </w:sdt>
            <w:sdt>
              <w:sdtPr>
                <w:tag w:val="_PLD_d2a4fabfb296457384b1523a60233642"/>
                <w:id w:val="475733680"/>
                <w:lock w:val="sdtLocked"/>
              </w:sdtPr>
              <w:sdtContent>
                <w:tc>
                  <w:tcPr>
                    <w:tcW w:w="1686" w:type="pct"/>
                  </w:tcPr>
                  <w:p>
                    <w:pPr>
                      <w:jc w:val="center"/>
                    </w:pPr>
                    <w:r>
                      <w:rPr>
                        <w:rFonts w:hint="eastAsia"/>
                      </w:rPr>
                      <w:t>期末余额</w:t>
                    </w:r>
                  </w:p>
                </w:tc>
              </w:sdtContent>
            </w:sdt>
            <w:sdt>
              <w:sdtPr>
                <w:tag w:val="_PLD_aab598d4b37f4953a2ee9b7475cb43e6"/>
                <w:id w:val="-1592309477"/>
                <w:lock w:val="sdtLocked"/>
              </w:sdtPr>
              <w:sdtContent>
                <w:tc>
                  <w:tcPr>
                    <w:tcW w:w="1628" w:type="pct"/>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autoSpaceDE w:val="0"/>
                  <w:autoSpaceDN w:val="0"/>
                  <w:adjustRightInd w:val="0"/>
                  <w:snapToGrid w:val="0"/>
                  <w:jc w:val="both"/>
                </w:pPr>
                <w:r>
                  <w:rPr>
                    <w:rFonts w:hint="eastAsia"/>
                  </w:rPr>
                  <w:t>质押借款</w:t>
                </w:r>
              </w:p>
            </w:tc>
            <w:tc>
              <w:tcPr>
                <w:tcW w:w="1686" w:type="pct"/>
                <w:shd w:val="clear" w:color="auto" w:fill="auto"/>
                <w:vAlign w:val="center"/>
              </w:tcPr>
              <w:p>
                <w:pPr>
                  <w:autoSpaceDE w:val="0"/>
                  <w:autoSpaceDN w:val="0"/>
                  <w:adjustRightInd w:val="0"/>
                  <w:snapToGrid w:val="0"/>
                  <w:ind w:right="180"/>
                  <w:jc w:val="right"/>
                </w:pPr>
                <w:r>
                  <w:t>10,761,998,454.30</w:t>
                </w:r>
              </w:p>
            </w:tc>
            <w:tc>
              <w:tcPr>
                <w:tcW w:w="1628" w:type="pct"/>
                <w:shd w:val="clear" w:color="auto" w:fill="auto"/>
                <w:vAlign w:val="center"/>
              </w:tcPr>
              <w:p>
                <w:pPr>
                  <w:jc w:val="right"/>
                </w:pPr>
                <w:r>
                  <w:t>10,493,718,583.88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autoSpaceDE w:val="0"/>
                  <w:autoSpaceDN w:val="0"/>
                  <w:adjustRightInd w:val="0"/>
                  <w:snapToGrid w:val="0"/>
                  <w:jc w:val="both"/>
                </w:pPr>
                <w:r>
                  <w:rPr>
                    <w:rFonts w:hint="eastAsia"/>
                  </w:rPr>
                  <w:t>保证借款</w:t>
                </w:r>
              </w:p>
            </w:tc>
            <w:tc>
              <w:tcPr>
                <w:tcW w:w="1686" w:type="pct"/>
                <w:shd w:val="clear" w:color="auto" w:fill="auto"/>
                <w:vAlign w:val="center"/>
              </w:tcPr>
              <w:p>
                <w:pPr>
                  <w:autoSpaceDE w:val="0"/>
                  <w:autoSpaceDN w:val="0"/>
                  <w:adjustRightInd w:val="0"/>
                  <w:snapToGrid w:val="0"/>
                  <w:ind w:right="180"/>
                  <w:jc w:val="right"/>
                </w:pPr>
                <w:r>
                  <w:t>9,846,494.40</w:t>
                </w:r>
              </w:p>
            </w:tc>
            <w:tc>
              <w:tcPr>
                <w:tcW w:w="1628" w:type="pct"/>
                <w:shd w:val="clear" w:color="auto" w:fill="auto"/>
                <w:vAlign w:val="center"/>
              </w:tcPr>
              <w:p>
                <w:pPr>
                  <w:jc w:val="right"/>
                </w:pPr>
                <w:r>
                  <w:t>10,353,339.10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autoSpaceDE w:val="0"/>
                  <w:autoSpaceDN w:val="0"/>
                  <w:adjustRightInd w:val="0"/>
                  <w:snapToGrid w:val="0"/>
                  <w:jc w:val="both"/>
                </w:pPr>
                <w:r>
                  <w:rPr>
                    <w:rFonts w:hint="eastAsia"/>
                  </w:rPr>
                  <w:t>信用借款</w:t>
                </w:r>
              </w:p>
            </w:tc>
            <w:tc>
              <w:tcPr>
                <w:tcW w:w="1686" w:type="pct"/>
                <w:shd w:val="clear" w:color="auto" w:fill="auto"/>
                <w:vAlign w:val="center"/>
              </w:tcPr>
              <w:p>
                <w:pPr>
                  <w:autoSpaceDE w:val="0"/>
                  <w:autoSpaceDN w:val="0"/>
                  <w:adjustRightInd w:val="0"/>
                  <w:snapToGrid w:val="0"/>
                  <w:ind w:right="180"/>
                  <w:jc w:val="right"/>
                </w:pPr>
                <w:r>
                  <w:t>7,138,045,588.74</w:t>
                </w:r>
              </w:p>
            </w:tc>
            <w:tc>
              <w:tcPr>
                <w:tcW w:w="1628" w:type="pct"/>
                <w:shd w:val="clear" w:color="auto" w:fill="auto"/>
                <w:vAlign w:val="center"/>
              </w:tcPr>
              <w:p>
                <w:pPr>
                  <w:jc w:val="right"/>
                </w:pPr>
                <w:r>
                  <w:t>7,223,523,978.26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tcPr>
              <w:p>
                <w:pPr>
                  <w:autoSpaceDE w:val="0"/>
                  <w:autoSpaceDN w:val="0"/>
                  <w:adjustRightInd w:val="0"/>
                  <w:snapToGrid w:val="0"/>
                </w:pPr>
                <w:r>
                  <w:t>减：一年内到期的长期借款</w:t>
                </w:r>
              </w:p>
            </w:tc>
            <w:tc>
              <w:tcPr>
                <w:tcW w:w="1686" w:type="pct"/>
              </w:tcPr>
              <w:p>
                <w:pPr>
                  <w:autoSpaceDE w:val="0"/>
                  <w:autoSpaceDN w:val="0"/>
                  <w:adjustRightInd w:val="0"/>
                  <w:snapToGrid w:val="0"/>
                  <w:ind w:right="180"/>
                  <w:jc w:val="right"/>
                </w:pPr>
                <w:r>
                  <w:t>1,366,324,814.38</w:t>
                </w:r>
              </w:p>
            </w:tc>
            <w:tc>
              <w:tcPr>
                <w:tcW w:w="1628" w:type="pct"/>
              </w:tcPr>
              <w:p>
                <w:pPr>
                  <w:jc w:val="right"/>
                </w:pPr>
                <w:r>
                  <w:t>1,673,998,534.30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vAlign w:val="center"/>
              </w:tcPr>
              <w:p>
                <w:pPr>
                  <w:autoSpaceDE w:val="0"/>
                  <w:autoSpaceDN w:val="0"/>
                  <w:adjustRightInd w:val="0"/>
                  <w:snapToGrid w:val="0"/>
                  <w:jc w:val="center"/>
                </w:pPr>
                <w:r>
                  <w:rPr>
                    <w:rFonts w:hint="eastAsia"/>
                  </w:rPr>
                  <w:t>合计</w:t>
                </w:r>
              </w:p>
            </w:tc>
            <w:tc>
              <w:tcPr>
                <w:tcW w:w="1686" w:type="pct"/>
                <w:vAlign w:val="center"/>
              </w:tcPr>
              <w:p>
                <w:pPr>
                  <w:autoSpaceDE w:val="0"/>
                  <w:autoSpaceDN w:val="0"/>
                  <w:adjustRightInd w:val="0"/>
                  <w:snapToGrid w:val="0"/>
                  <w:ind w:right="180"/>
                  <w:jc w:val="right"/>
                </w:pPr>
                <w:r>
                  <w:t>16,543,565,723.06</w:t>
                </w:r>
              </w:p>
            </w:tc>
            <w:tc>
              <w:tcPr>
                <w:tcW w:w="1628" w:type="pct"/>
                <w:vAlign w:val="center"/>
              </w:tcPr>
              <w:p>
                <w:pPr>
                  <w:jc w:val="right"/>
                </w:pPr>
                <w:r>
                  <w:t>16,053,597,366.94</w:t>
                </w:r>
              </w:p>
            </w:tc>
          </w:tr>
        </w:tbl>
        <w:p>
          <w:pPr>
            <w:snapToGrid w:val="0"/>
            <w:spacing w:before="60" w:after="60" w:line="240" w:lineRule="atLeast"/>
          </w:pPr>
        </w:p>
        <w:sdt>
          <w:sdtPr>
            <w:alias w:val="长期借款分类的说明"/>
            <w:tag w:val="_GBC_c93626a5eade42f48eca926da85f3afb"/>
            <w:id w:val="-599802750"/>
            <w:lock w:val="sdtLocked"/>
            <w:placeholder>
              <w:docPart w:val="GBC22222222222222222222222222222"/>
            </w:placeholder>
          </w:sdtPr>
          <w:sdtContent>
            <w:p>
              <w:pPr>
                <w:snapToGrid w:val="0"/>
              </w:pPr>
              <w:r>
                <w:rPr>
                  <w:rFonts w:hint="eastAsia"/>
                </w:rPr>
                <w:t>长期借款分类的说明：</w:t>
              </w:r>
            </w:p>
            <w:p>
              <w:pPr>
                <w:snapToGrid w:val="0"/>
              </w:pPr>
              <w:r>
                <w:rPr>
                  <w:rFonts w:hint="eastAsia"/>
                </w:rPr>
                <w:t>于</w:t>
              </w:r>
              <w:r>
                <w:t xml:space="preserve"> 2023年6 月30 日，长期借款主要包括：</w:t>
              </w:r>
            </w:p>
            <w:p>
              <w:pPr>
                <w:snapToGrid w:val="0"/>
              </w:pPr>
              <w:r>
                <w:t>(1)</w:t>
              </w:r>
              <w:r>
                <w:tab/>
              </w:r>
              <w:r>
                <w:t>质押借款主要包括本集团子公司向国家开发银行借入多笔长期借款本金合计人民币3,293,500,000.00元，利息人民币2,891,748.89元；向交通银行借入多笔长期借款本金合计人民币956,080,001.00元，利息人民币1,035,032.77元；向中国工商银行借入多笔长期借款本金合计人民币1,713,000,000.00元，利息人民币1,738,368.07元；向中国建设银行借入一笔长期借款本金合计人民币 1,559,500,000.00元，利息人民币1,516,180.54元；向中国农业</w:t>
              </w:r>
              <w:r>
                <w:rPr>
                  <w:rFonts w:hint="eastAsia"/>
                </w:rPr>
                <w:t>银行借入一笔长期借款本金合计人民币</w:t>
              </w:r>
              <w:r>
                <w:t>360,000,000.00元，利息人民币350,000.00元；向邮政储蓄银行借入多笔长期借款本金合计人民币1,401,516,000.00元，利息人民币 1,362,431.77元；向招商银行借入长期借款本金合计人民币1,368,000,001.00元，利息人民币1,418,412.49元；向中国银行借入长期借款本金合计人民币100,000,000.00元，利息人民币90,277.77元；其中一年内到期的长期借款本金合计人民币362,034,668.00元，利息人民币10,402,452.30元。其余部分长期借款到期日为 2025年3月21日至 2051年6 月29日。于2023年6月30日上述质押借款的质押品情况详见附注五、60所有权或使用权受到限制的资产。</w:t>
              </w:r>
            </w:p>
            <w:p>
              <w:pPr>
                <w:snapToGrid w:val="0"/>
              </w:pPr>
            </w:p>
            <w:p>
              <w:pPr>
                <w:snapToGrid w:val="0"/>
              </w:pPr>
              <w:r>
                <w:t>(2)</w:t>
              </w:r>
              <w:r>
                <w:tab/>
              </w:r>
              <w:r>
                <w:t>保证借款主要包括本集团向西班牙政府借入长期借款本金合计美元1,362,685.71 元，期末本金折合人民币9,846,494.40 元。其中一年内到期的长期借款本金合计美元247,761.02元，最后一笔借款到期日为 2028年7月10日。</w:t>
              </w:r>
            </w:p>
            <w:p>
              <w:pPr>
                <w:snapToGrid w:val="0"/>
              </w:pPr>
              <w:r>
                <w:t xml:space="preserve"> </w:t>
              </w:r>
            </w:p>
            <w:p>
              <w:pPr>
                <w:snapToGrid w:val="0"/>
                <w:rPr>
                  <w:rFonts w:cstheme="minorBidi"/>
                  <w:color w:val="000000" w:themeColor="text1"/>
                  <w:kern w:val="2"/>
                  <w14:textFill>
                    <w14:solidFill>
                      <w14:schemeClr w14:val="tx1"/>
                    </w14:solidFill>
                  </w14:textFill>
                </w:rPr>
              </w:pPr>
              <w:r>
                <w:t>(3)</w:t>
              </w:r>
              <w:r>
                <w:tab/>
              </w:r>
              <w:r>
                <w:t>信用借款主要包括向本集团母公司江苏交通控股有限公司借入多笔长期借款本金合计人民币2,993,148,166.24元，利息人民币60,647,931.63元；向交通银行借入多笔长期借款本金合计人民币676,781,250.00元，利息人民币 654,138.49元；向浦发银行借入多笔长期借款本金合计人民币 598,200,000.00元，利息人民币612,223.53元；向招商银行借入多笔长期借款本金合计396,000,000.00元，利息人民币286,000.00元；向中国建设银行借入长期借款本金合</w:t>
              </w:r>
              <w:r>
                <w:rPr>
                  <w:rFonts w:hint="eastAsia"/>
                </w:rPr>
                <w:t>计人民币</w:t>
              </w:r>
              <w:r>
                <w:t>1,101,000,000.00元，利息人民币871,847.22元；向中国农业银行借入长期借款本金合计人民币693,087,500.00元，利息人民币689,448.31元；向工商银行借入长期借款本金合计人民币150,000,000.00元，利息人民币 125,000.00元；向江苏交通控股集团财务有限公司借入多笔长期借款本金合计人民币315,500,000.00元，利息人民币303,333.32元；向邮政储蓄银行接入多笔长期借款本金合计人民币150,000,000.00元，利息人民币138,750.00元。其中一年内到期的长期借款本金人民币合计927,768,750.00元，利息人民币64,328,672.50元。其余部分长期借款到期日为2024年8月29日至 2046年8月25日。</w:t>
              </w:r>
            </w:p>
          </w:sdtContent>
        </w:sdt>
      </w:sdtContent>
    </w:sdt>
    <w:p>
      <w:pPr>
        <w:snapToGrid w:val="0"/>
        <w:rPr>
          <w:rFonts w:cstheme="minorBidi"/>
          <w:color w:val="000000" w:themeColor="text1"/>
          <w:kern w:val="2"/>
          <w14:textFill>
            <w14:solidFill>
              <w14:schemeClr w14:val="tx1"/>
            </w14:solidFill>
          </w14:textFill>
        </w:rPr>
      </w:pPr>
    </w:p>
    <w:sdt>
      <w:sdtPr>
        <w:rPr>
          <w:rFonts w:hint="eastAsia"/>
          <w:color w:val="000000" w:themeColor="text1"/>
          <w14:textFill>
            <w14:solidFill>
              <w14:schemeClr w14:val="tx1"/>
            </w14:solidFill>
          </w14:textFill>
        </w:rPr>
        <w:alias w:val="模块:长期借款的说明"/>
        <w:tag w:val="_GBC_7195bfed3c6d4a6fb2b17f01aa73f311"/>
        <w:id w:val="1655337977"/>
        <w:lock w:val="sdtLocked"/>
        <w:placeholder>
          <w:docPart w:val="GBC22222222222222222222222222222"/>
        </w:placeholder>
      </w:sdtPr>
      <w:sdtEndPr>
        <w:rPr>
          <w:rFonts w:hint="default"/>
          <w:color w:val="auto"/>
        </w:rPr>
      </w:sdtEndPr>
      <w:sdtContent>
        <w:p>
          <w:p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其他说明，包括利率区间：</w:t>
          </w:r>
        </w:p>
        <w:sdt>
          <w:sdtPr>
            <w:rPr>
              <w:color w:val="000000" w:themeColor="text1"/>
              <w14:textFill>
                <w14:solidFill>
                  <w14:schemeClr w14:val="tx1"/>
                </w14:solidFill>
              </w14:textFill>
            </w:rPr>
            <w:alias w:val="是否适用：长期借款的说明[双击切换]"/>
            <w:tag w:val="_GBC_1dc67be6516c4de3956a80023674c75a"/>
            <w:id w:val="122740778"/>
            <w:lock w:val="sdtLocked"/>
            <w:placeholder>
              <w:docPart w:val="GBC22222222222222222222222222222"/>
            </w:placeholder>
          </w:sdtPr>
          <w:sdtEndPr>
            <w:rPr>
              <w:color w:val="000000" w:themeColor="text1"/>
              <w14:textFill>
                <w14:solidFill>
                  <w14:schemeClr w14:val="tx1"/>
                </w14:solidFill>
              </w14:textFill>
            </w:rPr>
          </w:sdtEndPr>
          <w:sdtContent>
            <w:p>
              <w:pPr>
                <w:snapToGrid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√适用 </w:instrTex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MACROBUTTON  SnrToggleCheckbox □不适用 </w:instrText>
              </w:r>
              <w:r>
                <w:rPr>
                  <w:color w:val="000000" w:themeColor="text1"/>
                  <w14:textFill>
                    <w14:solidFill>
                      <w14:schemeClr w14:val="tx1"/>
                    </w14:solidFill>
                  </w14:textFill>
                </w:rPr>
                <w:fldChar w:fldCharType="end"/>
              </w:r>
            </w:p>
          </w:sdtContent>
        </w:sdt>
        <w:sdt>
          <w:sdtPr>
            <w:alias w:val="长期借款的说明"/>
            <w:tag w:val="_GBC_05c1a5b23bdb44ee812f7f625a395fd0"/>
            <w:id w:val="499780586"/>
            <w:lock w:val="sdtLocked"/>
            <w:placeholder>
              <w:docPart w:val="GBC22222222222222222222222222222"/>
            </w:placeholder>
          </w:sdtPr>
          <w:sdtContent>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于</w:t>
              </w:r>
              <w:r>
                <w:rPr>
                  <w:rFonts w:cs="Arial" w:asciiTheme="minorEastAsia" w:hAnsiTheme="minorEastAsia" w:eastAsiaTheme="minorEastAsia"/>
                  <w:color w:val="000000" w:themeColor="text1"/>
                  <w:kern w:val="2"/>
                  <w14:textFill>
                    <w14:solidFill>
                      <w14:schemeClr w14:val="tx1"/>
                    </w14:solidFill>
                  </w14:textFill>
                </w:rPr>
                <w:t xml:space="preserve"> 2023</w:t>
              </w:r>
              <w:r>
                <w:rPr>
                  <w:rFonts w:hint="eastAsia" w:cs="Arial" w:asciiTheme="minorEastAsia" w:hAnsiTheme="minorEastAsia" w:eastAsiaTheme="minorEastAsia"/>
                  <w:color w:val="000000" w:themeColor="text1"/>
                  <w:kern w:val="2"/>
                  <w14:textFill>
                    <w14:solidFill>
                      <w14:schemeClr w14:val="tx1"/>
                    </w14:solidFill>
                  </w14:textFill>
                </w:rPr>
                <w:t>年</w:t>
              </w:r>
              <w:r>
                <w:rPr>
                  <w:rFonts w:cs="Arial" w:asciiTheme="minorEastAsia" w:hAnsiTheme="minorEastAsia" w:eastAsiaTheme="minorEastAsia"/>
                  <w:color w:val="000000" w:themeColor="text1"/>
                  <w:kern w:val="2"/>
                  <w14:textFill>
                    <w14:solidFill>
                      <w14:schemeClr w14:val="tx1"/>
                    </w14:solidFill>
                  </w14:textFill>
                </w:rPr>
                <w:t>6</w:t>
              </w:r>
              <w:r>
                <w:rPr>
                  <w:rFonts w:hint="eastAsia" w:cs="Arial" w:asciiTheme="minorEastAsia" w:hAnsiTheme="minorEastAsia" w:eastAsiaTheme="minorEastAsia"/>
                  <w:color w:val="000000" w:themeColor="text1"/>
                  <w:kern w:val="2"/>
                  <w14:textFill>
                    <w14:solidFill>
                      <w14:schemeClr w14:val="tx1"/>
                    </w14:solidFill>
                  </w14:textFill>
                </w:rPr>
                <w:t>月</w:t>
              </w:r>
              <w:r>
                <w:rPr>
                  <w:rFonts w:cs="Arial" w:asciiTheme="minorEastAsia" w:hAnsiTheme="minorEastAsia" w:eastAsiaTheme="minorEastAsia"/>
                  <w:color w:val="000000" w:themeColor="text1"/>
                  <w:kern w:val="2"/>
                  <w14:textFill>
                    <w14:solidFill>
                      <w14:schemeClr w14:val="tx1"/>
                    </w14:solidFill>
                  </w14:textFill>
                </w:rPr>
                <w:t>30</w:t>
              </w:r>
              <w:r>
                <w:rPr>
                  <w:rFonts w:hint="eastAsia" w:cs="Arial" w:asciiTheme="minorEastAsia" w:hAnsiTheme="minorEastAsia" w:eastAsiaTheme="minorEastAsia"/>
                  <w:color w:val="000000" w:themeColor="text1"/>
                  <w:kern w:val="2"/>
                  <w14:textFill>
                    <w14:solidFill>
                      <w14:schemeClr w14:val="tx1"/>
                    </w14:solidFill>
                  </w14:textFill>
                </w:rPr>
                <w:t>日，质押借款的年利率区间为</w:t>
              </w:r>
              <w:r>
                <w:rPr>
                  <w:rFonts w:cs="Arial" w:asciiTheme="minorEastAsia" w:hAnsiTheme="minorEastAsia" w:eastAsiaTheme="minorEastAsia"/>
                  <w:color w:val="000000" w:themeColor="text1"/>
                  <w:kern w:val="2"/>
                  <w14:textFill>
                    <w14:solidFill>
                      <w14:schemeClr w14:val="tx1"/>
                    </w14:solidFill>
                  </w14:textFill>
                </w:rPr>
                <w:t>3.5%-3.96%</w:t>
              </w:r>
              <w:r>
                <w:rPr>
                  <w:rFonts w:hint="eastAsia" w:cs="Arial" w:asciiTheme="minorEastAsia" w:hAnsiTheme="minorEastAsia" w:eastAsiaTheme="minorEastAsia"/>
                  <w:color w:val="000000" w:themeColor="text1"/>
                  <w:kern w:val="2"/>
                  <w14:textFill>
                    <w14:solidFill>
                      <w14:schemeClr w14:val="tx1"/>
                    </w14:solidFill>
                  </w14:textFill>
                </w:rPr>
                <w:t>，保证借款的年利率区间为</w:t>
              </w:r>
              <w:r>
                <w:rPr>
                  <w:rFonts w:cs="Arial" w:asciiTheme="minorEastAsia" w:hAnsiTheme="minorEastAsia" w:eastAsiaTheme="minorEastAsia"/>
                  <w:color w:val="000000" w:themeColor="text1"/>
                  <w:kern w:val="2"/>
                  <w14:textFill>
                    <w14:solidFill>
                      <w14:schemeClr w14:val="tx1"/>
                    </w14:solidFill>
                  </w14:textFill>
                </w:rPr>
                <w:t>2%</w:t>
              </w:r>
              <w:r>
                <w:rPr>
                  <w:rFonts w:hint="eastAsia" w:cs="Arial" w:asciiTheme="minorEastAsia" w:hAnsiTheme="minorEastAsia" w:eastAsiaTheme="minorEastAsia"/>
                  <w:color w:val="000000" w:themeColor="text1"/>
                  <w:kern w:val="2"/>
                  <w14:textFill>
                    <w14:solidFill>
                      <w14:schemeClr w14:val="tx1"/>
                    </w14:solidFill>
                  </w14:textFill>
                </w:rPr>
                <w:t>，信用借款的年利率区间为</w:t>
              </w:r>
              <w:r>
                <w:rPr>
                  <w:rFonts w:cs="Arial" w:asciiTheme="minorEastAsia" w:hAnsiTheme="minorEastAsia" w:eastAsiaTheme="minorEastAsia"/>
                  <w:color w:val="000000" w:themeColor="text1"/>
                  <w:kern w:val="2"/>
                  <w14:textFill>
                    <w14:solidFill>
                      <w14:schemeClr w14:val="tx1"/>
                    </w14:solidFill>
                  </w14:textFill>
                </w:rPr>
                <w:t xml:space="preserve">2.55% - 3.96% </w:t>
              </w:r>
              <w:r>
                <w:rPr>
                  <w:rFonts w:hint="eastAsia" w:cs="Arial" w:asciiTheme="minorEastAsia" w:hAnsiTheme="minorEastAsia" w:eastAsiaTheme="minorEastAsia"/>
                  <w:color w:val="000000" w:themeColor="text1"/>
                  <w:kern w:val="2"/>
                  <w14:textFill>
                    <w14:solidFill>
                      <w14:schemeClr w14:val="tx1"/>
                    </w14:solidFill>
                  </w14:textFill>
                </w:rPr>
                <w:t>。</w:t>
              </w:r>
            </w:p>
            <w:p>
              <w:pPr>
                <w:snapToGrid w:val="0"/>
              </w:pP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应付债券</w:t>
      </w:r>
    </w:p>
    <w:sdt>
      <w:sdtPr>
        <w:rPr>
          <w:rFonts w:hint="eastAsia" w:ascii="宋体" w:hAnsi="宋体" w:cs="宋体"/>
          <w:b w:val="0"/>
          <w:bCs w:val="0"/>
          <w:kern w:val="0"/>
          <w:szCs w:val="24"/>
        </w:rPr>
        <w:alias w:val="模块:应付债券"/>
        <w:tag w:val="_GBC_cd8e29427b9b4eecb46188c744528e27"/>
        <w:id w:val="-3119978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78"/>
            </w:numPr>
            <w:tabs>
              <w:tab w:val="left" w:pos="672"/>
            </w:tabs>
            <w:rPr>
              <w:rFonts w:ascii="宋体" w:hAnsi="宋体"/>
            </w:rPr>
          </w:pPr>
          <w:r>
            <w:rPr>
              <w:rFonts w:hint="eastAsia" w:ascii="宋体" w:hAnsi="宋体"/>
            </w:rPr>
            <w:t>应付</w:t>
          </w:r>
          <w:r>
            <w:rPr>
              <w:rFonts w:hint="eastAsia" w:ascii="宋体" w:hAnsi="宋体"/>
              <w:szCs w:val="21"/>
            </w:rPr>
            <w:t>债券</w:t>
          </w:r>
        </w:p>
        <w:sdt>
          <w:sdtPr>
            <w:rPr>
              <w:rFonts w:hint="eastAsia"/>
            </w:rPr>
            <w:alias w:val="是否适用：应付债券[双击切换]"/>
            <w:tag w:val="_GBC_b07c291c892844efaca56bc1d52b1566"/>
            <w:id w:val="165856891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付债券"/>
              <w:tag w:val="_GBC_5c0626b48a2b47e5b1fa30bc0936ae68"/>
              <w:id w:val="2093913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债券"/>
              <w:tag w:val="_GBC_5dd240124fc44a14b0361901a2a8b897"/>
              <w:id w:val="8769778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2999"/>
            <w:gridCol w:w="3022"/>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52" w:hRule="atLeast"/>
            </w:trPr>
            <w:sdt>
              <w:sdtPr>
                <w:tag w:val="_PLD_dacb6f47868c48c4a5180256022d0c07"/>
                <w:id w:val="1639294691"/>
                <w:lock w:val="sdtLocked"/>
              </w:sdtPr>
              <w:sdtContent>
                <w:tc>
                  <w:tcPr>
                    <w:tcW w:w="1686" w:type="pct"/>
                    <w:shd w:val="clear" w:color="auto" w:fill="auto"/>
                  </w:tcPr>
                  <w:p>
                    <w:pPr>
                      <w:jc w:val="center"/>
                    </w:pPr>
                    <w:r>
                      <w:rPr>
                        <w:rFonts w:hint="eastAsia"/>
                      </w:rPr>
                      <w:t>项目</w:t>
                    </w:r>
                  </w:p>
                </w:tc>
              </w:sdtContent>
            </w:sdt>
            <w:sdt>
              <w:sdtPr>
                <w:tag w:val="_PLD_30efa3a744404b8e898a2f8f653f7f19"/>
                <w:id w:val="-1282883432"/>
                <w:lock w:val="sdtLocked"/>
              </w:sdtPr>
              <w:sdtContent>
                <w:tc>
                  <w:tcPr>
                    <w:tcW w:w="1699" w:type="pct"/>
                    <w:shd w:val="clear" w:color="auto" w:fill="auto"/>
                  </w:tcPr>
                  <w:p>
                    <w:pPr>
                      <w:adjustRightInd w:val="0"/>
                      <w:snapToGrid w:val="0"/>
                      <w:ind w:left="-2" w:leftChars="-2" w:right="19" w:rightChars="9" w:hanging="2" w:hangingChars="1"/>
                      <w:jc w:val="center"/>
                      <w:rPr>
                        <w:b/>
                      </w:rPr>
                    </w:pPr>
                    <w:r>
                      <w:rPr>
                        <w:rFonts w:hint="eastAsia"/>
                      </w:rPr>
                      <w:t>期末余额</w:t>
                    </w:r>
                  </w:p>
                </w:tc>
              </w:sdtContent>
            </w:sdt>
            <w:sdt>
              <w:sdtPr>
                <w:tag w:val="_PLD_faff9d38659a4878bf966d1b9dd493b9"/>
                <w:id w:val="-333840077"/>
                <w:lock w:val="sdtLocked"/>
              </w:sdtPr>
              <w:sdtContent>
                <w:tc>
                  <w:tcPr>
                    <w:tcW w:w="1615" w:type="pct"/>
                    <w:shd w:val="clear" w:color="auto" w:fill="auto"/>
                  </w:tcPr>
                  <w:p>
                    <w:pPr>
                      <w:adjustRightInd w:val="0"/>
                      <w:snapToGrid w:val="0"/>
                      <w:ind w:left="-2" w:leftChars="-2" w:right="19" w:rightChars="9" w:hanging="2" w:hangingChars="1"/>
                      <w:jc w:val="center"/>
                    </w:pPr>
                    <w:r>
                      <w:rPr>
                        <w:rFonts w:hint="eastAsia"/>
                      </w:rPr>
                      <w:t>期初余额</w:t>
                    </w:r>
                  </w:p>
                </w:tc>
              </w:sdtContent>
            </w:sdt>
          </w:tr>
          <w:sdt>
            <w:sdtPr>
              <w:alias w:val="应付债券情况明细"/>
              <w:tag w:val="_GBC_ce87ca4ab7a54773927187961fdc2d7d"/>
              <w:id w:val="98604468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pStyle w:val="114"/>
                    </w:pPr>
                    <w:r>
                      <w:t>中期票据</w:t>
                    </w:r>
                  </w:p>
                </w:tc>
                <w:tc>
                  <w:tcPr>
                    <w:tcW w:w="1699" w:type="pct"/>
                    <w:shd w:val="clear" w:color="auto" w:fill="auto"/>
                  </w:tcPr>
                  <w:p>
                    <w:pPr>
                      <w:jc w:val="right"/>
                    </w:pPr>
                    <w:r>
                      <w:t>5,604,663,073.29</w:t>
                    </w:r>
                  </w:p>
                </w:tc>
                <w:tc>
                  <w:tcPr>
                    <w:tcW w:w="1615" w:type="pct"/>
                    <w:shd w:val="clear" w:color="auto" w:fill="auto"/>
                  </w:tcPr>
                  <w:p>
                    <w:pPr>
                      <w:jc w:val="right"/>
                    </w:pPr>
                    <w:r>
                      <w:t>5,544,625,794.05</w:t>
                    </w:r>
                  </w:p>
                </w:tc>
              </w:tr>
            </w:sdtContent>
          </w:sdt>
          <w:sdt>
            <w:sdtPr>
              <w:alias w:val="应付债券情况明细"/>
              <w:tag w:val="_GBC_ce87ca4ab7a54773927187961fdc2d7d"/>
              <w:id w:val="158087433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pStyle w:val="114"/>
                    </w:pPr>
                    <w:r>
                      <w:t>公司债券</w:t>
                    </w:r>
                  </w:p>
                </w:tc>
                <w:tc>
                  <w:tcPr>
                    <w:tcW w:w="1699" w:type="pct"/>
                    <w:shd w:val="clear" w:color="auto" w:fill="auto"/>
                  </w:tcPr>
                  <w:p>
                    <w:pPr>
                      <w:jc w:val="right"/>
                    </w:pPr>
                    <w:r>
                      <w:t>4,558,324,995.33</w:t>
                    </w:r>
                  </w:p>
                </w:tc>
                <w:tc>
                  <w:tcPr>
                    <w:tcW w:w="1615" w:type="pct"/>
                    <w:shd w:val="clear" w:color="auto" w:fill="auto"/>
                  </w:tcPr>
                  <w:p>
                    <w:pPr>
                      <w:jc w:val="right"/>
                    </w:pPr>
                    <w:r>
                      <w:t>4,554,960,837.96</w:t>
                    </w:r>
                  </w:p>
                </w:tc>
              </w:tr>
            </w:sdtContent>
          </w:sdt>
          <w:sdt>
            <w:sdtPr>
              <w:alias w:val="应付债券情况明细"/>
              <w:tag w:val="_GBC_ce87ca4ab7a54773927187961fdc2d7d"/>
              <w:id w:val="28124038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tc>
                  <w:tcPr>
                    <w:tcW w:w="1686" w:type="pct"/>
                    <w:shd w:val="clear" w:color="auto" w:fill="auto"/>
                  </w:tcPr>
                  <w:p>
                    <w:pPr>
                      <w:pStyle w:val="114"/>
                    </w:pPr>
                    <w:r>
                      <w:t>减：一年内到期的应付债券</w:t>
                    </w:r>
                  </w:p>
                </w:tc>
                <w:tc>
                  <w:tcPr>
                    <w:tcW w:w="1699" w:type="pct"/>
                    <w:shd w:val="clear" w:color="auto" w:fill="auto"/>
                  </w:tcPr>
                  <w:p>
                    <w:pPr>
                      <w:jc w:val="right"/>
                    </w:pPr>
                    <w:r>
                      <w:t>1,184,488,225.32</w:t>
                    </w:r>
                  </w:p>
                </w:tc>
                <w:tc>
                  <w:tcPr>
                    <w:tcW w:w="1615" w:type="pct"/>
                    <w:shd w:val="clear" w:color="auto" w:fill="auto"/>
                  </w:tcPr>
                  <w:p>
                    <w:pPr>
                      <w:jc w:val="right"/>
                    </w:pPr>
                    <w:r>
                      <w:t>127,249,150.67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Pr>
            <w:sdt>
              <w:sdtPr>
                <w:tag w:val="_PLD_4bc5d2895572448eb50b2ba82f0a9f34"/>
                <w:id w:val="984824197"/>
                <w:lock w:val="sdtLocked"/>
              </w:sdtPr>
              <w:sdtContent>
                <w:tc>
                  <w:tcPr>
                    <w:tcW w:w="1686" w:type="pct"/>
                    <w:shd w:val="clear" w:color="auto" w:fill="auto"/>
                  </w:tcPr>
                  <w:p>
                    <w:pPr>
                      <w:jc w:val="center"/>
                    </w:pPr>
                    <w:r>
                      <w:rPr>
                        <w:rFonts w:hint="eastAsia"/>
                      </w:rPr>
                      <w:t>合计</w:t>
                    </w:r>
                  </w:p>
                </w:tc>
              </w:sdtContent>
            </w:sdt>
            <w:tc>
              <w:tcPr>
                <w:tcW w:w="1699" w:type="pct"/>
                <w:shd w:val="clear" w:color="auto" w:fill="auto"/>
                <w:vAlign w:val="center"/>
              </w:tcPr>
              <w:p>
                <w:pPr>
                  <w:jc w:val="right"/>
                </w:pPr>
                <w:r>
                  <w:t>8,978,499,843.30</w:t>
                </w:r>
              </w:p>
            </w:tc>
            <w:tc>
              <w:tcPr>
                <w:tcW w:w="1615" w:type="pct"/>
                <w:shd w:val="clear" w:color="auto" w:fill="auto"/>
                <w:vAlign w:val="center"/>
              </w:tcPr>
              <w:p>
                <w:pPr>
                  <w:jc w:val="right"/>
                </w:pPr>
                <w:r>
                  <w:t>9,972,337,481.34</w:t>
                </w:r>
              </w:p>
            </w:tc>
          </w:tr>
        </w:tbl>
        <w:p>
          <w:pPr>
            <w:pStyle w:val="114"/>
          </w:pPr>
        </w:p>
      </w:sdtContent>
    </w:sdt>
    <w:sdt>
      <w:sdtPr>
        <w:rPr>
          <w:rFonts w:ascii="宋体" w:hAnsi="宋体" w:cstheme="minorBidi"/>
          <w:b w:val="0"/>
          <w:bCs w:val="0"/>
          <w:kern w:val="0"/>
          <w:szCs w:val="22"/>
        </w:rPr>
        <w:alias w:val="模块:应付债券的增减变动"/>
        <w:tag w:val="_GBC_93c3424329ce41edbb49a50ffbdbc9d7"/>
        <w:id w:val="-1302005518"/>
        <w:lock w:val="sdtLocked"/>
        <w:placeholder>
          <w:docPart w:val="GBC22222222222222222222222222222"/>
        </w:placeholder>
      </w:sdtPr>
      <w:sdtEndPr>
        <w:rPr>
          <w:rFonts w:hint="eastAsia" w:ascii="宋体" w:hAnsi="宋体" w:cstheme="minorBidi"/>
          <w:b/>
          <w:bCs/>
          <w:color w:val="000000" w:themeColor="text1"/>
          <w:kern w:val="0"/>
          <w:szCs w:val="21"/>
          <w14:textFill>
            <w14:solidFill>
              <w14:schemeClr w14:val="tx1"/>
            </w14:solidFill>
          </w14:textFill>
        </w:rPr>
      </w:sdtEndPr>
      <w:sdtContent>
        <w:p>
          <w:pPr>
            <w:pStyle w:val="5"/>
            <w:numPr>
              <w:ilvl w:val="0"/>
              <w:numId w:val="78"/>
            </w:numPr>
            <w:tabs>
              <w:tab w:val="left" w:pos="672"/>
            </w:tabs>
            <w:rPr>
              <w:rFonts w:ascii="宋体" w:hAnsi="宋体"/>
              <w:szCs w:val="21"/>
            </w:rPr>
          </w:pPr>
          <w:r>
            <w:rPr>
              <w:rFonts w:ascii="宋体" w:hAnsi="宋体"/>
              <w:szCs w:val="21"/>
            </w:rPr>
            <w:t>应付债券的增减变动</w:t>
          </w:r>
          <w:r>
            <w:rPr>
              <w:rFonts w:hint="eastAsia" w:ascii="宋体" w:hAnsi="宋体"/>
              <w:szCs w:val="21"/>
            </w:rPr>
            <w:t>（不包括划分为金融负债的优先股、永续债等其他金融工具）</w:t>
          </w:r>
        </w:p>
        <w:sdt>
          <w:sdtPr>
            <w:alias w:val="是否适用：应付债券的增减变动[双击切换]"/>
            <w:tag w:val="_GBC_4b9b2c6cc76845b79e52a5d821e1cf5a"/>
            <w:id w:val="-213971395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应付债券的增减变动"/>
              <w:tag w:val="_GBC_0caebd9b9d9b4a59aaa853a387a1a299"/>
              <w:id w:val="-20064303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应付债券的增减变动"/>
              <w:tag w:val="_GBC_0e52a0719da945bab24d9f1419aafdbf"/>
              <w:id w:val="-557863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567"/>
            <w:gridCol w:w="572"/>
            <w:gridCol w:w="571"/>
            <w:gridCol w:w="573"/>
            <w:gridCol w:w="571"/>
            <w:gridCol w:w="715"/>
            <w:gridCol w:w="857"/>
            <w:gridCol w:w="713"/>
            <w:gridCol w:w="715"/>
            <w:gridCol w:w="857"/>
            <w:gridCol w:w="713"/>
            <w:gridCol w:w="715"/>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90" w:hRule="atLeast"/>
            </w:trPr>
            <w:sdt>
              <w:sdtPr>
                <w:rPr>
                  <w:sz w:val="14"/>
                  <w:szCs w:val="14"/>
                </w:rPr>
                <w:tag w:val="_PLD_411683fdac8849338184241843ac8452"/>
                <w:id w:val="-723288346"/>
                <w:lock w:val="sdtLocked"/>
              </w:sdtPr>
              <w:sdtEndPr>
                <w:rPr>
                  <w:sz w:val="14"/>
                  <w:szCs w:val="14"/>
                </w:rPr>
              </w:sdtEndPr>
              <w:sdtContent>
                <w:tc>
                  <w:tcPr>
                    <w:tcW w:w="318" w:type="pct"/>
                    <w:shd w:val="clear" w:color="auto" w:fill="auto"/>
                    <w:vAlign w:val="center"/>
                  </w:tcPr>
                  <w:p>
                    <w:pPr>
                      <w:jc w:val="center"/>
                      <w:rPr>
                        <w:sz w:val="14"/>
                        <w:szCs w:val="14"/>
                      </w:rPr>
                    </w:pPr>
                    <w:r>
                      <w:rPr>
                        <w:rFonts w:hint="eastAsia"/>
                        <w:sz w:val="14"/>
                        <w:szCs w:val="14"/>
                      </w:rPr>
                      <w:t>债券</w:t>
                    </w:r>
                  </w:p>
                  <w:p>
                    <w:pPr>
                      <w:jc w:val="center"/>
                      <w:rPr>
                        <w:sz w:val="14"/>
                        <w:szCs w:val="14"/>
                      </w:rPr>
                    </w:pPr>
                    <w:r>
                      <w:rPr>
                        <w:rFonts w:hint="eastAsia"/>
                        <w:sz w:val="14"/>
                        <w:szCs w:val="14"/>
                      </w:rPr>
                      <w:t>名称</w:t>
                    </w:r>
                  </w:p>
                </w:tc>
              </w:sdtContent>
            </w:sdt>
            <w:sdt>
              <w:sdtPr>
                <w:rPr>
                  <w:sz w:val="14"/>
                  <w:szCs w:val="14"/>
                </w:rPr>
                <w:tag w:val="_PLD_c5ae7cf1050d4b6db695378cb85e6bf6"/>
                <w:id w:val="-1469131695"/>
                <w:lock w:val="sdtLocked"/>
              </w:sdtPr>
              <w:sdtEndPr>
                <w:rPr>
                  <w:sz w:val="14"/>
                  <w:szCs w:val="14"/>
                </w:rPr>
              </w:sdtEndPr>
              <w:sdtContent>
                <w:tc>
                  <w:tcPr>
                    <w:tcW w:w="321" w:type="pct"/>
                    <w:shd w:val="clear" w:color="auto" w:fill="auto"/>
                    <w:vAlign w:val="center"/>
                  </w:tcPr>
                  <w:p>
                    <w:pPr>
                      <w:jc w:val="center"/>
                      <w:rPr>
                        <w:sz w:val="14"/>
                        <w:szCs w:val="14"/>
                      </w:rPr>
                    </w:pPr>
                    <w:r>
                      <w:rPr>
                        <w:rFonts w:hint="eastAsia"/>
                        <w:sz w:val="14"/>
                        <w:szCs w:val="14"/>
                      </w:rPr>
                      <w:t>面值</w:t>
                    </w:r>
                  </w:p>
                </w:tc>
              </w:sdtContent>
            </w:sdt>
            <w:sdt>
              <w:sdtPr>
                <w:rPr>
                  <w:sz w:val="14"/>
                  <w:szCs w:val="14"/>
                </w:rPr>
                <w:tag w:val="_PLD_b24c8421982a45ce9c2cbcbe4c427338"/>
                <w:id w:val="-1858495183"/>
                <w:lock w:val="sdtLocked"/>
              </w:sdtPr>
              <w:sdtEndPr>
                <w:rPr>
                  <w:sz w:val="14"/>
                  <w:szCs w:val="14"/>
                </w:rPr>
              </w:sdtEndPr>
              <w:sdtContent>
                <w:tc>
                  <w:tcPr>
                    <w:tcW w:w="321" w:type="pct"/>
                    <w:shd w:val="clear" w:color="auto" w:fill="auto"/>
                    <w:vAlign w:val="center"/>
                  </w:tcPr>
                  <w:p>
                    <w:pPr>
                      <w:jc w:val="center"/>
                      <w:rPr>
                        <w:sz w:val="14"/>
                        <w:szCs w:val="14"/>
                      </w:rPr>
                    </w:pPr>
                    <w:r>
                      <w:rPr>
                        <w:rFonts w:hint="eastAsia"/>
                        <w:sz w:val="14"/>
                        <w:szCs w:val="14"/>
                      </w:rPr>
                      <w:t>发行</w:t>
                    </w:r>
                  </w:p>
                  <w:p>
                    <w:pPr>
                      <w:jc w:val="center"/>
                      <w:rPr>
                        <w:sz w:val="14"/>
                        <w:szCs w:val="14"/>
                      </w:rPr>
                    </w:pPr>
                    <w:r>
                      <w:rPr>
                        <w:rFonts w:hint="eastAsia"/>
                        <w:sz w:val="14"/>
                        <w:szCs w:val="14"/>
                      </w:rPr>
                      <w:t>日期</w:t>
                    </w:r>
                  </w:p>
                </w:tc>
              </w:sdtContent>
            </w:sdt>
            <w:sdt>
              <w:sdtPr>
                <w:rPr>
                  <w:sz w:val="14"/>
                  <w:szCs w:val="14"/>
                </w:rPr>
                <w:tag w:val="_PLD_cfe1f059778e41a2a06c9174e37fc9a6"/>
                <w:id w:val="-944765498"/>
                <w:lock w:val="sdtLocked"/>
              </w:sdtPr>
              <w:sdtEndPr>
                <w:rPr>
                  <w:sz w:val="14"/>
                  <w:szCs w:val="14"/>
                </w:rPr>
              </w:sdtEndPr>
              <w:sdtContent>
                <w:tc>
                  <w:tcPr>
                    <w:tcW w:w="322" w:type="pct"/>
                    <w:shd w:val="clear" w:color="auto" w:fill="auto"/>
                    <w:vAlign w:val="center"/>
                  </w:tcPr>
                  <w:p>
                    <w:pPr>
                      <w:jc w:val="center"/>
                      <w:rPr>
                        <w:sz w:val="14"/>
                        <w:szCs w:val="14"/>
                      </w:rPr>
                    </w:pPr>
                    <w:r>
                      <w:rPr>
                        <w:rFonts w:hint="eastAsia"/>
                        <w:sz w:val="14"/>
                        <w:szCs w:val="14"/>
                      </w:rPr>
                      <w:t>债券</w:t>
                    </w:r>
                  </w:p>
                  <w:p>
                    <w:pPr>
                      <w:jc w:val="center"/>
                      <w:rPr>
                        <w:sz w:val="14"/>
                        <w:szCs w:val="14"/>
                      </w:rPr>
                    </w:pPr>
                    <w:r>
                      <w:rPr>
                        <w:rFonts w:hint="eastAsia"/>
                        <w:sz w:val="14"/>
                        <w:szCs w:val="14"/>
                      </w:rPr>
                      <w:t>期限</w:t>
                    </w:r>
                  </w:p>
                </w:tc>
              </w:sdtContent>
            </w:sdt>
            <w:tc>
              <w:tcPr>
                <w:tcW w:w="321" w:type="pct"/>
                <w:shd w:val="clear" w:color="auto" w:fill="auto"/>
                <w:vAlign w:val="center"/>
              </w:tcPr>
              <w:p>
                <w:pPr>
                  <w:jc w:val="center"/>
                  <w:rPr>
                    <w:sz w:val="14"/>
                    <w:szCs w:val="14"/>
                  </w:rPr>
                </w:pPr>
                <w:r>
                  <w:rPr>
                    <w:rFonts w:hint="eastAsia"/>
                    <w:sz w:val="14"/>
                    <w:szCs w:val="14"/>
                  </w:rPr>
                  <w:t>债券利率</w:t>
                </w:r>
              </w:p>
              <w:p>
                <w:pPr>
                  <w:jc w:val="center"/>
                  <w:rPr>
                    <w:sz w:val="14"/>
                    <w:szCs w:val="14"/>
                  </w:rPr>
                </w:pPr>
              </w:p>
            </w:tc>
            <w:sdt>
              <w:sdtPr>
                <w:rPr>
                  <w:sz w:val="14"/>
                  <w:szCs w:val="14"/>
                </w:rPr>
                <w:tag w:val="_PLD_6de77ae8046a4df5864b434026fff480"/>
                <w:id w:val="-1215728919"/>
                <w:lock w:val="sdtLocked"/>
              </w:sdtPr>
              <w:sdtEndPr>
                <w:rPr>
                  <w:sz w:val="14"/>
                  <w:szCs w:val="14"/>
                </w:rPr>
              </w:sdtEndPr>
              <w:sdtContent>
                <w:tc>
                  <w:tcPr>
                    <w:tcW w:w="402" w:type="pct"/>
                    <w:shd w:val="clear" w:color="auto" w:fill="auto"/>
                    <w:vAlign w:val="center"/>
                  </w:tcPr>
                  <w:p>
                    <w:pPr>
                      <w:jc w:val="center"/>
                      <w:rPr>
                        <w:sz w:val="14"/>
                        <w:szCs w:val="14"/>
                      </w:rPr>
                    </w:pPr>
                    <w:r>
                      <w:rPr>
                        <w:rFonts w:hint="eastAsia"/>
                        <w:sz w:val="14"/>
                        <w:szCs w:val="14"/>
                      </w:rPr>
                      <w:t>发行</w:t>
                    </w:r>
                  </w:p>
                  <w:p>
                    <w:pPr>
                      <w:jc w:val="center"/>
                      <w:rPr>
                        <w:sz w:val="14"/>
                        <w:szCs w:val="14"/>
                      </w:rPr>
                    </w:pPr>
                    <w:r>
                      <w:rPr>
                        <w:rFonts w:hint="eastAsia"/>
                        <w:sz w:val="14"/>
                        <w:szCs w:val="14"/>
                      </w:rPr>
                      <w:t>金额</w:t>
                    </w:r>
                  </w:p>
                </w:tc>
              </w:sdtContent>
            </w:sdt>
            <w:sdt>
              <w:sdtPr>
                <w:rPr>
                  <w:sz w:val="14"/>
                  <w:szCs w:val="14"/>
                </w:rPr>
                <w:tag w:val="_PLD_15ad5334c6b949f3abd32dba93f5409a"/>
                <w:id w:val="-1618445227"/>
                <w:lock w:val="sdtLocked"/>
              </w:sdtPr>
              <w:sdtEndPr>
                <w:rPr>
                  <w:sz w:val="14"/>
                  <w:szCs w:val="14"/>
                </w:rPr>
              </w:sdtEndPr>
              <w:sdtContent>
                <w:tc>
                  <w:tcPr>
                    <w:tcW w:w="482" w:type="pct"/>
                    <w:shd w:val="clear" w:color="auto" w:fill="auto"/>
                    <w:vAlign w:val="center"/>
                  </w:tcPr>
                  <w:p>
                    <w:pPr>
                      <w:jc w:val="center"/>
                      <w:rPr>
                        <w:sz w:val="14"/>
                        <w:szCs w:val="14"/>
                      </w:rPr>
                    </w:pPr>
                    <w:r>
                      <w:rPr>
                        <w:rFonts w:hint="eastAsia"/>
                        <w:sz w:val="14"/>
                        <w:szCs w:val="14"/>
                      </w:rPr>
                      <w:t>期初</w:t>
                    </w:r>
                  </w:p>
                  <w:p>
                    <w:pPr>
                      <w:jc w:val="center"/>
                      <w:rPr>
                        <w:sz w:val="14"/>
                        <w:szCs w:val="14"/>
                      </w:rPr>
                    </w:pPr>
                    <w:r>
                      <w:rPr>
                        <w:rFonts w:hint="eastAsia"/>
                        <w:sz w:val="14"/>
                        <w:szCs w:val="14"/>
                      </w:rPr>
                      <w:t>余额</w:t>
                    </w:r>
                  </w:p>
                </w:tc>
              </w:sdtContent>
            </w:sdt>
            <w:sdt>
              <w:sdtPr>
                <w:rPr>
                  <w:sz w:val="14"/>
                  <w:szCs w:val="14"/>
                </w:rPr>
                <w:tag w:val="_PLD_070f511ab8b84b29adb30e353d60f6d7"/>
                <w:id w:val="905028209"/>
                <w:lock w:val="sdtLocked"/>
              </w:sdtPr>
              <w:sdtEndPr>
                <w:rPr>
                  <w:sz w:val="14"/>
                  <w:szCs w:val="14"/>
                </w:rPr>
              </w:sdtEndPr>
              <w:sdtContent>
                <w:tc>
                  <w:tcPr>
                    <w:tcW w:w="401" w:type="pct"/>
                    <w:shd w:val="clear" w:color="auto" w:fill="auto"/>
                    <w:vAlign w:val="center"/>
                  </w:tcPr>
                  <w:p>
                    <w:pPr>
                      <w:jc w:val="center"/>
                      <w:rPr>
                        <w:sz w:val="14"/>
                        <w:szCs w:val="14"/>
                      </w:rPr>
                    </w:pPr>
                    <w:r>
                      <w:rPr>
                        <w:rFonts w:hint="eastAsia"/>
                        <w:sz w:val="14"/>
                        <w:szCs w:val="14"/>
                      </w:rPr>
                      <w:t>本期</w:t>
                    </w:r>
                  </w:p>
                  <w:p>
                    <w:pPr>
                      <w:jc w:val="center"/>
                      <w:rPr>
                        <w:sz w:val="14"/>
                        <w:szCs w:val="14"/>
                      </w:rPr>
                    </w:pPr>
                    <w:r>
                      <w:rPr>
                        <w:rFonts w:hint="eastAsia"/>
                        <w:sz w:val="14"/>
                        <w:szCs w:val="14"/>
                      </w:rPr>
                      <w:t>发行</w:t>
                    </w:r>
                  </w:p>
                </w:tc>
              </w:sdtContent>
            </w:sdt>
            <w:sdt>
              <w:sdtPr>
                <w:rPr>
                  <w:sz w:val="14"/>
                  <w:szCs w:val="14"/>
                </w:rPr>
                <w:tag w:val="_PLD_9063b0ae4adc4179ab1f05fdafd1ca18"/>
                <w:id w:val="694435881"/>
                <w:lock w:val="sdtLocked"/>
              </w:sdtPr>
              <w:sdtEndPr>
                <w:rPr>
                  <w:sz w:val="14"/>
                  <w:szCs w:val="14"/>
                </w:rPr>
              </w:sdtEndPr>
              <w:sdtContent>
                <w:tc>
                  <w:tcPr>
                    <w:tcW w:w="402" w:type="pct"/>
                    <w:shd w:val="clear" w:color="auto" w:fill="auto"/>
                    <w:vAlign w:val="center"/>
                  </w:tcPr>
                  <w:p>
                    <w:pPr>
                      <w:jc w:val="center"/>
                      <w:rPr>
                        <w:sz w:val="14"/>
                        <w:szCs w:val="14"/>
                      </w:rPr>
                    </w:pPr>
                    <w:r>
                      <w:rPr>
                        <w:rFonts w:hint="eastAsia"/>
                        <w:sz w:val="14"/>
                        <w:szCs w:val="14"/>
                      </w:rPr>
                      <w:t>按面值计提利息</w:t>
                    </w:r>
                  </w:p>
                </w:tc>
              </w:sdtContent>
            </w:sdt>
            <w:sdt>
              <w:sdtPr>
                <w:rPr>
                  <w:sz w:val="14"/>
                  <w:szCs w:val="14"/>
                </w:rPr>
                <w:tag w:val="_PLD_52f37b4f678547c2b994ed9088b195d4"/>
                <w:id w:val="-1079507867"/>
                <w:lock w:val="sdtLocked"/>
              </w:sdtPr>
              <w:sdtEndPr>
                <w:rPr>
                  <w:sz w:val="14"/>
                  <w:szCs w:val="14"/>
                </w:rPr>
              </w:sdtEndPr>
              <w:sdtContent>
                <w:tc>
                  <w:tcPr>
                    <w:tcW w:w="482" w:type="pct"/>
                    <w:shd w:val="clear" w:color="auto" w:fill="auto"/>
                    <w:vAlign w:val="center"/>
                  </w:tcPr>
                  <w:p>
                    <w:pPr>
                      <w:jc w:val="center"/>
                      <w:rPr>
                        <w:sz w:val="14"/>
                        <w:szCs w:val="14"/>
                      </w:rPr>
                    </w:pPr>
                    <w:r>
                      <w:rPr>
                        <w:rFonts w:hint="eastAsia"/>
                        <w:sz w:val="14"/>
                        <w:szCs w:val="14"/>
                      </w:rPr>
                      <w:t>溢折价摊销</w:t>
                    </w:r>
                  </w:p>
                </w:tc>
              </w:sdtContent>
            </w:sdt>
            <w:sdt>
              <w:sdtPr>
                <w:rPr>
                  <w:sz w:val="14"/>
                  <w:szCs w:val="14"/>
                </w:rPr>
                <w:tag w:val="_PLD_80e06ce471504396b7d99cd1b3af5c58"/>
                <w:id w:val="-724984997"/>
                <w:lock w:val="sdtLocked"/>
              </w:sdtPr>
              <w:sdtEndPr>
                <w:rPr>
                  <w:sz w:val="14"/>
                  <w:szCs w:val="14"/>
                </w:rPr>
              </w:sdtEndPr>
              <w:sdtContent>
                <w:tc>
                  <w:tcPr>
                    <w:tcW w:w="401" w:type="pct"/>
                    <w:shd w:val="clear" w:color="auto" w:fill="auto"/>
                    <w:vAlign w:val="center"/>
                  </w:tcPr>
                  <w:p>
                    <w:pPr>
                      <w:jc w:val="center"/>
                      <w:rPr>
                        <w:sz w:val="14"/>
                        <w:szCs w:val="14"/>
                      </w:rPr>
                    </w:pPr>
                    <w:r>
                      <w:rPr>
                        <w:rFonts w:hint="eastAsia"/>
                        <w:sz w:val="14"/>
                        <w:szCs w:val="14"/>
                      </w:rPr>
                      <w:t>本期</w:t>
                    </w:r>
                  </w:p>
                  <w:p>
                    <w:pPr>
                      <w:jc w:val="center"/>
                      <w:rPr>
                        <w:sz w:val="14"/>
                        <w:szCs w:val="14"/>
                      </w:rPr>
                    </w:pPr>
                    <w:r>
                      <w:rPr>
                        <w:rFonts w:hint="eastAsia"/>
                        <w:sz w:val="14"/>
                        <w:szCs w:val="14"/>
                      </w:rPr>
                      <w:t>偿还</w:t>
                    </w:r>
                  </w:p>
                </w:tc>
              </w:sdtContent>
            </w:sdt>
            <w:sdt>
              <w:sdtPr>
                <w:rPr>
                  <w:sz w:val="14"/>
                  <w:szCs w:val="14"/>
                </w:rPr>
                <w:tag w:val="_PLD_a920c6074a20468c93bd4cd5b15289a1"/>
                <w:id w:val="1065987927"/>
                <w:lock w:val="sdtLocked"/>
              </w:sdtPr>
              <w:sdtEndPr>
                <w:rPr>
                  <w:sz w:val="14"/>
                  <w:szCs w:val="14"/>
                </w:rPr>
              </w:sdtEndPr>
              <w:sdtContent>
                <w:tc>
                  <w:tcPr>
                    <w:tcW w:w="402" w:type="pct"/>
                    <w:shd w:val="clear" w:color="auto" w:fill="auto"/>
                    <w:vAlign w:val="center"/>
                  </w:tcPr>
                  <w:p>
                    <w:pPr>
                      <w:jc w:val="center"/>
                      <w:rPr>
                        <w:sz w:val="14"/>
                        <w:szCs w:val="14"/>
                      </w:rPr>
                    </w:pPr>
                    <w:r>
                      <w:rPr>
                        <w:rFonts w:hint="eastAsia"/>
                        <w:sz w:val="14"/>
                        <w:szCs w:val="14"/>
                      </w:rPr>
                      <w:t>期末</w:t>
                    </w:r>
                  </w:p>
                  <w:p>
                    <w:pPr>
                      <w:jc w:val="center"/>
                      <w:rPr>
                        <w:sz w:val="14"/>
                        <w:szCs w:val="14"/>
                      </w:rPr>
                    </w:pPr>
                    <w:r>
                      <w:rPr>
                        <w:rFonts w:hint="eastAsia"/>
                        <w:sz w:val="14"/>
                        <w:szCs w:val="14"/>
                      </w:rPr>
                      <w:t>余额</w:t>
                    </w:r>
                  </w:p>
                </w:tc>
              </w:sdtContent>
            </w:sdt>
            <w:tc>
              <w:tcPr>
                <w:tcW w:w="424" w:type="pct"/>
                <w:shd w:val="clear" w:color="auto" w:fill="auto"/>
                <w:vAlign w:val="center"/>
              </w:tcPr>
              <w:p>
                <w:pPr>
                  <w:jc w:val="center"/>
                  <w:rPr>
                    <w:sz w:val="14"/>
                    <w:szCs w:val="14"/>
                  </w:rPr>
                </w:pPr>
                <w:r>
                  <w:rPr>
                    <w:rFonts w:hint="eastAsia"/>
                    <w:sz w:val="14"/>
                    <w:szCs w:val="14"/>
                  </w:rPr>
                  <w:t>其中:一年内到期的部分</w:t>
                </w:r>
              </w:p>
              <w:p>
                <w:pPr>
                  <w:jc w:val="center"/>
                  <w:rPr>
                    <w:sz w:val="14"/>
                    <w:szCs w:val="14"/>
                  </w:rPr>
                </w:pPr>
              </w:p>
            </w:tc>
          </w:tr>
          <w:sdt>
            <w:sdtPr>
              <w:rPr>
                <w:sz w:val="14"/>
                <w:szCs w:val="14"/>
              </w:rPr>
              <w:alias w:val="应付债券明细"/>
              <w:tag w:val="_GBC_e9f1ad9ee738418d9ed393ae3a98ece9"/>
              <w:id w:val="88511896"/>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20宁沪高MTN001</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2020年8月21日</w:t>
                    </w:r>
                  </w:p>
                </w:tc>
                <w:tc>
                  <w:tcPr>
                    <w:tcW w:w="322" w:type="pct"/>
                    <w:shd w:val="clear" w:color="auto" w:fill="auto"/>
                  </w:tcPr>
                  <w:p>
                    <w:pPr>
                      <w:rPr>
                        <w:sz w:val="14"/>
                        <w:szCs w:val="14"/>
                      </w:rPr>
                    </w:pPr>
                    <w:r>
                      <w:rPr>
                        <w:sz w:val="14"/>
                        <w:szCs w:val="14"/>
                      </w:rPr>
                      <w:t>5年</w:t>
                    </w:r>
                  </w:p>
                </w:tc>
                <w:sdt>
                  <w:sdtPr>
                    <w:rPr>
                      <w:sz w:val="14"/>
                      <w:szCs w:val="14"/>
                    </w:rPr>
                    <w:alias w:val="债卷利率"/>
                    <w:tag w:val="_GBC_9c5453dc22314f5ea61951f83c3ce28e"/>
                    <w:id w:val="-297375546"/>
                    <w:lock w:val="sdtLocked"/>
                  </w:sdtPr>
                  <w:sdtEndPr>
                    <w:rPr>
                      <w:sz w:val="14"/>
                      <w:szCs w:val="14"/>
                    </w:rPr>
                  </w:sdtEndPr>
                  <w:sdtContent>
                    <w:tc>
                      <w:tcPr>
                        <w:tcW w:w="321" w:type="pct"/>
                        <w:shd w:val="clear" w:color="auto" w:fill="auto"/>
                      </w:tcPr>
                      <w:p>
                        <w:pPr>
                          <w:rPr>
                            <w:sz w:val="14"/>
                            <w:szCs w:val="14"/>
                          </w:rPr>
                        </w:pPr>
                        <w:r>
                          <w:rPr>
                            <w:sz w:val="14"/>
                            <w:szCs w:val="14"/>
                          </w:rPr>
                          <w:t>3.98%</w:t>
                        </w:r>
                      </w:p>
                    </w:tc>
                  </w:sdtContent>
                </w:sdt>
                <w:tc>
                  <w:tcPr>
                    <w:tcW w:w="402" w:type="pct"/>
                    <w:shd w:val="clear" w:color="auto" w:fill="auto"/>
                  </w:tcPr>
                  <w:p>
                    <w:pPr>
                      <w:jc w:val="right"/>
                      <w:rPr>
                        <w:sz w:val="14"/>
                        <w:szCs w:val="14"/>
                      </w:rPr>
                    </w:pPr>
                    <w:r>
                      <w:rPr>
                        <w:sz w:val="14"/>
                        <w:szCs w:val="14"/>
                      </w:rPr>
                      <w:t>2,000,000,000.00</w:t>
                    </w:r>
                  </w:p>
                </w:tc>
                <w:tc>
                  <w:tcPr>
                    <w:tcW w:w="482" w:type="pct"/>
                    <w:shd w:val="clear" w:color="auto" w:fill="auto"/>
                  </w:tcPr>
                  <w:p>
                    <w:pPr>
                      <w:jc w:val="right"/>
                      <w:rPr>
                        <w:sz w:val="14"/>
                        <w:szCs w:val="14"/>
                      </w:rPr>
                    </w:pPr>
                    <w:r>
                      <w:rPr>
                        <w:sz w:val="14"/>
                        <w:szCs w:val="14"/>
                      </w:rPr>
                      <w:t>2,019,904,386.39</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39,472,876.72</w:t>
                    </w:r>
                  </w:p>
                </w:tc>
                <w:tc>
                  <w:tcPr>
                    <w:tcW w:w="482" w:type="pct"/>
                    <w:shd w:val="clear" w:color="auto" w:fill="auto"/>
                  </w:tcPr>
                  <w:p>
                    <w:pPr>
                      <w:jc w:val="right"/>
                      <w:rPr>
                        <w:sz w:val="14"/>
                        <w:szCs w:val="14"/>
                      </w:rPr>
                    </w:pPr>
                    <w:r>
                      <w:rPr>
                        <w:sz w:val="14"/>
                        <w:szCs w:val="14"/>
                      </w:rPr>
                      <w:t>1,633,715.19</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2,061,010,978.30</w:t>
                    </w:r>
                  </w:p>
                </w:tc>
                <w:sdt>
                  <w:sdtPr>
                    <w:rPr>
                      <w:sz w:val="14"/>
                      <w:szCs w:val="14"/>
                    </w:rPr>
                    <w:alias w:val="其中:一年内到期的部分"/>
                    <w:tag w:val="_GBC_e4a4b3d2abd943e1a8294f3930c0db91"/>
                    <w:id w:val="-778565053"/>
                    <w:lock w:val="sdtLocked"/>
                  </w:sdtPr>
                  <w:sdtEndPr>
                    <w:rPr>
                      <w:sz w:val="14"/>
                      <w:szCs w:val="14"/>
                    </w:rPr>
                  </w:sdtEndPr>
                  <w:sdtContent>
                    <w:tc>
                      <w:tcPr>
                        <w:tcW w:w="424" w:type="pct"/>
                        <w:shd w:val="clear" w:color="auto" w:fill="auto"/>
                      </w:tcPr>
                      <w:p>
                        <w:pPr>
                          <w:jc w:val="right"/>
                          <w:rPr>
                            <w:sz w:val="14"/>
                            <w:szCs w:val="14"/>
                          </w:rPr>
                        </w:pPr>
                        <w:r>
                          <w:rPr>
                            <w:sz w:val="14"/>
                            <w:szCs w:val="14"/>
                          </w:rPr>
                          <w:t>68,477,808.23</w:t>
                        </w:r>
                      </w:p>
                    </w:tc>
                  </w:sdtContent>
                </w:sdt>
              </w:tr>
            </w:sdtContent>
          </w:sdt>
          <w:sdt>
            <w:sdtPr>
              <w:rPr>
                <w:sz w:val="14"/>
                <w:szCs w:val="14"/>
              </w:rPr>
              <w:alias w:val="应付债券明细"/>
              <w:tag w:val="_GBC_e9f1ad9ee738418d9ed393ae3a98ece9"/>
              <w:id w:val="-526721338"/>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21宁沪高MTN001</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2021年6月15日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318150144"/>
                    <w:lock w:val="sdtLocked"/>
                  </w:sdtPr>
                  <w:sdtEndPr>
                    <w:rPr>
                      <w:sz w:val="14"/>
                      <w:szCs w:val="14"/>
                    </w:rPr>
                  </w:sdtEndPr>
                  <w:sdtContent>
                    <w:tc>
                      <w:tcPr>
                        <w:tcW w:w="321" w:type="pct"/>
                        <w:shd w:val="clear" w:color="auto" w:fill="auto"/>
                      </w:tcPr>
                      <w:p>
                        <w:pPr>
                          <w:rPr>
                            <w:sz w:val="14"/>
                            <w:szCs w:val="14"/>
                          </w:rPr>
                        </w:pPr>
                        <w:r>
                          <w:rPr>
                            <w:sz w:val="14"/>
                            <w:szCs w:val="14"/>
                          </w:rPr>
                          <w:t>3.45%</w:t>
                        </w:r>
                      </w:p>
                    </w:tc>
                  </w:sdtContent>
                </w:sdt>
                <w:tc>
                  <w:tcPr>
                    <w:tcW w:w="402" w:type="pct"/>
                    <w:shd w:val="clear" w:color="auto" w:fill="auto"/>
                  </w:tcPr>
                  <w:p>
                    <w:pPr>
                      <w:jc w:val="right"/>
                      <w:rPr>
                        <w:sz w:val="14"/>
                        <w:szCs w:val="14"/>
                      </w:rPr>
                    </w:pPr>
                    <w:r>
                      <w:rPr>
                        <w:sz w:val="14"/>
                        <w:szCs w:val="14"/>
                      </w:rPr>
                      <w:t>1,000,000,000.00</w:t>
                    </w:r>
                  </w:p>
                </w:tc>
                <w:tc>
                  <w:tcPr>
                    <w:tcW w:w="482" w:type="pct"/>
                    <w:shd w:val="clear" w:color="auto" w:fill="auto"/>
                  </w:tcPr>
                  <w:p>
                    <w:pPr>
                      <w:jc w:val="right"/>
                      <w:rPr>
                        <w:sz w:val="14"/>
                        <w:szCs w:val="14"/>
                      </w:rPr>
                    </w:pPr>
                    <w:r>
                      <w:rPr>
                        <w:sz w:val="14"/>
                        <w:szCs w:val="14"/>
                      </w:rPr>
                      <w:t>1,017,222,570.16</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17,108,219.16</w:t>
                    </w:r>
                  </w:p>
                </w:tc>
                <w:tc>
                  <w:tcPr>
                    <w:tcW w:w="482" w:type="pct"/>
                    <w:shd w:val="clear" w:color="auto" w:fill="auto"/>
                  </w:tcPr>
                  <w:p>
                    <w:pPr>
                      <w:jc w:val="right"/>
                      <w:rPr>
                        <w:sz w:val="14"/>
                        <w:szCs w:val="14"/>
                      </w:rPr>
                    </w:pPr>
                    <w:r>
                      <w:rPr>
                        <w:sz w:val="14"/>
                        <w:szCs w:val="14"/>
                      </w:rPr>
                      <w:t>497,052.38</w:t>
                    </w:r>
                  </w:p>
                </w:tc>
                <w:tc>
                  <w:tcPr>
                    <w:tcW w:w="401" w:type="pct"/>
                    <w:shd w:val="clear" w:color="auto" w:fill="auto"/>
                  </w:tcPr>
                  <w:p>
                    <w:pPr>
                      <w:jc w:val="right"/>
                      <w:rPr>
                        <w:sz w:val="14"/>
                        <w:szCs w:val="14"/>
                      </w:rPr>
                    </w:pPr>
                    <w:r>
                      <w:rPr>
                        <w:sz w:val="14"/>
                        <w:szCs w:val="14"/>
                      </w:rPr>
                      <w:t>34,500,000.00</w:t>
                    </w:r>
                  </w:p>
                </w:tc>
                <w:tc>
                  <w:tcPr>
                    <w:tcW w:w="402" w:type="pct"/>
                    <w:shd w:val="clear" w:color="auto" w:fill="auto"/>
                  </w:tcPr>
                  <w:p>
                    <w:pPr>
                      <w:jc w:val="right"/>
                      <w:rPr>
                        <w:sz w:val="14"/>
                        <w:szCs w:val="14"/>
                      </w:rPr>
                    </w:pPr>
                    <w:r>
                      <w:rPr>
                        <w:sz w:val="14"/>
                        <w:szCs w:val="14"/>
                      </w:rPr>
                      <w:t>1,000,327,841.70</w:t>
                    </w:r>
                  </w:p>
                </w:tc>
                <w:sdt>
                  <w:sdtPr>
                    <w:rPr>
                      <w:sz w:val="14"/>
                      <w:szCs w:val="14"/>
                    </w:rPr>
                    <w:alias w:val="其中:一年内到期的部分"/>
                    <w:tag w:val="_GBC_e4a4b3d2abd943e1a8294f3930c0db91"/>
                    <w:id w:val="694200430"/>
                    <w:lock w:val="sdtLocked"/>
                  </w:sdtPr>
                  <w:sdtEndPr>
                    <w:rPr>
                      <w:sz w:val="14"/>
                      <w:szCs w:val="14"/>
                    </w:rPr>
                  </w:sdtEndPr>
                  <w:sdtContent>
                    <w:tc>
                      <w:tcPr>
                        <w:tcW w:w="424" w:type="pct"/>
                        <w:shd w:val="clear" w:color="auto" w:fill="auto"/>
                      </w:tcPr>
                      <w:p>
                        <w:pPr>
                          <w:jc w:val="right"/>
                          <w:rPr>
                            <w:sz w:val="14"/>
                            <w:szCs w:val="14"/>
                          </w:rPr>
                        </w:pPr>
                        <w:r>
                          <w:rPr>
                            <w:sz w:val="14"/>
                            <w:szCs w:val="14"/>
                          </w:rPr>
                          <w:t>1,000,327,841.70</w:t>
                        </w:r>
                      </w:p>
                    </w:tc>
                  </w:sdtContent>
                </w:sdt>
              </w:tr>
            </w:sdtContent>
          </w:sdt>
          <w:sdt>
            <w:sdtPr>
              <w:rPr>
                <w:sz w:val="14"/>
                <w:szCs w:val="14"/>
              </w:rPr>
              <w:alias w:val="应付债券明细"/>
              <w:tag w:val="_GBC_e9f1ad9ee738418d9ed393ae3a98ece9"/>
              <w:id w:val="-1459256953"/>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21宁沪高MTN002</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2021年10月25日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090085705"/>
                    <w:lock w:val="sdtLocked"/>
                  </w:sdtPr>
                  <w:sdtEndPr>
                    <w:rPr>
                      <w:sz w:val="14"/>
                      <w:szCs w:val="14"/>
                    </w:rPr>
                  </w:sdtEndPr>
                  <w:sdtContent>
                    <w:tc>
                      <w:tcPr>
                        <w:tcW w:w="321" w:type="pct"/>
                        <w:shd w:val="clear" w:color="auto" w:fill="auto"/>
                      </w:tcPr>
                      <w:p>
                        <w:pPr>
                          <w:rPr>
                            <w:sz w:val="14"/>
                            <w:szCs w:val="14"/>
                          </w:rPr>
                        </w:pPr>
                        <w:r>
                          <w:rPr>
                            <w:sz w:val="14"/>
                            <w:szCs w:val="14"/>
                          </w:rPr>
                          <w:t>3.30%</w:t>
                        </w:r>
                      </w:p>
                    </w:tc>
                  </w:sdtContent>
                </w:sdt>
                <w:tc>
                  <w:tcPr>
                    <w:tcW w:w="402" w:type="pct"/>
                    <w:shd w:val="clear" w:color="auto" w:fill="auto"/>
                  </w:tcPr>
                  <w:p>
                    <w:pPr>
                      <w:jc w:val="right"/>
                      <w:rPr>
                        <w:sz w:val="14"/>
                        <w:szCs w:val="14"/>
                      </w:rPr>
                    </w:pPr>
                    <w:r>
                      <w:rPr>
                        <w:sz w:val="14"/>
                        <w:szCs w:val="14"/>
                      </w:rPr>
                      <w:t>500,000,000.00</w:t>
                    </w:r>
                  </w:p>
                </w:tc>
                <w:tc>
                  <w:tcPr>
                    <w:tcW w:w="482" w:type="pct"/>
                    <w:shd w:val="clear" w:color="auto" w:fill="auto"/>
                  </w:tcPr>
                  <w:p>
                    <w:pPr>
                      <w:jc w:val="right"/>
                      <w:rPr>
                        <w:sz w:val="14"/>
                        <w:szCs w:val="14"/>
                      </w:rPr>
                    </w:pPr>
                    <w:r>
                      <w:rPr>
                        <w:sz w:val="14"/>
                        <w:szCs w:val="14"/>
                      </w:rPr>
                      <w:t>502,054,307.15</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8,182,191.76</w:t>
                    </w:r>
                  </w:p>
                </w:tc>
                <w:tc>
                  <w:tcPr>
                    <w:tcW w:w="482" w:type="pct"/>
                    <w:shd w:val="clear" w:color="auto" w:fill="auto"/>
                  </w:tcPr>
                  <w:p>
                    <w:pPr>
                      <w:jc w:val="right"/>
                      <w:rPr>
                        <w:sz w:val="14"/>
                        <w:szCs w:val="14"/>
                      </w:rPr>
                    </w:pPr>
                    <w:r>
                      <w:rPr>
                        <w:sz w:val="14"/>
                        <w:szCs w:val="14"/>
                      </w:rPr>
                      <w:t>239,686.64</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510,476,185.55</w:t>
                    </w:r>
                  </w:p>
                </w:tc>
                <w:sdt>
                  <w:sdtPr>
                    <w:rPr>
                      <w:sz w:val="14"/>
                      <w:szCs w:val="14"/>
                    </w:rPr>
                    <w:alias w:val="其中:一年内到期的部分"/>
                    <w:tag w:val="_GBC_e4a4b3d2abd943e1a8294f3930c0db91"/>
                    <w:id w:val="1858930471"/>
                    <w:lock w:val="sdtLocked"/>
                  </w:sdtPr>
                  <w:sdtEndPr>
                    <w:rPr>
                      <w:sz w:val="14"/>
                      <w:szCs w:val="14"/>
                    </w:rPr>
                  </w:sdtEndPr>
                  <w:sdtContent>
                    <w:tc>
                      <w:tcPr>
                        <w:tcW w:w="424" w:type="pct"/>
                        <w:shd w:val="clear" w:color="auto" w:fill="auto"/>
                      </w:tcPr>
                      <w:p>
                        <w:pPr>
                          <w:jc w:val="right"/>
                          <w:rPr>
                            <w:sz w:val="14"/>
                            <w:szCs w:val="14"/>
                          </w:rPr>
                        </w:pPr>
                        <w:r>
                          <w:rPr>
                            <w:sz w:val="14"/>
                            <w:szCs w:val="14"/>
                          </w:rPr>
                          <w:t>11,165,753.40</w:t>
                        </w:r>
                      </w:p>
                    </w:tc>
                  </w:sdtContent>
                </w:sdt>
              </w:tr>
            </w:sdtContent>
          </w:sdt>
          <w:sdt>
            <w:sdtPr>
              <w:rPr>
                <w:sz w:val="14"/>
                <w:szCs w:val="14"/>
              </w:rPr>
              <w:alias w:val="应付债券明细"/>
              <w:tag w:val="_GBC_e9f1ad9ee738418d9ed393ae3a98ece9"/>
              <w:id w:val="37177942"/>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21宁沪高MTN003</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2021年11月22日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649247115"/>
                    <w:lock w:val="sdtLocked"/>
                  </w:sdtPr>
                  <w:sdtEndPr>
                    <w:rPr>
                      <w:sz w:val="14"/>
                      <w:szCs w:val="14"/>
                    </w:rPr>
                  </w:sdtEndPr>
                  <w:sdtContent>
                    <w:tc>
                      <w:tcPr>
                        <w:tcW w:w="321" w:type="pct"/>
                        <w:shd w:val="clear" w:color="auto" w:fill="auto"/>
                      </w:tcPr>
                      <w:p>
                        <w:pPr>
                          <w:rPr>
                            <w:sz w:val="14"/>
                            <w:szCs w:val="14"/>
                          </w:rPr>
                        </w:pPr>
                        <w:r>
                          <w:rPr>
                            <w:sz w:val="14"/>
                            <w:szCs w:val="14"/>
                          </w:rPr>
                          <w:t>3.13%</w:t>
                        </w:r>
                      </w:p>
                    </w:tc>
                  </w:sdtContent>
                </w:sdt>
                <w:tc>
                  <w:tcPr>
                    <w:tcW w:w="402" w:type="pct"/>
                    <w:shd w:val="clear" w:color="auto" w:fill="auto"/>
                  </w:tcPr>
                  <w:p>
                    <w:pPr>
                      <w:jc w:val="right"/>
                      <w:rPr>
                        <w:sz w:val="14"/>
                        <w:szCs w:val="14"/>
                      </w:rPr>
                    </w:pPr>
                    <w:r>
                      <w:rPr>
                        <w:sz w:val="14"/>
                        <w:szCs w:val="14"/>
                      </w:rPr>
                      <w:t>500,000,000.00</w:t>
                    </w:r>
                  </w:p>
                </w:tc>
                <w:tc>
                  <w:tcPr>
                    <w:tcW w:w="482" w:type="pct"/>
                    <w:shd w:val="clear" w:color="auto" w:fill="auto"/>
                  </w:tcPr>
                  <w:p>
                    <w:pPr>
                      <w:jc w:val="right"/>
                      <w:rPr>
                        <w:sz w:val="14"/>
                        <w:szCs w:val="14"/>
                      </w:rPr>
                    </w:pPr>
                    <w:r>
                      <w:rPr>
                        <w:sz w:val="14"/>
                        <w:szCs w:val="14"/>
                      </w:rPr>
                      <w:t>500,665,513.09</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7,760,684.93</w:t>
                    </w:r>
                  </w:p>
                </w:tc>
                <w:tc>
                  <w:tcPr>
                    <w:tcW w:w="482" w:type="pct"/>
                    <w:shd w:val="clear" w:color="auto" w:fill="auto"/>
                  </w:tcPr>
                  <w:p>
                    <w:pPr>
                      <w:jc w:val="right"/>
                      <w:rPr>
                        <w:sz w:val="14"/>
                        <w:szCs w:val="14"/>
                      </w:rPr>
                    </w:pPr>
                    <w:r>
                      <w:rPr>
                        <w:sz w:val="14"/>
                        <w:szCs w:val="14"/>
                      </w:rPr>
                      <w:t>247,861.37</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508,674,059.39</w:t>
                    </w:r>
                  </w:p>
                </w:tc>
                <w:sdt>
                  <w:sdtPr>
                    <w:rPr>
                      <w:sz w:val="14"/>
                      <w:szCs w:val="14"/>
                    </w:rPr>
                    <w:alias w:val="其中:一年内到期的部分"/>
                    <w:tag w:val="_GBC_e4a4b3d2abd943e1a8294f3930c0db91"/>
                    <w:id w:val="-956942761"/>
                    <w:lock w:val="sdtLocked"/>
                  </w:sdtPr>
                  <w:sdtEndPr>
                    <w:rPr>
                      <w:sz w:val="14"/>
                      <w:szCs w:val="14"/>
                    </w:rPr>
                  </w:sdtEndPr>
                  <w:sdtContent>
                    <w:tc>
                      <w:tcPr>
                        <w:tcW w:w="424" w:type="pct"/>
                        <w:shd w:val="clear" w:color="auto" w:fill="auto"/>
                      </w:tcPr>
                      <w:p>
                        <w:pPr>
                          <w:jc w:val="right"/>
                          <w:rPr>
                            <w:sz w:val="14"/>
                            <w:szCs w:val="14"/>
                          </w:rPr>
                        </w:pPr>
                        <w:r>
                          <w:rPr>
                            <w:sz w:val="14"/>
                            <w:szCs w:val="14"/>
                          </w:rPr>
                          <w:t>9,390,000.00 </w:t>
                        </w:r>
                      </w:p>
                    </w:tc>
                  </w:sdtContent>
                </w:sdt>
              </w:tr>
            </w:sdtContent>
          </w:sdt>
          <w:sdt>
            <w:sdtPr>
              <w:rPr>
                <w:sz w:val="14"/>
                <w:szCs w:val="14"/>
              </w:rPr>
              <w:alias w:val="应付债券明细"/>
              <w:tag w:val="_GBC_e9f1ad9ee738418d9ed393ae3a98ece9"/>
              <w:id w:val="-947227960"/>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22宁沪高MTN001（科创票据）</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2022年9月13日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277376307"/>
                    <w:lock w:val="sdtLocked"/>
                  </w:sdtPr>
                  <w:sdtEndPr>
                    <w:rPr>
                      <w:sz w:val="14"/>
                      <w:szCs w:val="14"/>
                    </w:rPr>
                  </w:sdtEndPr>
                  <w:sdtContent>
                    <w:tc>
                      <w:tcPr>
                        <w:tcW w:w="321" w:type="pct"/>
                        <w:shd w:val="clear" w:color="auto" w:fill="auto"/>
                      </w:tcPr>
                      <w:p>
                        <w:pPr>
                          <w:rPr>
                            <w:sz w:val="14"/>
                            <w:szCs w:val="14"/>
                          </w:rPr>
                        </w:pPr>
                        <w:r>
                          <w:rPr>
                            <w:sz w:val="14"/>
                            <w:szCs w:val="14"/>
                          </w:rPr>
                          <w:t>2.49%</w:t>
                        </w:r>
                      </w:p>
                    </w:tc>
                  </w:sdtContent>
                </w:sdt>
                <w:tc>
                  <w:tcPr>
                    <w:tcW w:w="402" w:type="pct"/>
                    <w:shd w:val="clear" w:color="auto" w:fill="auto"/>
                  </w:tcPr>
                  <w:p>
                    <w:pPr>
                      <w:jc w:val="right"/>
                      <w:rPr>
                        <w:sz w:val="14"/>
                        <w:szCs w:val="14"/>
                      </w:rPr>
                    </w:pPr>
                    <w:r>
                      <w:rPr>
                        <w:sz w:val="14"/>
                        <w:szCs w:val="14"/>
                      </w:rPr>
                      <w:t>700,000,000.00</w:t>
                    </w:r>
                  </w:p>
                </w:tc>
                <w:tc>
                  <w:tcPr>
                    <w:tcW w:w="482" w:type="pct"/>
                    <w:shd w:val="clear" w:color="auto" w:fill="auto"/>
                  </w:tcPr>
                  <w:p>
                    <w:pPr>
                      <w:jc w:val="right"/>
                      <w:rPr>
                        <w:sz w:val="14"/>
                        <w:szCs w:val="14"/>
                      </w:rPr>
                    </w:pPr>
                    <w:r>
                      <w:rPr>
                        <w:sz w:val="14"/>
                        <w:szCs w:val="14"/>
                      </w:rPr>
                      <w:t>703,259,209.62</w:t>
                    </w:r>
                  </w:p>
                </w:tc>
                <w:tc>
                  <w:tcPr>
                    <w:tcW w:w="401" w:type="pct"/>
                    <w:shd w:val="clear" w:color="auto" w:fill="auto"/>
                  </w:tcPr>
                  <w:p>
                    <w:pPr>
                      <w:jc w:val="right"/>
                      <w:rPr>
                        <w:sz w:val="14"/>
                        <w:szCs w:val="14"/>
                      </w:rPr>
                    </w:pPr>
                    <w:r>
                      <w:rPr>
                        <w:sz w:val="14"/>
                        <w:szCs w:val="14"/>
                      </w:rPr>
                      <w:t>-</w:t>
                    </w:r>
                  </w:p>
                </w:tc>
                <w:tc>
                  <w:tcPr>
                    <w:tcW w:w="402" w:type="pct"/>
                    <w:shd w:val="clear" w:color="auto" w:fill="auto"/>
                  </w:tcPr>
                  <w:p>
                    <w:pPr>
                      <w:jc w:val="right"/>
                      <w:rPr>
                        <w:sz w:val="14"/>
                        <w:szCs w:val="14"/>
                      </w:rPr>
                    </w:pPr>
                    <w:r>
                      <w:rPr>
                        <w:sz w:val="14"/>
                        <w:szCs w:val="14"/>
                      </w:rPr>
                      <w:t>8,643,369.85</w:t>
                    </w:r>
                  </w:p>
                </w:tc>
                <w:tc>
                  <w:tcPr>
                    <w:tcW w:w="482" w:type="pct"/>
                    <w:shd w:val="clear" w:color="auto" w:fill="auto"/>
                  </w:tcPr>
                  <w:p>
                    <w:pPr>
                      <w:jc w:val="right"/>
                      <w:rPr>
                        <w:sz w:val="14"/>
                        <w:szCs w:val="14"/>
                      </w:rPr>
                    </w:pPr>
                    <w:r>
                      <w:rPr>
                        <w:sz w:val="14"/>
                        <w:szCs w:val="14"/>
                      </w:rPr>
                      <w:t>338,268.50</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712,240,847.97</w:t>
                    </w:r>
                  </w:p>
                </w:tc>
                <w:sdt>
                  <w:sdtPr>
                    <w:rPr>
                      <w:sz w:val="14"/>
                      <w:szCs w:val="14"/>
                    </w:rPr>
                    <w:alias w:val="其中:一年内到期的部分"/>
                    <w:tag w:val="_GBC_e4a4b3d2abd943e1a8294f3930c0db91"/>
                    <w:id w:val="-2026238775"/>
                    <w:lock w:val="sdtLocked"/>
                  </w:sdtPr>
                  <w:sdtEndPr>
                    <w:rPr>
                      <w:sz w:val="14"/>
                      <w:szCs w:val="14"/>
                    </w:rPr>
                  </w:sdtEndPr>
                  <w:sdtContent>
                    <w:tc>
                      <w:tcPr>
                        <w:tcW w:w="424" w:type="pct"/>
                        <w:shd w:val="clear" w:color="auto" w:fill="auto"/>
                      </w:tcPr>
                      <w:p>
                        <w:pPr>
                          <w:jc w:val="right"/>
                          <w:rPr>
                            <w:sz w:val="14"/>
                            <w:szCs w:val="14"/>
                          </w:rPr>
                        </w:pPr>
                        <w:r>
                          <w:rPr>
                            <w:sz w:val="14"/>
                            <w:szCs w:val="14"/>
                          </w:rPr>
                          <w:t>13,800,739.70</w:t>
                        </w:r>
                      </w:p>
                    </w:tc>
                  </w:sdtContent>
                </w:sdt>
              </w:tr>
            </w:sdtContent>
          </w:sdt>
          <w:sdt>
            <w:sdtPr>
              <w:rPr>
                <w:sz w:val="14"/>
                <w:szCs w:val="14"/>
              </w:rPr>
              <w:alias w:val="应付债券明细"/>
              <w:tag w:val="_GBC_e9f1ad9ee738418d9ed393ae3a98ece9"/>
              <w:id w:val="-152377843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22宁沪高MTN002</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2022年10月10日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281945081"/>
                    <w:lock w:val="sdtLocked"/>
                  </w:sdtPr>
                  <w:sdtEndPr>
                    <w:rPr>
                      <w:sz w:val="14"/>
                      <w:szCs w:val="14"/>
                    </w:rPr>
                  </w:sdtEndPr>
                  <w:sdtContent>
                    <w:tc>
                      <w:tcPr>
                        <w:tcW w:w="321" w:type="pct"/>
                        <w:shd w:val="clear" w:color="auto" w:fill="auto"/>
                      </w:tcPr>
                      <w:p>
                        <w:pPr>
                          <w:rPr>
                            <w:sz w:val="14"/>
                            <w:szCs w:val="14"/>
                          </w:rPr>
                        </w:pPr>
                        <w:r>
                          <w:rPr>
                            <w:sz w:val="14"/>
                            <w:szCs w:val="14"/>
                          </w:rPr>
                          <w:t>2.49%</w:t>
                        </w:r>
                      </w:p>
                    </w:tc>
                  </w:sdtContent>
                </w:sdt>
                <w:tc>
                  <w:tcPr>
                    <w:tcW w:w="402" w:type="pct"/>
                    <w:shd w:val="clear" w:color="auto" w:fill="auto"/>
                  </w:tcPr>
                  <w:p>
                    <w:pPr>
                      <w:jc w:val="right"/>
                      <w:rPr>
                        <w:sz w:val="14"/>
                        <w:szCs w:val="14"/>
                      </w:rPr>
                    </w:pPr>
                    <w:r>
                      <w:rPr>
                        <w:sz w:val="14"/>
                        <w:szCs w:val="14"/>
                      </w:rPr>
                      <w:t>300,000,000.00</w:t>
                    </w:r>
                  </w:p>
                </w:tc>
                <w:tc>
                  <w:tcPr>
                    <w:tcW w:w="482" w:type="pct"/>
                    <w:shd w:val="clear" w:color="auto" w:fill="auto"/>
                  </w:tcPr>
                  <w:p>
                    <w:pPr>
                      <w:jc w:val="right"/>
                      <w:rPr>
                        <w:sz w:val="14"/>
                        <w:szCs w:val="14"/>
                      </w:rPr>
                    </w:pPr>
                    <w:r>
                      <w:rPr>
                        <w:sz w:val="14"/>
                        <w:szCs w:val="14"/>
                      </w:rPr>
                      <w:t>300,843,869.80</w:t>
                    </w:r>
                  </w:p>
                </w:tc>
                <w:tc>
                  <w:tcPr>
                    <w:tcW w:w="401" w:type="pct"/>
                    <w:shd w:val="clear" w:color="auto" w:fill="auto"/>
                  </w:tcPr>
                  <w:p>
                    <w:pPr>
                      <w:jc w:val="right"/>
                      <w:rPr>
                        <w:sz w:val="14"/>
                        <w:szCs w:val="14"/>
                      </w:rPr>
                    </w:pPr>
                    <w:r>
                      <w:rPr>
                        <w:sz w:val="14"/>
                        <w:szCs w:val="14"/>
                      </w:rPr>
                      <w:t>-</w:t>
                    </w:r>
                  </w:p>
                </w:tc>
                <w:tc>
                  <w:tcPr>
                    <w:tcW w:w="402" w:type="pct"/>
                    <w:shd w:val="clear" w:color="auto" w:fill="auto"/>
                  </w:tcPr>
                  <w:p>
                    <w:pPr>
                      <w:jc w:val="right"/>
                      <w:rPr>
                        <w:sz w:val="14"/>
                        <w:szCs w:val="14"/>
                      </w:rPr>
                    </w:pPr>
                    <w:r>
                      <w:rPr>
                        <w:sz w:val="14"/>
                        <w:szCs w:val="14"/>
                      </w:rPr>
                      <w:t>3,704,301.38</w:t>
                    </w:r>
                  </w:p>
                </w:tc>
                <w:tc>
                  <w:tcPr>
                    <w:tcW w:w="482" w:type="pct"/>
                    <w:shd w:val="clear" w:color="auto" w:fill="auto"/>
                  </w:tcPr>
                  <w:p>
                    <w:pPr>
                      <w:jc w:val="right"/>
                      <w:rPr>
                        <w:sz w:val="14"/>
                        <w:szCs w:val="14"/>
                      </w:rPr>
                    </w:pPr>
                    <w:r>
                      <w:rPr>
                        <w:sz w:val="14"/>
                        <w:szCs w:val="14"/>
                      </w:rPr>
                      <w:t>144,972.21</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304,693,143.39</w:t>
                    </w:r>
                  </w:p>
                </w:tc>
                <w:sdt>
                  <w:sdtPr>
                    <w:rPr>
                      <w:sz w:val="14"/>
                      <w:szCs w:val="14"/>
                    </w:rPr>
                    <w:alias w:val="其中:一年内到期的部分"/>
                    <w:tag w:val="_GBC_e4a4b3d2abd943e1a8294f3930c0db91"/>
                    <w:id w:val="-526247745"/>
                    <w:lock w:val="sdtLocked"/>
                  </w:sdtPr>
                  <w:sdtEndPr>
                    <w:rPr>
                      <w:sz w:val="14"/>
                      <w:szCs w:val="14"/>
                    </w:rPr>
                  </w:sdtEndPr>
                  <w:sdtContent>
                    <w:tc>
                      <w:tcPr>
                        <w:tcW w:w="424" w:type="pct"/>
                        <w:shd w:val="clear" w:color="auto" w:fill="auto"/>
                      </w:tcPr>
                      <w:p>
                        <w:pPr>
                          <w:jc w:val="right"/>
                          <w:rPr>
                            <w:sz w:val="14"/>
                            <w:szCs w:val="14"/>
                          </w:rPr>
                        </w:pPr>
                        <w:r>
                          <w:rPr>
                            <w:sz w:val="14"/>
                            <w:szCs w:val="14"/>
                          </w:rPr>
                          <w:t> 5,382,493.16</w:t>
                        </w:r>
                      </w:p>
                    </w:tc>
                  </w:sdtContent>
                </w:sdt>
              </w:tr>
            </w:sdtContent>
          </w:sdt>
          <w:sdt>
            <w:sdtPr>
              <w:rPr>
                <w:sz w:val="14"/>
                <w:szCs w:val="14"/>
              </w:rPr>
              <w:alias w:val="应付债券明细"/>
              <w:tag w:val="_GBC_e9f1ad9ee738418d9ed393ae3a98ece9"/>
              <w:id w:val="-1046754447"/>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22宁沪高MTN003</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2022年10月31日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417320471"/>
                    <w:lock w:val="sdtLocked"/>
                  </w:sdtPr>
                  <w:sdtEndPr>
                    <w:rPr>
                      <w:sz w:val="14"/>
                      <w:szCs w:val="14"/>
                    </w:rPr>
                  </w:sdtEndPr>
                  <w:sdtContent>
                    <w:tc>
                      <w:tcPr>
                        <w:tcW w:w="321" w:type="pct"/>
                        <w:shd w:val="clear" w:color="auto" w:fill="auto"/>
                      </w:tcPr>
                      <w:p>
                        <w:pPr>
                          <w:rPr>
                            <w:sz w:val="14"/>
                            <w:szCs w:val="14"/>
                          </w:rPr>
                        </w:pPr>
                        <w:r>
                          <w:rPr>
                            <w:sz w:val="14"/>
                            <w:szCs w:val="14"/>
                          </w:rPr>
                          <w:t>2.55%</w:t>
                        </w:r>
                      </w:p>
                    </w:tc>
                  </w:sdtContent>
                </w:sdt>
                <w:tc>
                  <w:tcPr>
                    <w:tcW w:w="402" w:type="pct"/>
                    <w:shd w:val="clear" w:color="auto" w:fill="auto"/>
                  </w:tcPr>
                  <w:p>
                    <w:pPr>
                      <w:jc w:val="right"/>
                      <w:rPr>
                        <w:sz w:val="14"/>
                        <w:szCs w:val="14"/>
                      </w:rPr>
                    </w:pPr>
                    <w:r>
                      <w:rPr>
                        <w:sz w:val="14"/>
                        <w:szCs w:val="14"/>
                      </w:rPr>
                      <w:t>500,000,000.00</w:t>
                    </w:r>
                  </w:p>
                </w:tc>
                <w:tc>
                  <w:tcPr>
                    <w:tcW w:w="482" w:type="pct"/>
                    <w:shd w:val="clear" w:color="auto" w:fill="auto"/>
                  </w:tcPr>
                  <w:p>
                    <w:pPr>
                      <w:jc w:val="right"/>
                      <w:rPr>
                        <w:sz w:val="14"/>
                        <w:szCs w:val="14"/>
                      </w:rPr>
                    </w:pPr>
                    <w:r>
                      <w:rPr>
                        <w:sz w:val="14"/>
                        <w:szCs w:val="14"/>
                      </w:rPr>
                      <w:t>500,675,937.84</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6,322,602.74</w:t>
                    </w:r>
                  </w:p>
                </w:tc>
                <w:tc>
                  <w:tcPr>
                    <w:tcW w:w="482" w:type="pct"/>
                    <w:shd w:val="clear" w:color="auto" w:fill="auto"/>
                  </w:tcPr>
                  <w:p>
                    <w:pPr>
                      <w:jc w:val="right"/>
                      <w:rPr>
                        <w:sz w:val="14"/>
                        <w:szCs w:val="14"/>
                      </w:rPr>
                    </w:pPr>
                    <w:r>
                      <w:rPr>
                        <w:sz w:val="14"/>
                        <w:szCs w:val="14"/>
                      </w:rPr>
                      <w:t>241,476.41</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507,240,016.99</w:t>
                    </w:r>
                  </w:p>
                </w:tc>
                <w:sdt>
                  <w:sdtPr>
                    <w:rPr>
                      <w:sz w:val="14"/>
                      <w:szCs w:val="14"/>
                    </w:rPr>
                    <w:alias w:val="其中:一年内到期的部分"/>
                    <w:tag w:val="_GBC_e4a4b3d2abd943e1a8294f3930c0db91"/>
                    <w:id w:val="259028457"/>
                    <w:lock w:val="sdtLocked"/>
                  </w:sdtPr>
                  <w:sdtEndPr>
                    <w:rPr>
                      <w:sz w:val="14"/>
                      <w:szCs w:val="14"/>
                    </w:rPr>
                  </w:sdtEndPr>
                  <w:sdtContent>
                    <w:tc>
                      <w:tcPr>
                        <w:tcW w:w="424" w:type="pct"/>
                        <w:shd w:val="clear" w:color="auto" w:fill="auto"/>
                      </w:tcPr>
                      <w:p>
                        <w:pPr>
                          <w:jc w:val="right"/>
                          <w:rPr>
                            <w:sz w:val="14"/>
                            <w:szCs w:val="14"/>
                          </w:rPr>
                        </w:pPr>
                        <w:r>
                          <w:rPr>
                            <w:sz w:val="14"/>
                            <w:szCs w:val="14"/>
                          </w:rPr>
                          <w:t> 8,418,493.15</w:t>
                        </w:r>
                      </w:p>
                    </w:tc>
                  </w:sdtContent>
                </w:sdt>
              </w:tr>
            </w:sdtContent>
          </w:sdt>
          <w:sdt>
            <w:sdtPr>
              <w:rPr>
                <w:sz w:val="14"/>
                <w:szCs w:val="14"/>
              </w:rPr>
              <w:alias w:val="应付债券明细"/>
              <w:tag w:val="_GBC_e9f1ad9ee738418d9ed393ae3a98ece9"/>
              <w:id w:val="-121041201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21宁沪G1</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2021年2月2日</w:t>
                    </w:r>
                  </w:p>
                </w:tc>
                <w:tc>
                  <w:tcPr>
                    <w:tcW w:w="322" w:type="pct"/>
                    <w:shd w:val="clear" w:color="auto" w:fill="auto"/>
                  </w:tcPr>
                  <w:p>
                    <w:pPr>
                      <w:rPr>
                        <w:sz w:val="14"/>
                        <w:szCs w:val="14"/>
                      </w:rPr>
                    </w:pPr>
                    <w:r>
                      <w:rPr>
                        <w:sz w:val="14"/>
                        <w:szCs w:val="14"/>
                      </w:rPr>
                      <w:t>3+2年</w:t>
                    </w:r>
                  </w:p>
                </w:tc>
                <w:sdt>
                  <w:sdtPr>
                    <w:rPr>
                      <w:sz w:val="14"/>
                      <w:szCs w:val="14"/>
                    </w:rPr>
                    <w:alias w:val="债卷利率"/>
                    <w:tag w:val="_GBC_9c5453dc22314f5ea61951f83c3ce28e"/>
                    <w:id w:val="316073906"/>
                    <w:lock w:val="sdtLocked"/>
                  </w:sdtPr>
                  <w:sdtEndPr>
                    <w:rPr>
                      <w:sz w:val="14"/>
                      <w:szCs w:val="14"/>
                    </w:rPr>
                  </w:sdtEndPr>
                  <w:sdtContent>
                    <w:tc>
                      <w:tcPr>
                        <w:tcW w:w="321" w:type="pct"/>
                        <w:shd w:val="clear" w:color="auto" w:fill="auto"/>
                      </w:tcPr>
                      <w:p>
                        <w:pPr>
                          <w:rPr>
                            <w:sz w:val="14"/>
                            <w:szCs w:val="14"/>
                          </w:rPr>
                        </w:pPr>
                        <w:r>
                          <w:rPr>
                            <w:sz w:val="14"/>
                            <w:szCs w:val="14"/>
                          </w:rPr>
                          <w:t>3.70%</w:t>
                        </w:r>
                      </w:p>
                    </w:tc>
                  </w:sdtContent>
                </w:sdt>
                <w:tc>
                  <w:tcPr>
                    <w:tcW w:w="402" w:type="pct"/>
                    <w:shd w:val="clear" w:color="auto" w:fill="auto"/>
                  </w:tcPr>
                  <w:p>
                    <w:pPr>
                      <w:jc w:val="right"/>
                      <w:rPr>
                        <w:sz w:val="14"/>
                        <w:szCs w:val="14"/>
                      </w:rPr>
                    </w:pPr>
                    <w:r>
                      <w:rPr>
                        <w:sz w:val="14"/>
                        <w:szCs w:val="14"/>
                      </w:rPr>
                      <w:t>1,000,000,000.00</w:t>
                    </w:r>
                  </w:p>
                </w:tc>
                <w:tc>
                  <w:tcPr>
                    <w:tcW w:w="482" w:type="pct"/>
                    <w:shd w:val="clear" w:color="auto" w:fill="auto"/>
                  </w:tcPr>
                  <w:p>
                    <w:pPr>
                      <w:jc w:val="right"/>
                      <w:rPr>
                        <w:sz w:val="14"/>
                        <w:szCs w:val="14"/>
                      </w:rPr>
                    </w:pPr>
                    <w:r>
                      <w:rPr>
                        <w:sz w:val="14"/>
                        <w:szCs w:val="14"/>
                      </w:rPr>
                      <w:t>1,031,704,880.64</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18,347,945.30</w:t>
                    </w:r>
                  </w:p>
                </w:tc>
                <w:tc>
                  <w:tcPr>
                    <w:tcW w:w="482" w:type="pct"/>
                    <w:shd w:val="clear" w:color="auto" w:fill="auto"/>
                  </w:tcPr>
                  <w:p>
                    <w:pPr>
                      <w:jc w:val="right"/>
                      <w:rPr>
                        <w:sz w:val="14"/>
                        <w:szCs w:val="14"/>
                      </w:rPr>
                    </w:pPr>
                    <w:r>
                      <w:rPr>
                        <w:sz w:val="14"/>
                        <w:szCs w:val="14"/>
                      </w:rPr>
                      <w:t>286,341.39</w:t>
                    </w:r>
                  </w:p>
                </w:tc>
                <w:tc>
                  <w:tcPr>
                    <w:tcW w:w="401" w:type="pct"/>
                    <w:shd w:val="clear" w:color="auto" w:fill="auto"/>
                  </w:tcPr>
                  <w:p>
                    <w:pPr>
                      <w:jc w:val="right"/>
                      <w:rPr>
                        <w:sz w:val="14"/>
                        <w:szCs w:val="14"/>
                      </w:rPr>
                    </w:pPr>
                    <w:r>
                      <w:rPr>
                        <w:sz w:val="14"/>
                        <w:szCs w:val="14"/>
                      </w:rPr>
                      <w:t>37,000,000.00</w:t>
                    </w:r>
                  </w:p>
                </w:tc>
                <w:tc>
                  <w:tcPr>
                    <w:tcW w:w="402" w:type="pct"/>
                    <w:shd w:val="clear" w:color="auto" w:fill="auto"/>
                  </w:tcPr>
                  <w:p>
                    <w:pPr>
                      <w:jc w:val="right"/>
                      <w:rPr>
                        <w:sz w:val="14"/>
                        <w:szCs w:val="14"/>
                      </w:rPr>
                    </w:pPr>
                    <w:r>
                      <w:rPr>
                        <w:sz w:val="14"/>
                        <w:szCs w:val="14"/>
                      </w:rPr>
                      <w:t>1,013,339,167.33</w:t>
                    </w:r>
                  </w:p>
                </w:tc>
                <w:sdt>
                  <w:sdtPr>
                    <w:rPr>
                      <w:sz w:val="14"/>
                      <w:szCs w:val="14"/>
                    </w:rPr>
                    <w:alias w:val="其中:一年内到期的部分"/>
                    <w:tag w:val="_GBC_e4a4b3d2abd943e1a8294f3930c0db91"/>
                    <w:id w:val="40558985"/>
                    <w:lock w:val="sdtLocked"/>
                  </w:sdtPr>
                  <w:sdtEndPr>
                    <w:rPr>
                      <w:sz w:val="14"/>
                      <w:szCs w:val="14"/>
                    </w:rPr>
                  </w:sdtEndPr>
                  <w:sdtContent>
                    <w:tc>
                      <w:tcPr>
                        <w:tcW w:w="424" w:type="pct"/>
                        <w:shd w:val="clear" w:color="auto" w:fill="auto"/>
                      </w:tcPr>
                      <w:p>
                        <w:pPr>
                          <w:jc w:val="right"/>
                          <w:rPr>
                            <w:sz w:val="14"/>
                            <w:szCs w:val="14"/>
                          </w:rPr>
                        </w:pPr>
                        <w:r>
                          <w:rPr>
                            <w:sz w:val="14"/>
                            <w:szCs w:val="14"/>
                          </w:rPr>
                          <w:t> 15,104,109.66</w:t>
                        </w:r>
                      </w:p>
                    </w:tc>
                  </w:sdtContent>
                </w:sdt>
              </w:tr>
            </w:sdtContent>
          </w:sdt>
          <w:sdt>
            <w:sdtPr>
              <w:rPr>
                <w:sz w:val="14"/>
                <w:szCs w:val="14"/>
              </w:rPr>
              <w:alias w:val="应付债券明细"/>
              <w:tag w:val="_GBC_e9f1ad9ee738418d9ed393ae3a98ece9"/>
              <w:id w:val="-738869725"/>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21宁沪G2</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2021年11月24日</w:t>
                    </w:r>
                  </w:p>
                </w:tc>
                <w:tc>
                  <w:tcPr>
                    <w:tcW w:w="322" w:type="pct"/>
                    <w:shd w:val="clear" w:color="auto" w:fill="auto"/>
                  </w:tcPr>
                  <w:p>
                    <w:pPr>
                      <w:rPr>
                        <w:sz w:val="14"/>
                        <w:szCs w:val="14"/>
                      </w:rPr>
                    </w:pPr>
                    <w:r>
                      <w:rPr>
                        <w:sz w:val="14"/>
                        <w:szCs w:val="14"/>
                      </w:rPr>
                      <w:t>3+2年</w:t>
                    </w:r>
                  </w:p>
                </w:tc>
                <w:sdt>
                  <w:sdtPr>
                    <w:rPr>
                      <w:sz w:val="14"/>
                      <w:szCs w:val="14"/>
                    </w:rPr>
                    <w:alias w:val="债卷利率"/>
                    <w:tag w:val="_GBC_9c5453dc22314f5ea61951f83c3ce28e"/>
                    <w:id w:val="-1048678547"/>
                    <w:lock w:val="sdtLocked"/>
                  </w:sdtPr>
                  <w:sdtEndPr>
                    <w:rPr>
                      <w:sz w:val="14"/>
                      <w:szCs w:val="14"/>
                    </w:rPr>
                  </w:sdtEndPr>
                  <w:sdtContent>
                    <w:tc>
                      <w:tcPr>
                        <w:tcW w:w="321" w:type="pct"/>
                        <w:shd w:val="clear" w:color="auto" w:fill="auto"/>
                      </w:tcPr>
                      <w:p>
                        <w:pPr>
                          <w:rPr>
                            <w:sz w:val="14"/>
                            <w:szCs w:val="14"/>
                          </w:rPr>
                        </w:pPr>
                        <w:r>
                          <w:rPr>
                            <w:sz w:val="14"/>
                            <w:szCs w:val="14"/>
                          </w:rPr>
                          <w:t>3.08%</w:t>
                        </w:r>
                      </w:p>
                    </w:tc>
                  </w:sdtContent>
                </w:sdt>
                <w:tc>
                  <w:tcPr>
                    <w:tcW w:w="402" w:type="pct"/>
                    <w:shd w:val="clear" w:color="auto" w:fill="auto"/>
                  </w:tcPr>
                  <w:p>
                    <w:pPr>
                      <w:jc w:val="right"/>
                      <w:rPr>
                        <w:sz w:val="14"/>
                        <w:szCs w:val="14"/>
                      </w:rPr>
                    </w:pPr>
                    <w:r>
                      <w:rPr>
                        <w:sz w:val="14"/>
                        <w:szCs w:val="14"/>
                      </w:rPr>
                      <w:t>800,000,000.00</w:t>
                    </w:r>
                  </w:p>
                </w:tc>
                <w:tc>
                  <w:tcPr>
                    <w:tcW w:w="482" w:type="pct"/>
                    <w:shd w:val="clear" w:color="auto" w:fill="auto"/>
                  </w:tcPr>
                  <w:p>
                    <w:pPr>
                      <w:jc w:val="right"/>
                      <w:rPr>
                        <w:sz w:val="14"/>
                        <w:szCs w:val="14"/>
                      </w:rPr>
                    </w:pPr>
                    <w:r>
                      <w:rPr>
                        <w:sz w:val="14"/>
                        <w:szCs w:val="14"/>
                      </w:rPr>
                      <w:t>800,664,397.82</w:t>
                    </w:r>
                  </w:p>
                </w:tc>
                <w:tc>
                  <w:tcPr>
                    <w:tcW w:w="401" w:type="pct"/>
                    <w:shd w:val="clear" w:color="auto" w:fill="auto"/>
                  </w:tcPr>
                  <w:p>
                    <w:pPr>
                      <w:jc w:val="right"/>
                      <w:rPr>
                        <w:sz w:val="14"/>
                        <w:szCs w:val="14"/>
                      </w:rPr>
                    </w:pPr>
                    <w:r>
                      <w:rPr>
                        <w:sz w:val="14"/>
                        <w:szCs w:val="14"/>
                      </w:rPr>
                      <w:t> -  </w:t>
                    </w:r>
                  </w:p>
                </w:tc>
                <w:tc>
                  <w:tcPr>
                    <w:tcW w:w="402" w:type="pct"/>
                    <w:shd w:val="clear" w:color="auto" w:fill="auto"/>
                  </w:tcPr>
                  <w:p>
                    <w:pPr>
                      <w:jc w:val="right"/>
                      <w:rPr>
                        <w:sz w:val="14"/>
                        <w:szCs w:val="14"/>
                      </w:rPr>
                    </w:pPr>
                    <w:r>
                      <w:rPr>
                        <w:sz w:val="14"/>
                        <w:szCs w:val="14"/>
                      </w:rPr>
                      <w:t>12,218,739.73</w:t>
                    </w:r>
                  </w:p>
                </w:tc>
                <w:tc>
                  <w:tcPr>
                    <w:tcW w:w="482" w:type="pct"/>
                    <w:shd w:val="clear" w:color="auto" w:fill="auto"/>
                  </w:tcPr>
                  <w:p>
                    <w:pPr>
                      <w:jc w:val="right"/>
                      <w:rPr>
                        <w:sz w:val="14"/>
                        <w:szCs w:val="14"/>
                      </w:rPr>
                    </w:pPr>
                    <w:r>
                      <w:rPr>
                        <w:sz w:val="14"/>
                        <w:szCs w:val="14"/>
                      </w:rPr>
                      <w:t>230,546.71</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813,113,684.26</w:t>
                    </w:r>
                  </w:p>
                </w:tc>
                <w:sdt>
                  <w:sdtPr>
                    <w:rPr>
                      <w:sz w:val="14"/>
                      <w:szCs w:val="14"/>
                    </w:rPr>
                    <w:alias w:val="其中:一年内到期的部分"/>
                    <w:tag w:val="_GBC_e4a4b3d2abd943e1a8294f3930c0db91"/>
                    <w:id w:val="-250750336"/>
                    <w:lock w:val="sdtLocked"/>
                  </w:sdtPr>
                  <w:sdtEndPr>
                    <w:rPr>
                      <w:sz w:val="14"/>
                      <w:szCs w:val="14"/>
                    </w:rPr>
                  </w:sdtEndPr>
                  <w:sdtContent>
                    <w:tc>
                      <w:tcPr>
                        <w:tcW w:w="424" w:type="pct"/>
                        <w:shd w:val="clear" w:color="auto" w:fill="auto"/>
                      </w:tcPr>
                      <w:p>
                        <w:pPr>
                          <w:jc w:val="right"/>
                          <w:rPr>
                            <w:sz w:val="14"/>
                            <w:szCs w:val="14"/>
                          </w:rPr>
                        </w:pPr>
                        <w:r>
                          <w:rPr>
                            <w:sz w:val="14"/>
                            <w:szCs w:val="14"/>
                          </w:rPr>
                          <w:t> 14,784,000.01</w:t>
                        </w:r>
                      </w:p>
                    </w:tc>
                  </w:sdtContent>
                </w:sdt>
              </w:tr>
            </w:sdtContent>
          </w:sdt>
          <w:sdt>
            <w:sdtPr>
              <w:rPr>
                <w:sz w:val="14"/>
                <w:szCs w:val="14"/>
              </w:rPr>
              <w:alias w:val="应付债券明细"/>
              <w:tag w:val="_GBC_e9f1ad9ee738418d9ed393ae3a98ece9"/>
              <w:id w:val="738142604"/>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22宁沪G1</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2022年4月20日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509353048"/>
                    <w:lock w:val="sdtLocked"/>
                  </w:sdtPr>
                  <w:sdtEndPr>
                    <w:rPr>
                      <w:sz w:val="14"/>
                      <w:szCs w:val="14"/>
                    </w:rPr>
                  </w:sdtEndPr>
                  <w:sdtContent>
                    <w:tc>
                      <w:tcPr>
                        <w:tcW w:w="321" w:type="pct"/>
                        <w:shd w:val="clear" w:color="auto" w:fill="auto"/>
                      </w:tcPr>
                      <w:p>
                        <w:pPr>
                          <w:rPr>
                            <w:sz w:val="14"/>
                            <w:szCs w:val="14"/>
                          </w:rPr>
                        </w:pPr>
                        <w:r>
                          <w:rPr>
                            <w:sz w:val="14"/>
                            <w:szCs w:val="14"/>
                          </w:rPr>
                          <w:t>2.90%</w:t>
                        </w:r>
                      </w:p>
                    </w:tc>
                  </w:sdtContent>
                </w:sdt>
                <w:tc>
                  <w:tcPr>
                    <w:tcW w:w="402" w:type="pct"/>
                    <w:shd w:val="clear" w:color="auto" w:fill="auto"/>
                  </w:tcPr>
                  <w:p>
                    <w:pPr>
                      <w:jc w:val="right"/>
                      <w:rPr>
                        <w:sz w:val="14"/>
                        <w:szCs w:val="14"/>
                      </w:rPr>
                    </w:pPr>
                    <w:r>
                      <w:rPr>
                        <w:sz w:val="14"/>
                        <w:szCs w:val="14"/>
                      </w:rPr>
                      <w:t>1,000,000,000.00</w:t>
                    </w:r>
                  </w:p>
                </w:tc>
                <w:tc>
                  <w:tcPr>
                    <w:tcW w:w="482" w:type="pct"/>
                    <w:shd w:val="clear" w:color="auto" w:fill="auto"/>
                  </w:tcPr>
                  <w:p>
                    <w:pPr>
                      <w:jc w:val="right"/>
                      <w:rPr>
                        <w:sz w:val="14"/>
                        <w:szCs w:val="14"/>
                      </w:rPr>
                    </w:pPr>
                    <w:r>
                      <w:rPr>
                        <w:sz w:val="14"/>
                        <w:szCs w:val="14"/>
                      </w:rPr>
                      <w:t>1,018,020,428.46</w:t>
                    </w:r>
                  </w:p>
                </w:tc>
                <w:tc>
                  <w:tcPr>
                    <w:tcW w:w="401" w:type="pct"/>
                    <w:shd w:val="clear" w:color="auto" w:fill="auto"/>
                  </w:tcPr>
                  <w:p>
                    <w:pPr>
                      <w:jc w:val="right"/>
                      <w:rPr>
                        <w:sz w:val="14"/>
                        <w:szCs w:val="14"/>
                      </w:rPr>
                    </w:pPr>
                    <w:r>
                      <w:rPr>
                        <w:sz w:val="14"/>
                        <w:szCs w:val="14"/>
                      </w:rPr>
                      <w:t>-</w:t>
                    </w:r>
                  </w:p>
                </w:tc>
                <w:tc>
                  <w:tcPr>
                    <w:tcW w:w="402" w:type="pct"/>
                    <w:shd w:val="clear" w:color="auto" w:fill="auto"/>
                  </w:tcPr>
                  <w:p>
                    <w:pPr>
                      <w:jc w:val="right"/>
                      <w:rPr>
                        <w:sz w:val="14"/>
                        <w:szCs w:val="14"/>
                      </w:rPr>
                    </w:pPr>
                    <w:r>
                      <w:rPr>
                        <w:sz w:val="14"/>
                        <w:szCs w:val="14"/>
                      </w:rPr>
                      <w:t>14,380,821.92</w:t>
                    </w:r>
                  </w:p>
                </w:tc>
                <w:tc>
                  <w:tcPr>
                    <w:tcW w:w="482" w:type="pct"/>
                    <w:shd w:val="clear" w:color="auto" w:fill="auto"/>
                  </w:tcPr>
                  <w:p>
                    <w:pPr>
                      <w:jc w:val="right"/>
                      <w:rPr>
                        <w:sz w:val="14"/>
                        <w:szCs w:val="14"/>
                      </w:rPr>
                    </w:pPr>
                    <w:r>
                      <w:rPr>
                        <w:sz w:val="14"/>
                        <w:szCs w:val="14"/>
                      </w:rPr>
                      <w:t>487,032.94</w:t>
                    </w:r>
                  </w:p>
                </w:tc>
                <w:tc>
                  <w:tcPr>
                    <w:tcW w:w="401" w:type="pct"/>
                    <w:shd w:val="clear" w:color="auto" w:fill="auto"/>
                  </w:tcPr>
                  <w:p>
                    <w:pPr>
                      <w:jc w:val="right"/>
                      <w:rPr>
                        <w:sz w:val="14"/>
                        <w:szCs w:val="14"/>
                      </w:rPr>
                    </w:pPr>
                    <w:r>
                      <w:rPr>
                        <w:sz w:val="14"/>
                        <w:szCs w:val="14"/>
                      </w:rPr>
                      <w:t>29,000,000.00</w:t>
                    </w:r>
                  </w:p>
                </w:tc>
                <w:tc>
                  <w:tcPr>
                    <w:tcW w:w="402" w:type="pct"/>
                    <w:shd w:val="clear" w:color="auto" w:fill="auto"/>
                  </w:tcPr>
                  <w:p>
                    <w:pPr>
                      <w:jc w:val="right"/>
                      <w:rPr>
                        <w:sz w:val="14"/>
                        <w:szCs w:val="14"/>
                      </w:rPr>
                    </w:pPr>
                    <w:r>
                      <w:rPr>
                        <w:sz w:val="14"/>
                        <w:szCs w:val="14"/>
                      </w:rPr>
                      <w:t>1,003,888,283.32</w:t>
                    </w:r>
                  </w:p>
                </w:tc>
                <w:sdt>
                  <w:sdtPr>
                    <w:rPr>
                      <w:sz w:val="14"/>
                      <w:szCs w:val="14"/>
                    </w:rPr>
                    <w:alias w:val="其中:一年内到期的部分"/>
                    <w:tag w:val="_GBC_e4a4b3d2abd943e1a8294f3930c0db91"/>
                    <w:id w:val="-2053381788"/>
                    <w:lock w:val="sdtLocked"/>
                  </w:sdtPr>
                  <w:sdtEndPr>
                    <w:rPr>
                      <w:sz w:val="14"/>
                      <w:szCs w:val="14"/>
                    </w:rPr>
                  </w:sdtEndPr>
                  <w:sdtContent>
                    <w:tc>
                      <w:tcPr>
                        <w:tcW w:w="424" w:type="pct"/>
                        <w:shd w:val="clear" w:color="auto" w:fill="auto"/>
                      </w:tcPr>
                      <w:p>
                        <w:pPr>
                          <w:jc w:val="right"/>
                          <w:rPr>
                            <w:sz w:val="14"/>
                            <w:szCs w:val="14"/>
                          </w:rPr>
                        </w:pPr>
                        <w:r>
                          <w:rPr>
                            <w:sz w:val="14"/>
                            <w:szCs w:val="14"/>
                          </w:rPr>
                          <w:t> 5,720,547.94</w:t>
                        </w:r>
                      </w:p>
                    </w:tc>
                  </w:sdtContent>
                </w:sdt>
              </w:tr>
            </w:sdtContent>
          </w:sdt>
          <w:sdt>
            <w:sdtPr>
              <w:rPr>
                <w:sz w:val="14"/>
                <w:szCs w:val="14"/>
              </w:rPr>
              <w:alias w:val="应付债券明细"/>
              <w:tag w:val="_GBC_e9f1ad9ee738418d9ed393ae3a98ece9"/>
              <w:id w:val="-1653133120"/>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22宁沪G2</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2022年8月23日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740682223"/>
                    <w:lock w:val="sdtLocked"/>
                  </w:sdtPr>
                  <w:sdtEndPr>
                    <w:rPr>
                      <w:sz w:val="14"/>
                      <w:szCs w:val="14"/>
                    </w:rPr>
                  </w:sdtEndPr>
                  <w:sdtContent>
                    <w:tc>
                      <w:tcPr>
                        <w:tcW w:w="321" w:type="pct"/>
                        <w:shd w:val="clear" w:color="auto" w:fill="auto"/>
                      </w:tcPr>
                      <w:p>
                        <w:pPr>
                          <w:rPr>
                            <w:sz w:val="14"/>
                            <w:szCs w:val="14"/>
                          </w:rPr>
                        </w:pPr>
                        <w:r>
                          <w:rPr>
                            <w:sz w:val="14"/>
                            <w:szCs w:val="14"/>
                          </w:rPr>
                          <w:t>2.55%</w:t>
                        </w:r>
                      </w:p>
                    </w:tc>
                  </w:sdtContent>
                </w:sdt>
                <w:tc>
                  <w:tcPr>
                    <w:tcW w:w="402" w:type="pct"/>
                    <w:shd w:val="clear" w:color="auto" w:fill="auto"/>
                  </w:tcPr>
                  <w:p>
                    <w:pPr>
                      <w:jc w:val="right"/>
                      <w:rPr>
                        <w:sz w:val="14"/>
                        <w:szCs w:val="14"/>
                      </w:rPr>
                    </w:pPr>
                    <w:r>
                      <w:rPr>
                        <w:sz w:val="14"/>
                        <w:szCs w:val="14"/>
                      </w:rPr>
                      <w:t>500,000,000.00</w:t>
                    </w:r>
                  </w:p>
                </w:tc>
                <w:tc>
                  <w:tcPr>
                    <w:tcW w:w="482" w:type="pct"/>
                    <w:shd w:val="clear" w:color="auto" w:fill="auto"/>
                  </w:tcPr>
                  <w:p>
                    <w:pPr>
                      <w:jc w:val="right"/>
                      <w:rPr>
                        <w:sz w:val="14"/>
                        <w:szCs w:val="14"/>
                      </w:rPr>
                    </w:pPr>
                    <w:r>
                      <w:rPr>
                        <w:sz w:val="14"/>
                        <w:szCs w:val="14"/>
                      </w:rPr>
                      <w:t>503,250,797.61</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6,322,602.74</w:t>
                    </w:r>
                  </w:p>
                </w:tc>
                <w:tc>
                  <w:tcPr>
                    <w:tcW w:w="482" w:type="pct"/>
                    <w:shd w:val="clear" w:color="auto" w:fill="auto"/>
                  </w:tcPr>
                  <w:p>
                    <w:pPr>
                      <w:jc w:val="right"/>
                      <w:rPr>
                        <w:sz w:val="14"/>
                        <w:szCs w:val="14"/>
                      </w:rPr>
                    </w:pPr>
                    <w:r>
                      <w:rPr>
                        <w:sz w:val="14"/>
                        <w:szCs w:val="14"/>
                      </w:rPr>
                      <w:t>241,476.41</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509,814,876.76</w:t>
                    </w:r>
                  </w:p>
                </w:tc>
                <w:sdt>
                  <w:sdtPr>
                    <w:rPr>
                      <w:sz w:val="14"/>
                      <w:szCs w:val="14"/>
                    </w:rPr>
                    <w:alias w:val="其中:一年内到期的部分"/>
                    <w:tag w:val="_GBC_e4a4b3d2abd943e1a8294f3930c0db91"/>
                    <w:id w:val="-412389252"/>
                    <w:lock w:val="sdtLocked"/>
                  </w:sdtPr>
                  <w:sdtEndPr>
                    <w:rPr>
                      <w:sz w:val="14"/>
                      <w:szCs w:val="14"/>
                    </w:rPr>
                  </w:sdtEndPr>
                  <w:sdtContent>
                    <w:tc>
                      <w:tcPr>
                        <w:tcW w:w="424" w:type="pct"/>
                        <w:shd w:val="clear" w:color="auto" w:fill="auto"/>
                      </w:tcPr>
                      <w:p>
                        <w:pPr>
                          <w:jc w:val="right"/>
                          <w:rPr>
                            <w:sz w:val="14"/>
                            <w:szCs w:val="14"/>
                          </w:rPr>
                        </w:pPr>
                        <w:r>
                          <w:rPr>
                            <w:sz w:val="14"/>
                            <w:szCs w:val="14"/>
                          </w:rPr>
                          <w:t> 10,898,630.14</w:t>
                        </w:r>
                      </w:p>
                    </w:tc>
                  </w:sdtContent>
                </w:sdt>
              </w:tr>
            </w:sdtContent>
          </w:sdt>
          <w:sdt>
            <w:sdtPr>
              <w:rPr>
                <w:sz w:val="14"/>
                <w:szCs w:val="14"/>
              </w:rPr>
              <w:alias w:val="应付债券明细"/>
              <w:tag w:val="_GBC_e9f1ad9ee738418d9ed393ae3a98ece9"/>
              <w:id w:val="590587281"/>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22宁沪G3</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2022年11月29日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1791585015"/>
                    <w:lock w:val="sdtLocked"/>
                  </w:sdtPr>
                  <w:sdtEndPr>
                    <w:rPr>
                      <w:sz w:val="14"/>
                      <w:szCs w:val="14"/>
                    </w:rPr>
                  </w:sdtEndPr>
                  <w:sdtContent>
                    <w:tc>
                      <w:tcPr>
                        <w:tcW w:w="321" w:type="pct"/>
                        <w:shd w:val="clear" w:color="auto" w:fill="auto"/>
                      </w:tcPr>
                      <w:p>
                        <w:pPr>
                          <w:rPr>
                            <w:sz w:val="14"/>
                            <w:szCs w:val="14"/>
                          </w:rPr>
                        </w:pPr>
                        <w:r>
                          <w:rPr>
                            <w:sz w:val="14"/>
                            <w:szCs w:val="14"/>
                          </w:rPr>
                          <w:t>2.95%</w:t>
                        </w:r>
                      </w:p>
                    </w:tc>
                  </w:sdtContent>
                </w:sdt>
                <w:tc>
                  <w:tcPr>
                    <w:tcW w:w="402" w:type="pct"/>
                    <w:shd w:val="clear" w:color="auto" w:fill="auto"/>
                  </w:tcPr>
                  <w:p>
                    <w:pPr>
                      <w:jc w:val="right"/>
                      <w:rPr>
                        <w:sz w:val="14"/>
                        <w:szCs w:val="14"/>
                      </w:rPr>
                    </w:pPr>
                    <w:r>
                      <w:rPr>
                        <w:sz w:val="14"/>
                        <w:szCs w:val="14"/>
                      </w:rPr>
                      <w:t>500,000,000.00</w:t>
                    </w:r>
                  </w:p>
                </w:tc>
                <w:tc>
                  <w:tcPr>
                    <w:tcW w:w="482" w:type="pct"/>
                    <w:shd w:val="clear" w:color="auto" w:fill="auto"/>
                  </w:tcPr>
                  <w:p>
                    <w:pPr>
                      <w:jc w:val="right"/>
                      <w:rPr>
                        <w:sz w:val="14"/>
                        <w:szCs w:val="14"/>
                      </w:rPr>
                    </w:pPr>
                    <w:r>
                      <w:rPr>
                        <w:sz w:val="14"/>
                        <w:szCs w:val="14"/>
                      </w:rPr>
                      <w:t>499,877,413.29</w:t>
                    </w:r>
                  </w:p>
                </w:tc>
                <w:tc>
                  <w:tcPr>
                    <w:tcW w:w="401" w:type="pct"/>
                    <w:shd w:val="clear" w:color="auto" w:fill="auto"/>
                  </w:tcPr>
                  <w:p>
                    <w:pPr>
                      <w:jc w:val="right"/>
                      <w:rPr>
                        <w:sz w:val="14"/>
                        <w:szCs w:val="14"/>
                      </w:rPr>
                    </w:pPr>
                    <w:r>
                      <w:rPr>
                        <w:sz w:val="14"/>
                        <w:szCs w:val="14"/>
                      </w:rPr>
                      <w:t>-</w:t>
                    </w:r>
                  </w:p>
                </w:tc>
                <w:tc>
                  <w:tcPr>
                    <w:tcW w:w="402" w:type="pct"/>
                    <w:shd w:val="clear" w:color="auto" w:fill="auto"/>
                  </w:tcPr>
                  <w:p>
                    <w:pPr>
                      <w:jc w:val="right"/>
                      <w:rPr>
                        <w:sz w:val="14"/>
                        <w:szCs w:val="14"/>
                      </w:rPr>
                    </w:pPr>
                    <w:r>
                      <w:rPr>
                        <w:sz w:val="14"/>
                        <w:szCs w:val="14"/>
                      </w:rPr>
                      <w:t>7,314,383.58</w:t>
                    </w:r>
                  </w:p>
                </w:tc>
                <w:tc>
                  <w:tcPr>
                    <w:tcW w:w="482" w:type="pct"/>
                    <w:shd w:val="clear" w:color="auto" w:fill="auto"/>
                  </w:tcPr>
                  <w:p>
                    <w:pPr>
                      <w:jc w:val="right"/>
                      <w:rPr>
                        <w:sz w:val="14"/>
                        <w:szCs w:val="14"/>
                      </w:rPr>
                    </w:pPr>
                    <w:r>
                      <w:rPr>
                        <w:sz w:val="14"/>
                        <w:szCs w:val="14"/>
                      </w:rPr>
                      <w:t>240,519.59</w:t>
                    </w:r>
                  </w:p>
                </w:tc>
                <w:tc>
                  <w:tcPr>
                    <w:tcW w:w="401" w:type="pct"/>
                    <w:shd w:val="clear" w:color="auto" w:fill="auto"/>
                  </w:tcPr>
                  <w:p>
                    <w:pPr>
                      <w:jc w:val="right"/>
                      <w:rPr>
                        <w:sz w:val="14"/>
                        <w:szCs w:val="14"/>
                      </w:rPr>
                    </w:pPr>
                  </w:p>
                </w:tc>
                <w:tc>
                  <w:tcPr>
                    <w:tcW w:w="402" w:type="pct"/>
                    <w:shd w:val="clear" w:color="auto" w:fill="auto"/>
                  </w:tcPr>
                  <w:p>
                    <w:pPr>
                      <w:jc w:val="right"/>
                      <w:rPr>
                        <w:sz w:val="14"/>
                        <w:szCs w:val="14"/>
                      </w:rPr>
                    </w:pPr>
                    <w:r>
                      <w:rPr>
                        <w:sz w:val="14"/>
                        <w:szCs w:val="14"/>
                      </w:rPr>
                      <w:t>507,432,316.46</w:t>
                    </w:r>
                  </w:p>
                </w:tc>
                <w:sdt>
                  <w:sdtPr>
                    <w:rPr>
                      <w:sz w:val="14"/>
                      <w:szCs w:val="14"/>
                    </w:rPr>
                    <w:alias w:val="其中:一年内到期的部分"/>
                    <w:tag w:val="_GBC_e4a4b3d2abd943e1a8294f3930c0db91"/>
                    <w:id w:val="-587304239"/>
                    <w:lock w:val="sdtLocked"/>
                  </w:sdtPr>
                  <w:sdtEndPr>
                    <w:rPr>
                      <w:sz w:val="14"/>
                      <w:szCs w:val="14"/>
                    </w:rPr>
                  </w:sdtEndPr>
                  <w:sdtContent>
                    <w:tc>
                      <w:tcPr>
                        <w:tcW w:w="424" w:type="pct"/>
                        <w:shd w:val="clear" w:color="auto" w:fill="auto"/>
                      </w:tcPr>
                      <w:p>
                        <w:pPr>
                          <w:jc w:val="right"/>
                          <w:rPr>
                            <w:sz w:val="14"/>
                            <w:szCs w:val="14"/>
                          </w:rPr>
                        </w:pPr>
                        <w:r>
                          <w:rPr>
                            <w:sz w:val="14"/>
                            <w:szCs w:val="14"/>
                          </w:rPr>
                          <w:t> 12,369,863.00</w:t>
                        </w:r>
                      </w:p>
                    </w:tc>
                  </w:sdtContent>
                </w:sdt>
              </w:tr>
            </w:sdtContent>
          </w:sdt>
          <w:sdt>
            <w:sdtPr>
              <w:rPr>
                <w:sz w:val="14"/>
                <w:szCs w:val="14"/>
              </w:rPr>
              <w:alias w:val="应付债券明细"/>
              <w:tag w:val="_GBC_e9f1ad9ee738418d9ed393ae3a98ece9"/>
              <w:id w:val="586892019"/>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tc>
                  <w:tcPr>
                    <w:tcW w:w="318" w:type="pct"/>
                    <w:shd w:val="clear" w:color="auto" w:fill="auto"/>
                  </w:tcPr>
                  <w:p>
                    <w:pPr>
                      <w:rPr>
                        <w:sz w:val="14"/>
                        <w:szCs w:val="14"/>
                      </w:rPr>
                    </w:pPr>
                    <w:r>
                      <w:rPr>
                        <w:sz w:val="14"/>
                        <w:szCs w:val="14"/>
                      </w:rPr>
                      <w:t>G22宁沪1</w:t>
                    </w:r>
                  </w:p>
                </w:tc>
                <w:tc>
                  <w:tcPr>
                    <w:tcW w:w="321" w:type="pct"/>
                    <w:shd w:val="clear" w:color="auto" w:fill="auto"/>
                  </w:tcPr>
                  <w:p>
                    <w:pPr>
                      <w:jc w:val="right"/>
                      <w:rPr>
                        <w:sz w:val="14"/>
                        <w:szCs w:val="14"/>
                      </w:rPr>
                    </w:pPr>
                    <w:r>
                      <w:rPr>
                        <w:sz w:val="14"/>
                        <w:szCs w:val="14"/>
                      </w:rPr>
                      <w:t>100.00</w:t>
                    </w:r>
                  </w:p>
                </w:tc>
                <w:tc>
                  <w:tcPr>
                    <w:tcW w:w="321" w:type="pct"/>
                    <w:shd w:val="clear" w:color="auto" w:fill="auto"/>
                  </w:tcPr>
                  <w:p>
                    <w:pPr>
                      <w:jc w:val="right"/>
                      <w:rPr>
                        <w:sz w:val="14"/>
                        <w:szCs w:val="14"/>
                      </w:rPr>
                    </w:pPr>
                    <w:r>
                      <w:rPr>
                        <w:sz w:val="14"/>
                        <w:szCs w:val="14"/>
                      </w:rPr>
                      <w:t>2022年10月24日</w:t>
                    </w:r>
                  </w:p>
                </w:tc>
                <w:tc>
                  <w:tcPr>
                    <w:tcW w:w="322" w:type="pct"/>
                    <w:shd w:val="clear" w:color="auto" w:fill="auto"/>
                  </w:tcPr>
                  <w:p>
                    <w:pPr>
                      <w:rPr>
                        <w:sz w:val="14"/>
                        <w:szCs w:val="14"/>
                      </w:rPr>
                    </w:pPr>
                    <w:r>
                      <w:rPr>
                        <w:sz w:val="14"/>
                        <w:szCs w:val="14"/>
                      </w:rPr>
                      <w:t>3年</w:t>
                    </w:r>
                  </w:p>
                </w:tc>
                <w:sdt>
                  <w:sdtPr>
                    <w:rPr>
                      <w:sz w:val="14"/>
                      <w:szCs w:val="14"/>
                    </w:rPr>
                    <w:alias w:val="债卷利率"/>
                    <w:tag w:val="_GBC_9c5453dc22314f5ea61951f83c3ce28e"/>
                    <w:id w:val="458071733"/>
                    <w:lock w:val="sdtLocked"/>
                  </w:sdtPr>
                  <w:sdtEndPr>
                    <w:rPr>
                      <w:sz w:val="14"/>
                      <w:szCs w:val="14"/>
                    </w:rPr>
                  </w:sdtEndPr>
                  <w:sdtContent>
                    <w:tc>
                      <w:tcPr>
                        <w:tcW w:w="321" w:type="pct"/>
                        <w:shd w:val="clear" w:color="auto" w:fill="auto"/>
                      </w:tcPr>
                      <w:p>
                        <w:pPr>
                          <w:rPr>
                            <w:sz w:val="14"/>
                            <w:szCs w:val="14"/>
                          </w:rPr>
                        </w:pPr>
                        <w:r>
                          <w:rPr>
                            <w:sz w:val="14"/>
                            <w:szCs w:val="14"/>
                          </w:rPr>
                          <w:t>2.58%</w:t>
                        </w:r>
                      </w:p>
                    </w:tc>
                  </w:sdtContent>
                </w:sdt>
                <w:tc>
                  <w:tcPr>
                    <w:tcW w:w="402" w:type="pct"/>
                    <w:shd w:val="clear" w:color="auto" w:fill="auto"/>
                  </w:tcPr>
                  <w:p>
                    <w:pPr>
                      <w:jc w:val="right"/>
                      <w:rPr>
                        <w:sz w:val="14"/>
                        <w:szCs w:val="14"/>
                      </w:rPr>
                    </w:pPr>
                    <w:r>
                      <w:rPr>
                        <w:sz w:val="14"/>
                        <w:szCs w:val="14"/>
                      </w:rPr>
                      <w:t>700,000,000.00</w:t>
                    </w:r>
                  </w:p>
                </w:tc>
                <w:tc>
                  <w:tcPr>
                    <w:tcW w:w="482" w:type="pct"/>
                    <w:shd w:val="clear" w:color="auto" w:fill="auto"/>
                  </w:tcPr>
                  <w:p>
                    <w:pPr>
                      <w:jc w:val="right"/>
                      <w:rPr>
                        <w:sz w:val="14"/>
                        <w:szCs w:val="14"/>
                      </w:rPr>
                    </w:pPr>
                    <w:r>
                      <w:rPr>
                        <w:sz w:val="14"/>
                        <w:szCs w:val="14"/>
                      </w:rPr>
                      <w:t>701,442,920.14</w:t>
                    </w:r>
                  </w:p>
                </w:tc>
                <w:tc>
                  <w:tcPr>
                    <w:tcW w:w="401" w:type="pct"/>
                    <w:shd w:val="clear" w:color="auto" w:fill="auto"/>
                  </w:tcPr>
                  <w:p>
                    <w:pPr>
                      <w:jc w:val="right"/>
                      <w:rPr>
                        <w:sz w:val="14"/>
                        <w:szCs w:val="14"/>
                      </w:rPr>
                    </w:pPr>
                    <w:r>
                      <w:rPr>
                        <w:sz w:val="14"/>
                        <w:szCs w:val="14"/>
                      </w:rPr>
                      <w:t> -</w:t>
                    </w:r>
                  </w:p>
                </w:tc>
                <w:tc>
                  <w:tcPr>
                    <w:tcW w:w="402" w:type="pct"/>
                    <w:shd w:val="clear" w:color="auto" w:fill="auto"/>
                  </w:tcPr>
                  <w:p>
                    <w:pPr>
                      <w:jc w:val="right"/>
                      <w:rPr>
                        <w:sz w:val="14"/>
                        <w:szCs w:val="14"/>
                      </w:rPr>
                    </w:pPr>
                    <w:r>
                      <w:rPr>
                        <w:sz w:val="14"/>
                        <w:szCs w:val="14"/>
                      </w:rPr>
                      <w:t>8,955,780.81</w:t>
                    </w:r>
                  </w:p>
                </w:tc>
                <w:tc>
                  <w:tcPr>
                    <w:tcW w:w="482" w:type="pct"/>
                    <w:shd w:val="clear" w:color="auto" w:fill="auto"/>
                  </w:tcPr>
                  <w:p>
                    <w:pPr>
                      <w:jc w:val="right"/>
                      <w:rPr>
                        <w:sz w:val="14"/>
                        <w:szCs w:val="14"/>
                      </w:rPr>
                    </w:pPr>
                    <w:r>
                      <w:rPr>
                        <w:sz w:val="14"/>
                        <w:szCs w:val="14"/>
                      </w:rPr>
                      <w:t>337,966.25</w:t>
                    </w:r>
                  </w:p>
                </w:tc>
                <w:tc>
                  <w:tcPr>
                    <w:tcW w:w="401" w:type="pct"/>
                    <w:shd w:val="clear" w:color="auto" w:fill="auto"/>
                  </w:tcPr>
                  <w:p>
                    <w:pPr>
                      <w:jc w:val="right"/>
                      <w:rPr>
                        <w:sz w:val="14"/>
                        <w:szCs w:val="14"/>
                      </w:rPr>
                    </w:pPr>
                  </w:p>
                </w:tc>
                <w:tc>
                  <w:tcPr>
                    <w:tcW w:w="402" w:type="pct"/>
                    <w:shd w:val="clear" w:color="auto" w:fill="auto"/>
                  </w:tcPr>
                  <w:p>
                    <w:pPr>
                      <w:jc w:val="right"/>
                      <w:rPr>
                        <w:sz w:val="14"/>
                        <w:szCs w:val="14"/>
                      </w:rPr>
                    </w:pPr>
                    <w:r>
                      <w:rPr>
                        <w:sz w:val="14"/>
                        <w:szCs w:val="14"/>
                      </w:rPr>
                      <w:t>710,736,667.20</w:t>
                    </w:r>
                  </w:p>
                </w:tc>
                <w:sdt>
                  <w:sdtPr>
                    <w:rPr>
                      <w:sz w:val="14"/>
                      <w:szCs w:val="14"/>
                    </w:rPr>
                    <w:alias w:val="其中:一年内到期的部分"/>
                    <w:tag w:val="_GBC_e4a4b3d2abd943e1a8294f3930c0db91"/>
                    <w:id w:val="-489937181"/>
                    <w:lock w:val="sdtLocked"/>
                  </w:sdtPr>
                  <w:sdtEndPr>
                    <w:rPr>
                      <w:sz w:val="14"/>
                      <w:szCs w:val="14"/>
                    </w:rPr>
                  </w:sdtEndPr>
                  <w:sdtContent>
                    <w:tc>
                      <w:tcPr>
                        <w:tcW w:w="424" w:type="pct"/>
                        <w:shd w:val="clear" w:color="auto" w:fill="auto"/>
                      </w:tcPr>
                      <w:p>
                        <w:pPr>
                          <w:jc w:val="right"/>
                          <w:rPr>
                            <w:sz w:val="14"/>
                            <w:szCs w:val="14"/>
                          </w:rPr>
                        </w:pPr>
                        <w:r>
                          <w:rPr>
                            <w:sz w:val="14"/>
                            <w:szCs w:val="14"/>
                          </w:rPr>
                          <w:t> 8,647,945.23</w:t>
                        </w:r>
                      </w:p>
                    </w:tc>
                  </w:sdtContent>
                </w:sdt>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266" w:hRule="atLeast"/>
            </w:trPr>
            <w:sdt>
              <w:sdtPr>
                <w:rPr>
                  <w:sz w:val="14"/>
                  <w:szCs w:val="14"/>
                </w:rPr>
                <w:tag w:val="_PLD_ab2a5f4526d74087b1adaa1bdfb92c75"/>
                <w:id w:val="-1015917883"/>
                <w:lock w:val="sdtLocked"/>
              </w:sdtPr>
              <w:sdtEndPr>
                <w:rPr>
                  <w:sz w:val="14"/>
                  <w:szCs w:val="14"/>
                </w:rPr>
              </w:sdtEndPr>
              <w:sdtContent>
                <w:tc>
                  <w:tcPr>
                    <w:tcW w:w="318" w:type="pct"/>
                    <w:shd w:val="clear" w:color="auto" w:fill="auto"/>
                  </w:tcPr>
                  <w:p>
                    <w:pPr>
                      <w:jc w:val="center"/>
                      <w:rPr>
                        <w:sz w:val="14"/>
                        <w:szCs w:val="14"/>
                      </w:rPr>
                    </w:pPr>
                    <w:r>
                      <w:rPr>
                        <w:rFonts w:hint="eastAsia"/>
                        <w:sz w:val="14"/>
                        <w:szCs w:val="14"/>
                      </w:rPr>
                      <w:t>合计</w:t>
                    </w:r>
                  </w:p>
                </w:tc>
              </w:sdtContent>
            </w:sdt>
            <w:tc>
              <w:tcPr>
                <w:tcW w:w="321" w:type="pct"/>
                <w:shd w:val="clear" w:color="auto" w:fill="auto"/>
              </w:tcPr>
              <w:p>
                <w:pPr>
                  <w:jc w:val="center"/>
                  <w:rPr>
                    <w:sz w:val="14"/>
                    <w:szCs w:val="14"/>
                  </w:rPr>
                </w:pPr>
                <w:r>
                  <w:rPr>
                    <w:rFonts w:hint="eastAsia"/>
                    <w:sz w:val="14"/>
                    <w:szCs w:val="14"/>
                  </w:rPr>
                  <w:t>/</w:t>
                </w:r>
              </w:p>
            </w:tc>
            <w:tc>
              <w:tcPr>
                <w:tcW w:w="321" w:type="pct"/>
                <w:shd w:val="clear" w:color="auto" w:fill="auto"/>
              </w:tcPr>
              <w:p>
                <w:pPr>
                  <w:jc w:val="center"/>
                  <w:rPr>
                    <w:sz w:val="14"/>
                    <w:szCs w:val="14"/>
                  </w:rPr>
                </w:pPr>
                <w:r>
                  <w:rPr>
                    <w:rFonts w:hint="eastAsia"/>
                    <w:sz w:val="14"/>
                    <w:szCs w:val="14"/>
                  </w:rPr>
                  <w:t>/</w:t>
                </w:r>
              </w:p>
            </w:tc>
            <w:tc>
              <w:tcPr>
                <w:tcW w:w="322" w:type="pct"/>
                <w:shd w:val="clear" w:color="auto" w:fill="auto"/>
              </w:tcPr>
              <w:p>
                <w:pPr>
                  <w:jc w:val="center"/>
                  <w:rPr>
                    <w:sz w:val="14"/>
                    <w:szCs w:val="14"/>
                  </w:rPr>
                </w:pPr>
                <w:r>
                  <w:rPr>
                    <w:rFonts w:hint="eastAsia"/>
                    <w:sz w:val="14"/>
                    <w:szCs w:val="14"/>
                  </w:rPr>
                  <w:t>/</w:t>
                </w:r>
              </w:p>
            </w:tc>
            <w:tc>
              <w:tcPr>
                <w:tcW w:w="321" w:type="pct"/>
                <w:shd w:val="clear" w:color="auto" w:fill="auto"/>
              </w:tcPr>
              <w:p>
                <w:pPr>
                  <w:jc w:val="center"/>
                  <w:rPr>
                    <w:sz w:val="14"/>
                    <w:szCs w:val="14"/>
                  </w:rPr>
                </w:pPr>
              </w:p>
            </w:tc>
            <w:tc>
              <w:tcPr>
                <w:tcW w:w="402" w:type="pct"/>
                <w:shd w:val="clear" w:color="auto" w:fill="auto"/>
                <w:vAlign w:val="center"/>
              </w:tcPr>
              <w:p>
                <w:pPr>
                  <w:jc w:val="right"/>
                  <w:rPr>
                    <w:sz w:val="14"/>
                    <w:szCs w:val="14"/>
                  </w:rPr>
                </w:pPr>
                <w:r>
                  <w:rPr>
                    <w:sz w:val="14"/>
                    <w:szCs w:val="14"/>
                  </w:rPr>
                  <w:t>10,000,000,000.00</w:t>
                </w:r>
              </w:p>
            </w:tc>
            <w:tc>
              <w:tcPr>
                <w:tcW w:w="482" w:type="pct"/>
                <w:shd w:val="clear" w:color="auto" w:fill="auto"/>
                <w:vAlign w:val="center"/>
              </w:tcPr>
              <w:p>
                <w:pPr>
                  <w:jc w:val="right"/>
                  <w:rPr>
                    <w:sz w:val="14"/>
                    <w:szCs w:val="14"/>
                  </w:rPr>
                </w:pPr>
                <w:r>
                  <w:rPr>
                    <w:sz w:val="14"/>
                    <w:szCs w:val="14"/>
                  </w:rPr>
                  <w:t>10,099,586,632.01</w:t>
                </w:r>
              </w:p>
            </w:tc>
            <w:tc>
              <w:tcPr>
                <w:tcW w:w="401" w:type="pct"/>
                <w:shd w:val="clear" w:color="auto" w:fill="auto"/>
                <w:vAlign w:val="center"/>
              </w:tcPr>
              <w:p>
                <w:pPr>
                  <w:jc w:val="right"/>
                  <w:rPr>
                    <w:sz w:val="14"/>
                    <w:szCs w:val="14"/>
                  </w:rPr>
                </w:pPr>
                <w:r>
                  <w:rPr>
                    <w:sz w:val="14"/>
                    <w:szCs w:val="14"/>
                  </w:rPr>
                  <w:t>-</w:t>
                </w:r>
              </w:p>
            </w:tc>
            <w:tc>
              <w:tcPr>
                <w:tcW w:w="402" w:type="pct"/>
                <w:shd w:val="clear" w:color="auto" w:fill="auto"/>
                <w:vAlign w:val="center"/>
              </w:tcPr>
              <w:p>
                <w:pPr>
                  <w:jc w:val="right"/>
                  <w:rPr>
                    <w:sz w:val="14"/>
                    <w:szCs w:val="14"/>
                  </w:rPr>
                </w:pPr>
                <w:r>
                  <w:rPr>
                    <w:sz w:val="14"/>
                    <w:szCs w:val="14"/>
                  </w:rPr>
                  <w:t>158,734,520.62</w:t>
                </w:r>
              </w:p>
            </w:tc>
            <w:tc>
              <w:tcPr>
                <w:tcW w:w="482" w:type="pct"/>
                <w:shd w:val="clear" w:color="auto" w:fill="auto"/>
                <w:vAlign w:val="center"/>
              </w:tcPr>
              <w:p>
                <w:pPr>
                  <w:jc w:val="right"/>
                  <w:rPr>
                    <w:sz w:val="14"/>
                    <w:szCs w:val="14"/>
                  </w:rPr>
                </w:pPr>
                <w:r>
                  <w:rPr>
                    <w:sz w:val="14"/>
                    <w:szCs w:val="14"/>
                  </w:rPr>
                  <w:t>5,166,915.99</w:t>
                </w:r>
              </w:p>
            </w:tc>
            <w:tc>
              <w:tcPr>
                <w:tcW w:w="401" w:type="pct"/>
                <w:shd w:val="clear" w:color="auto" w:fill="auto"/>
                <w:vAlign w:val="center"/>
              </w:tcPr>
              <w:p>
                <w:pPr>
                  <w:jc w:val="right"/>
                  <w:rPr>
                    <w:sz w:val="14"/>
                    <w:szCs w:val="14"/>
                  </w:rPr>
                </w:pPr>
                <w:r>
                  <w:rPr>
                    <w:sz w:val="14"/>
                    <w:szCs w:val="14"/>
                  </w:rPr>
                  <w:t>100,500,000.00</w:t>
                </w:r>
              </w:p>
            </w:tc>
            <w:tc>
              <w:tcPr>
                <w:tcW w:w="402" w:type="pct"/>
                <w:shd w:val="clear" w:color="auto" w:fill="auto"/>
                <w:vAlign w:val="center"/>
              </w:tcPr>
              <w:p>
                <w:pPr>
                  <w:jc w:val="right"/>
                  <w:rPr>
                    <w:sz w:val="14"/>
                    <w:szCs w:val="14"/>
                  </w:rPr>
                </w:pPr>
                <w:r>
                  <w:rPr>
                    <w:sz w:val="14"/>
                    <w:szCs w:val="14"/>
                  </w:rPr>
                  <w:t>10,162,988,068.62</w:t>
                </w:r>
              </w:p>
            </w:tc>
            <w:tc>
              <w:tcPr>
                <w:tcW w:w="424" w:type="pct"/>
                <w:shd w:val="clear" w:color="auto" w:fill="auto"/>
                <w:vAlign w:val="center"/>
              </w:tcPr>
              <w:p>
                <w:pPr>
                  <w:jc w:val="right"/>
                  <w:rPr>
                    <w:sz w:val="14"/>
                    <w:szCs w:val="14"/>
                  </w:rPr>
                </w:pPr>
                <w:r>
                  <w:rPr>
                    <w:sz w:val="14"/>
                    <w:szCs w:val="14"/>
                  </w:rPr>
                  <w:t>1,184,488,225.32</w:t>
                </w:r>
              </w:p>
            </w:tc>
          </w:tr>
        </w:tbl>
        <w:p>
          <w:pPr>
            <w:pStyle w:val="114"/>
          </w:pPr>
        </w:p>
      </w:sdtContent>
    </w:sdt>
    <w:sdt>
      <w:sdtPr>
        <w:rPr>
          <w:rFonts w:hint="eastAsia" w:ascii="宋体" w:hAnsi="宋体" w:cs="宋体"/>
          <w:b w:val="0"/>
          <w:bCs w:val="0"/>
          <w:kern w:val="0"/>
          <w:szCs w:val="21"/>
        </w:rPr>
        <w:alias w:val="模块:可转换公司债券的转股条件、转股时间说明："/>
        <w:tag w:val="_GBC_235b19ac1003437586dbfe1a48116b09"/>
        <w:id w:val="1118720985"/>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78"/>
            </w:numPr>
            <w:tabs>
              <w:tab w:val="left" w:pos="672"/>
            </w:tabs>
            <w:rPr>
              <w:rFonts w:ascii="宋体" w:hAnsi="宋体"/>
              <w:szCs w:val="21"/>
            </w:rPr>
          </w:pPr>
          <w:bookmarkStart w:id="221" w:name="OLE_LINK18"/>
          <w:bookmarkStart w:id="222" w:name="OLE_LINK16"/>
          <w:r>
            <w:rPr>
              <w:rFonts w:hint="eastAsia" w:ascii="宋体" w:hAnsi="宋体"/>
              <w:szCs w:val="21"/>
            </w:rPr>
            <w:t>可转换公司债券的转股条件、转股时间说明</w:t>
          </w:r>
        </w:p>
        <w:sdt>
          <w:sdtPr>
            <w:alias w:val="是否适用：可转换公司债券的转股条件、转股时间说明[双击切换]"/>
            <w:tag w:val="_GBC_bdbcbf7db2194e929d8f2f4945774241"/>
            <w:id w:val="-118728939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划分为金融负债的其他金融工具说明"/>
        <w:tag w:val="_GBC_d031ed2380884bb4aa3cb2efb2740308"/>
        <w:id w:val="-400449660"/>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78"/>
            </w:numPr>
            <w:tabs>
              <w:tab w:val="left" w:pos="672"/>
            </w:tabs>
            <w:rPr>
              <w:rFonts w:ascii="宋体" w:hAnsi="宋体"/>
              <w:szCs w:val="21"/>
            </w:rPr>
          </w:pPr>
          <w:bookmarkEnd w:id="221"/>
          <w:bookmarkEnd w:id="222"/>
          <w:r>
            <w:rPr>
              <w:rFonts w:hint="eastAsia" w:ascii="宋体" w:hAnsi="宋体"/>
              <w:szCs w:val="21"/>
            </w:rPr>
            <w:t>划分为金融负债的其他金融工具说明</w:t>
          </w:r>
        </w:p>
        <w:p>
          <w:pPr>
            <w:pStyle w:val="114"/>
          </w:pPr>
          <w:r>
            <w:rPr>
              <w:rFonts w:hint="eastAsia"/>
            </w:rPr>
            <w:t>期末发行在外的优先股、永续债等其他金融工具基本情况</w:t>
          </w:r>
        </w:p>
        <w:sdt>
          <w:sdtPr>
            <w:alias w:val="是否适用：划分为金融负债的其他金融工具说明[双击切换]"/>
            <w:tag w:val="_GBC_61542231aba54618ab4bd6d781bfab05"/>
            <w:id w:val="642284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185414594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2068604146"/>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rPr>
        <w:alias w:val="模块:应付债券其他说明"/>
        <w:tag w:val="_GBC_32fb23173d7a4a4fa8cb056982254a59"/>
        <w:id w:val="-1134634679"/>
        <w:lock w:val="sdtLocked"/>
        <w:placeholder>
          <w:docPart w:val="GBC22222222222222222222222222222"/>
        </w:placeholder>
      </w:sdtPr>
      <w:sdtEndPr>
        <w:rPr>
          <w:rFonts w:hint="eastAsia"/>
        </w:rPr>
      </w:sdtEndPr>
      <w:sdtContent>
        <w:p>
          <w:pPr>
            <w:spacing w:before="60" w:after="60"/>
          </w:pPr>
          <w:r>
            <w:rPr>
              <w:rFonts w:hint="eastAsia"/>
            </w:rPr>
            <w:t>其他说明：</w:t>
          </w:r>
        </w:p>
        <w:sdt>
          <w:sdtPr>
            <w:alias w:val="是否适用：应付债券的其他说明[双击切换]"/>
            <w:tag w:val="_GBC_34ea80305b6a4fafaf2943f684877d08"/>
            <w:id w:val="-532723030"/>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租赁负债"/>
        <w:tag w:val="_SEC_6bd3f432494344eb8aaf6d133dbbfdc8"/>
        <w:id w:val="1428922527"/>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租赁负债</w:t>
          </w:r>
        </w:p>
        <w:sdt>
          <w:sdtPr>
            <w:alias w:val="是否适用：租赁负债[双击切换]"/>
            <w:tag w:val="_GBC_cec9aedf0aa8427d9bd5dbf17e698298"/>
            <w:id w:val="58211241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租赁负债"/>
              <w:tag w:val="_GBC_3f1d18295bfb4156905ee3935811bc9f"/>
              <w:id w:val="1826557128"/>
              <w:lock w:val="sdtLocked"/>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元</w:t>
              </w:r>
            </w:sdtContent>
          </w:sdt>
          <w:r>
            <w:rPr>
              <w:rFonts w:hint="eastAsia"/>
            </w:rPr>
            <w:t xml:space="preserve">  币种：</w:t>
          </w:r>
          <w:sdt>
            <w:sdtPr>
              <w:rPr>
                <w:rFonts w:hint="eastAsia"/>
              </w:rPr>
              <w:alias w:val="币种：租赁负债"/>
              <w:tag w:val="_GBC_1ce63c76adb74c2f8d53dbdb5d73a87c"/>
              <w:id w:val="3169305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rPr>
                <w:rFonts w:hint="eastAsia"/>
              </w:rPr>
            </w:sdtEndPr>
            <w:sdtContent>
              <w:r>
                <w:rPr>
                  <w:rFonts w:hint="eastAsia"/>
                </w:rPr>
                <w:t>人民币</w:t>
              </w:r>
            </w:sdtContent>
          </w:sdt>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150"/>
            <w:gridCol w:w="2871"/>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07" w:hRule="atLeast"/>
            </w:trPr>
            <w:sdt>
              <w:sdtPr>
                <w:tag w:val="_PLD_27afd78cc4b04fa19a7adaa593b83cc4"/>
                <w:id w:val="1464774191"/>
                <w:lock w:val="sdtLocked"/>
              </w:sdtPr>
              <w:sdtContent>
                <w:tc>
                  <w:tcPr>
                    <w:tcW w:w="1771" w:type="pct"/>
                    <w:shd w:val="clear" w:color="auto" w:fill="auto"/>
                    <w:vAlign w:val="center"/>
                  </w:tcPr>
                  <w:p>
                    <w:pPr>
                      <w:jc w:val="center"/>
                    </w:pPr>
                    <w:r>
                      <w:rPr>
                        <w:rFonts w:hint="eastAsia"/>
                      </w:rPr>
                      <w:t>项目</w:t>
                    </w:r>
                  </w:p>
                </w:tc>
              </w:sdtContent>
            </w:sdt>
            <w:sdt>
              <w:sdtPr>
                <w:tag w:val="_PLD_473fbb207ad34f58a8a0f0451332e555"/>
                <w:id w:val="-1641419047"/>
                <w:lock w:val="sdtLocked"/>
              </w:sdtPr>
              <w:sdtContent>
                <w:tc>
                  <w:tcPr>
                    <w:tcW w:w="1614" w:type="pct"/>
                    <w:shd w:val="clear" w:color="auto" w:fill="auto"/>
                    <w:vAlign w:val="center"/>
                  </w:tcPr>
                  <w:p>
                    <w:pPr>
                      <w:jc w:val="center"/>
                    </w:pPr>
                    <w:r>
                      <w:rPr>
                        <w:rFonts w:hint="eastAsia"/>
                      </w:rPr>
                      <w:t>期末余额</w:t>
                    </w:r>
                  </w:p>
                </w:tc>
              </w:sdtContent>
            </w:sdt>
            <w:sdt>
              <w:sdtPr>
                <w:tag w:val="_PLD_81cf17ce1aff4bad8deb2792f3b6570d"/>
                <w:id w:val="1451358955"/>
                <w:lock w:val="sdtLocked"/>
              </w:sdtPr>
              <w:sdtContent>
                <w:tc>
                  <w:tcPr>
                    <w:tcW w:w="1615" w:type="pct"/>
                    <w:shd w:val="clear" w:color="auto" w:fill="auto"/>
                    <w:vAlign w:val="center"/>
                  </w:tcPr>
                  <w:p>
                    <w:pPr>
                      <w:jc w:val="center"/>
                    </w:pPr>
                    <w:r>
                      <w:rPr>
                        <w:rFonts w:hint="eastAsia"/>
                      </w:rPr>
                      <w:t>期初余额</w:t>
                    </w:r>
                  </w:p>
                </w:tc>
              </w:sdtContent>
            </w:sdt>
          </w:tr>
          <w:sdt>
            <w:sdtPr>
              <w:alias w:val="租赁负债明细"/>
              <w:tag w:val="_TUP_4f6c01aec10540a980fbed5fbec5a5f6"/>
              <w:id w:val="177621023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86" w:hRule="atLeast"/>
                </w:trPr>
                <w:tc>
                  <w:tcPr>
                    <w:tcW w:w="1771" w:type="pct"/>
                  </w:tcPr>
                  <w:p>
                    <w:r>
                      <w:rPr>
                        <w:rFonts w:hint="eastAsia"/>
                      </w:rPr>
                      <w:t>长期租赁负债</w:t>
                    </w:r>
                  </w:p>
                </w:tc>
                <w:tc>
                  <w:tcPr>
                    <w:tcW w:w="1614" w:type="pct"/>
                  </w:tcPr>
                  <w:p>
                    <w:pPr>
                      <w:jc w:val="right"/>
                    </w:pPr>
                    <w:r>
                      <w:t>23,884,362.88</w:t>
                    </w:r>
                  </w:p>
                </w:tc>
                <w:tc>
                  <w:tcPr>
                    <w:tcW w:w="1615" w:type="pct"/>
                  </w:tcPr>
                  <w:p>
                    <w:pPr>
                      <w:jc w:val="right"/>
                    </w:pPr>
                    <w:r>
                      <w:t>28,211,724.76</w:t>
                    </w:r>
                  </w:p>
                </w:tc>
              </w:tr>
            </w:sdtContent>
          </w:sdt>
          <w:sdt>
            <w:sdtPr>
              <w:alias w:val="租赁负债明细"/>
              <w:tag w:val="_TUP_4f6c01aec10540a980fbed5fbec5a5f6"/>
              <w:id w:val="185406438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86" w:hRule="atLeast"/>
                </w:trPr>
                <w:tc>
                  <w:tcPr>
                    <w:tcW w:w="1771" w:type="pct"/>
                  </w:tcPr>
                  <w:p>
                    <w:r>
                      <w:rPr>
                        <w:rFonts w:hint="eastAsia"/>
                      </w:rPr>
                      <w:t>减：一年内到期的租赁负债（附注七、</w:t>
                    </w:r>
                    <w:r>
                      <w:t>43）</w:t>
                    </w:r>
                  </w:p>
                </w:tc>
                <w:tc>
                  <w:tcPr>
                    <w:tcW w:w="1614" w:type="pct"/>
                  </w:tcPr>
                  <w:p>
                    <w:pPr>
                      <w:jc w:val="right"/>
                    </w:pPr>
                    <w:r>
                      <w:t>3,807,064.82</w:t>
                    </w:r>
                  </w:p>
                </w:tc>
                <w:tc>
                  <w:tcPr>
                    <w:tcW w:w="1615" w:type="pct"/>
                  </w:tcPr>
                  <w:p>
                    <w:pPr>
                      <w:jc w:val="right"/>
                    </w:pPr>
                    <w:r>
                      <w:t>7,911,433.32</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86" w:hRule="atLeast"/>
            </w:trPr>
            <w:sdt>
              <w:sdtPr>
                <w:tag w:val="_PLD_807a786371564fa194bf829b6d063d21"/>
                <w:id w:val="219877618"/>
                <w:lock w:val="sdtLocked"/>
              </w:sdtPr>
              <w:sdtContent>
                <w:tc>
                  <w:tcPr>
                    <w:tcW w:w="1771" w:type="pct"/>
                  </w:tcPr>
                  <w:p>
                    <w:pPr>
                      <w:jc w:val="center"/>
                    </w:pPr>
                    <w:r>
                      <w:rPr>
                        <w:rFonts w:hint="eastAsia"/>
                      </w:rPr>
                      <w:t>合计</w:t>
                    </w:r>
                  </w:p>
                </w:tc>
              </w:sdtContent>
            </w:sdt>
            <w:tc>
              <w:tcPr>
                <w:tcW w:w="1614" w:type="pct"/>
              </w:tcPr>
              <w:p>
                <w:pPr>
                  <w:jc w:val="right"/>
                </w:pPr>
                <w:r>
                  <w:t>20,077,298.06</w:t>
                </w:r>
              </w:p>
            </w:tc>
            <w:tc>
              <w:tcPr>
                <w:tcW w:w="1615" w:type="pct"/>
              </w:tcPr>
              <w:p>
                <w:pPr>
                  <w:jc w:val="right"/>
                </w:pPr>
                <w:r>
                  <w:t>20,300,291.44</w:t>
                </w:r>
              </w:p>
            </w:tc>
          </w:tr>
        </w:tbl>
        <w:p>
          <w:pPr>
            <w:snapToGrid w:val="0"/>
            <w:spacing w:before="60" w:after="60" w:line="240" w:lineRule="atLeast"/>
          </w:pPr>
          <w:r>
            <w:rPr>
              <w:rFonts w:hint="eastAsia"/>
            </w:rPr>
            <w:t>其他说明：</w:t>
          </w:r>
        </w:p>
        <w:sdt>
          <w:sdtPr>
            <w:alias w:val="租赁负债其他说明"/>
            <w:tag w:val="_GBC_cbaaaf9b0adf45f6a0dd93d6de03a6ea"/>
            <w:id w:val="-880468667"/>
            <w:lock w:val="sdtLocked"/>
          </w:sdtPr>
          <w:sdtContent>
            <w:p>
              <w:r>
                <w:rPr>
                  <w:rFonts w:hint="eastAsia"/>
                </w:rPr>
                <w:t>不适用。</w:t>
              </w:r>
            </w:p>
          </w:sdtContent>
        </w:sdt>
        <w:p>
          <w:pPr>
            <w:pStyle w:val="114"/>
          </w:pPr>
        </w:p>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长期应付款</w:t>
      </w:r>
    </w:p>
    <w:sdt>
      <w:sdtPr>
        <w:rPr>
          <w:rFonts w:hint="eastAsia" w:ascii="宋体" w:hAnsi="宋体" w:cs="宋体"/>
          <w:b w:val="0"/>
          <w:bCs w:val="0"/>
          <w:kern w:val="0"/>
          <w:szCs w:val="24"/>
        </w:rPr>
        <w:alias w:val="模块:项目列示"/>
        <w:tag w:val="_SEC_c0e96ee0f49e415f98873dfb1c798446"/>
        <w:id w:val="1619636747"/>
        <w:lock w:val="sdtLocked"/>
        <w:placeholder>
          <w:docPart w:val="GBC22222222222222222222222222222"/>
        </w:placeholder>
      </w:sdtPr>
      <w:sdtEndPr>
        <w:rPr>
          <w:rFonts w:hint="eastAsia" w:ascii="宋体" w:hAnsi="宋体" w:cs="宋体"/>
          <w:b w:val="0"/>
          <w:bCs w:val="0"/>
          <w:kern w:val="0"/>
          <w:szCs w:val="21"/>
        </w:rPr>
      </w:sdtEndPr>
      <w:sdtContent>
        <w:p>
          <w:pPr>
            <w:pStyle w:val="5"/>
            <w:rPr>
              <w:rFonts w:ascii="宋体" w:hAnsi="宋体"/>
            </w:rPr>
          </w:pPr>
          <w:bookmarkStart w:id="223" w:name="_Hlk10536746"/>
          <w:bookmarkStart w:id="224" w:name="_Hlk532911057"/>
          <w:r>
            <w:rPr>
              <w:rFonts w:hint="eastAsia" w:ascii="宋体" w:hAnsi="宋体"/>
            </w:rPr>
            <w:t>项目列示</w:t>
          </w:r>
        </w:p>
        <w:sdt>
          <w:sdtPr>
            <w:alias w:val="是否适用：长期应付款分类列示[双击切换]"/>
            <w:tag w:val="_GBC_dc1496c33e4a4cabb259020dbf46be93"/>
            <w:id w:val="134366498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长期应付款分类列示"/>
              <w:tag w:val="_GBC_ebfc605e57a44e54b3e33ac2adbd49b3"/>
              <w:id w:val="1260797221"/>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2633533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8"/>
            <w:gridCol w:w="2863"/>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3a93bba75a94d61a6bb41116821520d"/>
                <w:id w:val="-211040685"/>
                <w:lock w:val="sdtLocked"/>
              </w:sdtPr>
              <w:sdtContent>
                <w:tc>
                  <w:tcPr>
                    <w:tcW w:w="1828" w:type="pct"/>
                    <w:shd w:val="clear" w:color="auto" w:fill="auto"/>
                    <w:vAlign w:val="center"/>
                  </w:tcPr>
                  <w:p>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1063722716"/>
                <w:lock w:val="sdtLocked"/>
              </w:sdtPr>
              <w:sdtContent>
                <w:tc>
                  <w:tcPr>
                    <w:tcW w:w="1582" w:type="pct"/>
                    <w:shd w:val="clear" w:color="auto" w:fill="auto"/>
                    <w:vAlign w:val="center"/>
                  </w:tcPr>
                  <w:p>
                    <w:pPr>
                      <w:jc w:val="center"/>
                    </w:pPr>
                    <w:r>
                      <w:rPr>
                        <w:rFonts w:hint="eastAsia"/>
                      </w:rPr>
                      <w:t>期末余额</w:t>
                    </w:r>
                  </w:p>
                </w:tc>
              </w:sdtContent>
            </w:sdt>
            <w:sdt>
              <w:sdtPr>
                <w:tag w:val="_PLD_d7980fd6d7084f6bb108abf1cc53570a"/>
                <w:id w:val="-1630626235"/>
                <w:lock w:val="sdtLocked"/>
              </w:sdtPr>
              <w:sdtContent>
                <w:tc>
                  <w:tcPr>
                    <w:tcW w:w="1590" w:type="pct"/>
                    <w:shd w:val="clear" w:color="auto" w:fill="auto"/>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e2f309101aa42679809229e6373eaeb"/>
                <w:id w:val="519277389"/>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长期应付款</w:t>
                    </w:r>
                  </w:p>
                </w:tc>
              </w:sdtContent>
            </w:sdt>
            <w:tc>
              <w:tcPr>
                <w:tcW w:w="1582" w:type="pct"/>
                <w:shd w:val="clear" w:color="auto" w:fill="auto"/>
                <w:vAlign w:val="center"/>
              </w:tcPr>
              <w:p>
                <w:pPr>
                  <w:tabs>
                    <w:tab w:val="right" w:pos="3690"/>
                    <w:tab w:val="right" w:pos="5130"/>
                    <w:tab w:val="right" w:pos="6030"/>
                    <w:tab w:val="right" w:pos="7650"/>
                    <w:tab w:val="right" w:pos="9270"/>
                  </w:tabs>
                  <w:adjustRightInd w:val="0"/>
                  <w:snapToGrid w:val="0"/>
                  <w:jc w:val="right"/>
                </w:pPr>
                <w:r>
                  <w:t>71,404,993.74</w:t>
                </w:r>
              </w:p>
            </w:tc>
            <w:tc>
              <w:tcPr>
                <w:tcW w:w="1590" w:type="pct"/>
                <w:shd w:val="clear" w:color="auto" w:fill="auto"/>
                <w:vAlign w:val="center"/>
              </w:tcPr>
              <w:p>
                <w:pPr>
                  <w:tabs>
                    <w:tab w:val="right" w:pos="3690"/>
                    <w:tab w:val="right" w:pos="5130"/>
                    <w:tab w:val="right" w:pos="6030"/>
                    <w:tab w:val="right" w:pos="7650"/>
                    <w:tab w:val="right" w:pos="9270"/>
                  </w:tabs>
                  <w:adjustRightInd w:val="0"/>
                  <w:snapToGrid w:val="0"/>
                  <w:jc w:val="right"/>
                </w:pPr>
                <w:r>
                  <w:t>71,404,993.74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专项应付款</w:t>
                </w:r>
              </w:p>
            </w:tc>
            <w:tc>
              <w:tcPr>
                <w:tcW w:w="1582" w:type="pct"/>
                <w:shd w:val="clear" w:color="auto" w:fill="auto"/>
              </w:tcPr>
              <w:p>
                <w:pPr>
                  <w:tabs>
                    <w:tab w:val="right" w:pos="3690"/>
                    <w:tab w:val="right" w:pos="5130"/>
                    <w:tab w:val="right" w:pos="6030"/>
                    <w:tab w:val="right" w:pos="7650"/>
                    <w:tab w:val="right" w:pos="9270"/>
                  </w:tabs>
                  <w:adjustRightInd w:val="0"/>
                  <w:snapToGrid w:val="0"/>
                  <w:jc w:val="right"/>
                </w:pPr>
                <w:r>
                  <w:t> -</w:t>
                </w:r>
              </w:p>
            </w:tc>
            <w:tc>
              <w:tcPr>
                <w:tcW w:w="1590" w:type="pct"/>
                <w:shd w:val="clear" w:color="auto" w:fill="auto"/>
              </w:tcPr>
              <w:p>
                <w:pPr>
                  <w:tabs>
                    <w:tab w:val="right" w:pos="3690"/>
                    <w:tab w:val="right" w:pos="5130"/>
                    <w:tab w:val="right" w:pos="6030"/>
                    <w:tab w:val="right" w:pos="7650"/>
                    <w:tab w:val="right" w:pos="9270"/>
                  </w:tabs>
                  <w:adjustRightInd w:val="0"/>
                  <w:snapToGrid w:val="0"/>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ba41f27288e4eb38b01308f50786168"/>
                <w:id w:val="1572237095"/>
                <w:lock w:val="sdtLocked"/>
              </w:sdtPr>
              <w:sdtContent>
                <w:tc>
                  <w:tcPr>
                    <w:tcW w:w="1828" w:type="pct"/>
                    <w:shd w:val="clear" w:color="auto" w:fill="auto"/>
                  </w:tcPr>
                  <w:p>
                    <w:pPr>
                      <w:tabs>
                        <w:tab w:val="right" w:pos="3690"/>
                        <w:tab w:val="right" w:pos="5130"/>
                        <w:tab w:val="right" w:pos="6030"/>
                        <w:tab w:val="right" w:pos="7650"/>
                        <w:tab w:val="right" w:pos="9270"/>
                      </w:tabs>
                      <w:adjustRightInd w:val="0"/>
                      <w:snapToGrid w:val="0"/>
                    </w:pPr>
                    <w:r>
                      <w:rPr>
                        <w:rFonts w:hint="eastAsia"/>
                      </w:rPr>
                      <w:t>合计</w:t>
                    </w:r>
                  </w:p>
                </w:tc>
              </w:sdtContent>
            </w:sdt>
            <w:tc>
              <w:tcPr>
                <w:tcW w:w="1582" w:type="pct"/>
                <w:shd w:val="clear" w:color="auto" w:fill="auto"/>
                <w:vAlign w:val="center"/>
              </w:tcPr>
              <w:p>
                <w:pPr>
                  <w:tabs>
                    <w:tab w:val="right" w:pos="3690"/>
                    <w:tab w:val="right" w:pos="5130"/>
                    <w:tab w:val="right" w:pos="6030"/>
                    <w:tab w:val="right" w:pos="7650"/>
                    <w:tab w:val="right" w:pos="9270"/>
                  </w:tabs>
                  <w:adjustRightInd w:val="0"/>
                  <w:snapToGrid w:val="0"/>
                  <w:jc w:val="right"/>
                </w:pPr>
                <w:r>
                  <w:t>71,404,993.74</w:t>
                </w:r>
              </w:p>
            </w:tc>
            <w:tc>
              <w:tcPr>
                <w:tcW w:w="1590" w:type="pct"/>
                <w:shd w:val="clear" w:color="auto" w:fill="auto"/>
                <w:vAlign w:val="center"/>
              </w:tcPr>
              <w:p>
                <w:pPr>
                  <w:tabs>
                    <w:tab w:val="right" w:pos="3690"/>
                    <w:tab w:val="right" w:pos="5130"/>
                    <w:tab w:val="right" w:pos="6030"/>
                    <w:tab w:val="right" w:pos="7650"/>
                    <w:tab w:val="right" w:pos="9270"/>
                  </w:tabs>
                  <w:adjustRightInd w:val="0"/>
                  <w:snapToGrid w:val="0"/>
                  <w:jc w:val="right"/>
                </w:pPr>
                <w:r>
                  <w:t>71,404,993.74</w:t>
                </w:r>
              </w:p>
            </w:tc>
          </w:tr>
        </w:tbl>
        <w:p>
          <w:pPr>
            <w:pStyle w:val="114"/>
          </w:pPr>
          <w:r>
            <w:rPr>
              <w:rFonts w:hint="eastAsia"/>
            </w:rPr>
            <w:t>其他说明：</w:t>
          </w:r>
        </w:p>
        <w:sdt>
          <w:sdtPr>
            <w:rPr>
              <w:rFonts w:hint="eastAsia"/>
            </w:rPr>
            <w:alias w:val="长期应付款分类列示其他说明"/>
            <w:tag w:val="_GBC_431a8b84aeeb4e0fa07aef9d9af1a46d"/>
            <w:id w:val="2023050517"/>
            <w:lock w:val="sdtLocked"/>
          </w:sdtPr>
          <w:sdtEndPr>
            <w:rPr>
              <w:rFonts w:hint="eastAsia"/>
            </w:rPr>
          </w:sdtEndPr>
          <w:sdtContent>
            <w:p>
              <w:pPr>
                <w:pStyle w:val="114"/>
              </w:pPr>
              <w:r>
                <w:rPr>
                  <w:rFonts w:hint="eastAsia"/>
                </w:rPr>
                <w:t>不适用</w:t>
              </w:r>
            </w:p>
          </w:sdtContent>
        </w:sdt>
        <w:p>
          <w:pPr>
            <w:pStyle w:val="114"/>
          </w:pPr>
        </w:p>
        <w:p>
          <w:pPr>
            <w:pStyle w:val="114"/>
          </w:pPr>
        </w:p>
      </w:sdtContent>
    </w:sdt>
    <w:bookmarkEnd w:id="223"/>
    <w:bookmarkEnd w:id="224"/>
    <w:sdt>
      <w:sdtPr>
        <w:rPr>
          <w:rFonts w:hint="eastAsia" w:ascii="宋体" w:hAnsi="宋体" w:cs="宋体"/>
          <w:b w:val="0"/>
          <w:bCs w:val="0"/>
          <w:kern w:val="0"/>
          <w:szCs w:val="24"/>
        </w:rPr>
        <w:alias w:val="模块:长期应付款"/>
        <w:tag w:val="_SEC_1ac73daea3484386b92787e79e677fbb"/>
        <w:id w:val="-1231457493"/>
        <w:lock w:val="sdtLocked"/>
        <w:placeholder>
          <w:docPart w:val="GBC22222222222222222222222222222"/>
        </w:placeholder>
      </w:sdtPr>
      <w:sdtEndPr>
        <w:rPr>
          <w:rFonts w:hint="default" w:ascii="宋体" w:hAnsi="宋体" w:cs="宋体"/>
          <w:b w:val="0"/>
          <w:bCs w:val="0"/>
          <w:kern w:val="0"/>
          <w:szCs w:val="21"/>
        </w:rPr>
      </w:sdtEndPr>
      <w:sdtContent>
        <w:p>
          <w:pPr>
            <w:pStyle w:val="5"/>
            <w:ind w:left="360" w:hanging="360"/>
            <w:rPr>
              <w:rFonts w:ascii="宋体" w:hAnsi="宋体"/>
            </w:rPr>
          </w:pPr>
          <w:bookmarkStart w:id="225" w:name="_Hlk10536806"/>
          <w:bookmarkStart w:id="226" w:name="_Hlk10536877"/>
          <w:r>
            <w:rPr>
              <w:rFonts w:hint="eastAsia" w:ascii="宋体" w:hAnsi="宋体"/>
            </w:rPr>
            <w:t>长期应付款</w:t>
          </w:r>
          <w:bookmarkEnd w:id="225"/>
        </w:p>
        <w:sdt>
          <w:sdtPr>
            <w:alias w:val="是否适用：按款项性质列示长期应付款[双击切换]"/>
            <w:tag w:val="_GBC_a9fa9a5286484f4bb853b1eff824e621"/>
            <w:id w:val="-1008906707"/>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长期应付款"/>
              <w:tag w:val="_GBC_8d90e4088fac4efe85a76cd0e30766e1"/>
              <w:id w:val="18749576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长期应付款"/>
              <w:tag w:val="_GBC_571b1adfcb634dcbb4fbdf0991f3e029"/>
              <w:id w:val="-4236477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3209"/>
            <w:gridCol w:w="2924"/>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307" w:hRule="atLeast"/>
            </w:trPr>
            <w:sdt>
              <w:sdtPr>
                <w:tag w:val="_PLD_35c3ed078068475db04283d6d6c22bb5"/>
                <w:id w:val="1995912961"/>
                <w:lock w:val="sdtLocked"/>
              </w:sdtPr>
              <w:sdtContent>
                <w:tc>
                  <w:tcPr>
                    <w:tcW w:w="1771" w:type="pct"/>
                    <w:shd w:val="clear" w:color="auto" w:fill="auto"/>
                    <w:vAlign w:val="center"/>
                  </w:tcPr>
                  <w:p>
                    <w:pPr>
                      <w:jc w:val="center"/>
                    </w:pPr>
                    <w:r>
                      <w:rPr>
                        <w:rFonts w:hint="eastAsia"/>
                      </w:rPr>
                      <w:t>项目</w:t>
                    </w:r>
                  </w:p>
                </w:tc>
              </w:sdtContent>
            </w:sdt>
            <w:sdt>
              <w:sdtPr>
                <w:tag w:val="_PLD_b59846bd1adb4f398cd1737332e81edb"/>
                <w:id w:val="-2071717722"/>
                <w:lock w:val="sdtLocked"/>
              </w:sdtPr>
              <w:sdtContent>
                <w:tc>
                  <w:tcPr>
                    <w:tcW w:w="1614" w:type="pct"/>
                    <w:shd w:val="clear" w:color="auto" w:fill="auto"/>
                    <w:vAlign w:val="center"/>
                  </w:tcPr>
                  <w:p>
                    <w:pPr>
                      <w:jc w:val="center"/>
                    </w:pPr>
                    <w:r>
                      <w:rPr>
                        <w:rFonts w:hint="eastAsia"/>
                      </w:rPr>
                      <w:t>期末余额</w:t>
                    </w:r>
                  </w:p>
                </w:tc>
              </w:sdtContent>
            </w:sdt>
            <w:sdt>
              <w:sdtPr>
                <w:tag w:val="_PLD_184e30079df94f509e7e7ea9142928df"/>
                <w:id w:val="-133572596"/>
                <w:lock w:val="sdtLocked"/>
              </w:sdtPr>
              <w:sdtContent>
                <w:tc>
                  <w:tcPr>
                    <w:tcW w:w="1615" w:type="pct"/>
                    <w:shd w:val="clear" w:color="auto" w:fill="auto"/>
                    <w:vAlign w:val="center"/>
                  </w:tcPr>
                  <w:p>
                    <w:pPr>
                      <w:jc w:val="center"/>
                    </w:pPr>
                    <w:r>
                      <w:rPr>
                        <w:rFonts w:hint="eastAsia"/>
                      </w:rPr>
                      <w:t>期初余额</w:t>
                    </w:r>
                  </w:p>
                </w:tc>
              </w:sdtContent>
            </w:sdt>
          </w:tr>
          <w:sdt>
            <w:sdtPr>
              <w:alias w:val="按款项性质列示长期应付款明细"/>
              <w:tag w:val="_TUP_618fba5b46de42ad8e723e9585c5f36d"/>
              <w:id w:val="-153017700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86" w:hRule="atLeast"/>
                </w:trPr>
                <w:tc>
                  <w:tcPr>
                    <w:tcW w:w="1771" w:type="pct"/>
                  </w:tcPr>
                  <w:p>
                    <w:pPr>
                      <w:pStyle w:val="114"/>
                    </w:pPr>
                    <w:r>
                      <w:t>长期应付海域使用金</w:t>
                    </w:r>
                  </w:p>
                </w:tc>
                <w:tc>
                  <w:tcPr>
                    <w:tcW w:w="1614" w:type="pct"/>
                  </w:tcPr>
                  <w:p>
                    <w:pPr>
                      <w:jc w:val="right"/>
                    </w:pPr>
                    <w:r>
                      <w:t>74,682,514.70</w:t>
                    </w:r>
                  </w:p>
                </w:tc>
                <w:tc>
                  <w:tcPr>
                    <w:tcW w:w="1615" w:type="pct"/>
                  </w:tcPr>
                  <w:p>
                    <w:pPr>
                      <w:jc w:val="right"/>
                    </w:pPr>
                    <w:r>
                      <w:t>73,003,435.70</w:t>
                    </w:r>
                  </w:p>
                </w:tc>
              </w:tr>
            </w:sdtContent>
          </w:sdt>
          <w:sdt>
            <w:sdtPr>
              <w:alias w:val="按款项性质列示长期应付款明细"/>
              <w:tag w:val="_TUP_618fba5b46de42ad8e723e9585c5f36d"/>
              <w:id w:val="86410848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86" w:hRule="atLeast"/>
                </w:trPr>
                <w:tc>
                  <w:tcPr>
                    <w:tcW w:w="1771" w:type="pct"/>
                  </w:tcPr>
                  <w:p>
                    <w:pPr>
                      <w:pStyle w:val="114"/>
                    </w:pPr>
                    <w:r>
                      <w:t>减：一年内到期的长期应付款</w:t>
                    </w:r>
                  </w:p>
                </w:tc>
                <w:tc>
                  <w:tcPr>
                    <w:tcW w:w="1614" w:type="pct"/>
                  </w:tcPr>
                  <w:p>
                    <w:pPr>
                      <w:jc w:val="right"/>
                    </w:pPr>
                    <w:r>
                      <w:t>3,277,520.96</w:t>
                    </w:r>
                  </w:p>
                </w:tc>
                <w:tc>
                  <w:tcPr>
                    <w:tcW w:w="1615" w:type="pct"/>
                  </w:tcPr>
                  <w:p>
                    <w:pPr>
                      <w:jc w:val="right"/>
                    </w:pPr>
                    <w:r>
                      <w:t>1,598,441.96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86" w:hRule="atLeast"/>
            </w:trPr>
            <w:sdt>
              <w:sdtPr>
                <w:tag w:val="_PLD_b9d5f725e3e04d2eb1e0e4d55b521e84"/>
                <w:id w:val="113874881"/>
                <w:lock w:val="sdtLocked"/>
              </w:sdtPr>
              <w:sdtContent>
                <w:tc>
                  <w:tcPr>
                    <w:tcW w:w="1771" w:type="pct"/>
                  </w:tcPr>
                  <w:p>
                    <w:pPr>
                      <w:jc w:val="center"/>
                    </w:pPr>
                    <w:r>
                      <w:rPr>
                        <w:rFonts w:hint="eastAsia"/>
                      </w:rPr>
                      <w:t>合计</w:t>
                    </w:r>
                  </w:p>
                </w:tc>
              </w:sdtContent>
            </w:sdt>
            <w:tc>
              <w:tcPr>
                <w:tcW w:w="1614" w:type="pct"/>
                <w:vAlign w:val="center"/>
              </w:tcPr>
              <w:p>
                <w:pPr>
                  <w:jc w:val="right"/>
                </w:pPr>
                <w:r>
                  <w:t>71,404,993.74</w:t>
                </w:r>
              </w:p>
            </w:tc>
            <w:tc>
              <w:tcPr>
                <w:tcW w:w="1615" w:type="pct"/>
                <w:vAlign w:val="center"/>
              </w:tcPr>
              <w:p>
                <w:pPr>
                  <w:jc w:val="right"/>
                </w:pPr>
                <w:r>
                  <w:t>71,404,993.74</w:t>
                </w:r>
              </w:p>
            </w:tc>
          </w:tr>
        </w:tbl>
        <w:p>
          <w:pPr>
            <w:snapToGrid w:val="0"/>
            <w:spacing w:line="240" w:lineRule="atLeast"/>
          </w:pPr>
          <w:r>
            <w:rPr>
              <w:rFonts w:hint="eastAsia"/>
            </w:rPr>
            <w:t>其他说明：</w:t>
          </w:r>
        </w:p>
        <w:p>
          <w:pPr>
            <w:snapToGrid w:val="0"/>
            <w:spacing w:line="240" w:lineRule="atLeast"/>
          </w:pPr>
          <w:sdt>
            <w:sdtPr>
              <w:alias w:val="长期应付款的说明"/>
              <w:tag w:val="_GBC_26dfebab321040728d621ff8ca8d9de0"/>
              <w:id w:val="723798918"/>
              <w:lock w:val="sdtLocked"/>
              <w:placeholder>
                <w:docPart w:val="GBC22222222222222222222222222222"/>
              </w:placeholder>
            </w:sdtPr>
            <w:sdtContent>
              <w:r>
                <w:rPr>
                  <w:rFonts w:hint="eastAsia"/>
                </w:rPr>
                <w:t>不适用。</w:t>
              </w:r>
            </w:sdtContent>
          </w:sdt>
        </w:p>
        <w:p>
          <w:pPr>
            <w:pStyle w:val="114"/>
          </w:pPr>
        </w:p>
      </w:sdtContent>
    </w:sdt>
    <w:bookmarkEnd w:id="226"/>
    <w:sdt>
      <w:sdtPr>
        <w:rPr>
          <w:rFonts w:hint="eastAsia" w:ascii="宋体" w:hAnsi="宋体" w:cs="宋体"/>
          <w:b w:val="0"/>
          <w:bCs w:val="0"/>
          <w:kern w:val="0"/>
          <w:szCs w:val="24"/>
        </w:rPr>
        <w:alias w:val="模块:专项应付款"/>
        <w:tag w:val="_GBC_6847689be8c1493eb5db4e6dbab0fdbe"/>
        <w:id w:val="-1187987681"/>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5"/>
            <w:rPr>
              <w:rFonts w:ascii="宋体" w:hAnsi="宋体"/>
            </w:rPr>
          </w:pPr>
          <w:r>
            <w:rPr>
              <w:rFonts w:hint="eastAsia" w:ascii="宋体" w:hAnsi="宋体"/>
            </w:rPr>
            <w:t>专项应付款</w:t>
          </w:r>
        </w:p>
        <w:sdt>
          <w:sdtPr>
            <w:alias w:val="是否适用：专项应付款[双击切换]"/>
            <w:tag w:val="_GBC_f70a824e87784429a75fa648d7634cf8"/>
            <w:id w:val="-153310983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pPr>
        </w:p>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长期应付职工薪酬</w:t>
      </w:r>
    </w:p>
    <w:sdt>
      <w:sdtPr>
        <w:alias w:val="是否适用：长期应付职工薪酬[双击切换]"/>
        <w:tag w:val="_GBC_077559b601814bb38f16734f98e8c045"/>
        <w:id w:val="208957712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
      <w:sdtPr>
        <w:rPr>
          <w:rFonts w:hint="eastAsia" w:ascii="宋体" w:hAnsi="宋体" w:cs="宋体"/>
          <w:b w:val="0"/>
          <w:bCs w:val="0"/>
          <w:kern w:val="0"/>
          <w:szCs w:val="21"/>
        </w:rPr>
        <w:alias w:val="模块:预计负债"/>
        <w:tag w:val="_GBC_6b41f75046264d5392c8786bf4fd2da4"/>
        <w:id w:val="1129824666"/>
        <w:lock w:val="sdtLocked"/>
        <w:placeholder>
          <w:docPart w:val="GBC22222222222222222222222222222"/>
        </w:placeholder>
      </w:sdtPr>
      <w:sdtEndPr>
        <w:rPr>
          <w:rFonts w:hint="default" w:ascii="宋体" w:hAnsi="宋体" w:cstheme="minorBidi"/>
          <w:b w:val="0"/>
          <w:bCs w:val="0"/>
          <w:kern w:val="2"/>
          <w:szCs w:val="21"/>
        </w:rPr>
      </w:sdtEndPr>
      <w:sdtContent>
        <w:p>
          <w:pPr>
            <w:pStyle w:val="4"/>
            <w:numPr>
              <w:ilvl w:val="0"/>
              <w:numId w:val="51"/>
            </w:numPr>
            <w:tabs>
              <w:tab w:val="left" w:pos="504"/>
            </w:tabs>
            <w:rPr>
              <w:rFonts w:ascii="宋体" w:hAnsi="宋体"/>
              <w:szCs w:val="21"/>
            </w:rPr>
          </w:pPr>
          <w:bookmarkStart w:id="227" w:name="_Hlk10537141"/>
          <w:r>
            <w:rPr>
              <w:rFonts w:hint="eastAsia" w:ascii="宋体" w:hAnsi="宋体"/>
              <w:szCs w:val="21"/>
            </w:rPr>
            <w:t>预计负债</w:t>
          </w:r>
        </w:p>
        <w:sdt>
          <w:sdtPr>
            <w:alias w:val="是否适用：预计负债[双击切换]"/>
            <w:tag w:val="_GBC_1687da235caf410f866f00240cee7fdb"/>
            <w:id w:val="102961101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pPr>
        </w:p>
      </w:sdtContent>
    </w:sdt>
    <w:bookmarkEnd w:id="227"/>
    <w:p>
      <w:pPr>
        <w:pStyle w:val="114"/>
      </w:pPr>
    </w:p>
    <w:p>
      <w:pPr>
        <w:pStyle w:val="4"/>
        <w:numPr>
          <w:ilvl w:val="0"/>
          <w:numId w:val="51"/>
        </w:numPr>
        <w:tabs>
          <w:tab w:val="left" w:pos="504"/>
        </w:tabs>
        <w:rPr>
          <w:rFonts w:ascii="宋体" w:hAnsi="宋体"/>
          <w:szCs w:val="21"/>
        </w:rPr>
      </w:pPr>
      <w:r>
        <w:rPr>
          <w:rFonts w:hint="eastAsia" w:ascii="宋体" w:hAnsi="宋体"/>
          <w:szCs w:val="21"/>
        </w:rPr>
        <w:t>递延收益</w:t>
      </w:r>
    </w:p>
    <w:sdt>
      <w:sdtPr>
        <w:rPr>
          <w:rFonts w:hint="eastAsia" w:ascii="宋体" w:hAnsi="宋体" w:cs="宋体"/>
          <w:kern w:val="0"/>
          <w:szCs w:val="21"/>
        </w:rPr>
        <w:alias w:val="模块:递延收益"/>
        <w:tag w:val="_GBC_8d74a4d69f6940c3968ca9c4cf2a1b4c"/>
        <w:id w:val="-1809010614"/>
        <w:lock w:val="sdtLocked"/>
        <w:placeholder>
          <w:docPart w:val="GBC22222222222222222222222222222"/>
        </w:placeholder>
      </w:sdtPr>
      <w:sdtEndPr>
        <w:rPr>
          <w:rFonts w:hint="default" w:ascii="宋体" w:hAnsi="宋体" w:cs="宋体"/>
          <w:kern w:val="0"/>
          <w:szCs w:val="21"/>
        </w:rPr>
      </w:sdtEndPr>
      <w:sdtContent>
        <w:p>
          <w:pPr>
            <w:pStyle w:val="55"/>
            <w:ind w:firstLine="0" w:firstLineChars="0"/>
            <w:jc w:val="left"/>
            <w:rPr>
              <w:rFonts w:ascii="宋体" w:hAnsi="宋体" w:cs="宋体"/>
              <w:kern w:val="0"/>
              <w:szCs w:val="21"/>
            </w:rPr>
          </w:pPr>
          <w:r>
            <w:rPr>
              <w:rFonts w:hint="eastAsia" w:ascii="宋体" w:hAnsi="宋体" w:cs="宋体"/>
              <w:kern w:val="0"/>
              <w:szCs w:val="21"/>
            </w:rPr>
            <w:t>递延收益情况</w:t>
          </w:r>
        </w:p>
        <w:sdt>
          <w:sdtPr>
            <w:rPr>
              <w:rFonts w:ascii="宋体" w:hAnsi="宋体" w:cs="宋体"/>
              <w:kern w:val="0"/>
              <w:szCs w:val="21"/>
            </w:rPr>
            <w:alias w:val="是否适用：递延收益情况 [双击切换]"/>
            <w:tag w:val="_GBC_2c1393684e764245824b2390014e92f1"/>
            <w:id w:val="-1595467480"/>
            <w:lock w:val="sdtLocked"/>
            <w:placeholder>
              <w:docPart w:val="GBC22222222222222222222222222222"/>
            </w:placeholder>
          </w:sdtPr>
          <w:sdtEndPr>
            <w:rPr>
              <w:rFonts w:ascii="宋体" w:hAnsi="宋体" w:cs="宋体"/>
              <w:kern w:val="0"/>
              <w:szCs w:val="21"/>
            </w:rPr>
          </w:sdtEndPr>
          <w:sdtContent>
            <w:p>
              <w:pPr>
                <w:pStyle w:val="55"/>
                <w:ind w:firstLine="0" w:firstLineChars="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财务附注：递延收益"/>
              <w:tag w:val="_GBC_cf9505178ef64cd8b1a42757a7aaf77d"/>
              <w:id w:val="1613939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财务附注：递延收益"/>
              <w:tag w:val="_GBC_b7ba9c3d835b413e83140a438bc5c413"/>
              <w:id w:val="-20179097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1622"/>
            <w:gridCol w:w="1379"/>
            <w:gridCol w:w="1513"/>
            <w:gridCol w:w="1622"/>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trPr>
            <w:sdt>
              <w:sdtPr>
                <w:tag w:val="_PLD_eeb45564af314089916105a5217e0ff6"/>
                <w:id w:val="791399691"/>
                <w:lock w:val="sdtLocked"/>
              </w:sdtPr>
              <w:sdtContent>
                <w:tc>
                  <w:tcPr>
                    <w:tcW w:w="785" w:type="pct"/>
                    <w:shd w:val="clear" w:color="auto" w:fill="auto"/>
                    <w:vAlign w:val="center"/>
                  </w:tcPr>
                  <w:p>
                    <w:pPr>
                      <w:jc w:val="center"/>
                    </w:pPr>
                    <w:r>
                      <w:rPr>
                        <w:rFonts w:hint="eastAsia"/>
                      </w:rPr>
                      <w:t>项目</w:t>
                    </w:r>
                  </w:p>
                </w:tc>
              </w:sdtContent>
            </w:sdt>
            <w:sdt>
              <w:sdtPr>
                <w:tag w:val="_PLD_e0613743f99d4af58a75406a4e2ba5a1"/>
                <w:id w:val="-1879851042"/>
                <w:lock w:val="sdtLocked"/>
              </w:sdtPr>
              <w:sdtContent>
                <w:tc>
                  <w:tcPr>
                    <w:tcW w:w="896" w:type="pct"/>
                    <w:shd w:val="clear" w:color="auto" w:fill="auto"/>
                    <w:vAlign w:val="center"/>
                  </w:tcPr>
                  <w:p>
                    <w:pPr>
                      <w:jc w:val="center"/>
                    </w:pPr>
                    <w:r>
                      <w:rPr>
                        <w:rFonts w:hint="eastAsia"/>
                      </w:rPr>
                      <w:t>期初余额</w:t>
                    </w:r>
                  </w:p>
                </w:tc>
              </w:sdtContent>
            </w:sdt>
            <w:sdt>
              <w:sdtPr>
                <w:tag w:val="_PLD_a27f928ad4574fe594e5f995d7a37059"/>
                <w:id w:val="151733320"/>
                <w:lock w:val="sdtLocked"/>
              </w:sdtPr>
              <w:sdtContent>
                <w:tc>
                  <w:tcPr>
                    <w:tcW w:w="762" w:type="pct"/>
                    <w:shd w:val="clear" w:color="auto" w:fill="auto"/>
                    <w:vAlign w:val="center"/>
                  </w:tcPr>
                  <w:p>
                    <w:pPr>
                      <w:jc w:val="center"/>
                    </w:pPr>
                    <w:r>
                      <w:rPr>
                        <w:rFonts w:hint="eastAsia"/>
                      </w:rPr>
                      <w:t>本期增加</w:t>
                    </w:r>
                  </w:p>
                </w:tc>
              </w:sdtContent>
            </w:sdt>
            <w:sdt>
              <w:sdtPr>
                <w:tag w:val="_PLD_ed95bef3663d40fb90dd15d113f7f2c1"/>
                <w:id w:val="-828896027"/>
                <w:lock w:val="sdtLocked"/>
              </w:sdtPr>
              <w:sdtContent>
                <w:tc>
                  <w:tcPr>
                    <w:tcW w:w="836" w:type="pct"/>
                    <w:shd w:val="clear" w:color="auto" w:fill="auto"/>
                    <w:vAlign w:val="center"/>
                  </w:tcPr>
                  <w:p>
                    <w:pPr>
                      <w:jc w:val="center"/>
                    </w:pPr>
                    <w:r>
                      <w:rPr>
                        <w:rFonts w:hint="eastAsia"/>
                      </w:rPr>
                      <w:t>本期减少</w:t>
                    </w:r>
                  </w:p>
                </w:tc>
              </w:sdtContent>
            </w:sdt>
            <w:sdt>
              <w:sdtPr>
                <w:tag w:val="_PLD_367cd0591009413e93857494eaf8170a"/>
                <w:id w:val="-15084836"/>
                <w:lock w:val="sdtLocked"/>
              </w:sdtPr>
              <w:sdtContent>
                <w:tc>
                  <w:tcPr>
                    <w:tcW w:w="896" w:type="pct"/>
                    <w:shd w:val="clear" w:color="auto" w:fill="auto"/>
                    <w:vAlign w:val="center"/>
                  </w:tcPr>
                  <w:p>
                    <w:pPr>
                      <w:jc w:val="center"/>
                    </w:pPr>
                    <w:bookmarkStart w:id="228" w:name="OLE_LINK67"/>
                    <w:bookmarkStart w:id="229" w:name="OLE_LINK66"/>
                    <w:r>
                      <w:rPr>
                        <w:rFonts w:hint="eastAsia"/>
                      </w:rPr>
                      <w:t>期末余额</w:t>
                    </w:r>
                  </w:p>
                  <w:bookmarkEnd w:id="228"/>
                  <w:bookmarkEnd w:id="229"/>
                </w:tc>
              </w:sdtContent>
            </w:sdt>
            <w:sdt>
              <w:sdtPr>
                <w:tag w:val="_PLD_d61ffc61194047d79611cccd8488aece"/>
                <w:id w:val="-1508354686"/>
                <w:lock w:val="sdtLocked"/>
              </w:sdtPr>
              <w:sdtContent>
                <w:tc>
                  <w:tcPr>
                    <w:tcW w:w="824" w:type="pct"/>
                    <w:shd w:val="clear" w:color="auto" w:fill="auto"/>
                    <w:vAlign w:val="center"/>
                  </w:tcPr>
                  <w:p>
                    <w:pPr>
                      <w:jc w:val="center"/>
                    </w:pPr>
                    <w:r>
                      <w:rPr>
                        <w:rFonts w:hint="eastAsia"/>
                      </w:rPr>
                      <w:t>形成原因</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c4ae7ac076814abda447ee2261fb9baa"/>
                <w:id w:val="-1333832803"/>
                <w:lock w:val="sdtLocked"/>
              </w:sdtPr>
              <w:sdtContent>
                <w:tc>
                  <w:tcPr>
                    <w:tcW w:w="785" w:type="pct"/>
                    <w:shd w:val="clear" w:color="auto" w:fill="auto"/>
                    <w:vAlign w:val="center"/>
                  </w:tcPr>
                  <w:p>
                    <w:pPr>
                      <w:pStyle w:val="114"/>
                    </w:pPr>
                    <w:r>
                      <w:rPr>
                        <w:rFonts w:hint="eastAsia"/>
                      </w:rPr>
                      <w:t>政府补助</w:t>
                    </w:r>
                  </w:p>
                </w:tc>
              </w:sdtContent>
            </w:sdt>
            <w:tc>
              <w:tcPr>
                <w:tcW w:w="896" w:type="pct"/>
                <w:shd w:val="clear" w:color="auto" w:fill="auto"/>
                <w:vAlign w:val="center"/>
              </w:tcPr>
              <w:p>
                <w:pPr>
                  <w:jc w:val="right"/>
                </w:pPr>
                <w:r>
                  <w:t>73,860,914.18</w:t>
                </w:r>
              </w:p>
            </w:tc>
            <w:tc>
              <w:tcPr>
                <w:tcW w:w="762" w:type="pct"/>
                <w:shd w:val="clear" w:color="auto" w:fill="auto"/>
                <w:vAlign w:val="center"/>
              </w:tcPr>
              <w:p>
                <w:pPr>
                  <w:jc w:val="right"/>
                </w:pPr>
                <w:r>
                  <w:t>-</w:t>
                </w:r>
              </w:p>
            </w:tc>
            <w:tc>
              <w:tcPr>
                <w:tcW w:w="836" w:type="pct"/>
                <w:shd w:val="clear" w:color="auto" w:fill="auto"/>
                <w:vAlign w:val="center"/>
              </w:tcPr>
              <w:p>
                <w:pPr>
                  <w:jc w:val="right"/>
                </w:pPr>
                <w:r>
                  <w:t>5,046,765.49</w:t>
                </w:r>
              </w:p>
            </w:tc>
            <w:tc>
              <w:tcPr>
                <w:tcW w:w="896" w:type="pct"/>
                <w:shd w:val="clear" w:color="auto" w:fill="auto"/>
                <w:vAlign w:val="center"/>
              </w:tcPr>
              <w:p>
                <w:pPr>
                  <w:jc w:val="right"/>
                </w:pPr>
                <w:r>
                  <w:t>68,814,148.69</w:t>
                </w:r>
              </w:p>
            </w:tc>
            <w:tc>
              <w:tcPr>
                <w:tcW w:w="824" w:type="pct"/>
                <w:shd w:val="clear" w:color="auto" w:fill="auto"/>
                <w:vAlign w:val="center"/>
              </w:tcPr>
              <w:p>
                <w:pPr>
                  <w:pStyle w:val="114"/>
                </w:pPr>
                <w:r>
                  <w:rPr>
                    <w:rFonts w:hint="eastAsia"/>
                  </w:rPr>
                  <w:t>宁常高速公路建设补助及省界收费站改造工程建设补助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dc5eff4e97a943cb9b913ed360e42749"/>
                <w:id w:val="-28411853"/>
                <w:lock w:val="sdtLocked"/>
              </w:sdtPr>
              <w:sdtContent>
                <w:tc>
                  <w:tcPr>
                    <w:tcW w:w="785" w:type="pct"/>
                    <w:shd w:val="clear" w:color="auto" w:fill="auto"/>
                    <w:vAlign w:val="center"/>
                  </w:tcPr>
                  <w:p>
                    <w:pPr>
                      <w:jc w:val="center"/>
                    </w:pPr>
                    <w:r>
                      <w:rPr>
                        <w:rFonts w:hint="eastAsia"/>
                      </w:rPr>
                      <w:t>合计</w:t>
                    </w:r>
                  </w:p>
                </w:tc>
              </w:sdtContent>
            </w:sdt>
            <w:tc>
              <w:tcPr>
                <w:tcW w:w="896" w:type="pct"/>
                <w:shd w:val="clear" w:color="auto" w:fill="auto"/>
                <w:vAlign w:val="center"/>
              </w:tcPr>
              <w:p>
                <w:pPr>
                  <w:jc w:val="right"/>
                </w:pPr>
                <w:r>
                  <w:t>73,860,914.18</w:t>
                </w:r>
              </w:p>
            </w:tc>
            <w:tc>
              <w:tcPr>
                <w:tcW w:w="762" w:type="pct"/>
                <w:shd w:val="clear" w:color="auto" w:fill="auto"/>
                <w:vAlign w:val="center"/>
              </w:tcPr>
              <w:p>
                <w:pPr>
                  <w:jc w:val="right"/>
                </w:pPr>
                <w:r>
                  <w:t>-</w:t>
                </w:r>
              </w:p>
            </w:tc>
            <w:tc>
              <w:tcPr>
                <w:tcW w:w="836" w:type="pct"/>
                <w:shd w:val="clear" w:color="auto" w:fill="auto"/>
                <w:vAlign w:val="center"/>
              </w:tcPr>
              <w:p>
                <w:pPr>
                  <w:jc w:val="right"/>
                </w:pPr>
                <w:r>
                  <w:t>5,046,765.49</w:t>
                </w:r>
              </w:p>
            </w:tc>
            <w:tc>
              <w:tcPr>
                <w:tcW w:w="896" w:type="pct"/>
                <w:shd w:val="clear" w:color="auto" w:fill="auto"/>
                <w:vAlign w:val="center"/>
              </w:tcPr>
              <w:p>
                <w:pPr>
                  <w:jc w:val="right"/>
                </w:pPr>
                <w:r>
                  <w:t>68,814,148.69</w:t>
                </w:r>
              </w:p>
            </w:tc>
            <w:tc>
              <w:tcPr>
                <w:tcW w:w="824" w:type="pct"/>
                <w:shd w:val="clear" w:color="auto" w:fill="auto"/>
              </w:tcPr>
              <w:p>
                <w:pPr>
                  <w:jc w:val="center"/>
                </w:pPr>
                <w:r>
                  <w:rPr>
                    <w:rFonts w:hint="eastAsia"/>
                  </w:rPr>
                  <w:t>/</w:t>
                </w:r>
              </w:p>
            </w:tc>
          </w:tr>
        </w:tbl>
        <w:p>
          <w:pPr>
            <w:pStyle w:val="114"/>
          </w:pPr>
        </w:p>
      </w:sdtContent>
    </w:sdt>
    <w:sdt>
      <w:sdtPr>
        <w:rPr>
          <w:rFonts w:hint="eastAsia"/>
        </w:rPr>
        <w:alias w:val="模块:涉及政府补助的负债项目"/>
        <w:tag w:val="_GBC_e1594f7b2d3e4b13b3e32c6cde5b210a"/>
        <w:id w:val="-451248879"/>
        <w:lock w:val="sdtLocked"/>
        <w:placeholder>
          <w:docPart w:val="GBC22222222222222222222222222222"/>
        </w:placeholder>
      </w:sdtPr>
      <w:sdtEndPr>
        <w:rPr>
          <w:rFonts w:hint="default"/>
        </w:rPr>
      </w:sdtEndPr>
      <w:sdtContent>
        <w:p>
          <w:pPr>
            <w:pStyle w:val="114"/>
          </w:pPr>
          <w:bookmarkStart w:id="230" w:name="_Hlk10537331"/>
          <w:r>
            <w:rPr>
              <w:rFonts w:hint="eastAsia"/>
            </w:rPr>
            <w:t>涉及政府补助的项目：</w:t>
          </w:r>
        </w:p>
        <w:sdt>
          <w:sdtPr>
            <w:alias w:val="是否适用：涉及政府补助的项目_递延收益[双击切换]"/>
            <w:tag w:val="_GBC_4c2c8447eb53428b988a5a364f2b236d"/>
            <w:id w:val="209782649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涉及政府补助的负债项目"/>
              <w:tag w:val="_GBC_4f9266926e0c4363993dcb162380db9b"/>
              <w:id w:val="-17592822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9050734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1386"/>
            <w:gridCol w:w="1265"/>
            <w:gridCol w:w="1296"/>
            <w:gridCol w:w="1170"/>
            <w:gridCol w:w="1386"/>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18"/>
                  <w:szCs w:val="18"/>
                </w:rPr>
                <w:tag w:val="_PLD_1bd0a5248adb4713bfd06318a3648ceb"/>
                <w:id w:val="452129808"/>
                <w:lock w:val="sdtLocked"/>
              </w:sdtPr>
              <w:sdtEndPr>
                <w:rPr>
                  <w:sz w:val="18"/>
                  <w:szCs w:val="18"/>
                </w:rPr>
              </w:sdtEndPr>
              <w:sdtContent>
                <w:tc>
                  <w:tcPr>
                    <w:tcW w:w="687"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项目</w:t>
                    </w:r>
                  </w:p>
                </w:tc>
              </w:sdtContent>
            </w:sdt>
            <w:sdt>
              <w:sdtPr>
                <w:rPr>
                  <w:sz w:val="18"/>
                  <w:szCs w:val="18"/>
                </w:rPr>
                <w:tag w:val="_PLD_11c88b40e8554a8db9e52728554ced53"/>
                <w:id w:val="1809738478"/>
                <w:lock w:val="sdtLocked"/>
              </w:sdtPr>
              <w:sdtEndPr>
                <w:rPr>
                  <w:sz w:val="18"/>
                  <w:szCs w:val="18"/>
                </w:rPr>
              </w:sdtEndPr>
              <w:sdtContent>
                <w:tc>
                  <w:tcPr>
                    <w:tcW w:w="668"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期初余额</w:t>
                    </w:r>
                  </w:p>
                </w:tc>
              </w:sdtContent>
            </w:sdt>
            <w:sdt>
              <w:sdtPr>
                <w:rPr>
                  <w:sz w:val="18"/>
                  <w:szCs w:val="18"/>
                </w:rPr>
                <w:tag w:val="_PLD_7b99be0925d1402da7bf5455be12c194"/>
                <w:id w:val="2010173477"/>
                <w:lock w:val="sdtLocked"/>
              </w:sdtPr>
              <w:sdtEndPr>
                <w:rPr>
                  <w:sz w:val="18"/>
                  <w:szCs w:val="18"/>
                </w:rPr>
              </w:sdtEndPr>
              <w:sdtContent>
                <w:tc>
                  <w:tcPr>
                    <w:tcW w:w="75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本期新增补助金额</w:t>
                    </w:r>
                  </w:p>
                </w:tc>
              </w:sdtContent>
            </w:sdt>
            <w:tc>
              <w:tcPr>
                <w:tcW w:w="702" w:type="pct"/>
                <w:tcBorders>
                  <w:top w:val="single" w:color="auto" w:sz="4" w:space="0"/>
                  <w:left w:val="single" w:color="auto" w:sz="4" w:space="0"/>
                  <w:bottom w:val="single" w:color="auto" w:sz="4" w:space="0"/>
                  <w:right w:val="single" w:color="auto" w:sz="4" w:space="0"/>
                </w:tcBorders>
                <w:vAlign w:val="center"/>
              </w:tcPr>
              <w:sdt>
                <w:sdtPr>
                  <w:rPr>
                    <w:rFonts w:hint="eastAsia"/>
                    <w:sz w:val="18"/>
                    <w:szCs w:val="18"/>
                  </w:rPr>
                  <w:tag w:val="_PLD_ac6886b89ddd4b75abc97b3f03668943"/>
                  <w:id w:val="-1803918860"/>
                  <w:lock w:val="sdtLocked"/>
                </w:sdtPr>
                <w:sdtEndPr>
                  <w:rPr>
                    <w:rFonts w:hint="eastAsia"/>
                    <w:sz w:val="18"/>
                    <w:szCs w:val="18"/>
                  </w:rPr>
                </w:sdtEndPr>
                <w:sdtContent>
                  <w:p>
                    <w:pPr>
                      <w:jc w:val="center"/>
                      <w:rPr>
                        <w:sz w:val="18"/>
                        <w:szCs w:val="18"/>
                      </w:rPr>
                    </w:pPr>
                    <w:r>
                      <w:rPr>
                        <w:rFonts w:hint="eastAsia"/>
                        <w:sz w:val="18"/>
                        <w:szCs w:val="18"/>
                      </w:rPr>
                      <w:t>本期计入其他收益金额</w:t>
                    </w:r>
                  </w:p>
                </w:sdtContent>
              </w:sdt>
            </w:tc>
            <w:sdt>
              <w:sdtPr>
                <w:rPr>
                  <w:sz w:val="18"/>
                  <w:szCs w:val="18"/>
                </w:rPr>
                <w:tag w:val="_PLD_822d9fedb3374c6199e425909b88c066"/>
                <w:id w:val="466486989"/>
                <w:lock w:val="sdtLocked"/>
              </w:sdtPr>
              <w:sdtEndPr>
                <w:rPr>
                  <w:sz w:val="18"/>
                  <w:szCs w:val="18"/>
                </w:rPr>
              </w:sdtEndPr>
              <w:sdtContent>
                <w:tc>
                  <w:tcPr>
                    <w:tcW w:w="702"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其他变动</w:t>
                    </w:r>
                  </w:p>
                </w:tc>
              </w:sdtContent>
            </w:sdt>
            <w:sdt>
              <w:sdtPr>
                <w:rPr>
                  <w:sz w:val="18"/>
                  <w:szCs w:val="18"/>
                </w:rPr>
                <w:tag w:val="_PLD_1a96043f63c146309b6472d84b4d7aa6"/>
                <w:id w:val="978809701"/>
                <w:lock w:val="sdtLocked"/>
              </w:sdtPr>
              <w:sdtEndPr>
                <w:rPr>
                  <w:sz w:val="18"/>
                  <w:szCs w:val="18"/>
                </w:rPr>
              </w:sdtEndPr>
              <w:sdtContent>
                <w:tc>
                  <w:tcPr>
                    <w:tcW w:w="65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期末余额</w:t>
                    </w:r>
                  </w:p>
                </w:tc>
              </w:sdtContent>
            </w:sdt>
            <w:sdt>
              <w:sdtPr>
                <w:rPr>
                  <w:sz w:val="18"/>
                  <w:szCs w:val="18"/>
                </w:rPr>
                <w:tag w:val="_PLD_b9b21d1fe20343d597f3219a3532324a"/>
                <w:id w:val="1418751925"/>
                <w:lock w:val="sdtLocked"/>
              </w:sdtPr>
              <w:sdtEndPr>
                <w:rPr>
                  <w:sz w:val="18"/>
                  <w:szCs w:val="18"/>
                </w:rPr>
              </w:sdtEndPr>
              <w:sdtContent>
                <w:tc>
                  <w:tcPr>
                    <w:tcW w:w="831"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与资产相关/与收益相关</w:t>
                    </w:r>
                  </w:p>
                </w:tc>
              </w:sdtContent>
            </w:sdt>
          </w:tr>
          <w:sdt>
            <w:sdtPr>
              <w:rPr>
                <w:sz w:val="18"/>
                <w:szCs w:val="18"/>
              </w:rPr>
              <w:alias w:val="涉及政府补助的负债项目明细"/>
              <w:tag w:val="_GBC_57fa178d03fa46a3befea9bbb3ebc131"/>
              <w:id w:val="-1135714258"/>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宁常高速公路建设补助（注1）</w:t>
                    </w:r>
                  </w:p>
                </w:tc>
                <w:tc>
                  <w:tcPr>
                    <w:tcW w:w="66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21,521,726.60</w:t>
                    </w:r>
                  </w:p>
                </w:tc>
                <w:tc>
                  <w:tcPr>
                    <w:tcW w:w="7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814,353.01</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6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20,707,373.59</w:t>
                    </w:r>
                  </w:p>
                </w:tc>
                <w:tc>
                  <w:tcPr>
                    <w:tcW w:w="831" w:type="pct"/>
                    <w:tcBorders>
                      <w:top w:val="single" w:color="auto" w:sz="4" w:space="0"/>
                      <w:left w:val="single" w:color="auto" w:sz="4" w:space="0"/>
                      <w:bottom w:val="single" w:color="auto" w:sz="4" w:space="0"/>
                      <w:right w:val="single" w:color="auto" w:sz="4" w:space="0"/>
                    </w:tcBorders>
                  </w:tcPr>
                  <w:p>
                    <w:pPr>
                      <w:rPr>
                        <w:sz w:val="18"/>
                        <w:szCs w:val="18"/>
                      </w:rPr>
                    </w:pPr>
                    <w:r>
                      <w:rPr>
                        <w:sz w:val="18"/>
                        <w:szCs w:val="18"/>
                      </w:rPr>
                      <w:t>与资产相关</w:t>
                    </w:r>
                  </w:p>
                </w:tc>
              </w:tr>
            </w:sdtContent>
          </w:sdt>
          <w:sdt>
            <w:sdtPr>
              <w:rPr>
                <w:sz w:val="18"/>
                <w:szCs w:val="18"/>
              </w:rPr>
              <w:alias w:val="涉及政府补助的负债项目明细"/>
              <w:tag w:val="_GBC_57fa178d03fa46a3befea9bbb3ebc131"/>
              <w:id w:val="676858799"/>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高速公路省界收费站改造工程建设补助资金（注2）</w:t>
                    </w:r>
                  </w:p>
                </w:tc>
                <w:tc>
                  <w:tcPr>
                    <w:tcW w:w="66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52,339,187.58</w:t>
                    </w:r>
                  </w:p>
                </w:tc>
                <w:tc>
                  <w:tcPr>
                    <w:tcW w:w="7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4,232,412.48</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6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48,106,775.10</w:t>
                    </w:r>
                  </w:p>
                </w:tc>
                <w:tc>
                  <w:tcPr>
                    <w:tcW w:w="831" w:type="pct"/>
                    <w:tcBorders>
                      <w:top w:val="single" w:color="auto" w:sz="4" w:space="0"/>
                      <w:left w:val="single" w:color="auto" w:sz="4" w:space="0"/>
                      <w:bottom w:val="single" w:color="auto" w:sz="4" w:space="0"/>
                      <w:right w:val="single" w:color="auto" w:sz="4" w:space="0"/>
                    </w:tcBorders>
                  </w:tcPr>
                  <w:p>
                    <w:pPr>
                      <w:rPr>
                        <w:sz w:val="18"/>
                        <w:szCs w:val="18"/>
                      </w:rPr>
                    </w:pPr>
                    <w:r>
                      <w:rPr>
                        <w:sz w:val="18"/>
                        <w:szCs w:val="18"/>
                      </w:rPr>
                      <w:t>与资产相关</w:t>
                    </w:r>
                  </w:p>
                </w:tc>
              </w:tr>
            </w:sdtContent>
          </w:sdt>
          <w:sdt>
            <w:sdtPr>
              <w:rPr>
                <w:sz w:val="18"/>
                <w:szCs w:val="18"/>
              </w:rPr>
              <w:alias w:val="涉及政府补助的负债项目明细"/>
              <w:tag w:val="_GBC_57fa178d03fa46a3befea9bbb3ebc131"/>
              <w:id w:val="-1831972367"/>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合计</w:t>
                    </w:r>
                  </w:p>
                </w:tc>
                <w:tc>
                  <w:tcPr>
                    <w:tcW w:w="66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73,860,914.18</w:t>
                    </w:r>
                  </w:p>
                </w:tc>
                <w:tc>
                  <w:tcPr>
                    <w:tcW w:w="7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5,046,765.49</w:t>
                    </w:r>
                  </w:p>
                </w:tc>
                <w:tc>
                  <w:tcPr>
                    <w:tcW w:w="702"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654"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68,814,148.69</w:t>
                    </w:r>
                  </w:p>
                </w:tc>
                <w:tc>
                  <w:tcPr>
                    <w:tcW w:w="831" w:type="pct"/>
                    <w:tcBorders>
                      <w:top w:val="single" w:color="auto" w:sz="4" w:space="0"/>
                      <w:left w:val="single" w:color="auto" w:sz="4" w:space="0"/>
                      <w:bottom w:val="single" w:color="auto" w:sz="4" w:space="0"/>
                      <w:right w:val="single" w:color="auto" w:sz="4" w:space="0"/>
                    </w:tcBorders>
                  </w:tcPr>
                  <w:p>
                    <w:pPr>
                      <w:rPr>
                        <w:sz w:val="18"/>
                        <w:szCs w:val="18"/>
                      </w:rPr>
                    </w:pPr>
                    <w:r>
                      <w:rPr>
                        <w:sz w:val="18"/>
                        <w:szCs w:val="18"/>
                      </w:rPr>
                      <w:t> </w:t>
                    </w:r>
                  </w:p>
                </w:tc>
              </w:tr>
            </w:sdtContent>
          </w:sdt>
        </w:tbl>
        <w:p>
          <w:pPr>
            <w:pStyle w:val="114"/>
          </w:pPr>
        </w:p>
      </w:sdtContent>
    </w:sdt>
    <w:bookmarkEnd w:id="230"/>
    <w:sdt>
      <w:sdtPr>
        <w:rPr>
          <w:rFonts w:hint="eastAsia"/>
        </w:rPr>
        <w:alias w:val="模块:递延收益其他说明"/>
        <w:tag w:val="_GBC_3e5bdbca1c524ed19d397da3dfaf83a9"/>
        <w:id w:val="908740557"/>
        <w:lock w:val="sdtLocked"/>
        <w:placeholder>
          <w:docPart w:val="GBC22222222222222222222222222222"/>
        </w:placeholder>
      </w:sdtPr>
      <w:sdtEndPr>
        <w:rPr>
          <w:rFonts w:hint="default"/>
        </w:rPr>
      </w:sdtEndPr>
      <w:sdtContent>
        <w:p>
          <w:pPr>
            <w:overflowPunct w:val="0"/>
            <w:adjustRightInd w:val="0"/>
            <w:snapToGrid w:val="0"/>
            <w:ind w:left="851" w:hanging="851"/>
            <w:jc w:val="both"/>
            <w:textAlignment w:val="baseline"/>
          </w:pPr>
          <w:bookmarkStart w:id="231" w:name="OLE_LINK85"/>
          <w:bookmarkStart w:id="232" w:name="OLE_LINK84"/>
          <w:r>
            <w:rPr>
              <w:rFonts w:hint="eastAsia"/>
            </w:rPr>
            <w:t>其他说明：</w:t>
          </w:r>
        </w:p>
        <w:sdt>
          <w:sdtPr>
            <w:alias w:val="是否适用：递延收益的其他说明[双击切换]"/>
            <w:tag w:val="_GBC_da5e8f76ba934c9e8efb4ab4d41c9f8c"/>
            <w:id w:val="1389292735"/>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递延收益的其他说明"/>
            <w:tag w:val="_GBC_e8c5cb3f7d5541eda9cccad5c92bc633"/>
            <w:id w:val="-722903000"/>
            <w:lock w:val="sdtLocked"/>
            <w:placeholder>
              <w:docPart w:val="GBC22222222222222222222222222222"/>
            </w:placeholder>
          </w:sdtPr>
          <w:sdtContent>
            <w:p>
              <w:pPr>
                <w:pStyle w:val="114"/>
              </w:pPr>
              <w:r>
                <w:rPr>
                  <w:rFonts w:hint="eastAsia"/>
                </w:rPr>
                <w:t>注</w:t>
              </w:r>
              <w:r>
                <w:t>1：</w:t>
              </w:r>
              <w:r>
                <w:tab/>
              </w:r>
              <w:r>
                <w:t>宁常高速公路建设补助为本公司于2020年吸收合并的子公司江苏宁常镇溧高速公路有限公司在建设宁常高速公路时收到的常州市武进区人民政府因实施武进开发区段高架桥方案额外增加的建设费用而拨付的项目建设资金人民币40,000,000.00 元。本集团将该收到的项目建设资金作为对宁常高速公路建设成本的补偿记入递延收益。</w:t>
              </w:r>
            </w:p>
            <w:p>
              <w:pPr>
                <w:pStyle w:val="114"/>
              </w:pPr>
            </w:p>
            <w:p>
              <w:pPr>
                <w:pStyle w:val="114"/>
              </w:pPr>
              <w:r>
                <w:rPr>
                  <w:rFonts w:hint="eastAsia"/>
                </w:rPr>
                <w:t>注</w:t>
              </w:r>
              <w:r>
                <w:t>2：</w:t>
              </w:r>
              <w:r>
                <w:tab/>
              </w:r>
              <w:r>
                <w:t>本公司及本公司子公司江苏广靖锡澄高速公路有限责任公司（“广靖锡澄公司”）于2020年度收到省界收费站改造工程建设补助资金为人民币86,689,640.00元。本集团将该收到的省界收费站改造工程建设补助资金记入递延收益。</w:t>
              </w:r>
            </w:p>
          </w:sdtContent>
        </w:sdt>
      </w:sdtContent>
    </w:sdt>
    <w:bookmarkEnd w:id="231"/>
    <w:bookmarkEnd w:id="232"/>
    <w:p>
      <w:pPr>
        <w:snapToGrid w:val="0"/>
        <w:spacing w:line="240" w:lineRule="atLeast"/>
      </w:pPr>
    </w:p>
    <w:sdt>
      <w:sdtPr>
        <w:rPr>
          <w:rFonts w:hint="eastAsia" w:ascii="宋体" w:hAnsi="宋体" w:cs="宋体"/>
          <w:b w:val="0"/>
          <w:bCs w:val="0"/>
          <w:kern w:val="0"/>
          <w:szCs w:val="21"/>
        </w:rPr>
        <w:alias w:val="模块:其他非流动负债"/>
        <w:tag w:val="_GBC_ebdcd37ba77540d78079b1e51c20b6ce"/>
        <w:id w:val="1995606588"/>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4"/>
            <w:numPr>
              <w:ilvl w:val="0"/>
              <w:numId w:val="51"/>
            </w:numPr>
            <w:tabs>
              <w:tab w:val="left" w:pos="504"/>
            </w:tabs>
            <w:rPr>
              <w:rFonts w:ascii="宋体" w:hAnsi="宋体"/>
              <w:szCs w:val="21"/>
            </w:rPr>
          </w:pPr>
          <w:bookmarkStart w:id="233" w:name="_Hlk10537430"/>
          <w:r>
            <w:rPr>
              <w:rFonts w:hint="eastAsia" w:ascii="宋体" w:hAnsi="宋体"/>
              <w:szCs w:val="21"/>
            </w:rPr>
            <w:t>其他非流动负债</w:t>
          </w:r>
        </w:p>
        <w:sdt>
          <w:sdtPr>
            <w:alias w:val="是否适用：其他非流动负债[双击切换]"/>
            <w:tag w:val="_GBC_bb8a5c7236564ec0823cbced5ea78e62"/>
            <w:id w:val="-72306630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其他非流动负债"/>
              <w:tag w:val="_GBC_56e598e0f2684388ba1e16051e8df70a"/>
              <w:id w:val="-122543215"/>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非流动负债"/>
              <w:tag w:val="_GBC_ae4dfd619eb84b209c018d043a83dfcf"/>
              <w:id w:val="-13372285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2897"/>
            <w:gridCol w:w="2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a28f7f3041514231843ad3ee7ffea03b"/>
                <w:id w:val="1400257799"/>
                <w:lock w:val="sdtLocked"/>
              </w:sdtPr>
              <w:sdtContent>
                <w:tc>
                  <w:tcPr>
                    <w:tcW w:w="1799" w:type="pct"/>
                    <w:tcBorders>
                      <w:top w:val="single" w:color="auto" w:sz="4" w:space="0"/>
                      <w:left w:val="single" w:color="auto" w:sz="4" w:space="0"/>
                      <w:bottom w:val="single" w:color="auto" w:sz="4" w:space="0"/>
                      <w:right w:val="single" w:color="auto" w:sz="4" w:space="0"/>
                    </w:tcBorders>
                    <w:vAlign w:val="bottom"/>
                  </w:tcPr>
                  <w:p>
                    <w:pPr>
                      <w:jc w:val="center"/>
                    </w:pPr>
                    <w:r>
                      <w:rPr>
                        <w:rFonts w:hint="eastAsia"/>
                      </w:rPr>
                      <w:t>项目</w:t>
                    </w:r>
                  </w:p>
                </w:tc>
              </w:sdtContent>
            </w:sdt>
            <w:sdt>
              <w:sdtPr>
                <w:tag w:val="_PLD_57665fafbbe043c5bf52499c94bca1a1"/>
                <w:id w:val="2017643100"/>
                <w:lock w:val="sdtLocked"/>
              </w:sdtPr>
              <w:sdtContent>
                <w:tc>
                  <w:tcPr>
                    <w:tcW w:w="1601" w:type="pct"/>
                    <w:tcBorders>
                      <w:top w:val="single" w:color="auto" w:sz="4" w:space="0"/>
                      <w:left w:val="single" w:color="auto" w:sz="4" w:space="0"/>
                      <w:bottom w:val="single" w:color="auto" w:sz="4" w:space="0"/>
                      <w:right w:val="single" w:color="auto" w:sz="4" w:space="0"/>
                    </w:tcBorders>
                  </w:tcPr>
                  <w:p>
                    <w:pPr>
                      <w:jc w:val="center"/>
                    </w:pPr>
                    <w:r>
                      <w:rPr>
                        <w:rFonts w:hint="eastAsia"/>
                      </w:rPr>
                      <w:t>期末余额</w:t>
                    </w:r>
                  </w:p>
                </w:tc>
              </w:sdtContent>
            </w:sdt>
            <w:sdt>
              <w:sdtPr>
                <w:tag w:val="_PLD_dcebd4f9b4a649088465ddfef12fdcb8"/>
                <w:id w:val="-2083209715"/>
                <w:lock w:val="sdtLocked"/>
              </w:sdtPr>
              <w:sdtContent>
                <w:tc>
                  <w:tcPr>
                    <w:tcW w:w="1600" w:type="pct"/>
                    <w:tcBorders>
                      <w:top w:val="single" w:color="auto" w:sz="4" w:space="0"/>
                      <w:left w:val="single" w:color="auto" w:sz="4" w:space="0"/>
                      <w:bottom w:val="single" w:color="auto" w:sz="4" w:space="0"/>
                      <w:right w:val="single" w:color="auto" w:sz="4" w:space="0"/>
                    </w:tcBorders>
                  </w:tcPr>
                  <w:p>
                    <w:pPr>
                      <w:jc w:val="center"/>
                    </w:pPr>
                    <w:r>
                      <w:rPr>
                        <w:rFonts w:hint="eastAsia"/>
                      </w:rPr>
                      <w:t>期初余额</w:t>
                    </w:r>
                  </w:p>
                </w:tc>
              </w:sdtContent>
            </w:sdt>
          </w:tr>
          <w:sdt>
            <w:sdtPr>
              <w:rPr>
                <w:rFonts w:hint="eastAsia"/>
              </w:rPr>
              <w:alias w:val="其他非流动负债明细"/>
              <w:tag w:val="_GBC_ff830f571df54af4807198be0e187a23"/>
              <w:id w:val="146661923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9" w:type="pct"/>
                    <w:tcBorders>
                      <w:top w:val="single" w:color="auto" w:sz="4" w:space="0"/>
                      <w:left w:val="single" w:color="auto" w:sz="4" w:space="0"/>
                      <w:bottom w:val="single" w:color="auto" w:sz="4" w:space="0"/>
                      <w:right w:val="single" w:color="auto" w:sz="4" w:space="0"/>
                    </w:tcBorders>
                  </w:tcPr>
                  <w:p>
                    <w:pPr>
                      <w:pStyle w:val="114"/>
                    </w:pPr>
                    <w:r>
                      <w:t>第三方借款</w:t>
                    </w:r>
                  </w:p>
                </w:tc>
                <w:tc>
                  <w:tcPr>
                    <w:tcW w:w="1601" w:type="pct"/>
                    <w:tcBorders>
                      <w:top w:val="single" w:color="auto" w:sz="4" w:space="0"/>
                      <w:left w:val="single" w:color="auto" w:sz="4" w:space="0"/>
                      <w:bottom w:val="single" w:color="auto" w:sz="4" w:space="0"/>
                      <w:right w:val="single" w:color="auto" w:sz="4" w:space="0"/>
                    </w:tcBorders>
                  </w:tcPr>
                  <w:p>
                    <w:pPr>
                      <w:jc w:val="right"/>
                    </w:pPr>
                    <w:r>
                      <w:t>-</w:t>
                    </w:r>
                  </w:p>
                </w:tc>
                <w:tc>
                  <w:tcPr>
                    <w:tcW w:w="1600" w:type="pct"/>
                    <w:tcBorders>
                      <w:top w:val="single" w:color="auto" w:sz="4" w:space="0"/>
                      <w:left w:val="single" w:color="auto" w:sz="4" w:space="0"/>
                      <w:bottom w:val="single" w:color="auto" w:sz="4" w:space="0"/>
                      <w:right w:val="single" w:color="auto" w:sz="4" w:space="0"/>
                    </w:tcBorders>
                  </w:tcPr>
                  <w:p>
                    <w:pPr>
                      <w:jc w:val="right"/>
                    </w:pPr>
                    <w:r>
                      <w:t>4,451,000.00</w:t>
                    </w:r>
                  </w:p>
                </w:tc>
              </w:tr>
            </w:sdtContent>
          </w:sdt>
          <w:sdt>
            <w:sdtPr>
              <w:rPr>
                <w:rFonts w:hint="eastAsia"/>
              </w:rPr>
              <w:alias w:val="其他非流动负债明细"/>
              <w:tag w:val="_GBC_ff830f571df54af4807198be0e187a23"/>
              <w:id w:val="-17234245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9" w:type="pct"/>
                    <w:tcBorders>
                      <w:top w:val="single" w:color="auto" w:sz="4" w:space="0"/>
                      <w:left w:val="single" w:color="auto" w:sz="4" w:space="0"/>
                      <w:bottom w:val="single" w:color="auto" w:sz="4" w:space="0"/>
                      <w:right w:val="single" w:color="auto" w:sz="4" w:space="0"/>
                    </w:tcBorders>
                  </w:tcPr>
                  <w:p>
                    <w:pPr>
                      <w:pStyle w:val="114"/>
                    </w:pPr>
                    <w:r>
                      <w:t>减：一年内到期的其他非流动负债</w:t>
                    </w:r>
                  </w:p>
                </w:tc>
                <w:tc>
                  <w:tcPr>
                    <w:tcW w:w="1601" w:type="pct"/>
                    <w:tcBorders>
                      <w:top w:val="single" w:color="auto" w:sz="4" w:space="0"/>
                      <w:left w:val="single" w:color="auto" w:sz="4" w:space="0"/>
                      <w:bottom w:val="single" w:color="auto" w:sz="4" w:space="0"/>
                      <w:right w:val="single" w:color="auto" w:sz="4" w:space="0"/>
                    </w:tcBorders>
                  </w:tcPr>
                  <w:p>
                    <w:pPr>
                      <w:jc w:val="right"/>
                    </w:pPr>
                    <w:r>
                      <w:t>-</w:t>
                    </w:r>
                  </w:p>
                </w:tc>
                <w:tc>
                  <w:tcPr>
                    <w:tcW w:w="1600" w:type="pct"/>
                    <w:tcBorders>
                      <w:top w:val="single" w:color="auto" w:sz="4" w:space="0"/>
                      <w:left w:val="single" w:color="auto" w:sz="4" w:space="0"/>
                      <w:bottom w:val="single" w:color="auto" w:sz="4" w:space="0"/>
                      <w:right w:val="single" w:color="auto" w:sz="4" w:space="0"/>
                    </w:tcBorders>
                  </w:tcPr>
                  <w:p>
                    <w:pPr>
                      <w:jc w:val="right"/>
                    </w:pPr>
                    <w:r>
                      <w:t>4,451,000.00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04fbc805c16c4bee8284be6ff421cbe8"/>
                <w:id w:val="130220132"/>
                <w:lock w:val="sdtLocked"/>
              </w:sdtPr>
              <w:sdtContent>
                <w:tc>
                  <w:tcPr>
                    <w:tcW w:w="1799" w:type="pct"/>
                    <w:tcBorders>
                      <w:top w:val="single" w:color="auto" w:sz="4" w:space="0"/>
                      <w:left w:val="single" w:color="auto" w:sz="4" w:space="0"/>
                      <w:bottom w:val="single" w:color="auto" w:sz="4" w:space="0"/>
                      <w:right w:val="single" w:color="auto" w:sz="4" w:space="0"/>
                    </w:tcBorders>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sdtContent>
            </w:sdt>
            <w:tc>
              <w:tcPr>
                <w:tcW w:w="1601" w:type="pct"/>
                <w:tcBorders>
                  <w:top w:val="single" w:color="auto" w:sz="4" w:space="0"/>
                  <w:left w:val="single" w:color="auto" w:sz="4" w:space="0"/>
                  <w:bottom w:val="single" w:color="auto" w:sz="4" w:space="0"/>
                  <w:right w:val="single" w:color="auto" w:sz="4" w:space="0"/>
                </w:tcBorders>
              </w:tcPr>
              <w:p>
                <w:pPr>
                  <w:jc w:val="right"/>
                </w:pPr>
              </w:p>
            </w:tc>
            <w:tc>
              <w:tcPr>
                <w:tcW w:w="1600" w:type="pct"/>
                <w:tcBorders>
                  <w:top w:val="single" w:color="auto" w:sz="4" w:space="0"/>
                  <w:left w:val="single" w:color="auto" w:sz="4" w:space="0"/>
                  <w:bottom w:val="single" w:color="auto" w:sz="4" w:space="0"/>
                  <w:right w:val="single" w:color="auto" w:sz="4" w:space="0"/>
                </w:tcBorders>
              </w:tcPr>
              <w:p>
                <w:pPr>
                  <w:jc w:val="right"/>
                </w:pPr>
              </w:p>
            </w:tc>
          </w:tr>
        </w:tbl>
        <w:p>
          <w:pPr>
            <w:spacing w:before="60" w:after="60"/>
          </w:pPr>
          <w:r>
            <w:rPr>
              <w:rFonts w:hint="eastAsia"/>
            </w:rPr>
            <w:t>其他说明：</w:t>
          </w:r>
        </w:p>
        <w:p>
          <w:pPr>
            <w:pStyle w:val="114"/>
          </w:pPr>
          <w:sdt>
            <w:sdtPr>
              <w:alias w:val="其他非流动负债说明"/>
              <w:tag w:val="_GBC_8424078e59404c4a8aa6644833876098"/>
              <w:id w:val="1384899692"/>
              <w:lock w:val="sdtLocked"/>
            </w:sdtPr>
            <w:sdtContent>
              <w:r>
                <w:rPr>
                  <w:rFonts w:hint="eastAsia"/>
                </w:rPr>
                <w:t>不适用</w:t>
              </w:r>
            </w:sdtContent>
          </w:sdt>
        </w:p>
        <w:p>
          <w:pPr>
            <w:pStyle w:val="114"/>
          </w:pPr>
        </w:p>
      </w:sdtContent>
    </w:sdt>
    <w:bookmarkEnd w:id="233"/>
    <w:p>
      <w:pPr>
        <w:pStyle w:val="114"/>
      </w:pPr>
    </w:p>
    <w:sdt>
      <w:sdtPr>
        <w:rPr>
          <w:rFonts w:hint="eastAsia" w:ascii="宋体" w:hAnsi="宋体" w:cs="宋体"/>
          <w:b w:val="0"/>
          <w:bCs w:val="0"/>
          <w:kern w:val="0"/>
          <w:szCs w:val="21"/>
        </w:rPr>
        <w:alias w:val="模块:股本"/>
        <w:tag w:val="_GBC_7f4b2f9bba854132af4bbd6504a10383"/>
        <w:id w:val="-1052072661"/>
        <w:lock w:val="sdtLocked"/>
        <w:placeholder>
          <w:docPart w:val="GBC22222222222222222222222222222"/>
        </w:placeholder>
      </w:sdtPr>
      <w:sdtEndPr>
        <w:rPr>
          <w:rFonts w:hint="default" w:ascii="宋体" w:hAnsi="宋体" w:cstheme="minorBidi"/>
          <w:b w:val="0"/>
          <w:bCs w:val="0"/>
          <w:color w:val="000000" w:themeColor="text1"/>
          <w:kern w:val="0"/>
          <w:szCs w:val="21"/>
          <w14:textFill>
            <w14:solidFill>
              <w14:schemeClr w14:val="tx1"/>
            </w14:solidFill>
          </w14:textFill>
        </w:rPr>
      </w:sdtEndPr>
      <w:sdtContent>
        <w:p>
          <w:pPr>
            <w:pStyle w:val="4"/>
            <w:numPr>
              <w:ilvl w:val="0"/>
              <w:numId w:val="51"/>
            </w:numPr>
            <w:tabs>
              <w:tab w:val="left" w:pos="504"/>
            </w:tabs>
            <w:rPr>
              <w:rFonts w:ascii="宋体" w:hAnsi="宋体"/>
              <w:szCs w:val="21"/>
            </w:rPr>
          </w:pPr>
          <w:r>
            <w:rPr>
              <w:rFonts w:hint="eastAsia" w:ascii="宋体" w:hAnsi="宋体"/>
              <w:szCs w:val="21"/>
            </w:rPr>
            <w:t>股本</w:t>
          </w:r>
        </w:p>
        <w:sdt>
          <w:sdtPr>
            <w:alias w:val="是否适用：股本[双击切换]"/>
            <w:tag w:val="_GBC_a88b08589cbb4302b29839808faa8a3b"/>
            <w:id w:val="180719670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股本"/>
              <w:tag w:val="_GBC_cf915ea45a234de2a2455824dedc3c82"/>
              <w:id w:val="-397736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15348792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1896"/>
            <w:gridCol w:w="814"/>
            <w:gridCol w:w="814"/>
            <w:gridCol w:w="885"/>
            <w:gridCol w:w="900"/>
            <w:gridCol w:w="873"/>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640" w:type="pct"/>
                <w:vMerge w:val="restart"/>
                <w:tcBorders>
                  <w:top w:val="single" w:color="auto" w:sz="4" w:space="0"/>
                  <w:left w:val="single" w:color="auto" w:sz="4" w:space="0"/>
                  <w:bottom w:val="single" w:color="auto" w:sz="4" w:space="0"/>
                  <w:right w:val="single" w:color="auto" w:sz="4" w:space="0"/>
                </w:tcBorders>
              </w:tcPr>
              <w:p>
                <w:pPr>
                  <w:jc w:val="center"/>
                </w:pPr>
              </w:p>
            </w:tc>
            <w:sdt>
              <w:sdtPr>
                <w:tag w:val="_PLD_7ad9a0911e364e48bc565dc3ed809692"/>
                <w:id w:val="365338771"/>
                <w:lock w:val="sdtLocked"/>
              </w:sdtPr>
              <w:sdtContent>
                <w:tc>
                  <w:tcPr>
                    <w:tcW w:w="727" w:type="pct"/>
                    <w:vMerge w:val="restart"/>
                    <w:tcBorders>
                      <w:top w:val="single" w:color="auto" w:sz="4" w:space="0"/>
                      <w:left w:val="single" w:color="auto" w:sz="4" w:space="0"/>
                      <w:right w:val="single" w:color="auto" w:sz="4" w:space="0"/>
                    </w:tcBorders>
                    <w:vAlign w:val="center"/>
                  </w:tcPr>
                  <w:p>
                    <w:pPr>
                      <w:jc w:val="center"/>
                    </w:pPr>
                    <w:r>
                      <w:rPr>
                        <w:rFonts w:hint="eastAsia"/>
                      </w:rPr>
                      <w:t>期初余额</w:t>
                    </w:r>
                  </w:p>
                </w:tc>
              </w:sdtContent>
            </w:sdt>
            <w:sdt>
              <w:sdtPr>
                <w:tag w:val="_PLD_33945fdb28e344edaa7d118a9aa07d7d"/>
                <w:id w:val="-1852018435"/>
                <w:lock w:val="sdtLocked"/>
              </w:sdtPr>
              <w:sdtContent>
                <w:tc>
                  <w:tcPr>
                    <w:tcW w:w="2883" w:type="pct"/>
                    <w:gridSpan w:val="5"/>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本次变动增减（+、一）</w:t>
                    </w:r>
                  </w:p>
                </w:tc>
              </w:sdtContent>
            </w:sdt>
            <w:sdt>
              <w:sdtPr>
                <w:tag w:val="_PLD_a0390714e323429ab6e793f9a610df70"/>
                <w:id w:val="89365242"/>
                <w:lock w:val="sdtLocked"/>
              </w:sdtPr>
              <w:sdtContent>
                <w:tc>
                  <w:tcPr>
                    <w:tcW w:w="750" w:type="pct"/>
                    <w:vMerge w:val="restart"/>
                    <w:tcBorders>
                      <w:top w:val="single" w:color="auto" w:sz="4" w:space="0"/>
                      <w:left w:val="single" w:color="auto" w:sz="4" w:space="0"/>
                      <w:right w:val="single" w:color="auto" w:sz="4" w:space="0"/>
                    </w:tcBorders>
                    <w:vAlign w:val="center"/>
                  </w:tcPr>
                  <w:p>
                    <w:pPr>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640" w:type="pct"/>
                <w:vMerge w:val="continue"/>
                <w:tcBorders>
                  <w:top w:val="single" w:color="auto" w:sz="4" w:space="0"/>
                  <w:left w:val="single" w:color="auto" w:sz="4" w:space="0"/>
                  <w:bottom w:val="single" w:color="auto" w:sz="4" w:space="0"/>
                  <w:right w:val="single" w:color="auto" w:sz="4" w:space="0"/>
                </w:tcBorders>
              </w:tcPr>
              <w:p>
                <w:pPr>
                  <w:pStyle w:val="114"/>
                </w:pPr>
              </w:p>
            </w:tc>
            <w:tc>
              <w:tcPr>
                <w:tcW w:w="727" w:type="pct"/>
                <w:vMerge w:val="continue"/>
                <w:tcBorders>
                  <w:left w:val="single" w:color="auto" w:sz="4" w:space="0"/>
                  <w:bottom w:val="single" w:color="auto" w:sz="4" w:space="0"/>
                  <w:right w:val="single" w:color="auto" w:sz="4" w:space="0"/>
                </w:tcBorders>
              </w:tcPr>
              <w:p>
                <w:pPr>
                  <w:ind w:left="-250" w:leftChars="-119" w:firstLine="249" w:firstLineChars="119"/>
                </w:pPr>
              </w:p>
            </w:tc>
            <w:sdt>
              <w:sdtPr>
                <w:tag w:val="_PLD_fe0b182c33854e5bb51d2d2a3cd1dd7f"/>
                <w:id w:val="-995184853"/>
                <w:lock w:val="sdtLocked"/>
              </w:sdtPr>
              <w:sdtContent>
                <w:tc>
                  <w:tcPr>
                    <w:tcW w:w="553"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发行</w:t>
                    </w:r>
                  </w:p>
                  <w:p>
                    <w:pPr>
                      <w:jc w:val="center"/>
                    </w:pPr>
                    <w:r>
                      <w:rPr>
                        <w:rFonts w:hint="eastAsia"/>
                      </w:rPr>
                      <w:t>新股</w:t>
                    </w:r>
                  </w:p>
                </w:tc>
              </w:sdtContent>
            </w:sdt>
            <w:sdt>
              <w:sdtPr>
                <w:tag w:val="_PLD_80e7c94a1831488d89d22be722443897"/>
                <w:id w:val="1591266480"/>
                <w:lock w:val="sdtLocked"/>
              </w:sdtPr>
              <w:sdtContent>
                <w:tc>
                  <w:tcPr>
                    <w:tcW w:w="553"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送股</w:t>
                    </w:r>
                  </w:p>
                </w:tc>
              </w:sdtContent>
            </w:sdt>
            <w:sdt>
              <w:sdtPr>
                <w:tag w:val="_PLD_c1d7f04883eb4aaa9c52067f145ec081"/>
                <w:id w:val="-579594941"/>
                <w:lock w:val="sdtLocked"/>
              </w:sdtPr>
              <w:sdtContent>
                <w:tc>
                  <w:tcPr>
                    <w:tcW w:w="592"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公积金</w:t>
                    </w:r>
                  </w:p>
                  <w:p>
                    <w:pPr>
                      <w:jc w:val="center"/>
                    </w:pPr>
                    <w:r>
                      <w:rPr>
                        <w:rFonts w:hint="eastAsia"/>
                      </w:rPr>
                      <w:t>转股</w:t>
                    </w:r>
                  </w:p>
                </w:tc>
              </w:sdtContent>
            </w:sdt>
            <w:sdt>
              <w:sdtPr>
                <w:tag w:val="_PLD_6e44c9cf090243e19b20f1e88e8231ef"/>
                <w:id w:val="-79374254"/>
                <w:lock w:val="sdtLocked"/>
              </w:sdtPr>
              <w:sdtContent>
                <w:tc>
                  <w:tcPr>
                    <w:tcW w:w="600"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其他</w:t>
                    </w:r>
                  </w:p>
                </w:tc>
              </w:sdtContent>
            </w:sdt>
            <w:sdt>
              <w:sdtPr>
                <w:tag w:val="_PLD_0cee72421f954c94ba296c709c84ef52"/>
                <w:id w:val="943881943"/>
                <w:lock w:val="sdtLocked"/>
              </w:sdtPr>
              <w:sdtContent>
                <w:tc>
                  <w:tcPr>
                    <w:tcW w:w="585"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小计</w:t>
                    </w:r>
                  </w:p>
                </w:tc>
              </w:sdtContent>
            </w:sdt>
            <w:tc>
              <w:tcPr>
                <w:tcW w:w="750" w:type="pct"/>
                <w:vMerge w:val="continue"/>
                <w:tcBorders>
                  <w:left w:val="single" w:color="auto" w:sz="4" w:space="0"/>
                  <w:bottom w:val="single" w:color="auto" w:sz="4" w:space="0"/>
                  <w:right w:val="single" w:color="auto" w:sz="4" w:space="0"/>
                </w:tcBorders>
              </w:tcPr>
              <w:p>
                <w:pPr>
                  <w:pStyle w:val="11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0c4dca616a0e4126a03d9e8b2ef3c6bc"/>
                <w:id w:val="1327178371"/>
                <w:lock w:val="sdtLocked"/>
              </w:sdtPr>
              <w:sdtContent>
                <w:tc>
                  <w:tcPr>
                    <w:tcW w:w="640" w:type="pct"/>
                    <w:tcBorders>
                      <w:top w:val="single" w:color="auto" w:sz="4" w:space="0"/>
                      <w:left w:val="single" w:color="auto" w:sz="4" w:space="0"/>
                      <w:bottom w:val="single" w:color="auto" w:sz="4" w:space="0"/>
                      <w:right w:val="single" w:color="auto" w:sz="4" w:space="0"/>
                    </w:tcBorders>
                  </w:tcPr>
                  <w:p>
                    <w:pPr>
                      <w:jc w:val="center"/>
                    </w:pPr>
                    <w:r>
                      <w:rPr>
                        <w:rFonts w:hint="eastAsia"/>
                      </w:rPr>
                      <w:t>股份总数</w:t>
                    </w:r>
                  </w:p>
                </w:tc>
              </w:sdtContent>
            </w:sdt>
            <w:tc>
              <w:tcPr>
                <w:tcW w:w="727" w:type="pct"/>
                <w:tcBorders>
                  <w:top w:val="single" w:color="auto" w:sz="4" w:space="0"/>
                  <w:left w:val="single" w:color="auto" w:sz="4" w:space="0"/>
                  <w:bottom w:val="single" w:color="auto" w:sz="4" w:space="0"/>
                  <w:right w:val="single" w:color="auto" w:sz="4" w:space="0"/>
                </w:tcBorders>
                <w:vAlign w:val="center"/>
              </w:tcPr>
              <w:p>
                <w:pPr>
                  <w:jc w:val="right"/>
                </w:pPr>
                <w:r>
                  <w:t>5,037,747,500.00</w:t>
                </w:r>
              </w:p>
            </w:tc>
            <w:tc>
              <w:tcPr>
                <w:tcW w:w="55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553"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592"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600"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585" w:type="pct"/>
                <w:tcBorders>
                  <w:top w:val="single" w:color="auto" w:sz="4" w:space="0"/>
                  <w:left w:val="single" w:color="auto" w:sz="4" w:space="0"/>
                  <w:bottom w:val="single" w:color="auto" w:sz="4" w:space="0"/>
                  <w:right w:val="single" w:color="auto" w:sz="4" w:space="0"/>
                </w:tcBorders>
                <w:vAlign w:val="center"/>
              </w:tcPr>
              <w:p>
                <w:pPr>
                  <w:jc w:val="right"/>
                </w:pPr>
                <w:r>
                  <w:t>-</w:t>
                </w:r>
              </w:p>
            </w:tc>
            <w:tc>
              <w:tcPr>
                <w:tcW w:w="750" w:type="pct"/>
                <w:tcBorders>
                  <w:top w:val="single" w:color="auto" w:sz="4" w:space="0"/>
                  <w:left w:val="single" w:color="auto" w:sz="4" w:space="0"/>
                  <w:bottom w:val="single" w:color="auto" w:sz="4" w:space="0"/>
                  <w:right w:val="single" w:color="auto" w:sz="4" w:space="0"/>
                </w:tcBorders>
                <w:vAlign w:val="center"/>
              </w:tcPr>
              <w:p>
                <w:pPr>
                  <w:jc w:val="right"/>
                </w:pPr>
                <w:r>
                  <w:t>5,037,747,500.00</w:t>
                </w:r>
              </w:p>
            </w:tc>
          </w:tr>
        </w:tbl>
        <w:p>
          <w:pPr>
            <w:spacing w:before="60" w:after="60"/>
          </w:pPr>
          <w:r>
            <w:rPr>
              <w:rFonts w:hint="eastAsia"/>
            </w:rPr>
            <w:t>其他说明：</w:t>
          </w:r>
        </w:p>
        <w:sdt>
          <w:sdtPr>
            <w:alias w:val="股本变动情况说明"/>
            <w:tag w:val="_GBC_752687f835754470ad7a125ef32391e4"/>
            <w:id w:val="975492725"/>
            <w:lock w:val="sdtLocked"/>
            <w:placeholder>
              <w:docPart w:val="GBC22222222222222222222222222222"/>
            </w:placeholder>
          </w:sdtPr>
          <w:sdtContent>
            <w:p>
              <w:pPr>
                <w:pStyle w:val="114"/>
              </w:pPr>
              <w:r>
                <w:rPr>
                  <w:rFonts w:hint="eastAsia"/>
                </w:rPr>
                <w:t>不适用</w:t>
              </w: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cs="宋体"/>
          <w:kern w:val="0"/>
          <w:szCs w:val="21"/>
        </w:rPr>
        <w:t>其</w:t>
      </w:r>
      <w:r>
        <w:rPr>
          <w:rFonts w:hint="eastAsia" w:ascii="宋体" w:hAnsi="宋体"/>
          <w:szCs w:val="21"/>
        </w:rPr>
        <w:t>他权益工具</w:t>
      </w:r>
    </w:p>
    <w:sdt>
      <w:sdtPr>
        <w:rPr>
          <w:rFonts w:hint="eastAsia" w:ascii="宋体" w:hAnsi="宋体" w:cs="宋体"/>
          <w:b w:val="0"/>
          <w:bCs w:val="0"/>
          <w:kern w:val="0"/>
          <w:szCs w:val="24"/>
        </w:rPr>
        <w:alias w:val="模块:其他权益工具"/>
        <w:tag w:val="_GBC_4f862512b6914630932c1857df6db6e4"/>
        <w:id w:val="-33669006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79"/>
            </w:numPr>
            <w:rPr>
              <w:rFonts w:ascii="宋体" w:hAnsi="宋体"/>
            </w:rPr>
          </w:pPr>
          <w:r>
            <w:rPr>
              <w:rFonts w:hint="eastAsia" w:ascii="宋体" w:hAnsi="宋体"/>
            </w:rPr>
            <w:t>期末发行在外的优先股、永续债等其他金融工具基本情况</w:t>
          </w:r>
        </w:p>
        <w:sdt>
          <w:sdtPr>
            <w:alias w:val="是否适用：期末发行在外的优先股、永续债等其他金融工具基本情况[双击切换]"/>
            <w:tag w:val="_GBC_54d54ac45fe745e1aad9be61a846261f"/>
            <w:id w:val="-6782764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5"/>
            <w:numPr>
              <w:ilvl w:val="0"/>
              <w:numId w:val="79"/>
            </w:numPr>
            <w:rPr>
              <w:rFonts w:ascii="宋体" w:hAnsi="宋体"/>
              <w:szCs w:val="21"/>
            </w:rPr>
          </w:pPr>
          <w:r>
            <w:rPr>
              <w:rFonts w:hint="eastAsia" w:ascii="宋体" w:hAnsi="宋体"/>
              <w:szCs w:val="21"/>
            </w:rPr>
            <w:t>期末</w:t>
          </w:r>
          <w:r>
            <w:rPr>
              <w:rFonts w:hint="eastAsia" w:ascii="宋体" w:hAnsi="宋体"/>
            </w:rPr>
            <w:t>发行</w:t>
          </w:r>
          <w:r>
            <w:rPr>
              <w:rFonts w:hint="eastAsia" w:ascii="宋体" w:hAnsi="宋体"/>
              <w:szCs w:val="21"/>
            </w:rPr>
            <w:t>在外的优先股、永续债等金融工具变动情况表</w:t>
          </w:r>
        </w:p>
        <w:sdt>
          <w:sdtPr>
            <w:alias w:val="是否适用：期末发行在外的优先股、永续债等金融工具变动情况表_其他权益工具[双击切换]"/>
            <w:tag w:val="_GBC_e8c53693e19e485cba80f7cd2a15ab4c"/>
            <w:id w:val="-212606836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174765203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r>
            <w:rPr>
              <w:rFonts w:hint="eastAsia"/>
            </w:rPr>
            <w:t>其他说明：</w:t>
          </w:r>
        </w:p>
        <w:sdt>
          <w:sdtPr>
            <w:alias w:val="是否适用：其他权益工具的其他说明[双击切换]"/>
            <w:tag w:val="_GBC_297d299126b041159b18d012f9a18c2e"/>
            <w:id w:val="-66439277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1"/>
        </w:rPr>
        <w:alias w:val="模块:资本公积"/>
        <w:tag w:val="_GBC_23fef1c643714b9f82710e33a1bef935"/>
        <w:id w:val="452828107"/>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4"/>
            <w:numPr>
              <w:ilvl w:val="0"/>
              <w:numId w:val="51"/>
            </w:numPr>
            <w:tabs>
              <w:tab w:val="left" w:pos="504"/>
            </w:tabs>
            <w:rPr>
              <w:rFonts w:ascii="宋体" w:hAnsi="宋体"/>
              <w:szCs w:val="21"/>
            </w:rPr>
          </w:pPr>
          <w:r>
            <w:rPr>
              <w:rFonts w:hint="eastAsia" w:ascii="宋体" w:hAnsi="宋体"/>
              <w:szCs w:val="21"/>
            </w:rPr>
            <w:t>资本公积</w:t>
          </w:r>
        </w:p>
        <w:sdt>
          <w:sdtPr>
            <w:alias w:val="是否适用：资本公积[双击切换]"/>
            <w:tag w:val="_GBC_70f32b67ce344a03adfc93d4ed72949a"/>
            <w:id w:val="1947961708"/>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资本公积"/>
              <w:tag w:val="_GBC_88633009fdc64f4e8238c38541b33615"/>
              <w:id w:val="1599682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6372731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896"/>
            <w:gridCol w:w="1807"/>
            <w:gridCol w:w="179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77c011500e64862903c4c16dbb2f31f"/>
                <w:id w:val="-235869359"/>
                <w:lock w:val="sdtLocked"/>
              </w:sdtPr>
              <w:sdtContent>
                <w:tc>
                  <w:tcPr>
                    <w:tcW w:w="942" w:type="pct"/>
                    <w:vAlign w:val="center"/>
                  </w:tcPr>
                  <w:p>
                    <w:pPr>
                      <w:autoSpaceDE w:val="0"/>
                      <w:autoSpaceDN w:val="0"/>
                      <w:adjustRightInd w:val="0"/>
                      <w:snapToGrid w:val="0"/>
                      <w:jc w:val="center"/>
                    </w:pPr>
                    <w:r>
                      <w:rPr>
                        <w:rFonts w:hint="eastAsia"/>
                      </w:rPr>
                      <w:t>项目</w:t>
                    </w:r>
                  </w:p>
                </w:tc>
              </w:sdtContent>
            </w:sdt>
            <w:sdt>
              <w:sdtPr>
                <w:tag w:val="_PLD_1519f0add67f49df9173f37c00215eef"/>
                <w:id w:val="-152068968"/>
                <w:lock w:val="sdtLocked"/>
              </w:sdtPr>
              <w:sdtContent>
                <w:tc>
                  <w:tcPr>
                    <w:tcW w:w="1005" w:type="pct"/>
                    <w:vAlign w:val="center"/>
                  </w:tcPr>
                  <w:p>
                    <w:pPr>
                      <w:autoSpaceDE w:val="0"/>
                      <w:autoSpaceDN w:val="0"/>
                      <w:adjustRightInd w:val="0"/>
                      <w:snapToGrid w:val="0"/>
                      <w:jc w:val="center"/>
                    </w:pPr>
                    <w:r>
                      <w:rPr>
                        <w:rFonts w:hint="eastAsia"/>
                      </w:rPr>
                      <w:t>期初余额</w:t>
                    </w:r>
                  </w:p>
                </w:tc>
              </w:sdtContent>
            </w:sdt>
            <w:sdt>
              <w:sdtPr>
                <w:tag w:val="_PLD_dcbf1fd9bcaa41fc8ff4def2d0e55143"/>
                <w:id w:val="-668790357"/>
                <w:lock w:val="sdtLocked"/>
              </w:sdtPr>
              <w:sdtContent>
                <w:tc>
                  <w:tcPr>
                    <w:tcW w:w="1024" w:type="pct"/>
                    <w:vAlign w:val="center"/>
                  </w:tcPr>
                  <w:p>
                    <w:pPr>
                      <w:autoSpaceDE w:val="0"/>
                      <w:autoSpaceDN w:val="0"/>
                      <w:adjustRightInd w:val="0"/>
                      <w:snapToGrid w:val="0"/>
                      <w:jc w:val="center"/>
                    </w:pPr>
                    <w:r>
                      <w:rPr>
                        <w:rFonts w:hint="eastAsia"/>
                      </w:rPr>
                      <w:t>本期增加</w:t>
                    </w:r>
                  </w:p>
                </w:tc>
              </w:sdtContent>
            </w:sdt>
            <w:sdt>
              <w:sdtPr>
                <w:tag w:val="_PLD_9d88d0ce99474d389c660c414306497d"/>
                <w:id w:val="384768520"/>
                <w:lock w:val="sdtLocked"/>
              </w:sdtPr>
              <w:sdtContent>
                <w:tc>
                  <w:tcPr>
                    <w:tcW w:w="1015" w:type="pct"/>
                    <w:vAlign w:val="center"/>
                  </w:tcPr>
                  <w:p>
                    <w:pPr>
                      <w:autoSpaceDE w:val="0"/>
                      <w:autoSpaceDN w:val="0"/>
                      <w:adjustRightInd w:val="0"/>
                      <w:snapToGrid w:val="0"/>
                      <w:jc w:val="center"/>
                    </w:pPr>
                    <w:r>
                      <w:rPr>
                        <w:rFonts w:hint="eastAsia"/>
                      </w:rPr>
                      <w:t>本期减少</w:t>
                    </w:r>
                  </w:p>
                </w:tc>
              </w:sdtContent>
            </w:sdt>
            <w:sdt>
              <w:sdtPr>
                <w:tag w:val="_PLD_4c3f2255a4a24c1cae63eb0cc7781f12"/>
                <w:id w:val="-39052830"/>
                <w:lock w:val="sdtLocked"/>
              </w:sdtPr>
              <w:sdtContent>
                <w:tc>
                  <w:tcPr>
                    <w:tcW w:w="1014" w:type="pct"/>
                    <w:vAlign w:val="center"/>
                  </w:tcPr>
                  <w:p>
                    <w:pPr>
                      <w:autoSpaceDE w:val="0"/>
                      <w:autoSpaceDN w:val="0"/>
                      <w:adjustRightInd w:val="0"/>
                      <w:snapToGrid w:val="0"/>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f0c6094ea774cff87e6eacd4eb8ba12"/>
                <w:id w:val="1264269153"/>
                <w:lock w:val="sdtLocked"/>
              </w:sdtPr>
              <w:sdtContent>
                <w:tc>
                  <w:tcPr>
                    <w:tcW w:w="942" w:type="pct"/>
                    <w:shd w:val="clear" w:color="auto" w:fill="auto"/>
                  </w:tcPr>
                  <w:p>
                    <w:pPr>
                      <w:autoSpaceDE w:val="0"/>
                      <w:autoSpaceDN w:val="0"/>
                      <w:adjustRightInd w:val="0"/>
                      <w:snapToGrid w:val="0"/>
                    </w:pPr>
                    <w:r>
                      <w:rPr>
                        <w:rFonts w:hint="eastAsia"/>
                      </w:rPr>
                      <w:t>资本溢价（股本溢价）</w:t>
                    </w:r>
                  </w:p>
                </w:tc>
              </w:sdtContent>
            </w:sdt>
            <w:tc>
              <w:tcPr>
                <w:tcW w:w="1005" w:type="pct"/>
                <w:shd w:val="clear" w:color="auto" w:fill="auto"/>
              </w:tcPr>
              <w:p>
                <w:pPr>
                  <w:autoSpaceDE w:val="0"/>
                  <w:autoSpaceDN w:val="0"/>
                  <w:adjustRightInd w:val="0"/>
                  <w:snapToGrid w:val="0"/>
                  <w:jc w:val="right"/>
                </w:pPr>
                <w:r>
                  <w:t>4,061,508,338.00</w:t>
                </w:r>
              </w:p>
            </w:tc>
            <w:tc>
              <w:tcPr>
                <w:tcW w:w="1024" w:type="pct"/>
                <w:shd w:val="clear" w:color="auto" w:fill="auto"/>
              </w:tcPr>
              <w:p>
                <w:pPr>
                  <w:autoSpaceDE w:val="0"/>
                  <w:autoSpaceDN w:val="0"/>
                  <w:adjustRightInd w:val="0"/>
                  <w:snapToGrid w:val="0"/>
                  <w:jc w:val="right"/>
                </w:pPr>
                <w:r>
                  <w:t>-</w:t>
                </w:r>
              </w:p>
            </w:tc>
            <w:tc>
              <w:tcPr>
                <w:tcW w:w="1015" w:type="pct"/>
                <w:shd w:val="clear" w:color="auto" w:fill="auto"/>
              </w:tcPr>
              <w:p>
                <w:pPr>
                  <w:autoSpaceDE w:val="0"/>
                  <w:autoSpaceDN w:val="0"/>
                  <w:adjustRightInd w:val="0"/>
                  <w:snapToGrid w:val="0"/>
                  <w:jc w:val="right"/>
                </w:pPr>
                <w:r>
                  <w:t>-</w:t>
                </w:r>
              </w:p>
            </w:tc>
            <w:tc>
              <w:tcPr>
                <w:tcW w:w="1014" w:type="pct"/>
                <w:shd w:val="clear" w:color="auto" w:fill="auto"/>
              </w:tcPr>
              <w:p>
                <w:pPr>
                  <w:autoSpaceDE w:val="0"/>
                  <w:autoSpaceDN w:val="0"/>
                  <w:adjustRightInd w:val="0"/>
                  <w:snapToGrid w:val="0"/>
                  <w:jc w:val="right"/>
                </w:pPr>
                <w:r>
                  <w:t>4,061,508,338.00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shd w:val="clear" w:color="auto" w:fill="auto"/>
                <w:vAlign w:val="center"/>
              </w:tcPr>
              <w:p>
                <w:pPr>
                  <w:autoSpaceDE w:val="0"/>
                  <w:autoSpaceDN w:val="0"/>
                  <w:adjustRightInd w:val="0"/>
                  <w:snapToGrid w:val="0"/>
                </w:pPr>
                <w:r>
                  <w:rPr>
                    <w:rFonts w:hint="eastAsia"/>
                  </w:rPr>
                  <w:t>其中：投资者投入的资本</w:t>
                </w:r>
              </w:p>
            </w:tc>
            <w:tc>
              <w:tcPr>
                <w:tcW w:w="1005" w:type="pct"/>
                <w:shd w:val="clear" w:color="auto" w:fill="auto"/>
              </w:tcPr>
              <w:p>
                <w:pPr>
                  <w:autoSpaceDE w:val="0"/>
                  <w:autoSpaceDN w:val="0"/>
                  <w:adjustRightInd w:val="0"/>
                  <w:snapToGrid w:val="0"/>
                  <w:jc w:val="right"/>
                </w:pPr>
                <w:r>
                  <w:t>4,887,251,453.53</w:t>
                </w:r>
              </w:p>
            </w:tc>
            <w:tc>
              <w:tcPr>
                <w:tcW w:w="1024" w:type="pct"/>
                <w:shd w:val="clear" w:color="auto" w:fill="auto"/>
              </w:tcPr>
              <w:p>
                <w:pPr>
                  <w:autoSpaceDE w:val="0"/>
                  <w:autoSpaceDN w:val="0"/>
                  <w:adjustRightInd w:val="0"/>
                  <w:snapToGrid w:val="0"/>
                  <w:jc w:val="right"/>
                </w:pPr>
                <w:r>
                  <w:t>-</w:t>
                </w:r>
              </w:p>
            </w:tc>
            <w:tc>
              <w:tcPr>
                <w:tcW w:w="1015" w:type="pct"/>
                <w:shd w:val="clear" w:color="auto" w:fill="auto"/>
              </w:tcPr>
              <w:p>
                <w:pPr>
                  <w:autoSpaceDE w:val="0"/>
                  <w:autoSpaceDN w:val="0"/>
                  <w:adjustRightInd w:val="0"/>
                  <w:snapToGrid w:val="0"/>
                  <w:jc w:val="right"/>
                </w:pPr>
                <w:r>
                  <w:t>-</w:t>
                </w:r>
              </w:p>
            </w:tc>
            <w:tc>
              <w:tcPr>
                <w:tcW w:w="1014" w:type="pct"/>
                <w:shd w:val="clear" w:color="auto" w:fill="auto"/>
              </w:tcPr>
              <w:p>
                <w:pPr>
                  <w:autoSpaceDE w:val="0"/>
                  <w:autoSpaceDN w:val="0"/>
                  <w:adjustRightInd w:val="0"/>
                  <w:snapToGrid w:val="0"/>
                  <w:jc w:val="right"/>
                </w:pPr>
                <w:r>
                  <w:t>4,887,251,453.53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shd w:val="clear" w:color="auto" w:fill="auto"/>
                <w:vAlign w:val="center"/>
              </w:tcPr>
              <w:p>
                <w:pPr>
                  <w:autoSpaceDE w:val="0"/>
                  <w:autoSpaceDN w:val="0"/>
                  <w:adjustRightInd w:val="0"/>
                  <w:snapToGrid w:val="0"/>
                </w:pPr>
                <w:r>
                  <w:rPr>
                    <w:rFonts w:hint="eastAsia"/>
                  </w:rPr>
                  <w:t>同一控制下企业合并支付的对价</w:t>
                </w:r>
              </w:p>
            </w:tc>
            <w:tc>
              <w:tcPr>
                <w:tcW w:w="1005" w:type="pct"/>
                <w:shd w:val="clear" w:color="auto" w:fill="auto"/>
              </w:tcPr>
              <w:p>
                <w:pPr>
                  <w:autoSpaceDE w:val="0"/>
                  <w:autoSpaceDN w:val="0"/>
                  <w:adjustRightInd w:val="0"/>
                  <w:snapToGrid w:val="0"/>
                  <w:jc w:val="right"/>
                </w:pPr>
                <w:r>
                  <w:t>-825,743,115.53</w:t>
                </w:r>
              </w:p>
            </w:tc>
            <w:tc>
              <w:tcPr>
                <w:tcW w:w="1024" w:type="pct"/>
                <w:shd w:val="clear" w:color="auto" w:fill="auto"/>
              </w:tcPr>
              <w:p>
                <w:pPr>
                  <w:autoSpaceDE w:val="0"/>
                  <w:autoSpaceDN w:val="0"/>
                  <w:adjustRightInd w:val="0"/>
                  <w:snapToGrid w:val="0"/>
                  <w:jc w:val="right"/>
                </w:pPr>
                <w:r>
                  <w:t>-</w:t>
                </w:r>
              </w:p>
            </w:tc>
            <w:tc>
              <w:tcPr>
                <w:tcW w:w="1015" w:type="pct"/>
                <w:shd w:val="clear" w:color="auto" w:fill="auto"/>
              </w:tcPr>
              <w:p>
                <w:pPr>
                  <w:autoSpaceDE w:val="0"/>
                  <w:autoSpaceDN w:val="0"/>
                  <w:adjustRightInd w:val="0"/>
                  <w:snapToGrid w:val="0"/>
                  <w:jc w:val="right"/>
                </w:pPr>
                <w:r>
                  <w:t>-</w:t>
                </w:r>
              </w:p>
            </w:tc>
            <w:tc>
              <w:tcPr>
                <w:tcW w:w="1014" w:type="pct"/>
                <w:shd w:val="clear" w:color="auto" w:fill="auto"/>
              </w:tcPr>
              <w:p>
                <w:pPr>
                  <w:autoSpaceDE w:val="0"/>
                  <w:autoSpaceDN w:val="0"/>
                  <w:adjustRightInd w:val="0"/>
                  <w:snapToGrid w:val="0"/>
                  <w:jc w:val="right"/>
                </w:pPr>
                <w:r>
                  <w:t>-825,743,115.53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d65c4a2c84c464d8e7b1cc66155d272"/>
                <w:id w:val="-882938559"/>
                <w:lock w:val="sdtLocked"/>
              </w:sdtPr>
              <w:sdtContent>
                <w:tc>
                  <w:tcPr>
                    <w:tcW w:w="942" w:type="pct"/>
                    <w:shd w:val="clear" w:color="auto" w:fill="auto"/>
                  </w:tcPr>
                  <w:p>
                    <w:pPr>
                      <w:autoSpaceDE w:val="0"/>
                      <w:autoSpaceDN w:val="0"/>
                      <w:adjustRightInd w:val="0"/>
                      <w:snapToGrid w:val="0"/>
                    </w:pPr>
                    <w:r>
                      <w:rPr>
                        <w:rFonts w:hint="eastAsia"/>
                      </w:rPr>
                      <w:t>其他资本公积</w:t>
                    </w:r>
                  </w:p>
                </w:tc>
              </w:sdtContent>
            </w:sdt>
            <w:tc>
              <w:tcPr>
                <w:tcW w:w="1005" w:type="pct"/>
                <w:shd w:val="clear" w:color="auto" w:fill="auto"/>
              </w:tcPr>
              <w:p>
                <w:pPr>
                  <w:autoSpaceDE w:val="0"/>
                  <w:autoSpaceDN w:val="0"/>
                  <w:adjustRightInd w:val="0"/>
                  <w:snapToGrid w:val="0"/>
                  <w:jc w:val="right"/>
                </w:pPr>
                <w:r>
                  <w:t>5,714,901,034.86</w:t>
                </w:r>
              </w:p>
            </w:tc>
            <w:tc>
              <w:tcPr>
                <w:tcW w:w="1024" w:type="pct"/>
                <w:shd w:val="clear" w:color="auto" w:fill="auto"/>
              </w:tcPr>
              <w:p>
                <w:pPr>
                  <w:autoSpaceDE w:val="0"/>
                  <w:autoSpaceDN w:val="0"/>
                  <w:adjustRightInd w:val="0"/>
                  <w:snapToGrid w:val="0"/>
                  <w:jc w:val="right"/>
                </w:pPr>
                <w:r>
                  <w:t>-</w:t>
                </w:r>
              </w:p>
            </w:tc>
            <w:tc>
              <w:tcPr>
                <w:tcW w:w="1015" w:type="pct"/>
                <w:shd w:val="clear" w:color="auto" w:fill="auto"/>
              </w:tcPr>
              <w:p>
                <w:pPr>
                  <w:autoSpaceDE w:val="0"/>
                  <w:autoSpaceDN w:val="0"/>
                  <w:adjustRightInd w:val="0"/>
                  <w:snapToGrid w:val="0"/>
                  <w:jc w:val="right"/>
                </w:pPr>
                <w:r>
                  <w:t>-</w:t>
                </w:r>
              </w:p>
            </w:tc>
            <w:tc>
              <w:tcPr>
                <w:tcW w:w="1014" w:type="pct"/>
                <w:shd w:val="clear" w:color="auto" w:fill="auto"/>
              </w:tcPr>
              <w:p>
                <w:pPr>
                  <w:autoSpaceDE w:val="0"/>
                  <w:autoSpaceDN w:val="0"/>
                  <w:adjustRightInd w:val="0"/>
                  <w:snapToGrid w:val="0"/>
                  <w:jc w:val="right"/>
                </w:pPr>
                <w:r>
                  <w:t>5,714,901,034.86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vAlign w:val="center"/>
              </w:tcPr>
              <w:p>
                <w:r>
                  <w:rPr>
                    <w:rFonts w:hint="eastAsia"/>
                  </w:rPr>
                  <w:t>其中：权益法下被投资单位的资本公积中享有的份额</w:t>
                </w:r>
              </w:p>
            </w:tc>
            <w:tc>
              <w:tcPr>
                <w:tcW w:w="1005" w:type="pct"/>
              </w:tcPr>
              <w:p>
                <w:pPr>
                  <w:jc w:val="right"/>
                </w:pPr>
                <w:r>
                  <w:t>-18,939,686.61</w:t>
                </w:r>
              </w:p>
            </w:tc>
            <w:tc>
              <w:tcPr>
                <w:tcW w:w="1024" w:type="pct"/>
              </w:tcPr>
              <w:p>
                <w:pPr>
                  <w:jc w:val="right"/>
                </w:pPr>
                <w:r>
                  <w:t>-</w:t>
                </w:r>
              </w:p>
            </w:tc>
            <w:tc>
              <w:tcPr>
                <w:tcW w:w="1015" w:type="pct"/>
              </w:tcPr>
              <w:p>
                <w:pPr>
                  <w:jc w:val="right"/>
                </w:pPr>
                <w:r>
                  <w:t>-</w:t>
                </w:r>
              </w:p>
            </w:tc>
            <w:tc>
              <w:tcPr>
                <w:tcW w:w="1014" w:type="pct"/>
              </w:tcPr>
              <w:p>
                <w:pPr>
                  <w:jc w:val="right"/>
                </w:pPr>
                <w:r>
                  <w:t>-18,939,686.61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vAlign w:val="center"/>
              </w:tcPr>
              <w:p>
                <w:r>
                  <w:rPr>
                    <w:rFonts w:hint="eastAsia"/>
                  </w:rPr>
                  <w:t>其他权益工具持有者投入资本</w:t>
                </w:r>
              </w:p>
            </w:tc>
            <w:tc>
              <w:tcPr>
                <w:tcW w:w="1005" w:type="pct"/>
              </w:tcPr>
              <w:p>
                <w:pPr>
                  <w:jc w:val="right"/>
                </w:pPr>
                <w:r>
                  <w:t>6,483,769.61</w:t>
                </w:r>
              </w:p>
            </w:tc>
            <w:tc>
              <w:tcPr>
                <w:tcW w:w="1024" w:type="pct"/>
              </w:tcPr>
              <w:p>
                <w:pPr>
                  <w:jc w:val="right"/>
                </w:pPr>
                <w:r>
                  <w:t>-</w:t>
                </w:r>
              </w:p>
            </w:tc>
            <w:tc>
              <w:tcPr>
                <w:tcW w:w="1015" w:type="pct"/>
              </w:tcPr>
              <w:p>
                <w:pPr>
                  <w:jc w:val="right"/>
                </w:pPr>
                <w:r>
                  <w:t>-</w:t>
                </w:r>
              </w:p>
            </w:tc>
            <w:tc>
              <w:tcPr>
                <w:tcW w:w="1014" w:type="pct"/>
              </w:tcPr>
              <w:p>
                <w:pPr>
                  <w:jc w:val="right"/>
                </w:pPr>
                <w:r>
                  <w:t>6,483,769.61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vAlign w:val="center"/>
              </w:tcPr>
              <w:p>
                <w:r>
                  <w:rPr>
                    <w:rFonts w:hint="eastAsia"/>
                  </w:rPr>
                  <w:t>原制度资本公积转入</w:t>
                </w:r>
              </w:p>
            </w:tc>
            <w:tc>
              <w:tcPr>
                <w:tcW w:w="1005" w:type="pct"/>
              </w:tcPr>
              <w:p>
                <w:pPr>
                  <w:jc w:val="right"/>
                </w:pPr>
                <w:r>
                  <w:t>5,653,832,002.49</w:t>
                </w:r>
              </w:p>
            </w:tc>
            <w:tc>
              <w:tcPr>
                <w:tcW w:w="1024" w:type="pct"/>
              </w:tcPr>
              <w:p>
                <w:pPr>
                  <w:jc w:val="right"/>
                </w:pPr>
                <w:r>
                  <w:t>-</w:t>
                </w:r>
              </w:p>
            </w:tc>
            <w:tc>
              <w:tcPr>
                <w:tcW w:w="1015" w:type="pct"/>
              </w:tcPr>
              <w:p>
                <w:pPr>
                  <w:jc w:val="right"/>
                </w:pPr>
                <w:r>
                  <w:t>-</w:t>
                </w:r>
              </w:p>
            </w:tc>
            <w:tc>
              <w:tcPr>
                <w:tcW w:w="1014" w:type="pct"/>
              </w:tcPr>
              <w:p>
                <w:pPr>
                  <w:jc w:val="right"/>
                </w:pPr>
                <w:r>
                  <w:t>5,653,832,002.49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pct"/>
                <w:vAlign w:val="center"/>
              </w:tcPr>
              <w:p>
                <w:r>
                  <w:rPr>
                    <w:rFonts w:hint="eastAsia"/>
                  </w:rPr>
                  <w:t>联营公司吸收合并形成的差额</w:t>
                </w:r>
              </w:p>
            </w:tc>
            <w:tc>
              <w:tcPr>
                <w:tcW w:w="1005" w:type="pct"/>
              </w:tcPr>
              <w:p>
                <w:pPr>
                  <w:jc w:val="right"/>
                </w:pPr>
                <w:r>
                  <w:t>73,524,949.37</w:t>
                </w:r>
              </w:p>
            </w:tc>
            <w:tc>
              <w:tcPr>
                <w:tcW w:w="1024" w:type="pct"/>
              </w:tcPr>
              <w:p>
                <w:pPr>
                  <w:jc w:val="right"/>
                </w:pPr>
                <w:r>
                  <w:t>-</w:t>
                </w:r>
              </w:p>
            </w:tc>
            <w:tc>
              <w:tcPr>
                <w:tcW w:w="1015" w:type="pct"/>
              </w:tcPr>
              <w:p>
                <w:pPr>
                  <w:jc w:val="right"/>
                </w:pPr>
                <w:r>
                  <w:t>-</w:t>
                </w:r>
              </w:p>
            </w:tc>
            <w:tc>
              <w:tcPr>
                <w:tcW w:w="1014" w:type="pct"/>
              </w:tcPr>
              <w:p>
                <w:pPr>
                  <w:jc w:val="right"/>
                </w:pPr>
                <w:r>
                  <w:t>73,524,949.37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d6988ed902d4f2a9c423d885cfc336e"/>
                <w:id w:val="-1481844695"/>
                <w:lock w:val="sdtLocked"/>
              </w:sdtPr>
              <w:sdtContent>
                <w:tc>
                  <w:tcPr>
                    <w:tcW w:w="942" w:type="pct"/>
                    <w:vAlign w:val="center"/>
                  </w:tcPr>
                  <w:p>
                    <w:pPr>
                      <w:autoSpaceDE w:val="0"/>
                      <w:autoSpaceDN w:val="0"/>
                      <w:adjustRightInd w:val="0"/>
                      <w:snapToGrid w:val="0"/>
                      <w:jc w:val="center"/>
                    </w:pPr>
                    <w:r>
                      <w:rPr>
                        <w:rFonts w:hint="eastAsia"/>
                      </w:rPr>
                      <w:t>合计</w:t>
                    </w:r>
                  </w:p>
                </w:tc>
              </w:sdtContent>
            </w:sdt>
            <w:tc>
              <w:tcPr>
                <w:tcW w:w="1005" w:type="pct"/>
              </w:tcPr>
              <w:p>
                <w:pPr>
                  <w:autoSpaceDE w:val="0"/>
                  <w:autoSpaceDN w:val="0"/>
                  <w:adjustRightInd w:val="0"/>
                  <w:snapToGrid w:val="0"/>
                  <w:jc w:val="right"/>
                </w:pPr>
                <w:r>
                  <w:t>9,776,409,372.86</w:t>
                </w:r>
              </w:p>
            </w:tc>
            <w:tc>
              <w:tcPr>
                <w:tcW w:w="1024" w:type="pct"/>
              </w:tcPr>
              <w:p>
                <w:pPr>
                  <w:autoSpaceDE w:val="0"/>
                  <w:autoSpaceDN w:val="0"/>
                  <w:adjustRightInd w:val="0"/>
                  <w:snapToGrid w:val="0"/>
                  <w:jc w:val="right"/>
                </w:pPr>
                <w:r>
                  <w:t>-</w:t>
                </w:r>
              </w:p>
            </w:tc>
            <w:tc>
              <w:tcPr>
                <w:tcW w:w="1015" w:type="pct"/>
              </w:tcPr>
              <w:p>
                <w:pPr>
                  <w:autoSpaceDE w:val="0"/>
                  <w:autoSpaceDN w:val="0"/>
                  <w:adjustRightInd w:val="0"/>
                  <w:snapToGrid w:val="0"/>
                  <w:jc w:val="right"/>
                </w:pPr>
                <w:r>
                  <w:t>-</w:t>
                </w:r>
              </w:p>
            </w:tc>
            <w:tc>
              <w:tcPr>
                <w:tcW w:w="1014" w:type="pct"/>
              </w:tcPr>
              <w:p>
                <w:pPr>
                  <w:autoSpaceDE w:val="0"/>
                  <w:autoSpaceDN w:val="0"/>
                  <w:adjustRightInd w:val="0"/>
                  <w:snapToGrid w:val="0"/>
                  <w:jc w:val="right"/>
                </w:pPr>
                <w:r>
                  <w:t>9,776,409,372.86</w:t>
                </w:r>
              </w:p>
            </w:tc>
          </w:tr>
        </w:tbl>
        <w:p>
          <w:r>
            <w:rPr>
              <w:rFonts w:hint="eastAsia"/>
            </w:rPr>
            <w:t>其他说明，包括本期增减变动情况、变动原因说明：</w:t>
          </w:r>
        </w:p>
        <w:p>
          <w:sdt>
            <w:sdtPr>
              <w:alias w:val="资本公积说明"/>
              <w:tag w:val="_GBC_014f0762b4274266bec2aa5231aa0981"/>
              <w:id w:val="-145831102"/>
              <w:lock w:val="sdtLocked"/>
              <w:placeholder>
                <w:docPart w:val="GBC22222222222222222222222222222"/>
              </w:placeholder>
            </w:sdtPr>
            <w:sdtContent>
              <w:r>
                <w:rPr>
                  <w:rFonts w:hint="eastAsia"/>
                </w:rPr>
                <w:t>不适用</w:t>
              </w:r>
            </w:sdtContent>
          </w:sdt>
        </w:p>
      </w:sdtContent>
    </w:sdt>
    <w:p/>
    <w:sdt>
      <w:sdtPr>
        <w:rPr>
          <w:rFonts w:hint="eastAsia" w:ascii="宋体" w:hAnsi="宋体" w:cs="宋体"/>
          <w:b w:val="0"/>
          <w:bCs w:val="0"/>
          <w:kern w:val="0"/>
          <w:szCs w:val="21"/>
        </w:rPr>
        <w:alias w:val="模块:库存股"/>
        <w:tag w:val="_GBC_02198eb4b89045c5af2f3bcd240e18af"/>
        <w:id w:val="-513913682"/>
        <w:lock w:val="sdtLocked"/>
        <w:placeholder>
          <w:docPart w:val="GBC22222222222222222222222222222"/>
        </w:placeholder>
      </w:sdtPr>
      <w:sdtEndPr>
        <w:rPr>
          <w:rFonts w:hint="default" w:ascii="宋体" w:hAnsi="宋体" w:cstheme="minorBidi"/>
          <w:b w:val="0"/>
          <w:bCs w:val="0"/>
          <w:color w:val="000000" w:themeColor="text1"/>
          <w:kern w:val="2"/>
          <w:szCs w:val="21"/>
          <w14:textFill>
            <w14:solidFill>
              <w14:schemeClr w14:val="tx1"/>
            </w14:solidFill>
          </w14:textFill>
        </w:rPr>
      </w:sdtEndPr>
      <w:sdtContent>
        <w:p>
          <w:pPr>
            <w:pStyle w:val="4"/>
            <w:numPr>
              <w:ilvl w:val="0"/>
              <w:numId w:val="51"/>
            </w:numPr>
            <w:tabs>
              <w:tab w:val="left" w:pos="504"/>
            </w:tabs>
            <w:rPr>
              <w:rFonts w:ascii="宋体" w:hAnsi="宋体"/>
              <w:szCs w:val="21"/>
            </w:rPr>
          </w:pPr>
          <w:r>
            <w:rPr>
              <w:rFonts w:hint="eastAsia" w:ascii="宋体" w:hAnsi="宋体"/>
              <w:szCs w:val="21"/>
            </w:rPr>
            <w:t>库存股</w:t>
          </w:r>
        </w:p>
        <w:sdt>
          <w:sdtPr>
            <w:alias w:val="是否适用：库存股[双击切换]"/>
            <w:tag w:val="_GBC_4aa47a6d9b1044aa8a049146d42c3e9c"/>
            <w:id w:val="75401580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b/>
            </w:rPr>
          </w:pPr>
        </w:p>
      </w:sdtContent>
    </w:sdt>
    <w:p>
      <w:pPr>
        <w:pStyle w:val="114"/>
      </w:pPr>
    </w:p>
    <w:sdt>
      <w:sdtPr>
        <w:rPr>
          <w:rFonts w:hint="eastAsia" w:ascii="宋体" w:hAnsi="宋体" w:cs="宋体"/>
          <w:b w:val="0"/>
          <w:bCs w:val="0"/>
          <w:kern w:val="0"/>
          <w:szCs w:val="21"/>
        </w:rPr>
        <w:alias w:val="模块:其他综合收益"/>
        <w:tag w:val="_GBC_de162f89125c4dc8abd2331e6cce7184"/>
        <w:id w:val="-188030962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34" w:name="_Hlk10537776"/>
          <w:r>
            <w:rPr>
              <w:rFonts w:hint="eastAsia" w:ascii="宋体" w:hAnsi="宋体"/>
              <w:szCs w:val="21"/>
            </w:rPr>
            <w:t>其他综合收益</w:t>
          </w:r>
        </w:p>
        <w:sdt>
          <w:sdtPr>
            <w:alias w:val="是否适用：其他综合收益[双击切换]"/>
            <w:tag w:val="_GBC_a53cc67f2be24dfbbe3af1b633d9bd6d"/>
            <w:id w:val="19805600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其他综合收益情况"/>
              <w:tag w:val="_GBC_3fcad98da74248809a759048ca194814"/>
              <w:id w:val="563918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2043939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497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1"/>
            <w:gridCol w:w="1162"/>
            <w:gridCol w:w="1018"/>
            <w:gridCol w:w="1018"/>
            <w:gridCol w:w="1018"/>
            <w:gridCol w:w="1020"/>
            <w:gridCol w:w="1020"/>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sdt>
              <w:sdtPr>
                <w:rPr>
                  <w:sz w:val="14"/>
                  <w:szCs w:val="14"/>
                </w:rPr>
                <w:tag w:val="_PLD_965475dfd86e41c29d1b9f1fdff70ee0"/>
                <w:id w:val="1807347528"/>
                <w:lock w:val="sdtLocked"/>
              </w:sdtPr>
              <w:sdtEndPr>
                <w:rPr>
                  <w:sz w:val="14"/>
                  <w:szCs w:val="14"/>
                </w:rPr>
              </w:sdtEndPr>
              <w:sdtContent>
                <w:tc>
                  <w:tcPr>
                    <w:tcW w:w="883" w:type="pct"/>
                    <w:vMerge w:val="restart"/>
                    <w:shd w:val="clear" w:color="auto" w:fill="auto"/>
                    <w:vAlign w:val="center"/>
                  </w:tcPr>
                  <w:p>
                    <w:pPr>
                      <w:jc w:val="center"/>
                      <w:rPr>
                        <w:sz w:val="14"/>
                        <w:szCs w:val="14"/>
                      </w:rPr>
                    </w:pPr>
                    <w:r>
                      <w:rPr>
                        <w:rFonts w:hint="eastAsia"/>
                        <w:sz w:val="14"/>
                        <w:szCs w:val="14"/>
                      </w:rPr>
                      <w:t>项目</w:t>
                    </w:r>
                  </w:p>
                </w:tc>
              </w:sdtContent>
            </w:sdt>
            <w:sdt>
              <w:sdtPr>
                <w:rPr>
                  <w:sz w:val="14"/>
                  <w:szCs w:val="14"/>
                </w:rPr>
                <w:tag w:val="_PLD_8a675a3cac5041d29cfb92203b87e9a6"/>
                <w:id w:val="74409178"/>
                <w:lock w:val="sdtLocked"/>
              </w:sdtPr>
              <w:sdtEndPr>
                <w:rPr>
                  <w:sz w:val="14"/>
                  <w:szCs w:val="14"/>
                </w:rPr>
              </w:sdtEndPr>
              <w:sdtContent>
                <w:tc>
                  <w:tcPr>
                    <w:tcW w:w="645" w:type="pct"/>
                    <w:vMerge w:val="restart"/>
                    <w:shd w:val="clear" w:color="auto" w:fill="auto"/>
                    <w:vAlign w:val="center"/>
                  </w:tcPr>
                  <w:p>
                    <w:pPr>
                      <w:jc w:val="center"/>
                      <w:rPr>
                        <w:sz w:val="14"/>
                        <w:szCs w:val="14"/>
                      </w:rPr>
                    </w:pPr>
                    <w:r>
                      <w:rPr>
                        <w:rFonts w:hint="eastAsia"/>
                        <w:sz w:val="14"/>
                        <w:szCs w:val="14"/>
                      </w:rPr>
                      <w:t>期初余额</w:t>
                    </w:r>
                  </w:p>
                </w:tc>
              </w:sdtContent>
            </w:sdt>
            <w:sdt>
              <w:sdtPr>
                <w:rPr>
                  <w:sz w:val="14"/>
                  <w:szCs w:val="14"/>
                </w:rPr>
                <w:tag w:val="_PLD_5ff455f3c2164019b5e694c1e00e4104"/>
                <w:id w:val="1262494453"/>
                <w:lock w:val="sdtLocked"/>
              </w:sdtPr>
              <w:sdtEndPr>
                <w:rPr>
                  <w:sz w:val="14"/>
                  <w:szCs w:val="14"/>
                </w:rPr>
              </w:sdtEndPr>
              <w:sdtContent>
                <w:tc>
                  <w:tcPr>
                    <w:tcW w:w="2827" w:type="pct"/>
                    <w:gridSpan w:val="5"/>
                    <w:shd w:val="clear" w:color="auto" w:fill="auto"/>
                    <w:vAlign w:val="center"/>
                  </w:tcPr>
                  <w:p>
                    <w:pPr>
                      <w:jc w:val="center"/>
                      <w:rPr>
                        <w:sz w:val="14"/>
                        <w:szCs w:val="14"/>
                      </w:rPr>
                    </w:pPr>
                    <w:r>
                      <w:rPr>
                        <w:rFonts w:hint="eastAsia"/>
                        <w:sz w:val="14"/>
                        <w:szCs w:val="14"/>
                      </w:rPr>
                      <w:t>本期发生金额</w:t>
                    </w:r>
                  </w:p>
                </w:tc>
              </w:sdtContent>
            </w:sdt>
            <w:sdt>
              <w:sdtPr>
                <w:rPr>
                  <w:sz w:val="14"/>
                  <w:szCs w:val="14"/>
                </w:rPr>
                <w:tag w:val="_PLD_e74e1b8e6f7d453b8d88ebfc65c302f4"/>
                <w:id w:val="1543552250"/>
                <w:lock w:val="sdtLocked"/>
              </w:sdtPr>
              <w:sdtEndPr>
                <w:rPr>
                  <w:sz w:val="14"/>
                  <w:szCs w:val="14"/>
                </w:rPr>
              </w:sdtEndPr>
              <w:sdtContent>
                <w:tc>
                  <w:tcPr>
                    <w:tcW w:w="645" w:type="pct"/>
                    <w:vMerge w:val="restart"/>
                    <w:shd w:val="clear" w:color="auto" w:fill="auto"/>
                    <w:vAlign w:val="center"/>
                  </w:tcPr>
                  <w:p>
                    <w:pPr>
                      <w:jc w:val="center"/>
                      <w:rPr>
                        <w:sz w:val="14"/>
                        <w:szCs w:val="14"/>
                      </w:rPr>
                    </w:pPr>
                    <w:r>
                      <w:rPr>
                        <w:rFonts w:hint="eastAsia"/>
                        <w:sz w:val="14"/>
                        <w:szCs w:val="14"/>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continue"/>
                <w:shd w:val="clear" w:color="auto" w:fill="auto"/>
              </w:tcPr>
              <w:p>
                <w:pPr>
                  <w:jc w:val="center"/>
                  <w:rPr>
                    <w:sz w:val="14"/>
                    <w:szCs w:val="14"/>
                  </w:rPr>
                </w:pPr>
              </w:p>
            </w:tc>
            <w:tc>
              <w:tcPr>
                <w:tcW w:w="645" w:type="pct"/>
                <w:vMerge w:val="continue"/>
                <w:shd w:val="clear" w:color="auto" w:fill="auto"/>
              </w:tcPr>
              <w:p>
                <w:pPr>
                  <w:jc w:val="center"/>
                  <w:rPr>
                    <w:sz w:val="14"/>
                    <w:szCs w:val="14"/>
                  </w:rPr>
                </w:pPr>
              </w:p>
            </w:tc>
            <w:sdt>
              <w:sdtPr>
                <w:rPr>
                  <w:sz w:val="14"/>
                  <w:szCs w:val="14"/>
                </w:rPr>
                <w:tag w:val="_PLD_17c016c4311444368218ab16d2bc7a4c"/>
                <w:id w:val="954445654"/>
                <w:lock w:val="sdtLocked"/>
              </w:sdtPr>
              <w:sdtEndPr>
                <w:rPr>
                  <w:sz w:val="14"/>
                  <w:szCs w:val="14"/>
                </w:rPr>
              </w:sdtEndPr>
              <w:sdtContent>
                <w:tc>
                  <w:tcPr>
                    <w:tcW w:w="565" w:type="pct"/>
                    <w:shd w:val="clear" w:color="auto" w:fill="auto"/>
                    <w:vAlign w:val="center"/>
                  </w:tcPr>
                  <w:p>
                    <w:pPr>
                      <w:jc w:val="center"/>
                      <w:rPr>
                        <w:sz w:val="14"/>
                        <w:szCs w:val="14"/>
                      </w:rPr>
                    </w:pPr>
                    <w:r>
                      <w:rPr>
                        <w:rFonts w:hint="eastAsia"/>
                        <w:sz w:val="14"/>
                        <w:szCs w:val="14"/>
                      </w:rPr>
                      <w:t>本期所得税前发生额</w:t>
                    </w:r>
                  </w:p>
                </w:tc>
              </w:sdtContent>
            </w:sdt>
            <w:tc>
              <w:tcPr>
                <w:tcW w:w="565" w:type="pct"/>
              </w:tcPr>
              <w:sdt>
                <w:sdtPr>
                  <w:rPr>
                    <w:rFonts w:hint="eastAsia"/>
                    <w:sz w:val="14"/>
                    <w:szCs w:val="14"/>
                  </w:rPr>
                  <w:tag w:val="_PLD_7f99e647a5874f909c48e6c0bbc8d50a"/>
                  <w:id w:val="-594005950"/>
                  <w:lock w:val="sdtLocked"/>
                </w:sdtPr>
                <w:sdtEndPr>
                  <w:rPr>
                    <w:rFonts w:hint="eastAsia"/>
                    <w:sz w:val="14"/>
                    <w:szCs w:val="14"/>
                  </w:rPr>
                </w:sdtEndPr>
                <w:sdtContent>
                  <w:p>
                    <w:pPr>
                      <w:jc w:val="center"/>
                      <w:rPr>
                        <w:sz w:val="14"/>
                        <w:szCs w:val="14"/>
                      </w:rPr>
                    </w:pPr>
                    <w:r>
                      <w:rPr>
                        <w:rFonts w:hint="eastAsia"/>
                        <w:sz w:val="14"/>
                        <w:szCs w:val="14"/>
                      </w:rPr>
                      <w:t>减：前期计入其他综合收益当期转入留存收益</w:t>
                    </w:r>
                  </w:p>
                </w:sdtContent>
              </w:sdt>
            </w:tc>
            <w:sdt>
              <w:sdtPr>
                <w:rPr>
                  <w:sz w:val="14"/>
                  <w:szCs w:val="14"/>
                </w:rPr>
                <w:tag w:val="_PLD_6ee499a1144a462687fb064cc4588343"/>
                <w:id w:val="-1630922272"/>
                <w:lock w:val="sdtLocked"/>
              </w:sdtPr>
              <w:sdtEndPr>
                <w:rPr>
                  <w:sz w:val="14"/>
                  <w:szCs w:val="14"/>
                </w:rPr>
              </w:sdtEndPr>
              <w:sdtContent>
                <w:tc>
                  <w:tcPr>
                    <w:tcW w:w="565" w:type="pct"/>
                    <w:shd w:val="clear" w:color="auto" w:fill="auto"/>
                    <w:vAlign w:val="center"/>
                  </w:tcPr>
                  <w:p>
                    <w:pPr>
                      <w:jc w:val="center"/>
                      <w:rPr>
                        <w:sz w:val="14"/>
                        <w:szCs w:val="14"/>
                      </w:rPr>
                    </w:pPr>
                    <w:r>
                      <w:rPr>
                        <w:rFonts w:hint="eastAsia"/>
                        <w:sz w:val="14"/>
                        <w:szCs w:val="14"/>
                      </w:rPr>
                      <w:t>减：所得税费用</w:t>
                    </w:r>
                  </w:p>
                </w:tc>
              </w:sdtContent>
            </w:sdt>
            <w:sdt>
              <w:sdtPr>
                <w:rPr>
                  <w:sz w:val="14"/>
                  <w:szCs w:val="14"/>
                </w:rPr>
                <w:tag w:val="_PLD_97d686c5a0f042d49d097afc52b9ab56"/>
                <w:id w:val="-299001626"/>
                <w:lock w:val="sdtLocked"/>
              </w:sdtPr>
              <w:sdtEndPr>
                <w:rPr>
                  <w:sz w:val="14"/>
                  <w:szCs w:val="14"/>
                </w:rPr>
              </w:sdtEndPr>
              <w:sdtContent>
                <w:tc>
                  <w:tcPr>
                    <w:tcW w:w="566" w:type="pct"/>
                    <w:shd w:val="clear" w:color="auto" w:fill="auto"/>
                    <w:vAlign w:val="center"/>
                  </w:tcPr>
                  <w:p>
                    <w:pPr>
                      <w:jc w:val="center"/>
                      <w:rPr>
                        <w:sz w:val="14"/>
                        <w:szCs w:val="14"/>
                      </w:rPr>
                    </w:pPr>
                    <w:r>
                      <w:rPr>
                        <w:rFonts w:hint="eastAsia"/>
                        <w:sz w:val="14"/>
                        <w:szCs w:val="14"/>
                      </w:rPr>
                      <w:t>税后归属于母公司</w:t>
                    </w:r>
                  </w:p>
                </w:tc>
              </w:sdtContent>
            </w:sdt>
            <w:sdt>
              <w:sdtPr>
                <w:rPr>
                  <w:sz w:val="14"/>
                  <w:szCs w:val="14"/>
                </w:rPr>
                <w:tag w:val="_PLD_dc8c642f883f4ca1b1bbacf56198209b"/>
                <w:id w:val="298882437"/>
                <w:lock w:val="sdtLocked"/>
              </w:sdtPr>
              <w:sdtEndPr>
                <w:rPr>
                  <w:sz w:val="14"/>
                  <w:szCs w:val="14"/>
                </w:rPr>
              </w:sdtEndPr>
              <w:sdtContent>
                <w:tc>
                  <w:tcPr>
                    <w:tcW w:w="566" w:type="pct"/>
                    <w:shd w:val="clear" w:color="auto" w:fill="auto"/>
                    <w:vAlign w:val="center"/>
                  </w:tcPr>
                  <w:p>
                    <w:pPr>
                      <w:jc w:val="center"/>
                      <w:rPr>
                        <w:sz w:val="14"/>
                        <w:szCs w:val="14"/>
                      </w:rPr>
                    </w:pPr>
                    <w:r>
                      <w:rPr>
                        <w:rFonts w:hint="eastAsia"/>
                        <w:sz w:val="14"/>
                        <w:szCs w:val="14"/>
                      </w:rPr>
                      <w:t>税后归属于少数股东</w:t>
                    </w:r>
                  </w:p>
                </w:tc>
              </w:sdtContent>
            </w:sdt>
            <w:tc>
              <w:tcPr>
                <w:tcW w:w="645" w:type="pct"/>
                <w:vMerge w:val="continue"/>
                <w:shd w:val="clear" w:color="auto" w:fill="auto"/>
              </w:tcPr>
              <w:p>
                <w:pPr>
                  <w:jc w:val="center"/>
                  <w:rPr>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3f00f48c9230468fa9ebc3f871b6cb34"/>
                <w:id w:val="1979492219"/>
                <w:lock w:val="sdtLocked"/>
              </w:sdtPr>
              <w:sdtEndPr>
                <w:rPr>
                  <w:sz w:val="14"/>
                  <w:szCs w:val="14"/>
                </w:rPr>
              </w:sdtEndPr>
              <w:sdtContent>
                <w:tc>
                  <w:tcPr>
                    <w:tcW w:w="883" w:type="pct"/>
                    <w:shd w:val="clear" w:color="auto" w:fill="auto"/>
                    <w:vAlign w:val="center"/>
                  </w:tcPr>
                  <w:p>
                    <w:pPr>
                      <w:rPr>
                        <w:sz w:val="14"/>
                        <w:szCs w:val="14"/>
                      </w:rPr>
                    </w:pPr>
                    <w:r>
                      <w:rPr>
                        <w:rFonts w:hint="eastAsia"/>
                        <w:sz w:val="14"/>
                        <w:szCs w:val="14"/>
                      </w:rPr>
                      <w:t>一、不能重分类进损益的其他综合收益</w:t>
                    </w:r>
                  </w:p>
                </w:tc>
              </w:sdtContent>
            </w:sdt>
            <w:tc>
              <w:tcPr>
                <w:tcW w:w="645" w:type="pct"/>
                <w:shd w:val="clear" w:color="auto" w:fill="auto"/>
                <w:vAlign w:val="center"/>
              </w:tcPr>
              <w:p>
                <w:pPr>
                  <w:jc w:val="right"/>
                  <w:rPr>
                    <w:sz w:val="14"/>
                    <w:szCs w:val="14"/>
                  </w:rPr>
                </w:pPr>
                <w:r>
                  <w:rPr>
                    <w:sz w:val="14"/>
                    <w:szCs w:val="14"/>
                  </w:rPr>
                  <w:t>1,752,980,473.16</w:t>
                </w:r>
              </w:p>
            </w:tc>
            <w:tc>
              <w:tcPr>
                <w:tcW w:w="565" w:type="pct"/>
                <w:shd w:val="clear" w:color="auto" w:fill="auto"/>
                <w:vAlign w:val="center"/>
              </w:tcPr>
              <w:p>
                <w:pPr>
                  <w:jc w:val="right"/>
                  <w:rPr>
                    <w:sz w:val="14"/>
                    <w:szCs w:val="14"/>
                  </w:rPr>
                </w:pPr>
                <w:r>
                  <w:rPr>
                    <w:sz w:val="14"/>
                    <w:szCs w:val="14"/>
                  </w:rPr>
                  <w:t>129,527,617.28</w:t>
                </w:r>
              </w:p>
            </w:tc>
            <w:tc>
              <w:tcPr>
                <w:tcW w:w="565" w:type="pct"/>
                <w:vAlign w:val="center"/>
              </w:tcPr>
              <w:p>
                <w:pPr>
                  <w:jc w:val="right"/>
                  <w:rPr>
                    <w:sz w:val="14"/>
                    <w:szCs w:val="14"/>
                  </w:rPr>
                </w:pPr>
                <w:r>
                  <w:rPr>
                    <w:sz w:val="14"/>
                    <w:szCs w:val="14"/>
                  </w:rPr>
                  <w:t>-</w:t>
                </w:r>
              </w:p>
            </w:tc>
            <w:tc>
              <w:tcPr>
                <w:tcW w:w="565" w:type="pct"/>
                <w:shd w:val="clear" w:color="auto" w:fill="auto"/>
                <w:vAlign w:val="center"/>
              </w:tcPr>
              <w:p>
                <w:pPr>
                  <w:jc w:val="right"/>
                  <w:rPr>
                    <w:sz w:val="14"/>
                    <w:szCs w:val="14"/>
                  </w:rPr>
                </w:pPr>
                <w:r>
                  <w:rPr>
                    <w:sz w:val="14"/>
                    <w:szCs w:val="14"/>
                  </w:rPr>
                  <w:t>(26,760,012.00)</w:t>
                </w:r>
              </w:p>
            </w:tc>
            <w:tc>
              <w:tcPr>
                <w:tcW w:w="566" w:type="pct"/>
                <w:shd w:val="clear" w:color="auto" w:fill="auto"/>
                <w:vAlign w:val="center"/>
              </w:tcPr>
              <w:p>
                <w:pPr>
                  <w:jc w:val="right"/>
                  <w:rPr>
                    <w:sz w:val="14"/>
                    <w:szCs w:val="14"/>
                  </w:rPr>
                </w:pPr>
                <w:r>
                  <w:rPr>
                    <w:sz w:val="14"/>
                    <w:szCs w:val="14"/>
                  </w:rPr>
                  <w:t>102,767,605.28</w:t>
                </w:r>
              </w:p>
            </w:tc>
            <w:tc>
              <w:tcPr>
                <w:tcW w:w="566" w:type="pct"/>
                <w:shd w:val="clear" w:color="auto" w:fill="auto"/>
                <w:vAlign w:val="center"/>
              </w:tcPr>
              <w:p>
                <w:pPr>
                  <w:jc w:val="right"/>
                  <w:rPr>
                    <w:sz w:val="14"/>
                    <w:szCs w:val="14"/>
                  </w:rPr>
                </w:pPr>
                <w:r>
                  <w:rPr>
                    <w:sz w:val="14"/>
                    <w:szCs w:val="14"/>
                  </w:rPr>
                  <w:t>7,950,150.00</w:t>
                </w:r>
              </w:p>
            </w:tc>
            <w:tc>
              <w:tcPr>
                <w:tcW w:w="645" w:type="pct"/>
                <w:shd w:val="clear" w:color="auto" w:fill="auto"/>
                <w:vAlign w:val="center"/>
              </w:tcPr>
              <w:p>
                <w:pPr>
                  <w:jc w:val="right"/>
                  <w:rPr>
                    <w:sz w:val="14"/>
                    <w:szCs w:val="14"/>
                  </w:rPr>
                </w:pPr>
                <w:r>
                  <w:rPr>
                    <w:sz w:val="14"/>
                    <w:szCs w:val="14"/>
                  </w:rPr>
                  <w:t>1,855,748,078.44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00edb91bbb194fa5b7655c196b9adc24"/>
                <w:id w:val="-2049747079"/>
                <w:lock w:val="sdtLocked"/>
              </w:sdtPr>
              <w:sdtEndPr>
                <w:rPr>
                  <w:sz w:val="14"/>
                  <w:szCs w:val="14"/>
                </w:rPr>
              </w:sdtEndPr>
              <w:sdtContent>
                <w:tc>
                  <w:tcPr>
                    <w:tcW w:w="883" w:type="pct"/>
                    <w:shd w:val="clear" w:color="auto" w:fill="auto"/>
                    <w:vAlign w:val="center"/>
                  </w:tcPr>
                  <w:p>
                    <w:pPr>
                      <w:rPr>
                        <w:sz w:val="14"/>
                        <w:szCs w:val="14"/>
                      </w:rPr>
                    </w:pPr>
                    <w:r>
                      <w:rPr>
                        <w:rFonts w:hint="eastAsia"/>
                        <w:sz w:val="14"/>
                        <w:szCs w:val="14"/>
                      </w:rPr>
                      <w:t xml:space="preserve"> 其中： 权益法下不能转损益的其他综合收益</w:t>
                    </w:r>
                  </w:p>
                </w:tc>
              </w:sdtContent>
            </w:sdt>
            <w:tc>
              <w:tcPr>
                <w:tcW w:w="645" w:type="pct"/>
                <w:shd w:val="clear" w:color="auto" w:fill="auto"/>
                <w:vAlign w:val="center"/>
              </w:tcPr>
              <w:p>
                <w:pPr>
                  <w:jc w:val="right"/>
                  <w:rPr>
                    <w:sz w:val="14"/>
                    <w:szCs w:val="14"/>
                  </w:rPr>
                </w:pPr>
                <w:r>
                  <w:rPr>
                    <w:sz w:val="14"/>
                    <w:szCs w:val="14"/>
                  </w:rPr>
                  <w:t>281,576,029.38</w:t>
                </w:r>
              </w:p>
            </w:tc>
            <w:tc>
              <w:tcPr>
                <w:tcW w:w="565" w:type="pct"/>
                <w:shd w:val="clear" w:color="auto" w:fill="auto"/>
                <w:vAlign w:val="center"/>
              </w:tcPr>
              <w:p>
                <w:pPr>
                  <w:jc w:val="right"/>
                  <w:rPr>
                    <w:sz w:val="14"/>
                    <w:szCs w:val="14"/>
                  </w:rPr>
                </w:pPr>
                <w:r>
                  <w:rPr>
                    <w:sz w:val="14"/>
                    <w:szCs w:val="14"/>
                  </w:rPr>
                  <w:t>22,487,569.28</w:t>
                </w:r>
              </w:p>
            </w:tc>
            <w:tc>
              <w:tcPr>
                <w:tcW w:w="565" w:type="pct"/>
                <w:vAlign w:val="center"/>
              </w:tcPr>
              <w:p>
                <w:pPr>
                  <w:jc w:val="right"/>
                  <w:rPr>
                    <w:sz w:val="14"/>
                    <w:szCs w:val="14"/>
                  </w:rPr>
                </w:pPr>
                <w:r>
                  <w:rPr>
                    <w:sz w:val="14"/>
                    <w:szCs w:val="14"/>
                  </w:rPr>
                  <w:t>-</w:t>
                </w:r>
              </w:p>
            </w:tc>
            <w:tc>
              <w:tcPr>
                <w:tcW w:w="565" w:type="pct"/>
                <w:shd w:val="clear" w:color="auto" w:fill="auto"/>
                <w:vAlign w:val="center"/>
              </w:tcPr>
              <w:p>
                <w:pPr>
                  <w:jc w:val="right"/>
                  <w:rPr>
                    <w:sz w:val="14"/>
                    <w:szCs w:val="14"/>
                  </w:rPr>
                </w:pPr>
                <w:r>
                  <w:rPr>
                    <w:sz w:val="14"/>
                    <w:szCs w:val="14"/>
                  </w:rPr>
                  <w:t>-</w:t>
                </w:r>
              </w:p>
            </w:tc>
            <w:tc>
              <w:tcPr>
                <w:tcW w:w="566" w:type="pct"/>
                <w:shd w:val="clear" w:color="auto" w:fill="auto"/>
                <w:vAlign w:val="center"/>
              </w:tcPr>
              <w:p>
                <w:pPr>
                  <w:jc w:val="right"/>
                  <w:rPr>
                    <w:sz w:val="14"/>
                    <w:szCs w:val="14"/>
                  </w:rPr>
                </w:pPr>
                <w:r>
                  <w:rPr>
                    <w:sz w:val="14"/>
                    <w:szCs w:val="14"/>
                  </w:rPr>
                  <w:t>22,487,569.28</w:t>
                </w:r>
              </w:p>
            </w:tc>
            <w:tc>
              <w:tcPr>
                <w:tcW w:w="5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304,063,598.66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296624bab915467fb3ca81e8914cb225"/>
                <w:id w:val="149424557"/>
                <w:lock w:val="sdtLocked"/>
              </w:sdtPr>
              <w:sdtEndPr>
                <w:rPr>
                  <w:sz w:val="14"/>
                  <w:szCs w:val="14"/>
                </w:rPr>
              </w:sdtEndPr>
              <w:sdtContent>
                <w:tc>
                  <w:tcPr>
                    <w:tcW w:w="883" w:type="pct"/>
                    <w:shd w:val="clear" w:color="auto" w:fill="auto"/>
                    <w:vAlign w:val="center"/>
                  </w:tcPr>
                  <w:p>
                    <w:pPr>
                      <w:ind w:firstLine="140" w:firstLineChars="100"/>
                      <w:rPr>
                        <w:sz w:val="14"/>
                        <w:szCs w:val="14"/>
                      </w:rPr>
                    </w:pPr>
                    <w:r>
                      <w:rPr>
                        <w:rFonts w:hint="eastAsia"/>
                        <w:sz w:val="14"/>
                        <w:szCs w:val="14"/>
                      </w:rPr>
                      <w:t>其他权益工具投资公允价值变动</w:t>
                    </w:r>
                  </w:p>
                </w:tc>
              </w:sdtContent>
            </w:sdt>
            <w:tc>
              <w:tcPr>
                <w:tcW w:w="645" w:type="pct"/>
                <w:shd w:val="clear" w:color="auto" w:fill="auto"/>
                <w:vAlign w:val="center"/>
              </w:tcPr>
              <w:p>
                <w:pPr>
                  <w:jc w:val="right"/>
                  <w:rPr>
                    <w:sz w:val="14"/>
                    <w:szCs w:val="14"/>
                  </w:rPr>
                </w:pPr>
                <w:r>
                  <w:rPr>
                    <w:sz w:val="14"/>
                    <w:szCs w:val="14"/>
                  </w:rPr>
                  <w:t>1,471,404,443.78</w:t>
                </w:r>
              </w:p>
            </w:tc>
            <w:tc>
              <w:tcPr>
                <w:tcW w:w="565" w:type="pct"/>
                <w:shd w:val="clear" w:color="auto" w:fill="auto"/>
                <w:vAlign w:val="center"/>
              </w:tcPr>
              <w:p>
                <w:pPr>
                  <w:jc w:val="right"/>
                  <w:rPr>
                    <w:sz w:val="14"/>
                    <w:szCs w:val="14"/>
                  </w:rPr>
                </w:pPr>
                <w:r>
                  <w:rPr>
                    <w:sz w:val="14"/>
                    <w:szCs w:val="14"/>
                  </w:rPr>
                  <w:t>107,040,048.00</w:t>
                </w:r>
              </w:p>
            </w:tc>
            <w:tc>
              <w:tcPr>
                <w:tcW w:w="565" w:type="pct"/>
                <w:vAlign w:val="center"/>
              </w:tcPr>
              <w:p>
                <w:pPr>
                  <w:jc w:val="right"/>
                  <w:rPr>
                    <w:sz w:val="14"/>
                    <w:szCs w:val="14"/>
                  </w:rPr>
                </w:pPr>
                <w:r>
                  <w:rPr>
                    <w:sz w:val="14"/>
                    <w:szCs w:val="14"/>
                  </w:rPr>
                  <w:t>-</w:t>
                </w:r>
              </w:p>
            </w:tc>
            <w:tc>
              <w:tcPr>
                <w:tcW w:w="565" w:type="pct"/>
                <w:shd w:val="clear" w:color="auto" w:fill="auto"/>
                <w:vAlign w:val="center"/>
              </w:tcPr>
              <w:p>
                <w:pPr>
                  <w:jc w:val="right"/>
                  <w:rPr>
                    <w:sz w:val="14"/>
                    <w:szCs w:val="14"/>
                  </w:rPr>
                </w:pPr>
                <w:r>
                  <w:rPr>
                    <w:sz w:val="14"/>
                    <w:szCs w:val="14"/>
                  </w:rPr>
                  <w:t>(26,760,012.00)</w:t>
                </w:r>
              </w:p>
            </w:tc>
            <w:tc>
              <w:tcPr>
                <w:tcW w:w="566" w:type="pct"/>
                <w:shd w:val="clear" w:color="auto" w:fill="auto"/>
                <w:vAlign w:val="center"/>
              </w:tcPr>
              <w:p>
                <w:pPr>
                  <w:jc w:val="right"/>
                  <w:rPr>
                    <w:sz w:val="14"/>
                    <w:szCs w:val="14"/>
                  </w:rPr>
                </w:pPr>
                <w:r>
                  <w:rPr>
                    <w:sz w:val="14"/>
                    <w:szCs w:val="14"/>
                  </w:rPr>
                  <w:t>80,280,036.00</w:t>
                </w:r>
              </w:p>
            </w:tc>
            <w:tc>
              <w:tcPr>
                <w:tcW w:w="566" w:type="pct"/>
                <w:shd w:val="clear" w:color="auto" w:fill="auto"/>
                <w:vAlign w:val="center"/>
              </w:tcPr>
              <w:p>
                <w:pPr>
                  <w:jc w:val="right"/>
                  <w:rPr>
                    <w:sz w:val="14"/>
                    <w:szCs w:val="14"/>
                  </w:rPr>
                </w:pPr>
                <w:r>
                  <w:rPr>
                    <w:sz w:val="14"/>
                    <w:szCs w:val="14"/>
                  </w:rPr>
                  <w:t>7,950,150.00</w:t>
                </w:r>
              </w:p>
            </w:tc>
            <w:tc>
              <w:tcPr>
                <w:tcW w:w="645" w:type="pct"/>
                <w:shd w:val="clear" w:color="auto" w:fill="auto"/>
                <w:vAlign w:val="center"/>
              </w:tcPr>
              <w:p>
                <w:pPr>
                  <w:jc w:val="right"/>
                  <w:rPr>
                    <w:sz w:val="14"/>
                    <w:szCs w:val="14"/>
                  </w:rPr>
                </w:pPr>
                <w:r>
                  <w:rPr>
                    <w:sz w:val="14"/>
                    <w:szCs w:val="14"/>
                  </w:rPr>
                  <w:t>1,551,684,479.78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4316f8eb3def474d974d5bd228f05848"/>
                <w:id w:val="2043936476"/>
                <w:lock w:val="sdtLocked"/>
              </w:sdtPr>
              <w:sdtEndPr>
                <w:rPr>
                  <w:sz w:val="14"/>
                  <w:szCs w:val="14"/>
                </w:rPr>
              </w:sdtEndPr>
              <w:sdtContent>
                <w:tc>
                  <w:tcPr>
                    <w:tcW w:w="883" w:type="pct"/>
                    <w:shd w:val="clear" w:color="auto" w:fill="auto"/>
                  </w:tcPr>
                  <w:p>
                    <w:pPr>
                      <w:rPr>
                        <w:sz w:val="14"/>
                        <w:szCs w:val="14"/>
                      </w:rPr>
                    </w:pPr>
                    <w:r>
                      <w:rPr>
                        <w:rFonts w:hint="eastAsia"/>
                        <w:sz w:val="14"/>
                        <w:szCs w:val="14"/>
                      </w:rPr>
                      <w:t>二、将重分类进损益的其他综合收益</w:t>
                    </w:r>
                  </w:p>
                </w:tc>
              </w:sdtContent>
            </w:sdt>
            <w:tc>
              <w:tcPr>
                <w:tcW w:w="645" w:type="pct"/>
                <w:shd w:val="clear" w:color="auto" w:fill="auto"/>
                <w:vAlign w:val="center"/>
              </w:tcPr>
              <w:p>
                <w:pPr>
                  <w:jc w:val="right"/>
                  <w:rPr>
                    <w:sz w:val="14"/>
                    <w:szCs w:val="14"/>
                  </w:rPr>
                </w:pPr>
                <w:r>
                  <w:rPr>
                    <w:sz w:val="14"/>
                    <w:szCs w:val="14"/>
                  </w:rPr>
                  <w:t>(98,360.63)</w:t>
                </w:r>
              </w:p>
            </w:tc>
            <w:tc>
              <w:tcPr>
                <w:tcW w:w="565" w:type="pct"/>
                <w:shd w:val="clear" w:color="auto" w:fill="auto"/>
                <w:vAlign w:val="center"/>
              </w:tcPr>
              <w:p>
                <w:pPr>
                  <w:jc w:val="right"/>
                  <w:rPr>
                    <w:sz w:val="14"/>
                    <w:szCs w:val="14"/>
                  </w:rPr>
                </w:pPr>
                <w:r>
                  <w:rPr>
                    <w:sz w:val="14"/>
                    <w:szCs w:val="14"/>
                  </w:rPr>
                  <w:t>-</w:t>
                </w:r>
              </w:p>
            </w:tc>
            <w:tc>
              <w:tcPr>
                <w:tcW w:w="565" w:type="pct"/>
                <w:vAlign w:val="center"/>
              </w:tcPr>
              <w:p>
                <w:pPr>
                  <w:jc w:val="right"/>
                  <w:rPr>
                    <w:sz w:val="14"/>
                    <w:szCs w:val="14"/>
                  </w:rPr>
                </w:pPr>
                <w:r>
                  <w:rPr>
                    <w:sz w:val="14"/>
                    <w:szCs w:val="14"/>
                  </w:rPr>
                  <w:t>-</w:t>
                </w:r>
              </w:p>
            </w:tc>
            <w:tc>
              <w:tcPr>
                <w:tcW w:w="565" w:type="pct"/>
                <w:shd w:val="clear" w:color="auto" w:fill="auto"/>
                <w:vAlign w:val="center"/>
              </w:tcPr>
              <w:p>
                <w:pPr>
                  <w:jc w:val="right"/>
                  <w:rPr>
                    <w:sz w:val="14"/>
                    <w:szCs w:val="14"/>
                  </w:rPr>
                </w:pPr>
                <w:r>
                  <w:rPr>
                    <w:sz w:val="14"/>
                    <w:szCs w:val="14"/>
                  </w:rPr>
                  <w:t>-</w:t>
                </w:r>
              </w:p>
            </w:tc>
            <w:tc>
              <w:tcPr>
                <w:tcW w:w="566" w:type="pct"/>
                <w:shd w:val="clear" w:color="auto" w:fill="auto"/>
                <w:vAlign w:val="center"/>
              </w:tcPr>
              <w:p>
                <w:pPr>
                  <w:jc w:val="right"/>
                  <w:rPr>
                    <w:sz w:val="14"/>
                    <w:szCs w:val="14"/>
                  </w:rPr>
                </w:pPr>
                <w:r>
                  <w:rPr>
                    <w:sz w:val="14"/>
                    <w:szCs w:val="14"/>
                  </w:rPr>
                  <w:t>-</w:t>
                </w:r>
              </w:p>
            </w:tc>
            <w:tc>
              <w:tcPr>
                <w:tcW w:w="5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(98,360.63)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c943cf2f4cb34d3c9fb95405c1a3062c"/>
                <w:id w:val="-1266140300"/>
                <w:lock w:val="sdtLocked"/>
              </w:sdtPr>
              <w:sdtEndPr>
                <w:rPr>
                  <w:sz w:val="14"/>
                  <w:szCs w:val="14"/>
                </w:rPr>
              </w:sdtEndPr>
              <w:sdtContent>
                <w:tc>
                  <w:tcPr>
                    <w:tcW w:w="883" w:type="pct"/>
                    <w:shd w:val="clear" w:color="auto" w:fill="auto"/>
                  </w:tcPr>
                  <w:p>
                    <w:pPr>
                      <w:rPr>
                        <w:sz w:val="14"/>
                        <w:szCs w:val="14"/>
                      </w:rPr>
                    </w:pPr>
                    <w:r>
                      <w:rPr>
                        <w:rFonts w:hint="eastAsia"/>
                        <w:sz w:val="14"/>
                        <w:szCs w:val="14"/>
                      </w:rPr>
                      <w:t>其中：权益法下可转损益的其他综合收益</w:t>
                    </w:r>
                  </w:p>
                </w:tc>
              </w:sdtContent>
            </w:sdt>
            <w:tc>
              <w:tcPr>
                <w:tcW w:w="645" w:type="pct"/>
                <w:shd w:val="clear" w:color="auto" w:fill="auto"/>
                <w:vAlign w:val="center"/>
              </w:tcPr>
              <w:p>
                <w:pPr>
                  <w:jc w:val="right"/>
                  <w:rPr>
                    <w:sz w:val="14"/>
                    <w:szCs w:val="14"/>
                  </w:rPr>
                </w:pPr>
                <w:r>
                  <w:rPr>
                    <w:rFonts w:hint="eastAsia"/>
                    <w:sz w:val="14"/>
                    <w:szCs w:val="14"/>
                  </w:rPr>
                  <w:t>（</w:t>
                </w:r>
                <w:r>
                  <w:rPr>
                    <w:sz w:val="14"/>
                    <w:szCs w:val="14"/>
                  </w:rPr>
                  <w:t>98,360.63)</w:t>
                </w:r>
              </w:p>
            </w:tc>
            <w:tc>
              <w:tcPr>
                <w:tcW w:w="565" w:type="pct"/>
                <w:shd w:val="clear" w:color="auto" w:fill="auto"/>
                <w:vAlign w:val="center"/>
              </w:tcPr>
              <w:p>
                <w:pPr>
                  <w:jc w:val="right"/>
                  <w:rPr>
                    <w:sz w:val="14"/>
                    <w:szCs w:val="14"/>
                  </w:rPr>
                </w:pPr>
                <w:r>
                  <w:rPr>
                    <w:sz w:val="14"/>
                    <w:szCs w:val="14"/>
                  </w:rPr>
                  <w:t>-</w:t>
                </w:r>
              </w:p>
            </w:tc>
            <w:tc>
              <w:tcPr>
                <w:tcW w:w="565" w:type="pct"/>
                <w:vAlign w:val="center"/>
              </w:tcPr>
              <w:p>
                <w:pPr>
                  <w:jc w:val="right"/>
                  <w:rPr>
                    <w:sz w:val="14"/>
                    <w:szCs w:val="14"/>
                  </w:rPr>
                </w:pPr>
                <w:r>
                  <w:rPr>
                    <w:sz w:val="14"/>
                    <w:szCs w:val="14"/>
                  </w:rPr>
                  <w:t>-</w:t>
                </w:r>
              </w:p>
            </w:tc>
            <w:tc>
              <w:tcPr>
                <w:tcW w:w="565" w:type="pct"/>
                <w:shd w:val="clear" w:color="auto" w:fill="auto"/>
                <w:vAlign w:val="center"/>
              </w:tcPr>
              <w:p>
                <w:pPr>
                  <w:jc w:val="right"/>
                  <w:rPr>
                    <w:sz w:val="14"/>
                    <w:szCs w:val="14"/>
                  </w:rPr>
                </w:pPr>
                <w:r>
                  <w:rPr>
                    <w:sz w:val="14"/>
                    <w:szCs w:val="14"/>
                  </w:rPr>
                  <w:t>-</w:t>
                </w:r>
              </w:p>
            </w:tc>
            <w:tc>
              <w:tcPr>
                <w:tcW w:w="566" w:type="pct"/>
                <w:shd w:val="clear" w:color="auto" w:fill="auto"/>
                <w:vAlign w:val="center"/>
              </w:tcPr>
              <w:p>
                <w:pPr>
                  <w:jc w:val="right"/>
                  <w:rPr>
                    <w:sz w:val="14"/>
                    <w:szCs w:val="14"/>
                  </w:rPr>
                </w:pPr>
                <w:r>
                  <w:rPr>
                    <w:sz w:val="14"/>
                    <w:szCs w:val="14"/>
                  </w:rPr>
                  <w:t>-</w:t>
                </w:r>
              </w:p>
            </w:tc>
            <w:tc>
              <w:tcPr>
                <w:tcW w:w="566" w:type="pct"/>
                <w:shd w:val="clear" w:color="auto" w:fill="auto"/>
                <w:vAlign w:val="center"/>
              </w:tcPr>
              <w:p>
                <w:pPr>
                  <w:jc w:val="right"/>
                  <w:rPr>
                    <w:sz w:val="14"/>
                    <w:szCs w:val="14"/>
                  </w:rPr>
                </w:pPr>
                <w:r>
                  <w:rPr>
                    <w:sz w:val="14"/>
                    <w:szCs w:val="14"/>
                  </w:rPr>
                  <w:t>-</w:t>
                </w:r>
              </w:p>
            </w:tc>
            <w:tc>
              <w:tcPr>
                <w:tcW w:w="645" w:type="pct"/>
                <w:shd w:val="clear" w:color="auto" w:fill="auto"/>
                <w:vAlign w:val="center"/>
              </w:tcPr>
              <w:p>
                <w:pPr>
                  <w:jc w:val="right"/>
                  <w:rPr>
                    <w:sz w:val="14"/>
                    <w:szCs w:val="14"/>
                  </w:rPr>
                </w:pPr>
                <w:r>
                  <w:rPr>
                    <w:sz w:val="14"/>
                    <w:szCs w:val="14"/>
                  </w:rPr>
                  <w:t>(98,360.63)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4"/>
                  <w:szCs w:val="14"/>
                </w:rPr>
                <w:tag w:val="_PLD_da397a12577f4c5f8c92faa7b167ad8e"/>
                <w:id w:val="612332407"/>
                <w:lock w:val="sdtLocked"/>
              </w:sdtPr>
              <w:sdtEndPr>
                <w:rPr>
                  <w:sz w:val="14"/>
                  <w:szCs w:val="14"/>
                </w:rPr>
              </w:sdtEndPr>
              <w:sdtContent>
                <w:tc>
                  <w:tcPr>
                    <w:tcW w:w="883" w:type="pct"/>
                    <w:shd w:val="clear" w:color="auto" w:fill="auto"/>
                    <w:vAlign w:val="center"/>
                  </w:tcPr>
                  <w:p>
                    <w:pPr>
                      <w:rPr>
                        <w:sz w:val="14"/>
                        <w:szCs w:val="14"/>
                      </w:rPr>
                    </w:pPr>
                    <w:r>
                      <w:rPr>
                        <w:rFonts w:hint="eastAsia"/>
                        <w:sz w:val="14"/>
                        <w:szCs w:val="14"/>
                      </w:rPr>
                      <w:t>其他综合收益合计</w:t>
                    </w:r>
                  </w:p>
                </w:tc>
              </w:sdtContent>
            </w:sdt>
            <w:tc>
              <w:tcPr>
                <w:tcW w:w="645" w:type="pct"/>
                <w:shd w:val="clear" w:color="auto" w:fill="auto"/>
                <w:vAlign w:val="center"/>
              </w:tcPr>
              <w:p>
                <w:pPr>
                  <w:jc w:val="right"/>
                  <w:rPr>
                    <w:sz w:val="12"/>
                    <w:szCs w:val="12"/>
                  </w:rPr>
                </w:pPr>
                <w:r>
                  <w:rPr>
                    <w:sz w:val="12"/>
                    <w:szCs w:val="12"/>
                  </w:rPr>
                  <w:t>1,752,882,112.53</w:t>
                </w:r>
              </w:p>
            </w:tc>
            <w:tc>
              <w:tcPr>
                <w:tcW w:w="565" w:type="pct"/>
                <w:shd w:val="clear" w:color="auto" w:fill="auto"/>
                <w:vAlign w:val="center"/>
              </w:tcPr>
              <w:p>
                <w:pPr>
                  <w:jc w:val="right"/>
                  <w:rPr>
                    <w:sz w:val="12"/>
                    <w:szCs w:val="12"/>
                  </w:rPr>
                </w:pPr>
                <w:r>
                  <w:rPr>
                    <w:sz w:val="12"/>
                    <w:szCs w:val="12"/>
                  </w:rPr>
                  <w:t>129,527,617.28</w:t>
                </w:r>
              </w:p>
            </w:tc>
            <w:tc>
              <w:tcPr>
                <w:tcW w:w="565" w:type="pct"/>
                <w:vAlign w:val="center"/>
              </w:tcPr>
              <w:p>
                <w:pPr>
                  <w:jc w:val="right"/>
                  <w:rPr>
                    <w:sz w:val="12"/>
                    <w:szCs w:val="12"/>
                  </w:rPr>
                </w:pPr>
                <w:r>
                  <w:rPr>
                    <w:sz w:val="12"/>
                    <w:szCs w:val="12"/>
                  </w:rPr>
                  <w:t>-</w:t>
                </w:r>
              </w:p>
            </w:tc>
            <w:tc>
              <w:tcPr>
                <w:tcW w:w="565" w:type="pct"/>
                <w:shd w:val="clear" w:color="auto" w:fill="auto"/>
                <w:vAlign w:val="center"/>
              </w:tcPr>
              <w:p>
                <w:pPr>
                  <w:jc w:val="right"/>
                  <w:rPr>
                    <w:sz w:val="12"/>
                    <w:szCs w:val="12"/>
                  </w:rPr>
                </w:pPr>
                <w:r>
                  <w:rPr>
                    <w:sz w:val="12"/>
                    <w:szCs w:val="12"/>
                  </w:rPr>
                  <w:t>(26,760,012.00)</w:t>
                </w:r>
              </w:p>
            </w:tc>
            <w:tc>
              <w:tcPr>
                <w:tcW w:w="566" w:type="pct"/>
                <w:shd w:val="clear" w:color="auto" w:fill="auto"/>
                <w:vAlign w:val="center"/>
              </w:tcPr>
              <w:p>
                <w:pPr>
                  <w:jc w:val="right"/>
                  <w:rPr>
                    <w:sz w:val="12"/>
                    <w:szCs w:val="12"/>
                  </w:rPr>
                </w:pPr>
                <w:r>
                  <w:rPr>
                    <w:sz w:val="12"/>
                    <w:szCs w:val="12"/>
                  </w:rPr>
                  <w:t>102,767,605.28</w:t>
                </w:r>
              </w:p>
            </w:tc>
            <w:tc>
              <w:tcPr>
                <w:tcW w:w="566" w:type="pct"/>
                <w:shd w:val="clear" w:color="auto" w:fill="auto"/>
                <w:vAlign w:val="center"/>
              </w:tcPr>
              <w:p>
                <w:pPr>
                  <w:jc w:val="right"/>
                  <w:rPr>
                    <w:sz w:val="12"/>
                    <w:szCs w:val="12"/>
                  </w:rPr>
                </w:pPr>
                <w:r>
                  <w:rPr>
                    <w:sz w:val="12"/>
                    <w:szCs w:val="12"/>
                  </w:rPr>
                  <w:t>7,950,150.00</w:t>
                </w:r>
              </w:p>
            </w:tc>
            <w:tc>
              <w:tcPr>
                <w:tcW w:w="645" w:type="pct"/>
                <w:shd w:val="clear" w:color="auto" w:fill="auto"/>
                <w:vAlign w:val="center"/>
              </w:tcPr>
              <w:p>
                <w:pPr>
                  <w:jc w:val="right"/>
                  <w:rPr>
                    <w:sz w:val="12"/>
                    <w:szCs w:val="12"/>
                  </w:rPr>
                </w:pPr>
                <w:r>
                  <w:rPr>
                    <w:sz w:val="12"/>
                    <w:szCs w:val="12"/>
                  </w:rPr>
                  <w:t>1,855,649,717.81</w:t>
                </w:r>
              </w:p>
            </w:tc>
          </w:tr>
        </w:tbl>
        <w:p>
          <w:pPr>
            <w:rPr>
              <w:rFonts w:asciiTheme="minorEastAsia" w:hAnsiTheme="minorEastAsia" w:eastAsiaTheme="minorEastAsia"/>
            </w:rPr>
          </w:pPr>
        </w:p>
        <w:p>
          <w:pPr>
            <w:spacing w:before="60" w:after="60"/>
            <w:rPr>
              <w:rFonts w:asciiTheme="minorEastAsia" w:hAnsiTheme="minorEastAsia" w:eastAsiaTheme="minorEastAsia"/>
              <w:b/>
            </w:rPr>
          </w:pPr>
          <w:r>
            <w:rPr>
              <w:rFonts w:hint="eastAsia" w:asciiTheme="minorEastAsia" w:hAnsiTheme="minorEastAsia" w:eastAsiaTheme="minorEastAsia"/>
            </w:rPr>
            <w:t>其他说明，包括对现金流量套期损益的有效部分转为被套期项目初始确认金额调整：</w:t>
          </w:r>
        </w:p>
        <w:sdt>
          <w:sdtPr>
            <w:rPr>
              <w:rFonts w:hint="eastAsia" w:asciiTheme="minorEastAsia" w:hAnsiTheme="minorEastAsia" w:eastAsiaTheme="minorEastAsia"/>
            </w:rPr>
            <w:alias w:val="综合收益情况"/>
            <w:tag w:val="_GBC_c389c92b3ef04746a88c157ed2e05698"/>
            <w:id w:val="-443161791"/>
            <w:lock w:val="sdtLocked"/>
            <w:placeholder>
              <w:docPart w:val="GBC22222222222222222222222222222"/>
            </w:placeholder>
          </w:sdtPr>
          <w:sdtEndPr>
            <w:rPr>
              <w:rFonts w:hint="eastAsia" w:asciiTheme="minorEastAsia" w:hAnsiTheme="minorEastAsia" w:eastAsiaTheme="minorEastAsia"/>
            </w:rPr>
          </w:sdtEndPr>
          <w:sdtContent>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注</w:t>
              </w:r>
              <w:r>
                <w:rPr>
                  <w:rFonts w:cs="Arial" w:asciiTheme="minorEastAsia" w:hAnsiTheme="minorEastAsia" w:eastAsiaTheme="minorEastAsia"/>
                  <w:color w:val="000000" w:themeColor="text1"/>
                  <w14:textFill>
                    <w14:solidFill>
                      <w14:schemeClr w14:val="tx1"/>
                    </w14:solidFill>
                  </w14:textFill>
                </w:rPr>
                <w:t>1</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ab/>
              </w:r>
              <w:r>
                <w:rPr>
                  <w:rFonts w:hint="eastAsia" w:cs="Arial" w:asciiTheme="minorEastAsia" w:hAnsiTheme="minorEastAsia" w:eastAsiaTheme="minorEastAsia"/>
                  <w:color w:val="000000" w:themeColor="text1"/>
                  <w14:textFill>
                    <w14:solidFill>
                      <w14:schemeClr w14:val="tx1"/>
                    </w14:solidFill>
                  </w14:textFill>
                </w:rPr>
                <w:t>本集团享有的权益法下其他综合收益中的份额变动系本集团之联营公司扬子大桥公司所持有的指定为以公允价值计量且其变动计入其他综合收益的金融资产公允价值调整，本集团根据持股比例相应调整其他综合收益。</w:t>
              </w:r>
            </w:p>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p>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注</w:t>
              </w:r>
              <w:r>
                <w:rPr>
                  <w:rFonts w:cs="Arial" w:asciiTheme="minorEastAsia" w:hAnsiTheme="minorEastAsia" w:eastAsiaTheme="minorEastAsia"/>
                  <w:color w:val="000000" w:themeColor="text1"/>
                  <w14:textFill>
                    <w14:solidFill>
                      <w14:schemeClr w14:val="tx1"/>
                    </w14:solidFill>
                  </w14:textFill>
                </w:rPr>
                <w:t>2</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ab/>
              </w:r>
              <w:r>
                <w:rPr>
                  <w:rFonts w:hint="eastAsia" w:cs="Arial" w:asciiTheme="minorEastAsia" w:hAnsiTheme="minorEastAsia" w:eastAsiaTheme="minorEastAsia"/>
                  <w:color w:val="000000" w:themeColor="text1"/>
                  <w14:textFill>
                    <w14:solidFill>
                      <w14:schemeClr w14:val="tx1"/>
                    </w14:solidFill>
                  </w14:textFill>
                </w:rPr>
                <w:t>其他权益工具投资系本集团持有的</w:t>
              </w:r>
              <w:r>
                <w:rPr>
                  <w:rFonts w:cs="Arial" w:asciiTheme="minorEastAsia" w:hAnsiTheme="minorEastAsia" w:eastAsiaTheme="minorEastAsia"/>
                  <w:color w:val="000000" w:themeColor="text1"/>
                  <w14:textFill>
                    <w14:solidFill>
                      <w14:schemeClr w14:val="tx1"/>
                    </w14:solidFill>
                  </w14:textFill>
                </w:rPr>
                <w:t>A</w:t>
              </w:r>
              <w:r>
                <w:rPr>
                  <w:rFonts w:hint="eastAsia" w:cs="Arial" w:asciiTheme="minorEastAsia" w:hAnsiTheme="minorEastAsia" w:eastAsiaTheme="minorEastAsia"/>
                  <w:color w:val="000000" w:themeColor="text1"/>
                  <w14:textFill>
                    <w14:solidFill>
                      <w14:schemeClr w14:val="tx1"/>
                    </w14:solidFill>
                  </w14:textFill>
                </w:rPr>
                <w:t>股上市公司江苏银行和江苏租赁普通股股权的公允价值调整。</w:t>
              </w:r>
            </w:p>
            <w:p>
              <w:pPr>
                <w:overflowPunct w:val="0"/>
                <w:adjustRightInd w:val="0"/>
                <w:snapToGrid w:val="0"/>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注</w:t>
              </w:r>
              <w:r>
                <w:rPr>
                  <w:rFonts w:cs="Arial" w:asciiTheme="minorEastAsia" w:hAnsiTheme="minorEastAsia" w:eastAsiaTheme="minorEastAsia"/>
                  <w:color w:val="000000" w:themeColor="text1"/>
                  <w14:textFill>
                    <w14:solidFill>
                      <w14:schemeClr w14:val="tx1"/>
                    </w14:solidFill>
                  </w14:textFill>
                </w:rPr>
                <w:t>3</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ab/>
              </w:r>
              <w:r>
                <w:rPr>
                  <w:rFonts w:hint="eastAsia" w:cs="Arial" w:asciiTheme="minorEastAsia" w:hAnsiTheme="minorEastAsia" w:eastAsiaTheme="minorEastAsia"/>
                  <w:color w:val="000000" w:themeColor="text1"/>
                  <w14:textFill>
                    <w14:solidFill>
                      <w14:schemeClr w14:val="tx1"/>
                    </w14:solidFill>
                  </w14:textFill>
                </w:rPr>
                <w:t>本集团享有的权益法下其他综合收益中的份额变动系本集团之联营紫金信托所持有的以公允价值计量且其变动计入其他综合收益的金融资产公允价值调整，本集团根据持股比例相应调整其他综合收益。</w:t>
              </w:r>
            </w:p>
            <w:p>
              <w:pPr>
                <w:pStyle w:val="114"/>
              </w:pPr>
            </w:p>
          </w:sdtContent>
        </w:sdt>
      </w:sdtContent>
    </w:sdt>
    <w:bookmarkEnd w:id="234"/>
    <w:p>
      <w:pPr>
        <w:pStyle w:val="114"/>
      </w:pPr>
    </w:p>
    <w:sdt>
      <w:sdtPr>
        <w:rPr>
          <w:rFonts w:hint="eastAsia" w:ascii="宋体" w:hAnsi="宋体" w:cs="宋体"/>
          <w:b w:val="0"/>
          <w:bCs w:val="0"/>
          <w:kern w:val="0"/>
          <w:szCs w:val="21"/>
        </w:rPr>
        <w:alias w:val="模块:专项储备"/>
        <w:tag w:val="_GBC_8a08fa7a416e4e52a104ea9b06479f9e"/>
        <w:id w:val="-2089526842"/>
        <w:lock w:val="sdtLocked"/>
        <w:placeholder>
          <w:docPart w:val="GBC22222222222222222222222222222"/>
        </w:placeholder>
      </w:sdtPr>
      <w:sdtEndPr>
        <w:rPr>
          <w:rFonts w:hint="default" w:ascii="宋体" w:hAnsi="宋体" w:cstheme="minorBidi"/>
          <w:b w:val="0"/>
          <w:bCs w:val="0"/>
          <w:color w:val="000000" w:themeColor="text1"/>
          <w:kern w:val="0"/>
          <w:szCs w:val="21"/>
          <w14:textFill>
            <w14:solidFill>
              <w14:schemeClr w14:val="tx1"/>
            </w14:solidFill>
          </w14:textFill>
        </w:rPr>
      </w:sdtEndPr>
      <w:sdtContent>
        <w:p>
          <w:pPr>
            <w:pStyle w:val="4"/>
            <w:numPr>
              <w:ilvl w:val="0"/>
              <w:numId w:val="51"/>
            </w:numPr>
            <w:tabs>
              <w:tab w:val="left" w:pos="504"/>
            </w:tabs>
            <w:rPr>
              <w:rFonts w:ascii="宋体" w:hAnsi="宋体"/>
              <w:szCs w:val="21"/>
            </w:rPr>
          </w:pPr>
          <w:r>
            <w:rPr>
              <w:rFonts w:hint="eastAsia" w:ascii="宋体" w:hAnsi="宋体"/>
              <w:szCs w:val="21"/>
            </w:rPr>
            <w:t>专项储备</w:t>
          </w:r>
        </w:p>
        <w:sdt>
          <w:sdtPr>
            <w:alias w:val="是否适用：专项储备[双击切换]"/>
            <w:tag w:val="_GBC_291ec3c1c38144a3ac0bde67edb318cc"/>
            <w:id w:val="-152362104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财务附注：专项储备"/>
              <w:tag w:val="_GBC_98a0a00169d7461b91b431ef8a517eb1"/>
              <w:id w:val="783358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财务附注：专项储备"/>
              <w:tag w:val="_GBC_95059903151b47a0a2c8b7569f80df5e"/>
              <w:id w:val="-9431526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0"/>
            <w:gridCol w:w="1821"/>
            <w:gridCol w:w="1821"/>
            <w:gridCol w:w="1862"/>
            <w:gridCol w:w="1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0185f3f00484e34ab2fc5b633938a01"/>
                <w:id w:val="-1356728207"/>
                <w:lock w:val="sdtLocked"/>
              </w:sdtPr>
              <w:sdtContent>
                <w:tc>
                  <w:tcPr>
                    <w:tcW w:w="945" w:type="pct"/>
                    <w:shd w:val="clear" w:color="auto" w:fill="auto"/>
                    <w:vAlign w:val="center"/>
                  </w:tcPr>
                  <w:p>
                    <w:pPr>
                      <w:jc w:val="center"/>
                    </w:pPr>
                    <w:r>
                      <w:rPr>
                        <w:rFonts w:hint="eastAsia"/>
                      </w:rPr>
                      <w:t>项目</w:t>
                    </w:r>
                  </w:p>
                </w:tc>
              </w:sdtContent>
            </w:sdt>
            <w:sdt>
              <w:sdtPr>
                <w:tag w:val="_PLD_3a7d7c052d7c403a8ae004d68db8fa4c"/>
                <w:id w:val="1760325616"/>
                <w:lock w:val="sdtLocked"/>
              </w:sdtPr>
              <w:sdtContent>
                <w:tc>
                  <w:tcPr>
                    <w:tcW w:w="1006" w:type="pct"/>
                    <w:shd w:val="clear" w:color="auto" w:fill="auto"/>
                    <w:vAlign w:val="center"/>
                  </w:tcPr>
                  <w:p>
                    <w:pPr>
                      <w:jc w:val="center"/>
                    </w:pPr>
                    <w:r>
                      <w:rPr>
                        <w:rFonts w:hint="eastAsia"/>
                      </w:rPr>
                      <w:t>期初余额</w:t>
                    </w:r>
                  </w:p>
                </w:tc>
              </w:sdtContent>
            </w:sdt>
            <w:sdt>
              <w:sdtPr>
                <w:tag w:val="_PLD_e06fab4ca3b8451eb31df81e9b4922ec"/>
                <w:id w:val="-1792279773"/>
                <w:lock w:val="sdtLocked"/>
              </w:sdtPr>
              <w:sdtContent>
                <w:tc>
                  <w:tcPr>
                    <w:tcW w:w="1006" w:type="pct"/>
                    <w:shd w:val="clear" w:color="auto" w:fill="auto"/>
                    <w:vAlign w:val="center"/>
                  </w:tcPr>
                  <w:p>
                    <w:pPr>
                      <w:jc w:val="center"/>
                    </w:pPr>
                    <w:r>
                      <w:rPr>
                        <w:rFonts w:hint="eastAsia"/>
                      </w:rPr>
                      <w:t>本期增加</w:t>
                    </w:r>
                  </w:p>
                </w:tc>
              </w:sdtContent>
            </w:sdt>
            <w:sdt>
              <w:sdtPr>
                <w:tag w:val="_PLD_2900f17d2ba041e9a7331e5ca367f7b9"/>
                <w:id w:val="-412322239"/>
                <w:lock w:val="sdtLocked"/>
              </w:sdtPr>
              <w:sdtContent>
                <w:tc>
                  <w:tcPr>
                    <w:tcW w:w="1029" w:type="pct"/>
                    <w:shd w:val="clear" w:color="auto" w:fill="auto"/>
                    <w:vAlign w:val="center"/>
                  </w:tcPr>
                  <w:p>
                    <w:pPr>
                      <w:jc w:val="center"/>
                    </w:pPr>
                    <w:r>
                      <w:rPr>
                        <w:rFonts w:hint="eastAsia"/>
                      </w:rPr>
                      <w:t>本期减少</w:t>
                    </w:r>
                  </w:p>
                </w:tc>
              </w:sdtContent>
            </w:sdt>
            <w:sdt>
              <w:sdtPr>
                <w:tag w:val="_PLD_7fcbcb783b95484a87e1a335f06dfcc3"/>
                <w:id w:val="-474839282"/>
                <w:lock w:val="sdtLocked"/>
              </w:sdtPr>
              <w:sdtContent>
                <w:tc>
                  <w:tcPr>
                    <w:tcW w:w="1014" w:type="pct"/>
                    <w:shd w:val="clear" w:color="auto" w:fill="auto"/>
                    <w:vAlign w:val="center"/>
                  </w:tcPr>
                  <w:p>
                    <w:pPr>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pct"/>
                <w:shd w:val="clear" w:color="auto" w:fill="auto"/>
              </w:tcPr>
              <w:p>
                <w:pPr>
                  <w:pStyle w:val="114"/>
                </w:pPr>
                <w:r>
                  <w:rPr>
                    <w:rFonts w:hint="eastAsia"/>
                  </w:rPr>
                  <w:t>安全生产费</w:t>
                </w:r>
              </w:p>
            </w:tc>
            <w:tc>
              <w:tcPr>
                <w:tcW w:w="1006" w:type="pct"/>
                <w:shd w:val="clear" w:color="auto" w:fill="auto"/>
                <w:vAlign w:val="center"/>
              </w:tcPr>
              <w:p>
                <w:pPr>
                  <w:jc w:val="right"/>
                </w:pPr>
                <w:r>
                  <w:t>577,468.02</w:t>
                </w:r>
              </w:p>
            </w:tc>
            <w:tc>
              <w:tcPr>
                <w:tcW w:w="1006" w:type="pct"/>
                <w:shd w:val="clear" w:color="auto" w:fill="auto"/>
                <w:vAlign w:val="center"/>
              </w:tcPr>
              <w:p>
                <w:pPr>
                  <w:jc w:val="right"/>
                </w:pPr>
                <w:r>
                  <w:t>3,468,156.25</w:t>
                </w:r>
              </w:p>
            </w:tc>
            <w:tc>
              <w:tcPr>
                <w:tcW w:w="1029" w:type="pct"/>
                <w:shd w:val="clear" w:color="auto" w:fill="auto"/>
                <w:vAlign w:val="center"/>
              </w:tcPr>
              <w:p>
                <w:pPr>
                  <w:jc w:val="right"/>
                </w:pPr>
                <w:r>
                  <w:t>2,004,141.23</w:t>
                </w:r>
              </w:p>
            </w:tc>
            <w:tc>
              <w:tcPr>
                <w:tcW w:w="1014" w:type="pct"/>
                <w:shd w:val="clear" w:color="auto" w:fill="auto"/>
                <w:vAlign w:val="center"/>
              </w:tcPr>
              <w:p>
                <w:pPr>
                  <w:jc w:val="right"/>
                </w:pPr>
                <w:r>
                  <w:t>2,041,483.04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pct"/>
                <w:shd w:val="clear" w:color="auto" w:fill="auto"/>
                <w:vAlign w:val="center"/>
              </w:tcPr>
              <w:p>
                <w:pPr>
                  <w:jc w:val="center"/>
                </w:pPr>
                <w:r>
                  <w:rPr>
                    <w:rFonts w:hint="eastAsia"/>
                  </w:rPr>
                  <w:t>合计</w:t>
                </w:r>
              </w:p>
            </w:tc>
            <w:tc>
              <w:tcPr>
                <w:tcW w:w="1006" w:type="pct"/>
                <w:shd w:val="clear" w:color="auto" w:fill="auto"/>
                <w:vAlign w:val="center"/>
              </w:tcPr>
              <w:p>
                <w:pPr>
                  <w:jc w:val="right"/>
                </w:pPr>
                <w:r>
                  <w:t>577,468.02</w:t>
                </w:r>
              </w:p>
            </w:tc>
            <w:tc>
              <w:tcPr>
                <w:tcW w:w="1006" w:type="pct"/>
                <w:shd w:val="clear" w:color="auto" w:fill="auto"/>
                <w:vAlign w:val="center"/>
              </w:tcPr>
              <w:p>
                <w:pPr>
                  <w:jc w:val="right"/>
                </w:pPr>
                <w:r>
                  <w:t>3,468,156.25</w:t>
                </w:r>
              </w:p>
            </w:tc>
            <w:tc>
              <w:tcPr>
                <w:tcW w:w="1029" w:type="pct"/>
                <w:shd w:val="clear" w:color="auto" w:fill="auto"/>
                <w:vAlign w:val="center"/>
              </w:tcPr>
              <w:p>
                <w:pPr>
                  <w:jc w:val="right"/>
                </w:pPr>
                <w:r>
                  <w:t>2,004,141.23</w:t>
                </w:r>
              </w:p>
            </w:tc>
            <w:tc>
              <w:tcPr>
                <w:tcW w:w="1014" w:type="pct"/>
                <w:shd w:val="clear" w:color="auto" w:fill="auto"/>
                <w:vAlign w:val="center"/>
              </w:tcPr>
              <w:p>
                <w:pPr>
                  <w:jc w:val="right"/>
                </w:pPr>
                <w:r>
                  <w:t>2,041,483.04</w:t>
                </w:r>
              </w:p>
            </w:tc>
          </w:tr>
        </w:tbl>
        <w:p>
          <w:pPr>
            <w:pStyle w:val="114"/>
          </w:pPr>
          <w:r>
            <w:rPr>
              <w:rFonts w:hint="eastAsia"/>
            </w:rPr>
            <w:t>其他说明，包括本期增减变动情况、变动原因说明：</w:t>
          </w:r>
        </w:p>
        <w:p>
          <w:pPr>
            <w:pStyle w:val="114"/>
          </w:pPr>
          <w:sdt>
            <w:sdtPr>
              <w:alias w:val="专项储备情况说明"/>
              <w:tag w:val="_GBC_758f99495b434b96aea70b74014caac7"/>
              <w:id w:val="-1860507683"/>
              <w:lock w:val="sdtLocked"/>
              <w:placeholder>
                <w:docPart w:val="GBC22222222222222222222222222222"/>
              </w:placeholder>
            </w:sdtPr>
            <w:sdtContent>
              <w:r>
                <w:rPr>
                  <w:rFonts w:hint="eastAsia"/>
                </w:rPr>
                <w:t>不适用</w:t>
              </w:r>
            </w:sdtContent>
          </w:sdt>
        </w:p>
      </w:sdtContent>
    </w:sdt>
    <w:p>
      <w:pPr>
        <w:pStyle w:val="114"/>
      </w:pPr>
    </w:p>
    <w:sdt>
      <w:sdtPr>
        <w:rPr>
          <w:rFonts w:hint="eastAsia" w:ascii="宋体" w:hAnsi="宋体" w:cs="宋体"/>
          <w:b w:val="0"/>
          <w:bCs w:val="0"/>
          <w:kern w:val="0"/>
          <w:szCs w:val="21"/>
        </w:rPr>
        <w:alias w:val="模块:盈余公积"/>
        <w:tag w:val="_GBC_fc97b66d150f4d31ba9096ec58341715"/>
        <w:id w:val="-618297269"/>
        <w:lock w:val="sdtLocked"/>
        <w:placeholder>
          <w:docPart w:val="GBC22222222222222222222222222222"/>
        </w:placeholder>
      </w:sdtPr>
      <w:sdtEndPr>
        <w:rPr>
          <w:rFonts w:hint="default" w:ascii="宋体" w:hAnsi="宋体" w:cstheme="minorBidi"/>
          <w:b w:val="0"/>
          <w:bCs w:val="0"/>
          <w:kern w:val="2"/>
          <w:szCs w:val="21"/>
        </w:rPr>
      </w:sdtEndPr>
      <w:sdtContent>
        <w:p>
          <w:pPr>
            <w:pStyle w:val="4"/>
            <w:numPr>
              <w:ilvl w:val="0"/>
              <w:numId w:val="51"/>
            </w:numPr>
            <w:tabs>
              <w:tab w:val="left" w:pos="504"/>
            </w:tabs>
            <w:rPr>
              <w:rFonts w:ascii="宋体" w:hAnsi="宋体"/>
              <w:szCs w:val="21"/>
            </w:rPr>
          </w:pPr>
          <w:r>
            <w:rPr>
              <w:rFonts w:hint="eastAsia" w:ascii="宋体" w:hAnsi="宋体"/>
              <w:szCs w:val="21"/>
            </w:rPr>
            <w:t>盈余公积</w:t>
          </w:r>
        </w:p>
        <w:sdt>
          <w:sdtPr>
            <w:alias w:val="是否适用：盈余公积[双击切换]"/>
            <w:tag w:val="_GBC_52b9917fb423490bb32a9d6648a07db9"/>
            <w:id w:val="178846186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盈余公积"/>
              <w:tag w:val="_GBC_ea3204141ce3498eaccd14c833f64973"/>
              <w:id w:val="-16636994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13867129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583"/>
            <w:gridCol w:w="1935"/>
            <w:gridCol w:w="1713"/>
            <w:gridCol w:w="1727"/>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70f0cea3df9b4646bf8f9454719b4599"/>
                <w:id w:val="-1226366824"/>
                <w:lock w:val="sdtLocked"/>
              </w:sdtPr>
              <w:sdtContent>
                <w:tc>
                  <w:tcPr>
                    <w:tcW w:w="890" w:type="pct"/>
                  </w:tcPr>
                  <w:p>
                    <w:pPr>
                      <w:autoSpaceDE w:val="0"/>
                      <w:autoSpaceDN w:val="0"/>
                      <w:adjustRightInd w:val="0"/>
                      <w:snapToGrid w:val="0"/>
                      <w:jc w:val="center"/>
                    </w:pPr>
                    <w:r>
                      <w:rPr>
                        <w:rFonts w:hint="eastAsia"/>
                      </w:rPr>
                      <w:t>项目</w:t>
                    </w:r>
                  </w:p>
                </w:tc>
              </w:sdtContent>
            </w:sdt>
            <w:sdt>
              <w:sdtPr>
                <w:tag w:val="_PLD_5466d5e3c2b64aeb9abc2e1a21f2e6c0"/>
                <w:id w:val="-1231530333"/>
                <w:lock w:val="sdtLocked"/>
              </w:sdtPr>
              <w:sdtContent>
                <w:tc>
                  <w:tcPr>
                    <w:tcW w:w="1088" w:type="pct"/>
                  </w:tcPr>
                  <w:p>
                    <w:pPr>
                      <w:autoSpaceDE w:val="0"/>
                      <w:autoSpaceDN w:val="0"/>
                      <w:adjustRightInd w:val="0"/>
                      <w:snapToGrid w:val="0"/>
                      <w:jc w:val="center"/>
                    </w:pPr>
                    <w:r>
                      <w:rPr>
                        <w:rFonts w:hint="eastAsia"/>
                      </w:rPr>
                      <w:t>期初余额</w:t>
                    </w:r>
                  </w:p>
                </w:tc>
              </w:sdtContent>
            </w:sdt>
            <w:sdt>
              <w:sdtPr>
                <w:tag w:val="_PLD_44b0c825c55949b98cff671f8777dd39"/>
                <w:id w:val="204296882"/>
                <w:lock w:val="sdtLocked"/>
              </w:sdtPr>
              <w:sdtContent>
                <w:tc>
                  <w:tcPr>
                    <w:tcW w:w="963" w:type="pct"/>
                  </w:tcPr>
                  <w:p>
                    <w:pPr>
                      <w:autoSpaceDE w:val="0"/>
                      <w:autoSpaceDN w:val="0"/>
                      <w:adjustRightInd w:val="0"/>
                      <w:snapToGrid w:val="0"/>
                      <w:jc w:val="center"/>
                    </w:pPr>
                    <w:r>
                      <w:rPr>
                        <w:rFonts w:hint="eastAsia"/>
                      </w:rPr>
                      <w:t>本期增加</w:t>
                    </w:r>
                  </w:p>
                </w:tc>
              </w:sdtContent>
            </w:sdt>
            <w:sdt>
              <w:sdtPr>
                <w:tag w:val="_PLD_111b02bee52f4f1a879468aa2243106f"/>
                <w:id w:val="-911163259"/>
                <w:lock w:val="sdtLocked"/>
              </w:sdtPr>
              <w:sdtContent>
                <w:tc>
                  <w:tcPr>
                    <w:tcW w:w="971" w:type="pct"/>
                  </w:tcPr>
                  <w:p>
                    <w:pPr>
                      <w:autoSpaceDE w:val="0"/>
                      <w:autoSpaceDN w:val="0"/>
                      <w:adjustRightInd w:val="0"/>
                      <w:snapToGrid w:val="0"/>
                      <w:jc w:val="center"/>
                    </w:pPr>
                    <w:r>
                      <w:rPr>
                        <w:rFonts w:hint="eastAsia"/>
                      </w:rPr>
                      <w:t>本期减少</w:t>
                    </w:r>
                  </w:p>
                </w:tc>
              </w:sdtContent>
            </w:sdt>
            <w:sdt>
              <w:sdtPr>
                <w:tag w:val="_PLD_e6d9dff1341d44c99d9c3f51d8fd2c2f"/>
                <w:id w:val="193741998"/>
                <w:lock w:val="sdtLocked"/>
              </w:sdtPr>
              <w:sdtContent>
                <w:tc>
                  <w:tcPr>
                    <w:tcW w:w="1088" w:type="pct"/>
                  </w:tcPr>
                  <w:p>
                    <w:pPr>
                      <w:autoSpaceDE w:val="0"/>
                      <w:autoSpaceDN w:val="0"/>
                      <w:adjustRightInd w:val="0"/>
                      <w:snapToGrid w:val="0"/>
                      <w:jc w:val="center"/>
                    </w:pPr>
                    <w:r>
                      <w:rPr>
                        <w:rFonts w:hint="eastAsia"/>
                      </w:rP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fc05a7682db944fc88b1d5bf0888fab6"/>
                <w:id w:val="-426200296"/>
                <w:lock w:val="sdtLocked"/>
              </w:sdtPr>
              <w:sdtContent>
                <w:tc>
                  <w:tcPr>
                    <w:tcW w:w="890" w:type="pct"/>
                    <w:shd w:val="clear" w:color="auto" w:fill="auto"/>
                    <w:vAlign w:val="center"/>
                  </w:tcPr>
                  <w:p>
                    <w:pPr>
                      <w:autoSpaceDE w:val="0"/>
                      <w:autoSpaceDN w:val="0"/>
                      <w:adjustRightInd w:val="0"/>
                      <w:snapToGrid w:val="0"/>
                      <w:jc w:val="both"/>
                    </w:pPr>
                    <w:r>
                      <w:rPr>
                        <w:rFonts w:hint="eastAsia"/>
                      </w:rPr>
                      <w:t>法定盈余公积</w:t>
                    </w:r>
                  </w:p>
                </w:tc>
              </w:sdtContent>
            </w:sdt>
            <w:tc>
              <w:tcPr>
                <w:tcW w:w="1088" w:type="pct"/>
                <w:shd w:val="clear" w:color="auto" w:fill="auto"/>
                <w:vAlign w:val="center"/>
              </w:tcPr>
              <w:p>
                <w:pPr>
                  <w:autoSpaceDE w:val="0"/>
                  <w:autoSpaceDN w:val="0"/>
                  <w:adjustRightInd w:val="0"/>
                  <w:snapToGrid w:val="0"/>
                  <w:ind w:right="180"/>
                  <w:jc w:val="right"/>
                </w:pPr>
                <w:r>
                  <w:t>3,559,132,056.47</w:t>
                </w:r>
              </w:p>
            </w:tc>
            <w:tc>
              <w:tcPr>
                <w:tcW w:w="963" w:type="pct"/>
                <w:shd w:val="clear" w:color="auto" w:fill="auto"/>
                <w:vAlign w:val="center"/>
              </w:tcPr>
              <w:p>
                <w:pPr>
                  <w:autoSpaceDE w:val="0"/>
                  <w:autoSpaceDN w:val="0"/>
                  <w:adjustRightInd w:val="0"/>
                  <w:snapToGrid w:val="0"/>
                  <w:ind w:right="180"/>
                  <w:jc w:val="right"/>
                </w:pPr>
                <w:r>
                  <w:t>-</w:t>
                </w:r>
              </w:p>
            </w:tc>
            <w:tc>
              <w:tcPr>
                <w:tcW w:w="971" w:type="pct"/>
                <w:shd w:val="clear" w:color="auto" w:fill="auto"/>
                <w:vAlign w:val="center"/>
              </w:tcPr>
              <w:p>
                <w:pPr>
                  <w:autoSpaceDE w:val="0"/>
                  <w:autoSpaceDN w:val="0"/>
                  <w:adjustRightInd w:val="0"/>
                  <w:snapToGrid w:val="0"/>
                  <w:ind w:right="180"/>
                  <w:jc w:val="right"/>
                </w:pPr>
                <w:r>
                  <w:t>-</w:t>
                </w:r>
              </w:p>
            </w:tc>
            <w:tc>
              <w:tcPr>
                <w:tcW w:w="1088" w:type="pct"/>
                <w:shd w:val="clear" w:color="auto" w:fill="auto"/>
                <w:vAlign w:val="center"/>
              </w:tcPr>
              <w:p>
                <w:pPr>
                  <w:autoSpaceDE w:val="0"/>
                  <w:autoSpaceDN w:val="0"/>
                  <w:adjustRightInd w:val="0"/>
                  <w:snapToGrid w:val="0"/>
                  <w:ind w:right="180"/>
                  <w:jc w:val="right"/>
                </w:pPr>
                <w:r>
                  <w:t>3,559,132,056.47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d129220e9acf4011b78a05d75624a2b7"/>
                <w:id w:val="317621052"/>
                <w:lock w:val="sdtLocked"/>
              </w:sdtPr>
              <w:sdtContent>
                <w:tc>
                  <w:tcPr>
                    <w:tcW w:w="890" w:type="pct"/>
                    <w:shd w:val="clear" w:color="auto" w:fill="auto"/>
                    <w:vAlign w:val="center"/>
                  </w:tcPr>
                  <w:p>
                    <w:pPr>
                      <w:autoSpaceDE w:val="0"/>
                      <w:autoSpaceDN w:val="0"/>
                      <w:adjustRightInd w:val="0"/>
                      <w:snapToGrid w:val="0"/>
                      <w:jc w:val="both"/>
                    </w:pPr>
                    <w:r>
                      <w:rPr>
                        <w:rFonts w:hint="eastAsia"/>
                      </w:rPr>
                      <w:t>任意盈余公积</w:t>
                    </w:r>
                  </w:p>
                </w:tc>
              </w:sdtContent>
            </w:sdt>
            <w:tc>
              <w:tcPr>
                <w:tcW w:w="1088" w:type="pct"/>
                <w:shd w:val="clear" w:color="auto" w:fill="auto"/>
                <w:vAlign w:val="center"/>
              </w:tcPr>
              <w:p>
                <w:pPr>
                  <w:autoSpaceDE w:val="0"/>
                  <w:autoSpaceDN w:val="0"/>
                  <w:adjustRightInd w:val="0"/>
                  <w:snapToGrid w:val="0"/>
                  <w:ind w:right="180"/>
                  <w:jc w:val="right"/>
                </w:pPr>
                <w:r>
                  <w:t>460,461,016.47</w:t>
                </w:r>
              </w:p>
            </w:tc>
            <w:tc>
              <w:tcPr>
                <w:tcW w:w="963" w:type="pct"/>
                <w:shd w:val="clear" w:color="auto" w:fill="auto"/>
                <w:vAlign w:val="center"/>
              </w:tcPr>
              <w:p>
                <w:pPr>
                  <w:autoSpaceDE w:val="0"/>
                  <w:autoSpaceDN w:val="0"/>
                  <w:adjustRightInd w:val="0"/>
                  <w:snapToGrid w:val="0"/>
                  <w:ind w:right="180"/>
                  <w:jc w:val="right"/>
                </w:pPr>
                <w:r>
                  <w:t>-</w:t>
                </w:r>
              </w:p>
            </w:tc>
            <w:tc>
              <w:tcPr>
                <w:tcW w:w="971" w:type="pct"/>
                <w:shd w:val="clear" w:color="auto" w:fill="auto"/>
                <w:vAlign w:val="center"/>
              </w:tcPr>
              <w:p>
                <w:pPr>
                  <w:autoSpaceDE w:val="0"/>
                  <w:autoSpaceDN w:val="0"/>
                  <w:adjustRightInd w:val="0"/>
                  <w:snapToGrid w:val="0"/>
                  <w:ind w:right="180"/>
                  <w:jc w:val="right"/>
                </w:pPr>
                <w:r>
                  <w:t>-</w:t>
                </w:r>
              </w:p>
            </w:tc>
            <w:tc>
              <w:tcPr>
                <w:tcW w:w="1088" w:type="pct"/>
                <w:shd w:val="clear" w:color="auto" w:fill="auto"/>
                <w:vAlign w:val="center"/>
              </w:tcPr>
              <w:p>
                <w:pPr>
                  <w:autoSpaceDE w:val="0"/>
                  <w:autoSpaceDN w:val="0"/>
                  <w:adjustRightInd w:val="0"/>
                  <w:snapToGrid w:val="0"/>
                  <w:ind w:right="180"/>
                  <w:jc w:val="right"/>
                </w:pPr>
                <w:r>
                  <w:t>460,461,016.47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f8e1917adbcf4318b4ab05bf11aaef0c"/>
                <w:id w:val="-475840572"/>
                <w:lock w:val="sdtLocked"/>
              </w:sdtPr>
              <w:sdtContent>
                <w:tc>
                  <w:tcPr>
                    <w:tcW w:w="890" w:type="pct"/>
                  </w:tcPr>
                  <w:p>
                    <w:pPr>
                      <w:autoSpaceDE w:val="0"/>
                      <w:autoSpaceDN w:val="0"/>
                      <w:adjustRightInd w:val="0"/>
                      <w:snapToGrid w:val="0"/>
                      <w:jc w:val="center"/>
                    </w:pPr>
                    <w:r>
                      <w:rPr>
                        <w:rFonts w:hint="eastAsia"/>
                      </w:rPr>
                      <w:t>合计</w:t>
                    </w:r>
                  </w:p>
                </w:tc>
              </w:sdtContent>
            </w:sdt>
            <w:tc>
              <w:tcPr>
                <w:tcW w:w="1088" w:type="pct"/>
                <w:vAlign w:val="center"/>
              </w:tcPr>
              <w:p>
                <w:pPr>
                  <w:autoSpaceDE w:val="0"/>
                  <w:autoSpaceDN w:val="0"/>
                  <w:adjustRightInd w:val="0"/>
                  <w:snapToGrid w:val="0"/>
                  <w:ind w:right="180"/>
                  <w:jc w:val="right"/>
                </w:pPr>
                <w:r>
                  <w:t>4,019,593,072.94</w:t>
                </w:r>
              </w:p>
            </w:tc>
            <w:tc>
              <w:tcPr>
                <w:tcW w:w="963" w:type="pct"/>
                <w:vAlign w:val="center"/>
              </w:tcPr>
              <w:p>
                <w:pPr>
                  <w:autoSpaceDE w:val="0"/>
                  <w:autoSpaceDN w:val="0"/>
                  <w:adjustRightInd w:val="0"/>
                  <w:snapToGrid w:val="0"/>
                  <w:ind w:right="180"/>
                  <w:jc w:val="right"/>
                </w:pPr>
                <w:r>
                  <w:t>-</w:t>
                </w:r>
              </w:p>
            </w:tc>
            <w:tc>
              <w:tcPr>
                <w:tcW w:w="971" w:type="pct"/>
                <w:vAlign w:val="center"/>
              </w:tcPr>
              <w:p>
                <w:pPr>
                  <w:autoSpaceDE w:val="0"/>
                  <w:autoSpaceDN w:val="0"/>
                  <w:adjustRightInd w:val="0"/>
                  <w:snapToGrid w:val="0"/>
                  <w:ind w:right="180"/>
                  <w:jc w:val="right"/>
                </w:pPr>
                <w:r>
                  <w:t>-</w:t>
                </w:r>
              </w:p>
            </w:tc>
            <w:tc>
              <w:tcPr>
                <w:tcW w:w="1088" w:type="pct"/>
                <w:vAlign w:val="center"/>
              </w:tcPr>
              <w:p>
                <w:pPr>
                  <w:autoSpaceDE w:val="0"/>
                  <w:autoSpaceDN w:val="0"/>
                  <w:adjustRightInd w:val="0"/>
                  <w:snapToGrid w:val="0"/>
                  <w:ind w:right="180"/>
                  <w:jc w:val="right"/>
                </w:pPr>
                <w:r>
                  <w:t>4,019,593,072.94</w:t>
                </w:r>
              </w:p>
            </w:tc>
          </w:tr>
        </w:tbl>
        <w:p>
          <w:pPr>
            <w:spacing w:before="60" w:after="60"/>
            <w:rPr>
              <w:rFonts w:asciiTheme="minorEastAsia" w:hAnsiTheme="minorEastAsia" w:eastAsiaTheme="minorEastAsia"/>
            </w:rPr>
          </w:pPr>
          <w:r>
            <w:rPr>
              <w:rFonts w:hint="eastAsia" w:asciiTheme="minorEastAsia" w:hAnsiTheme="minorEastAsia" w:eastAsiaTheme="minorEastAsia"/>
            </w:rPr>
            <w:t>盈余公积说明，包括本期增减变动情况、变动原因说明：</w:t>
          </w:r>
        </w:p>
        <w:sdt>
          <w:sdtPr>
            <w:rPr>
              <w:rFonts w:asciiTheme="minorEastAsia" w:hAnsiTheme="minorEastAsia" w:eastAsiaTheme="minorEastAsia"/>
            </w:rPr>
            <w:alias w:val="盈余公积说明"/>
            <w:tag w:val="_GBC_33c5d1ed862f4b36950b5ea2188f5b09"/>
            <w:id w:val="-2075495528"/>
            <w:lock w:val="sdtLocked"/>
            <w:placeholder>
              <w:docPart w:val="GBC22222222222222222222222222222"/>
            </w:placeholder>
          </w:sdtPr>
          <w:sdtEndPr>
            <w:rPr>
              <w:rFonts w:asciiTheme="minorEastAsia" w:hAnsiTheme="minorEastAsia" w:eastAsiaTheme="minorEastAsia"/>
            </w:rPr>
          </w:sdtEndPr>
          <w:sdtContent>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根据《中华人民共和国公司法》及本公司章程，本公司及其中国子公司均按净利润之</w:t>
              </w:r>
              <w:r>
                <w:rPr>
                  <w:rFonts w:cs="Arial" w:asciiTheme="minorEastAsia" w:hAnsiTheme="minorEastAsia" w:eastAsiaTheme="minorEastAsia"/>
                  <w:color w:val="000000" w:themeColor="text1"/>
                  <w14:textFill>
                    <w14:solidFill>
                      <w14:schemeClr w14:val="tx1"/>
                    </w14:solidFill>
                  </w14:textFill>
                </w:rPr>
                <w:t>10%</w:t>
              </w:r>
              <w:r>
                <w:rPr>
                  <w:rFonts w:hint="eastAsia" w:cs="Arial" w:asciiTheme="minorEastAsia" w:hAnsiTheme="minorEastAsia" w:eastAsiaTheme="minorEastAsia"/>
                  <w:color w:val="000000" w:themeColor="text1"/>
                  <w14:textFill>
                    <w14:solidFill>
                      <w14:schemeClr w14:val="tx1"/>
                    </w14:solidFill>
                  </w14:textFill>
                </w:rPr>
                <w:t>提取法定盈余公积金。本公司法定盈余公积金累计额为本公司注册资本百分之五十以上的，可不再提取。法定盈余公积金经批准后可用于弥补亏损，或者增加股本。</w:t>
              </w:r>
            </w:p>
            <w:p>
              <w:pPr>
                <w:autoSpaceDE w:val="0"/>
                <w:autoSpaceDN w:val="0"/>
                <w:adjustRightInd w:val="0"/>
                <w:rPr>
                  <w:color w:val="000000" w:themeColor="text1"/>
                  <w14:textFill>
                    <w14:solidFill>
                      <w14:schemeClr w14:val="tx1"/>
                    </w14:solidFill>
                  </w14:textFill>
                </w:rPr>
              </w:pPr>
            </w:p>
          </w:sdtContent>
        </w:sdt>
      </w:sdtContent>
    </w:sdt>
    <w:p>
      <w:pPr>
        <w:pStyle w:val="4"/>
        <w:numPr>
          <w:ilvl w:val="0"/>
          <w:numId w:val="51"/>
        </w:numPr>
        <w:tabs>
          <w:tab w:val="left" w:pos="504"/>
        </w:tabs>
        <w:rPr>
          <w:rFonts w:ascii="宋体" w:hAnsi="宋体"/>
          <w:szCs w:val="21"/>
        </w:rPr>
      </w:pPr>
      <w:r>
        <w:rPr>
          <w:rFonts w:hint="eastAsia" w:ascii="宋体" w:hAnsi="宋体"/>
          <w:szCs w:val="21"/>
        </w:rPr>
        <w:t>未分配利润</w:t>
      </w:r>
    </w:p>
    <w:p>
      <w:pPr>
        <w:pStyle w:val="114"/>
      </w:pPr>
      <w:sdt>
        <w:sdtPr>
          <w:alias w:val="是否适用：未分配利润[双击切换]"/>
          <w:tag w:val="_GBC_32c558bdbb77445cabeee783e5ff910e"/>
          <w:id w:val="174620485"/>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rPr>
        <w:alias w:val="模块:未分配利润"/>
        <w:tag w:val="_GBC_2cdd2861806d471aa767f92841b30fbf"/>
        <w:id w:val="-336309543"/>
        <w:lock w:val="sdtLocked"/>
        <w:placeholder>
          <w:docPart w:val="GBC22222222222222222222222222222"/>
        </w:placeholder>
      </w:sdtPr>
      <w:sdtEndPr>
        <w:rPr>
          <w:rFonts w:hint="eastAsia"/>
          <w:b w:val="0"/>
          <w:bCs w:val="0"/>
        </w:rPr>
      </w:sdtEndPr>
      <w:sdtContent>
        <w:p>
          <w:pPr>
            <w:jc w:val="right"/>
          </w:pPr>
          <w:r>
            <w:rPr>
              <w:rFonts w:hint="eastAsia"/>
            </w:rPr>
            <w:t>单位：</w:t>
          </w:r>
          <w:sdt>
            <w:sdtPr>
              <w:rPr>
                <w:rFonts w:hint="eastAsia"/>
              </w:rPr>
              <w:alias w:val="单位：财务附注：未分配利润"/>
              <w:tag w:val="_GBC_cfb07ff3eded4b49916cfc42d821bab6"/>
              <w:id w:val="-452705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13803955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88"/>
            <w:gridCol w:w="2825"/>
            <w:gridCol w:w="2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b6dc2bd7eebb4e6d9f1ccea8d86e6f47"/>
                <w:id w:val="-649516537"/>
                <w:lock w:val="sdtLocked"/>
              </w:sdtPr>
              <w:sdtContent>
                <w:tc>
                  <w:tcPr>
                    <w:tcW w:w="1927" w:type="pct"/>
                    <w:vAlign w:val="center"/>
                  </w:tcPr>
                  <w:p>
                    <w:pPr>
                      <w:jc w:val="center"/>
                    </w:pPr>
                    <w:r>
                      <w:rPr>
                        <w:rFonts w:hint="eastAsia"/>
                      </w:rPr>
                      <w:t>项目</w:t>
                    </w:r>
                  </w:p>
                </w:tc>
              </w:sdtContent>
            </w:sdt>
            <w:sdt>
              <w:sdtPr>
                <w:tag w:val="_PLD_6e60054e3c3747d1a0ffc87edacae2b6"/>
                <w:id w:val="-1922472686"/>
                <w:lock w:val="sdtLocked"/>
              </w:sdtPr>
              <w:sdtContent>
                <w:tc>
                  <w:tcPr>
                    <w:tcW w:w="1561" w:type="pct"/>
                    <w:vAlign w:val="center"/>
                  </w:tcPr>
                  <w:p>
                    <w:pPr>
                      <w:jc w:val="center"/>
                    </w:pPr>
                    <w:r>
                      <w:rPr>
                        <w:rFonts w:hint="eastAsia"/>
                      </w:rPr>
                      <w:t>本期</w:t>
                    </w:r>
                  </w:p>
                </w:tc>
              </w:sdtContent>
            </w:sdt>
            <w:sdt>
              <w:sdtPr>
                <w:tag w:val="_PLD_9afd54e9959d4b22b00bfe92596a2a16"/>
                <w:id w:val="-1079821725"/>
                <w:lock w:val="sdtLocked"/>
              </w:sdtPr>
              <w:sdtContent>
                <w:tc>
                  <w:tcPr>
                    <w:tcW w:w="1512" w:type="pct"/>
                    <w:vAlign w:val="center"/>
                  </w:tcPr>
                  <w:p>
                    <w:pPr>
                      <w:jc w:val="center"/>
                    </w:pPr>
                    <w:r>
                      <w:rPr>
                        <w:rFonts w:hint="eastAsia"/>
                      </w:rPr>
                      <w:t>上年度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27" w:type="pct"/>
              </w:tcPr>
              <w:p>
                <w:pPr>
                  <w:pStyle w:val="114"/>
                </w:pPr>
                <w:r>
                  <w:rPr>
                    <w:rFonts w:hint="eastAsia"/>
                  </w:rPr>
                  <w:t>期初未分配利润</w:t>
                </w:r>
              </w:p>
            </w:tc>
            <w:tc>
              <w:tcPr>
                <w:tcW w:w="1561" w:type="pct"/>
                <w:vAlign w:val="center"/>
              </w:tcPr>
              <w:p>
                <w:pPr>
                  <w:ind w:right="6"/>
                  <w:jc w:val="right"/>
                </w:pPr>
                <w:r>
                  <w:t>11,343,860,451.93</w:t>
                </w:r>
              </w:p>
            </w:tc>
            <w:tc>
              <w:tcPr>
                <w:tcW w:w="1512" w:type="pct"/>
                <w:vAlign w:val="center"/>
              </w:tcPr>
              <w:p>
                <w:pPr>
                  <w:ind w:right="6"/>
                  <w:jc w:val="right"/>
                </w:pPr>
                <w:r>
                  <w:t>10,110,279,671.92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2a8ba0dc26a946cbb60b0ff473f157c1"/>
                <w:id w:val="1229424074"/>
                <w:lock w:val="sdtLocked"/>
              </w:sdtPr>
              <w:sdtContent>
                <w:tc>
                  <w:tcPr>
                    <w:tcW w:w="1927" w:type="pct"/>
                  </w:tcPr>
                  <w:p>
                    <w:pPr>
                      <w:ind w:right="6"/>
                    </w:pPr>
                    <w:r>
                      <w:rPr>
                        <w:rFonts w:hint="eastAsia"/>
                      </w:rPr>
                      <w:t>加：本期归属于母公司所有者的净利润</w:t>
                    </w:r>
                  </w:p>
                </w:tc>
              </w:sdtContent>
            </w:sdt>
            <w:tc>
              <w:tcPr>
                <w:tcW w:w="1561" w:type="pct"/>
                <w:vAlign w:val="center"/>
              </w:tcPr>
              <w:p>
                <w:pPr>
                  <w:ind w:right="6"/>
                  <w:jc w:val="right"/>
                </w:pPr>
                <w:r>
                  <w:t>2,481,895,375.62</w:t>
                </w:r>
              </w:p>
            </w:tc>
            <w:tc>
              <w:tcPr>
                <w:tcW w:w="1512" w:type="pct"/>
                <w:vAlign w:val="center"/>
              </w:tcPr>
              <w:p>
                <w:pPr>
                  <w:ind w:right="6"/>
                  <w:jc w:val="right"/>
                </w:pPr>
                <w:r>
                  <w:t>3,724,115,165.87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27" w:type="pct"/>
              </w:tcPr>
              <w:p>
                <w:pPr>
                  <w:widowControl w:val="0"/>
                  <w:adjustRightInd w:val="0"/>
                  <w:snapToGrid w:val="0"/>
                  <w:ind w:left="363" w:right="-57" w:hanging="221"/>
                </w:pPr>
                <w:r>
                  <w:rPr>
                    <w:rFonts w:hint="eastAsia"/>
                  </w:rPr>
                  <w:t xml:space="preserve"> </w:t>
                </w:r>
                <w:r>
                  <w:t xml:space="preserve">  </w:t>
                </w:r>
                <w:r>
                  <w:rPr>
                    <w:rFonts w:hint="eastAsia"/>
                  </w:rPr>
                  <w:t>其他结转留存收益</w:t>
                </w:r>
              </w:p>
            </w:tc>
            <w:tc>
              <w:tcPr>
                <w:tcW w:w="1561" w:type="pct"/>
                <w:vAlign w:val="center"/>
              </w:tcPr>
              <w:p>
                <w:pPr>
                  <w:ind w:right="6"/>
                  <w:jc w:val="right"/>
                </w:pPr>
                <w:r>
                  <w:t>2,706.04</w:t>
                </w:r>
              </w:p>
            </w:tc>
            <w:tc>
              <w:tcPr>
                <w:tcW w:w="1512" w:type="pct"/>
                <w:vAlign w:val="center"/>
              </w:tcPr>
              <w:p>
                <w:pPr>
                  <w:ind w:right="6"/>
                  <w:jc w:val="right"/>
                </w:pPr>
                <w:r>
                  <w:t>15,544,544.77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97aab68ad9b74921a7946fa4d2999e51"/>
                <w:id w:val="-210731301"/>
                <w:lock w:val="sdtLocked"/>
              </w:sdtPr>
              <w:sdtContent>
                <w:tc>
                  <w:tcPr>
                    <w:tcW w:w="1927" w:type="pct"/>
                  </w:tcPr>
                  <w:p>
                    <w:pPr>
                      <w:autoSpaceDE w:val="0"/>
                      <w:autoSpaceDN w:val="0"/>
                      <w:adjustRightInd w:val="0"/>
                    </w:pPr>
                    <w:r>
                      <w:rPr>
                        <w:rFonts w:hint="eastAsia"/>
                      </w:rPr>
                      <w:t>减：提取法定盈余公积</w:t>
                    </w:r>
                  </w:p>
                </w:tc>
              </w:sdtContent>
            </w:sdt>
            <w:tc>
              <w:tcPr>
                <w:tcW w:w="1561" w:type="pct"/>
                <w:vAlign w:val="center"/>
              </w:tcPr>
              <w:p>
                <w:pPr>
                  <w:jc w:val="right"/>
                </w:pPr>
                <w:r>
                  <w:t>-</w:t>
                </w:r>
              </w:p>
            </w:tc>
            <w:tc>
              <w:tcPr>
                <w:tcW w:w="1512" w:type="pct"/>
                <w:vAlign w:val="center"/>
              </w:tcPr>
              <w:p>
                <w:pPr>
                  <w:ind w:right="6"/>
                  <w:jc w:val="right"/>
                </w:pPr>
                <w:r>
                  <w:t>109,545,738.94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76ebcf558d244f77a28b1f8b843a2b3a"/>
                <w:id w:val="-179889824"/>
                <w:lock w:val="sdtLocked"/>
              </w:sdtPr>
              <w:sdtContent>
                <w:tc>
                  <w:tcPr>
                    <w:tcW w:w="1927" w:type="pct"/>
                  </w:tcPr>
                  <w:p>
                    <w:pPr>
                      <w:autoSpaceDE w:val="0"/>
                      <w:autoSpaceDN w:val="0"/>
                      <w:adjustRightInd w:val="0"/>
                      <w:ind w:firstLine="420"/>
                    </w:pPr>
                    <w:r>
                      <w:rPr>
                        <w:rFonts w:hint="eastAsia"/>
                      </w:rPr>
                      <w:t>提取任意盈余公积</w:t>
                    </w:r>
                  </w:p>
                </w:tc>
              </w:sdtContent>
            </w:sdt>
            <w:tc>
              <w:tcPr>
                <w:tcW w:w="1561" w:type="pct"/>
                <w:vAlign w:val="center"/>
              </w:tcPr>
              <w:p>
                <w:pPr>
                  <w:jc w:val="right"/>
                </w:pPr>
                <w:r>
                  <w:t>-</w:t>
                </w:r>
              </w:p>
            </w:tc>
            <w:tc>
              <w:tcPr>
                <w:tcW w:w="1512" w:type="pct"/>
                <w:vAlign w:val="center"/>
              </w:tcPr>
              <w:p>
                <w:pPr>
                  <w:ind w:right="6"/>
                  <w:jc w:val="right"/>
                </w:pPr>
                <w:r>
                  <w:t>75,936,702.74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c773909db1b34f04acac84ec73864a3f"/>
                <w:id w:val="-1137945274"/>
                <w:lock w:val="sdtLocked"/>
              </w:sdtPr>
              <w:sdtContent>
                <w:tc>
                  <w:tcPr>
                    <w:tcW w:w="1927" w:type="pct"/>
                  </w:tcPr>
                  <w:p>
                    <w:pPr>
                      <w:autoSpaceDE w:val="0"/>
                      <w:autoSpaceDN w:val="0"/>
                      <w:adjustRightInd w:val="0"/>
                      <w:ind w:firstLine="420"/>
                    </w:pPr>
                    <w:r>
                      <w:rPr>
                        <w:rFonts w:hint="eastAsia"/>
                      </w:rPr>
                      <w:t>提取一般风险准备</w:t>
                    </w:r>
                  </w:p>
                </w:tc>
              </w:sdtContent>
            </w:sdt>
            <w:tc>
              <w:tcPr>
                <w:tcW w:w="1561" w:type="pct"/>
                <w:vAlign w:val="center"/>
              </w:tcPr>
              <w:p>
                <w:pPr>
                  <w:jc w:val="right"/>
                </w:pPr>
                <w:r>
                  <w:rPr>
                    <w:rFonts w:hint="eastAsia"/>
                  </w:rPr>
                  <w:t>-</w:t>
                </w:r>
                <w:r>
                  <w:t>819,394.53</w:t>
                </w:r>
              </w:p>
            </w:tc>
            <w:tc>
              <w:tcPr>
                <w:tcW w:w="1512" w:type="pct"/>
                <w:vAlign w:val="center"/>
              </w:tcPr>
              <w:p>
                <w:pPr>
                  <w:ind w:right="6"/>
                  <w:jc w:val="right"/>
                </w:pPr>
                <w:r>
                  <w:t>3,232,638.95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d2ba40ebcadd4931bdef6468fc324069"/>
                <w:id w:val="-969128278"/>
                <w:lock w:val="sdtLocked"/>
              </w:sdtPr>
              <w:sdtContent>
                <w:tc>
                  <w:tcPr>
                    <w:tcW w:w="1927" w:type="pct"/>
                  </w:tcPr>
                  <w:p>
                    <w:pPr>
                      <w:autoSpaceDE w:val="0"/>
                      <w:autoSpaceDN w:val="0"/>
                      <w:adjustRightInd w:val="0"/>
                      <w:ind w:firstLine="420"/>
                    </w:pPr>
                    <w:r>
                      <w:rPr>
                        <w:rFonts w:hint="eastAsia"/>
                      </w:rPr>
                      <w:t>应付普通股股利</w:t>
                    </w:r>
                  </w:p>
                </w:tc>
              </w:sdtContent>
            </w:sdt>
            <w:tc>
              <w:tcPr>
                <w:tcW w:w="1561" w:type="pct"/>
                <w:vAlign w:val="center"/>
              </w:tcPr>
              <w:p>
                <w:pPr>
                  <w:jc w:val="right"/>
                </w:pPr>
                <w:r>
                  <w:t>2,317,363,850.00</w:t>
                </w:r>
              </w:p>
            </w:tc>
            <w:tc>
              <w:tcPr>
                <w:tcW w:w="1512" w:type="pct"/>
                <w:vAlign w:val="center"/>
              </w:tcPr>
              <w:p>
                <w:pPr>
                  <w:ind w:right="6"/>
                  <w:jc w:val="right"/>
                </w:pPr>
                <w:r>
                  <w:t>2,317,363,850.00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d8041f36a4744fe893cd617b9149d704"/>
                <w:id w:val="827336645"/>
                <w:lock w:val="sdtLocked"/>
              </w:sdtPr>
              <w:sdtContent>
                <w:tc>
                  <w:tcPr>
                    <w:tcW w:w="1927" w:type="pct"/>
                  </w:tcPr>
                  <w:p>
                    <w:pPr>
                      <w:autoSpaceDE w:val="0"/>
                      <w:autoSpaceDN w:val="0"/>
                      <w:adjustRightInd w:val="0"/>
                      <w:ind w:firstLine="420"/>
                    </w:pPr>
                    <w:r>
                      <w:rPr>
                        <w:rFonts w:hint="eastAsia"/>
                      </w:rPr>
                      <w:t>转作股本的普通股股利</w:t>
                    </w:r>
                  </w:p>
                </w:tc>
              </w:sdtContent>
            </w:sdt>
            <w:tc>
              <w:tcPr>
                <w:tcW w:w="1561" w:type="pct"/>
              </w:tcPr>
              <w:p>
                <w:pPr>
                  <w:jc w:val="right"/>
                </w:pPr>
              </w:p>
            </w:tc>
            <w:tc>
              <w:tcPr>
                <w:tcW w:w="1512" w:type="pct"/>
              </w:tcPr>
              <w:p>
                <w:pPr>
                  <w:ind w:right="6"/>
                  <w:jc w:val="right"/>
                </w:pPr>
              </w:p>
            </w:tc>
          </w:tr>
          <w:sdt>
            <w:sdtPr>
              <w:rPr>
                <w:rFonts w:hint="eastAsia"/>
              </w:rPr>
              <w:alias w:val="本期其他利润分配"/>
              <w:tag w:val="_GBC_7def170558744ebdb1f4975e27e4042b"/>
              <w:id w:val="210245184"/>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27" w:type="pct"/>
                  </w:tcPr>
                  <w:p>
                    <w:pPr>
                      <w:autoSpaceDE w:val="0"/>
                      <w:autoSpaceDN w:val="0"/>
                      <w:adjustRightInd w:val="0"/>
                    </w:pPr>
                  </w:p>
                </w:tc>
                <w:tc>
                  <w:tcPr>
                    <w:tcW w:w="1561" w:type="pct"/>
                  </w:tcPr>
                  <w:p>
                    <w:pPr>
                      <w:ind w:right="6"/>
                      <w:jc w:val="right"/>
                    </w:pPr>
                  </w:p>
                </w:tc>
                <w:tc>
                  <w:tcPr>
                    <w:tcW w:w="1512" w:type="pct"/>
                  </w:tcPr>
                  <w:p>
                    <w:pPr>
                      <w:ind w:right="6"/>
                      <w:jc w:val="right"/>
                    </w:pPr>
                  </w:p>
                </w:tc>
              </w:tr>
            </w:sdtContent>
          </w:sdt>
          <w:sdt>
            <w:sdtPr>
              <w:rPr>
                <w:rFonts w:hint="eastAsia"/>
              </w:rPr>
              <w:alias w:val="本期其他利润分配"/>
              <w:tag w:val="_GBC_7def170558744ebdb1f4975e27e4042b"/>
              <w:id w:val="-825357744"/>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27" w:type="pct"/>
                  </w:tcPr>
                  <w:p>
                    <w:pPr>
                      <w:autoSpaceDE w:val="0"/>
                      <w:autoSpaceDN w:val="0"/>
                      <w:adjustRightInd w:val="0"/>
                    </w:pPr>
                  </w:p>
                </w:tc>
                <w:tc>
                  <w:tcPr>
                    <w:tcW w:w="1561" w:type="pct"/>
                  </w:tcPr>
                  <w:p>
                    <w:pPr>
                      <w:ind w:right="6"/>
                      <w:jc w:val="right"/>
                    </w:pPr>
                  </w:p>
                </w:tc>
                <w:tc>
                  <w:tcPr>
                    <w:tcW w:w="1512" w:type="pct"/>
                  </w:tcPr>
                  <w:p>
                    <w:pPr>
                      <w:ind w:right="6"/>
                      <w:jc w:val="right"/>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0654c3e21e6d4aa0a63a12e93a24988a"/>
                <w:id w:val="-53090590"/>
                <w:lock w:val="sdtLocked"/>
              </w:sdtPr>
              <w:sdtContent>
                <w:tc>
                  <w:tcPr>
                    <w:tcW w:w="1927" w:type="pct"/>
                  </w:tcPr>
                  <w:p>
                    <w:pPr>
                      <w:autoSpaceDE w:val="0"/>
                      <w:autoSpaceDN w:val="0"/>
                      <w:adjustRightInd w:val="0"/>
                    </w:pPr>
                    <w:r>
                      <w:rPr>
                        <w:rFonts w:hint="eastAsia"/>
                      </w:rPr>
                      <w:t>期末未分配利润</w:t>
                    </w:r>
                  </w:p>
                </w:tc>
              </w:sdtContent>
            </w:sdt>
            <w:tc>
              <w:tcPr>
                <w:tcW w:w="1561" w:type="pct"/>
                <w:vAlign w:val="center"/>
              </w:tcPr>
              <w:p>
                <w:pPr>
                  <w:jc w:val="right"/>
                </w:pPr>
                <w:r>
                  <w:t>11,509,214,078.12</w:t>
                </w:r>
              </w:p>
            </w:tc>
            <w:tc>
              <w:tcPr>
                <w:tcW w:w="1512" w:type="pct"/>
                <w:vAlign w:val="center"/>
              </w:tcPr>
              <w:p>
                <w:pPr>
                  <w:ind w:right="6"/>
                  <w:jc w:val="right"/>
                </w:pPr>
                <w:r>
                  <w:t>11,343,860,451.93</w:t>
                </w:r>
              </w:p>
            </w:tc>
          </w:tr>
        </w:tbl>
        <w:p>
          <w:pPr>
            <w:tabs>
              <w:tab w:val="left" w:pos="566"/>
            </w:tabs>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cs="Arial" w:asciiTheme="minorEastAsia" w:hAnsiTheme="minorEastAsia" w:eastAsiaTheme="minorEastAsia"/>
              <w:color w:val="000000" w:themeColor="text1"/>
              <w14:textFill>
                <w14:solidFill>
                  <w14:schemeClr w14:val="tx1"/>
                </w14:solidFill>
              </w14:textFill>
            </w:rPr>
            <w:t>(1)</w:t>
          </w:r>
          <w:r>
            <w:rPr>
              <w:rFonts w:hint="eastAsia" w:cs="Arial" w:asciiTheme="minorEastAsia" w:hAnsiTheme="minorEastAsia" w:eastAsiaTheme="minorEastAsia"/>
              <w:color w:val="000000" w:themeColor="text1"/>
              <w14:textFill>
                <w14:solidFill>
                  <w14:schemeClr w14:val="tx1"/>
                </w14:solidFill>
              </w14:textFill>
            </w:rPr>
            <w:t>其他结转留存收益</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该变动主要为</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年本集团处置所持有的部分其他权益工具投资产生的收益尾款，计入未分配利润。</w:t>
          </w:r>
        </w:p>
        <w:p>
          <w:pPr>
            <w:tabs>
              <w:tab w:val="left" w:pos="566"/>
            </w:tabs>
            <w:overflowPunct w:val="0"/>
            <w:adjustRightInd w:val="0"/>
            <w:snapToGrid w:val="0"/>
            <w:jc w:val="both"/>
            <w:rPr>
              <w:rFonts w:cs="Arial" w:asciiTheme="minorEastAsia" w:hAnsiTheme="minorEastAsia" w:eastAsiaTheme="minorEastAsia"/>
              <w:color w:val="000000" w:themeColor="text1"/>
              <w:kern w:val="2"/>
              <w:lang w:val="en-GB"/>
              <w14:textFill>
                <w14:solidFill>
                  <w14:schemeClr w14:val="tx1"/>
                </w14:solidFill>
              </w14:textFill>
            </w:rPr>
          </w:pPr>
        </w:p>
        <w:p>
          <w:pPr>
            <w:tabs>
              <w:tab w:val="left" w:pos="566"/>
            </w:tabs>
            <w:overflowPunct w:val="0"/>
            <w:adjustRightInd w:val="0"/>
            <w:snapToGrid w:val="0"/>
            <w:jc w:val="both"/>
            <w:rPr>
              <w:rFonts w:cs="Times New Roman" w:asciiTheme="minorEastAsia" w:hAnsiTheme="minorEastAsia" w:eastAsiaTheme="minorEastAsia"/>
            </w:rPr>
          </w:pPr>
          <w:r>
            <w:rPr>
              <w:rFonts w:cs="Arial" w:asciiTheme="minorEastAsia" w:hAnsiTheme="minorEastAsia" w:eastAsiaTheme="minorEastAsia"/>
              <w:color w:val="000000" w:themeColor="text1"/>
              <w14:textFill>
                <w14:solidFill>
                  <w14:schemeClr w14:val="tx1"/>
                </w14:solidFill>
              </w14:textFill>
            </w:rPr>
            <w:t>(2)</w:t>
          </w:r>
          <w:r>
            <w:rPr>
              <w:rFonts w:hint="eastAsia" w:cs="Arial" w:asciiTheme="minorEastAsia" w:hAnsiTheme="minorEastAsia" w:eastAsiaTheme="minorEastAsia"/>
              <w:color w:val="000000" w:themeColor="text1"/>
              <w14:textFill>
                <w14:solidFill>
                  <w14:schemeClr w14:val="tx1"/>
                </w14:solidFill>
              </w14:textFill>
            </w:rPr>
            <w:t>本报告期股东大会已批准的现金股利</w:t>
          </w:r>
        </w:p>
        <w:p>
          <w:pPr>
            <w:ind w:left="798" w:leftChars="380"/>
            <w:rPr>
              <w:rFonts w:asciiTheme="minorEastAsia" w:hAnsiTheme="minorEastAsia" w:eastAsiaTheme="minorEastAsia"/>
            </w:rPr>
          </w:pPr>
        </w:p>
        <w:p>
          <w:pPr>
            <w:overflowPunct w:val="0"/>
            <w:adjustRightInd w:val="0"/>
            <w:snapToGrid w:val="0"/>
            <w:jc w:val="both"/>
            <w:textAlignment w:val="baseline"/>
            <w:rPr>
              <w:rFonts w:cs="Arial" w:asciiTheme="minorEastAsia" w:hAnsiTheme="minorEastAsia" w:eastAsiaTheme="minorEastAsia"/>
              <w:color w:val="000000" w:themeColor="text1"/>
              <w:szCs w:val="22"/>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根据公司董事会于</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3</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24</w:t>
          </w:r>
          <w:r>
            <w:rPr>
              <w:rFonts w:hint="eastAsia" w:cs="Arial" w:asciiTheme="minorEastAsia" w:hAnsiTheme="minorEastAsia" w:eastAsiaTheme="minorEastAsia"/>
              <w:color w:val="000000" w:themeColor="text1"/>
              <w14:textFill>
                <w14:solidFill>
                  <w14:schemeClr w14:val="tx1"/>
                </w14:solidFill>
              </w14:textFill>
            </w:rPr>
            <w:t>日提议，</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年度按已发行之股份</w:t>
          </w:r>
          <w:r>
            <w:rPr>
              <w:rFonts w:cs="Arial" w:asciiTheme="minorEastAsia" w:hAnsiTheme="minorEastAsia" w:eastAsiaTheme="minorEastAsia"/>
              <w:color w:val="000000" w:themeColor="text1"/>
              <w14:textFill>
                <w14:solidFill>
                  <w14:schemeClr w14:val="tx1"/>
                </w14:solidFill>
              </w14:textFill>
            </w:rPr>
            <w:t xml:space="preserve">5,037,747,500 </w:t>
          </w:r>
          <w:r>
            <w:rPr>
              <w:rFonts w:hint="eastAsia" w:cs="Arial" w:asciiTheme="minorEastAsia" w:hAnsiTheme="minorEastAsia" w:eastAsiaTheme="minorEastAsia"/>
              <w:color w:val="000000" w:themeColor="text1"/>
              <w14:textFill>
                <w14:solidFill>
                  <w14:schemeClr w14:val="tx1"/>
                </w14:solidFill>
              </w14:textFill>
            </w:rPr>
            <w:t>股</w:t>
          </w:r>
          <w:r>
            <w:rPr>
              <w:rFonts w:cs="Arial" w:asciiTheme="minorEastAsia" w:hAnsiTheme="minorEastAsia" w:eastAsiaTheme="minorEastAsia"/>
              <w:color w:val="000000" w:themeColor="text1"/>
              <w14:textFill>
                <w14:solidFill>
                  <w14:schemeClr w14:val="tx1"/>
                </w14:solidFill>
              </w14:textFill>
            </w:rPr>
            <w:t>(</w:t>
          </w:r>
          <w:r>
            <w:rPr>
              <w:rFonts w:hint="eastAsia" w:cs="Arial" w:asciiTheme="minorEastAsia" w:hAnsiTheme="minorEastAsia" w:eastAsiaTheme="minorEastAsia"/>
              <w:color w:val="000000" w:themeColor="text1"/>
              <w14:textFill>
                <w14:solidFill>
                  <w14:schemeClr w14:val="tx1"/>
                </w14:solidFill>
              </w14:textFill>
            </w:rPr>
            <w:t>每股面值人民币</w:t>
          </w:r>
          <w:r>
            <w:rPr>
              <w:rFonts w:cs="Arial" w:asciiTheme="minorEastAsia" w:hAnsiTheme="minorEastAsia" w:eastAsiaTheme="minorEastAsia"/>
              <w:color w:val="000000" w:themeColor="text1"/>
              <w14:textFill>
                <w14:solidFill>
                  <w14:schemeClr w14:val="tx1"/>
                </w14:solidFill>
              </w14:textFill>
            </w:rPr>
            <w:t>1</w:t>
          </w:r>
          <w:r>
            <w:rPr>
              <w:rFonts w:hint="eastAsia" w:cs="Arial" w:asciiTheme="minorEastAsia" w:hAnsiTheme="minorEastAsia" w:eastAsiaTheme="minorEastAsia"/>
              <w:color w:val="000000" w:themeColor="text1"/>
              <w14:textFill>
                <w14:solidFill>
                  <w14:schemeClr w14:val="tx1"/>
                </w14:solidFill>
              </w14:textFill>
            </w:rPr>
            <w:t>元</w:t>
          </w:r>
          <w:r>
            <w:rPr>
              <w:rFonts w:cs="Arial" w:asciiTheme="minorEastAsia" w:hAnsiTheme="minorEastAsia" w:eastAsiaTheme="minorEastAsia"/>
              <w:color w:val="000000" w:themeColor="text1"/>
              <w14:textFill>
                <w14:solidFill>
                  <w14:schemeClr w14:val="tx1"/>
                </w14:solidFill>
              </w14:textFill>
            </w:rPr>
            <w:t>)</w:t>
          </w:r>
          <w:r>
            <w:rPr>
              <w:rFonts w:hint="eastAsia" w:cs="Arial" w:asciiTheme="minorEastAsia" w:hAnsiTheme="minorEastAsia" w:eastAsiaTheme="minorEastAsia"/>
              <w:color w:val="000000" w:themeColor="text1"/>
              <w14:textFill>
                <w14:solidFill>
                  <w14:schemeClr w14:val="tx1"/>
                </w14:solidFill>
              </w14:textFill>
            </w:rPr>
            <w:t>计算，拟以每</w:t>
          </w:r>
          <w:r>
            <w:rPr>
              <w:rFonts w:cs="Arial" w:asciiTheme="minorEastAsia" w:hAnsiTheme="minorEastAsia" w:eastAsiaTheme="minorEastAsia"/>
              <w:color w:val="000000" w:themeColor="text1"/>
              <w14:textFill>
                <w14:solidFill>
                  <w14:schemeClr w14:val="tx1"/>
                </w14:solidFill>
              </w14:textFill>
            </w:rPr>
            <w:t>1</w:t>
          </w:r>
          <w:r>
            <w:rPr>
              <w:rFonts w:hint="eastAsia" w:cs="Arial" w:asciiTheme="minorEastAsia" w:hAnsiTheme="minorEastAsia" w:eastAsiaTheme="minorEastAsia"/>
              <w:color w:val="000000" w:themeColor="text1"/>
              <w14:textFill>
                <w14:solidFill>
                  <w14:schemeClr w14:val="tx1"/>
                </w14:solidFill>
              </w14:textFill>
            </w:rPr>
            <w:t>股向全体股东派发现金红利人民币</w:t>
          </w:r>
          <w:r>
            <w:rPr>
              <w:rFonts w:cs="Arial" w:asciiTheme="minorEastAsia" w:hAnsiTheme="minorEastAsia" w:eastAsiaTheme="minorEastAsia"/>
              <w:color w:val="000000" w:themeColor="text1"/>
              <w14:textFill>
                <w14:solidFill>
                  <w14:schemeClr w14:val="tx1"/>
                </w14:solidFill>
              </w14:textFill>
            </w:rPr>
            <w:t>0.46</w:t>
          </w:r>
          <w:r>
            <w:rPr>
              <w:rFonts w:hint="eastAsia" w:cs="Arial" w:asciiTheme="minorEastAsia" w:hAnsiTheme="minorEastAsia" w:eastAsiaTheme="minorEastAsia"/>
              <w:color w:val="000000" w:themeColor="text1"/>
              <w14:textFill>
                <w14:solidFill>
                  <w14:schemeClr w14:val="tx1"/>
                </w14:solidFill>
              </w14:textFill>
            </w:rPr>
            <w:t>元。上述股利分配方案已经股东大会批准。</w:t>
          </w:r>
        </w:p>
        <w:p>
          <w:pPr>
            <w:spacing w:before="60" w:after="60"/>
            <w:rPr>
              <w:rFonts w:asciiTheme="minorEastAsia" w:hAnsiTheme="minorEastAsia" w:eastAsiaTheme="minorEastAsia"/>
              <w:color w:val="000000" w:themeColor="text1"/>
              <w14:textFill>
                <w14:solidFill>
                  <w14:schemeClr w14:val="tx1"/>
                </w14:solidFill>
              </w14:textFill>
            </w:rPr>
          </w:pPr>
        </w:p>
        <w:p>
          <w:pPr>
            <w:spacing w:before="60" w:after="6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调整期初未分配利润明细：</w:t>
          </w:r>
        </w:p>
        <w:p>
          <w:pPr>
            <w:rPr>
              <w:rFonts w:asciiTheme="minorEastAsia" w:hAnsiTheme="minorEastAsia" w:eastAsiaTheme="minorEastAsia"/>
            </w:rPr>
          </w:pPr>
          <w:r>
            <w:rPr>
              <w:rFonts w:hint="eastAsia" w:asciiTheme="minorEastAsia" w:hAnsiTheme="minorEastAsia" w:eastAsiaTheme="minorEastAsia"/>
            </w:rPr>
            <w:t>1、由于《企业会计准则》及其相关新规定进行追溯调整，影响期初未分配利润</w:t>
          </w:r>
          <w:sdt>
            <w:sdtPr>
              <w:rPr>
                <w:rFonts w:hint="eastAsia" w:asciiTheme="minorEastAsia" w:hAnsiTheme="minorEastAsia" w:eastAsiaTheme="minorEastAsia"/>
              </w:rPr>
              <w:alias w:val="依据《企业会计准则》及其相关规定进行追溯调整影响年初未分配利润合计"/>
              <w:tag w:val="_GBC_a54a245e74754754a6239606b5ebbb06"/>
              <w:id w:val="-504977315"/>
              <w:lock w:val="sdtLocked"/>
              <w:placeholder>
                <w:docPart w:val="GBC22222222222222222222222222222"/>
              </w:placeholder>
            </w:sdtPr>
            <w:sdtEndPr>
              <w:rPr>
                <w:rFonts w:hint="eastAsia" w:asciiTheme="minorEastAsia" w:hAnsiTheme="minorEastAsia" w:eastAsiaTheme="minorEastAsia"/>
              </w:rPr>
            </w:sdtEndPr>
            <w:sdtContent>
              <w:r>
                <w:rPr>
                  <w:rFonts w:asciiTheme="minorEastAsia" w:hAnsiTheme="minorEastAsia" w:eastAsiaTheme="minorEastAsia"/>
                </w:rPr>
                <w:t>0</w:t>
              </w:r>
            </w:sdtContent>
          </w:sdt>
          <w:r>
            <w:rPr>
              <w:rFonts w:hint="eastAsia" w:asciiTheme="minorEastAsia" w:hAnsiTheme="minorEastAsia" w:eastAsiaTheme="minorEastAsia"/>
            </w:rPr>
            <w:t xml:space="preserve"> 元。</w:t>
          </w:r>
        </w:p>
        <w:p>
          <w:pPr>
            <w:rPr>
              <w:rFonts w:asciiTheme="minorEastAsia" w:hAnsiTheme="minorEastAsia" w:eastAsiaTheme="minorEastAsia"/>
            </w:rPr>
          </w:pPr>
          <w:r>
            <w:rPr>
              <w:rFonts w:hint="eastAsia" w:asciiTheme="minorEastAsia" w:hAnsiTheme="minorEastAsia" w:eastAsiaTheme="minorEastAsia"/>
            </w:rPr>
            <w:t>2、由于会计政策变更，影响期初未分配利润</w:t>
          </w:r>
          <w:sdt>
            <w:sdtPr>
              <w:rPr>
                <w:rFonts w:hint="eastAsia" w:asciiTheme="minorEastAsia" w:hAnsiTheme="minorEastAsia" w:eastAsiaTheme="minorEastAsia"/>
              </w:rPr>
              <w:alias w:val="由于会计政策变更影响年初未分配利润"/>
              <w:tag w:val="_GBC_8295d6891c8842f58b58e4223b4e1700"/>
              <w:id w:val="1651719746"/>
              <w:lock w:val="sdtLocked"/>
              <w:placeholder>
                <w:docPart w:val="GBC22222222222222222222222222222"/>
              </w:placeholder>
            </w:sdtPr>
            <w:sdtEndPr>
              <w:rPr>
                <w:rFonts w:hint="eastAsia" w:asciiTheme="minorEastAsia" w:hAnsiTheme="minorEastAsia" w:eastAsiaTheme="minorEastAsia"/>
              </w:rPr>
            </w:sdtEndPr>
            <w:sdtContent>
              <w:r>
                <w:rPr>
                  <w:rFonts w:asciiTheme="minorEastAsia" w:hAnsiTheme="minorEastAsia" w:eastAsiaTheme="minorEastAsia"/>
                </w:rPr>
                <w:t>0</w:t>
              </w:r>
            </w:sdtContent>
          </w:sdt>
          <w:r>
            <w:rPr>
              <w:rFonts w:hint="eastAsia" w:asciiTheme="minorEastAsia" w:hAnsiTheme="minorEastAsia" w:eastAsiaTheme="minorEastAsia"/>
            </w:rPr>
            <w:t xml:space="preserve"> 元。</w:t>
          </w:r>
        </w:p>
        <w:p>
          <w:pPr>
            <w:rPr>
              <w:rFonts w:asciiTheme="minorEastAsia" w:hAnsiTheme="minorEastAsia" w:eastAsiaTheme="minorEastAsia"/>
            </w:rPr>
          </w:pPr>
          <w:r>
            <w:rPr>
              <w:rFonts w:hint="eastAsia" w:asciiTheme="minorEastAsia" w:hAnsiTheme="minorEastAsia" w:eastAsiaTheme="minorEastAsia"/>
            </w:rPr>
            <w:t>3、由于重大会计差错更正，影响期初未分配利润</w:t>
          </w:r>
          <w:sdt>
            <w:sdtPr>
              <w:rPr>
                <w:rFonts w:hint="eastAsia" w:asciiTheme="minorEastAsia" w:hAnsiTheme="minorEastAsia" w:eastAsiaTheme="minorEastAsia"/>
              </w:rPr>
              <w:alias w:val="由于重大会计差错更正影响年初未分配利润"/>
              <w:tag w:val="_GBC_34728ea6faff41218abab9b8fede268c"/>
              <w:id w:val="-987619680"/>
              <w:lock w:val="sdtLocked"/>
              <w:placeholder>
                <w:docPart w:val="GBC22222222222222222222222222222"/>
              </w:placeholder>
            </w:sdtPr>
            <w:sdtEndPr>
              <w:rPr>
                <w:rFonts w:hint="eastAsia" w:asciiTheme="minorEastAsia" w:hAnsiTheme="minorEastAsia" w:eastAsiaTheme="minorEastAsia"/>
              </w:rPr>
            </w:sdtEndPr>
            <w:sdtContent>
              <w:r>
                <w:rPr>
                  <w:rFonts w:asciiTheme="minorEastAsia" w:hAnsiTheme="minorEastAsia" w:eastAsiaTheme="minorEastAsia"/>
                </w:rPr>
                <w:t>0</w:t>
              </w:r>
            </w:sdtContent>
          </w:sdt>
          <w:r>
            <w:rPr>
              <w:rFonts w:hint="eastAsia" w:asciiTheme="minorEastAsia" w:hAnsiTheme="minorEastAsia" w:eastAsiaTheme="minorEastAsia"/>
            </w:rPr>
            <w:t xml:space="preserve"> 元。</w:t>
          </w:r>
        </w:p>
        <w:p>
          <w:pPr>
            <w:pStyle w:val="114"/>
          </w:pPr>
          <w:r>
            <w:rPr>
              <w:rFonts w:hint="eastAsia" w:asciiTheme="minorEastAsia" w:hAnsiTheme="minorEastAsia" w:eastAsiaTheme="minorEastAsia"/>
            </w:rPr>
            <w:t>4、由于同一控制导致的合并范围变更，影响期</w:t>
          </w:r>
          <w:r>
            <w:rPr>
              <w:rFonts w:hint="eastAsia"/>
            </w:rPr>
            <w:t>初未分配利润</w:t>
          </w:r>
          <w:sdt>
            <w:sdtPr>
              <w:rPr>
                <w:rFonts w:hint="eastAsia"/>
              </w:rPr>
              <w:alias w:val="同一控制导致的合并范围变更影响年初未分配利润"/>
              <w:tag w:val="_GBC_4d9b7a873cb94aba9044210a45f81108"/>
              <w:id w:val="1075698163"/>
              <w:lock w:val="sdtLocked"/>
              <w:placeholder>
                <w:docPart w:val="GBC22222222222222222222222222222"/>
              </w:placeholder>
            </w:sdtPr>
            <w:sdtEndPr>
              <w:rPr>
                <w:rFonts w:hint="eastAsia"/>
              </w:rPr>
            </w:sdtEndPr>
            <w:sdtContent>
              <w:r>
                <w:t>0</w:t>
              </w:r>
            </w:sdtContent>
          </w:sdt>
          <w:r>
            <w:rPr>
              <w:rFonts w:hint="eastAsia"/>
            </w:rPr>
            <w:t xml:space="preserve"> 元。</w:t>
          </w:r>
        </w:p>
        <w:p>
          <w:pPr>
            <w:pStyle w:val="114"/>
          </w:pPr>
          <w:r>
            <w:rPr>
              <w:rFonts w:hint="eastAsia"/>
            </w:rPr>
            <w:t>5、其他调整合计影响期初未分配利润</w:t>
          </w:r>
          <w:sdt>
            <w:sdtPr>
              <w:rPr>
                <w:rFonts w:hint="eastAsia"/>
              </w:rPr>
              <w:alias w:val="其他调整合计影响年初未分配利润"/>
              <w:tag w:val="_GBC_ccd86b3788e04a70a2e6a2167027d7cb"/>
              <w:id w:val="-1766519513"/>
              <w:lock w:val="sdtLocked"/>
              <w:placeholder>
                <w:docPart w:val="GBC22222222222222222222222222222"/>
              </w:placeholder>
            </w:sdtPr>
            <w:sdtEndPr>
              <w:rPr>
                <w:rFonts w:hint="eastAsia"/>
              </w:rPr>
            </w:sdtEndPr>
            <w:sdtContent>
              <w:r>
                <w:t>0</w:t>
              </w:r>
            </w:sdtContent>
          </w:sdt>
          <w:r>
            <w:rPr>
              <w:rFonts w:hint="eastAsia"/>
            </w:rPr>
            <w:t xml:space="preserve"> 元。</w:t>
          </w:r>
        </w:p>
      </w:sdtContent>
    </w:sdt>
    <w:p>
      <w:pPr>
        <w:pStyle w:val="114"/>
      </w:pPr>
    </w:p>
    <w:sdt>
      <w:sdtPr>
        <w:rPr>
          <w:rFonts w:hint="eastAsia" w:ascii="宋体" w:hAnsi="宋体" w:cs="宋体"/>
          <w:b w:val="0"/>
          <w:bCs w:val="0"/>
          <w:kern w:val="0"/>
          <w:szCs w:val="21"/>
        </w:rPr>
        <w:alias w:val="模块:营业收入和营业成本"/>
        <w:tag w:val="_GBC_a3a22662ec3d4fb69e12845051ced996"/>
        <w:id w:val="-454716344"/>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ascii="宋体" w:hAnsi="宋体"/>
              <w:szCs w:val="21"/>
            </w:rPr>
            <w:t>营业收入和营业成本</w:t>
          </w:r>
        </w:p>
        <w:p>
          <w:pPr>
            <w:pStyle w:val="5"/>
            <w:numPr>
              <w:ilvl w:val="0"/>
              <w:numId w:val="80"/>
            </w:numPr>
            <w:ind w:left="426" w:hanging="426"/>
            <w:rPr>
              <w:rFonts w:ascii="宋体" w:hAnsi="宋体"/>
            </w:rPr>
          </w:pPr>
          <w:r>
            <w:rPr>
              <w:rFonts w:hint="eastAsia" w:ascii="宋体" w:hAnsi="宋体"/>
            </w:rPr>
            <w:t>营业收入和营业成本情况</w:t>
          </w:r>
        </w:p>
        <w:sdt>
          <w:sdtPr>
            <w:alias w:val="是否适用：营业收入和营业成本[双击切换]"/>
            <w:tag w:val="_GBC_876680c4ba6b433896b625efff84d599"/>
            <w:id w:val="-134115628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bCs/>
              </w:rPr>
              <w:alias w:val="单位：财务附注：营业收入"/>
              <w:tag w:val="_GBC_611ed6dd25a247cf86a0fb98cd86e68f"/>
              <w:id w:val="-15589339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bCs/>
              </w:rPr>
            </w:sdtEndPr>
            <w:sdtContent>
              <w:r>
                <w:rPr>
                  <w:rFonts w:hint="eastAsia"/>
                </w:rPr>
                <w:t>元</w:t>
              </w:r>
            </w:sdtContent>
          </w:sdt>
          <w:r>
            <w:rPr>
              <w:rFonts w:hint="eastAsia"/>
            </w:rPr>
            <w:t xml:space="preserve">  币种：</w:t>
          </w:r>
          <w:sdt>
            <w:sdtPr>
              <w:rPr>
                <w:rFonts w:hint="eastAsia"/>
                <w:bCs/>
              </w:rPr>
              <w:alias w:val="币种：财务附注：营业收入"/>
              <w:tag w:val="_GBC_ba5cd3776b804cc291ae4c216c605f02"/>
              <w:id w:val="6593602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bCs/>
              </w:rPr>
            </w:sdtEndPr>
            <w:sdtContent>
              <w:r>
                <w:rPr>
                  <w:rFonts w:hint="eastAsia"/>
                </w:rPr>
                <w:t>人民币</w:t>
              </w:r>
            </w:sdtContent>
          </w:sdt>
        </w:p>
        <w:tbl>
          <w:tblPr>
            <w:tblStyle w:val="412"/>
            <w:tblW w:w="4933" w:type="pct"/>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1896"/>
            <w:gridCol w:w="1896"/>
            <w:gridCol w:w="1896"/>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41752618c6a4ee08ca01f5944b34b81"/>
                <w:id w:val="1318690406"/>
                <w:lock w:val="sdtLocked"/>
              </w:sdtPr>
              <w:sdtContent>
                <w:tc>
                  <w:tcPr>
                    <w:tcW w:w="805" w:type="pct"/>
                    <w:vMerge w:val="restart"/>
                    <w:tcBorders>
                      <w:top w:val="single" w:color="auto" w:sz="4" w:space="0"/>
                      <w:left w:val="single" w:color="auto" w:sz="4" w:space="0"/>
                      <w:right w:val="single" w:color="auto" w:sz="4" w:space="0"/>
                    </w:tcBorders>
                    <w:shd w:val="clear" w:color="auto" w:fill="auto"/>
                    <w:vAlign w:val="center"/>
                  </w:tcPr>
                  <w:p>
                    <w:pPr>
                      <w:jc w:val="center"/>
                    </w:pPr>
                    <w:r>
                      <w:rPr>
                        <w:rFonts w:hint="eastAsia"/>
                      </w:rPr>
                      <w:t>项目</w:t>
                    </w:r>
                  </w:p>
                </w:tc>
              </w:sdtContent>
            </w:sdt>
            <w:sdt>
              <w:sdtPr>
                <w:tag w:val="_PLD_f88658ae6cb94ea390736e112b0d5ffc"/>
                <w:id w:val="86979810"/>
                <w:lock w:val="sdtLocked"/>
              </w:sdtPr>
              <w:sdtContent>
                <w:tc>
                  <w:tcPr>
                    <w:tcW w:w="209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本期发生额</w:t>
                    </w:r>
                  </w:p>
                </w:tc>
              </w:sdtContent>
            </w:sdt>
            <w:sdt>
              <w:sdtPr>
                <w:tag w:val="_PLD_0840d72efce94f22bdf4d566046b2e87"/>
                <w:id w:val="16358928"/>
                <w:lock w:val="sdtLocked"/>
              </w:sdtPr>
              <w:sdtContent>
                <w:tc>
                  <w:tcPr>
                    <w:tcW w:w="210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pct"/>
                <w:vMerge w:val="continue"/>
                <w:tcBorders>
                  <w:left w:val="single" w:color="auto" w:sz="4" w:space="0"/>
                  <w:bottom w:val="single" w:color="auto" w:sz="4" w:space="0"/>
                  <w:right w:val="single" w:color="auto" w:sz="4" w:space="0"/>
                </w:tcBorders>
                <w:shd w:val="clear" w:color="auto" w:fill="auto"/>
              </w:tcPr>
              <w:p>
                <w:pPr>
                  <w:jc w:val="center"/>
                </w:pPr>
              </w:p>
            </w:tc>
            <w:sdt>
              <w:sdtPr>
                <w:tag w:val="_PLD_39942ac1f2654fa6bda80d7116d83859"/>
                <w:id w:val="668292193"/>
                <w:lock w:val="sdtLocked"/>
              </w:sdtPr>
              <w:sdtContent>
                <w:tc>
                  <w:tcPr>
                    <w:tcW w:w="104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收入</w:t>
                    </w:r>
                  </w:p>
                </w:tc>
              </w:sdtContent>
            </w:sdt>
            <w:sdt>
              <w:sdtPr>
                <w:tag w:val="_PLD_5075262c52564bf09f90a67ee6a84b17"/>
                <w:id w:val="1756170987"/>
                <w:lock w:val="sdtLocked"/>
              </w:sdtPr>
              <w:sdtContent>
                <w:tc>
                  <w:tcPr>
                    <w:tcW w:w="105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成本</w:t>
                    </w:r>
                  </w:p>
                </w:tc>
              </w:sdtContent>
            </w:sdt>
            <w:sdt>
              <w:sdtPr>
                <w:tag w:val="_PLD_33a1015c666d49cba108bce6aafea1f7"/>
                <w:id w:val="403884199"/>
                <w:lock w:val="sdtLocked"/>
              </w:sdtPr>
              <w:sdtContent>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收入</w:t>
                    </w:r>
                  </w:p>
                </w:tc>
              </w:sdtContent>
            </w:sdt>
            <w:sdt>
              <w:sdtPr>
                <w:tag w:val="_PLD_d09deaa2e4d443459a3584a1d7e92203"/>
                <w:id w:val="514812123"/>
                <w:lock w:val="sdtLocked"/>
              </w:sdtPr>
              <w:sdtContent>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成本</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7bfcd00fb124eaf81fd672b23a24a00"/>
                <w:id w:val="-2595717"/>
                <w:lock w:val="sdtLocked"/>
              </w:sdtPr>
              <w:sdtContent>
                <w:tc>
                  <w:tcPr>
                    <w:tcW w:w="805" w:type="pct"/>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主营业务</w:t>
                    </w:r>
                  </w:p>
                </w:tc>
              </w:sdtContent>
            </w:sdt>
            <w:tc>
              <w:tcPr>
                <w:tcW w:w="1044"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6,426,634,292.54</w:t>
                </w:r>
              </w:p>
            </w:tc>
            <w:tc>
              <w:tcPr>
                <w:tcW w:w="1051"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3,501,243,472.67</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4,206,956,387.55</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2,395,740,804.90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17f3dcab1c140c8a4254ddfe38c4d7d"/>
                <w:id w:val="556592457"/>
                <w:lock w:val="sdtLocked"/>
              </w:sdtPr>
              <w:sdtContent>
                <w:tc>
                  <w:tcPr>
                    <w:tcW w:w="805" w:type="pct"/>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其他业务</w:t>
                    </w:r>
                  </w:p>
                </w:tc>
              </w:sdtContent>
            </w:sdt>
            <w:tc>
              <w:tcPr>
                <w:tcW w:w="1044"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709,377,660.93</w:t>
                </w:r>
              </w:p>
            </w:tc>
            <w:tc>
              <w:tcPr>
                <w:tcW w:w="1051"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425,418,805.03</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668,443,233.58</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399,622,662.59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6cf597d82bf4ed089aa5592301f1642"/>
                <w:id w:val="2110850970"/>
                <w:lock w:val="sdtLocked"/>
              </w:sdtPr>
              <w:sdtContent>
                <w:tc>
                  <w:tcPr>
                    <w:tcW w:w="80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合计</w:t>
                    </w:r>
                  </w:p>
                </w:tc>
              </w:sdtContent>
            </w:sdt>
            <w:tc>
              <w:tcPr>
                <w:tcW w:w="1044"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7,136,011,953.47</w:t>
                </w:r>
              </w:p>
            </w:tc>
            <w:tc>
              <w:tcPr>
                <w:tcW w:w="1051"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3,926,662,277.70</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4,875,399,621.13</w:t>
                </w:r>
              </w:p>
            </w:tc>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2,795,363,467.49</w:t>
                </w:r>
              </w:p>
            </w:tc>
          </w:tr>
        </w:tbl>
        <w:p>
          <w:pPr>
            <w:pStyle w:val="114"/>
          </w:pPr>
        </w:p>
      </w:sdtContent>
    </w:sdt>
    <w:sdt>
      <w:sdtPr>
        <w:rPr>
          <w:rFonts w:hint="eastAsia" w:ascii="宋体" w:hAnsi="宋体" w:cs="宋体"/>
          <w:b w:val="0"/>
          <w:bCs w:val="0"/>
          <w:kern w:val="0"/>
          <w:szCs w:val="24"/>
        </w:rPr>
        <w:alias w:val="模块:合同产生的收入的情况"/>
        <w:tag w:val="_SEC_a8e15093e1ef4b64a05aa66b1647502c"/>
        <w:id w:val="121423354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80"/>
            </w:numPr>
            <w:ind w:left="426" w:hanging="426"/>
            <w:rPr>
              <w:rFonts w:ascii="宋体" w:hAnsi="宋体"/>
            </w:rPr>
          </w:pPr>
          <w:bookmarkStart w:id="235" w:name="_Hlk10538044"/>
          <w:bookmarkStart w:id="236" w:name="_Hlk10538056"/>
          <w:r>
            <w:rPr>
              <w:rFonts w:hint="eastAsia" w:ascii="宋体" w:hAnsi="宋体"/>
            </w:rPr>
            <w:t>合同产生的收入的情况</w:t>
          </w:r>
          <w:bookmarkEnd w:id="235"/>
        </w:p>
        <w:sdt>
          <w:sdtPr>
            <w:rPr>
              <w:rFonts w:ascii="宋体" w:hAnsi="宋体"/>
              <w:szCs w:val="21"/>
            </w:rPr>
            <w:alias w:val="是否适用：合同产生的收入[双击切换]"/>
            <w:tag w:val="_GBC_c21770085a2f4dd3922bd8eb4c58558c"/>
            <w:id w:val="-327440244"/>
            <w:lock w:val="sdtLocked"/>
            <w:placeholder>
              <w:docPart w:val="GBC22222222222222222222222222222"/>
            </w:placeholder>
          </w:sdtPr>
          <w:sdtEndPr>
            <w:rPr>
              <w:rFonts w:ascii="宋体" w:hAnsi="宋体"/>
              <w:szCs w:val="21"/>
            </w:rPr>
          </w:sdtEndPr>
          <w:sdtContent>
            <w:p>
              <w:pPr>
                <w:pStyle w:val="55"/>
                <w:ind w:firstLine="0" w:firstLineChars="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合同产生的收入"/>
              <w:tag w:val="_GBC_ad3fa206b47145cea9728c5ff60d9346"/>
              <w:id w:val="1871637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合同产生的收入"/>
              <w:tag w:val="_GBC_bbe175f0f61a42949a1146ca1734e362"/>
              <w:id w:val="-15572298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9"/>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bf90fdfeb0c2419ba1ce17d060f1056f"/>
                <w:id w:val="653259649"/>
                <w:lock w:val="sdtLocked"/>
              </w:sdtPr>
              <w:sdtEndPr>
                <w:rPr>
                  <w:rFonts w:hint="eastAsia"/>
                </w:rPr>
              </w:sdtEndPr>
              <w:sdtContent>
                <w:tc>
                  <w:tcPr>
                    <w:tcW w:w="2762"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合同分类</w:t>
                    </w:r>
                  </w:p>
                </w:tc>
              </w:sdtContent>
            </w:sdt>
            <w:sdt>
              <w:sdtPr>
                <w:rPr>
                  <w:rFonts w:hint="eastAsia"/>
                </w:rPr>
                <w:tag w:val="_PLD_db6b6651438f4eec8a8c96f0e8c1dca2"/>
                <w:id w:val="430630837"/>
                <w:lock w:val="sdtLocked"/>
              </w:sdtPr>
              <w:sdtEndPr>
                <w:rPr>
                  <w:rFonts w:hint="eastAsia"/>
                </w:rPr>
              </w:sdtEndPr>
              <w:sdtContent>
                <w:tc>
                  <w:tcPr>
                    <w:tcW w:w="2238" w:type="pct"/>
                    <w:tcBorders>
                      <w:top w:val="single" w:color="auto" w:sz="4" w:space="0"/>
                      <w:left w:val="single" w:color="auto" w:sz="4" w:space="0"/>
                      <w:bottom w:val="single" w:color="auto" w:sz="4" w:space="0"/>
                      <w:right w:val="single" w:color="auto" w:sz="4" w:space="0"/>
                    </w:tcBorders>
                    <w:vAlign w:val="center"/>
                  </w:tcPr>
                  <w:p>
                    <w:pPr>
                      <w:jc w:val="center"/>
                      <w:rPr>
                        <w:color w:val="808080"/>
                      </w:rPr>
                    </w:pPr>
                    <w:r>
                      <w:rPr>
                        <w:rFonts w:hint="eastAsia"/>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2" w:type="pct"/>
                <w:tcBorders>
                  <w:top w:val="single" w:color="auto" w:sz="4" w:space="0"/>
                  <w:left w:val="single" w:color="auto" w:sz="4" w:space="0"/>
                  <w:bottom w:val="single" w:color="auto" w:sz="4" w:space="0"/>
                  <w:right w:val="single" w:color="auto" w:sz="4" w:space="0"/>
                </w:tcBorders>
                <w:shd w:val="clear" w:color="auto" w:fill="auto"/>
              </w:tcPr>
              <w:p>
                <w:pPr>
                  <w:pStyle w:val="301"/>
                </w:pPr>
                <w:r>
                  <w:t>按收入确认的时间分类</w:t>
                </w:r>
              </w:p>
            </w:tc>
            <w:tc>
              <w:tcPr>
                <w:tcW w:w="2238" w:type="pct"/>
                <w:tcBorders>
                  <w:top w:val="single" w:color="auto" w:sz="4" w:space="0"/>
                  <w:left w:val="single" w:color="auto" w:sz="4" w:space="0"/>
                  <w:bottom w:val="single" w:color="auto" w:sz="4" w:space="0"/>
                  <w:right w:val="single" w:color="auto" w:sz="4" w:space="0"/>
                </w:tcBorders>
                <w:vAlign w:val="center"/>
              </w:tcPr>
              <w:p>
                <w:pPr>
                  <w:jc w:val="center"/>
                </w:pP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2" w:type="pct"/>
                <w:tcBorders>
                  <w:top w:val="single" w:color="auto" w:sz="4" w:space="0"/>
                  <w:left w:val="single" w:color="auto" w:sz="4" w:space="0"/>
                  <w:bottom w:val="single" w:color="auto" w:sz="4" w:space="0"/>
                  <w:right w:val="single" w:color="auto" w:sz="4" w:space="0"/>
                </w:tcBorders>
                <w:shd w:val="clear" w:color="auto" w:fill="auto"/>
              </w:tcPr>
              <w:p>
                <w:pPr>
                  <w:pStyle w:val="301"/>
                </w:pPr>
                <w:r>
                  <w:t xml:space="preserve">  在某一时点确认收入</w:t>
                </w:r>
              </w:p>
            </w:tc>
            <w:tc>
              <w:tcPr>
                <w:tcW w:w="2238" w:type="pct"/>
                <w:tcBorders>
                  <w:top w:val="single" w:color="auto" w:sz="4" w:space="0"/>
                  <w:left w:val="single" w:color="auto" w:sz="4" w:space="0"/>
                  <w:bottom w:val="single" w:color="auto" w:sz="4" w:space="0"/>
                  <w:right w:val="single" w:color="auto" w:sz="4" w:space="0"/>
                </w:tcBorders>
                <w:vAlign w:val="center"/>
              </w:tcPr>
              <w:p>
                <w:pPr>
                  <w:jc w:val="right"/>
                </w:pPr>
                <w:r>
                  <w:t>5,987,720,617.79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alias w:val="分部按销售渠道分类明细名称"/>
                <w:tag w:val="_GBC_01f774d622044391beae4b26ef21c9e7"/>
                <w:id w:val="1902173479"/>
                <w:lock w:val="sdtLocked"/>
              </w:sdtPr>
              <w:sdtEndPr>
                <w:rPr>
                  <w:rFonts w:hint="eastAsia"/>
                </w:rPr>
              </w:sdtEndPr>
              <w:sdtContent>
                <w:tc>
                  <w:tcPr>
                    <w:tcW w:w="2762" w:type="pct"/>
                    <w:tcBorders>
                      <w:top w:val="single" w:color="auto" w:sz="4" w:space="0"/>
                      <w:left w:val="single" w:color="auto" w:sz="4" w:space="0"/>
                      <w:bottom w:val="single" w:color="auto" w:sz="4" w:space="0"/>
                      <w:right w:val="single" w:color="auto" w:sz="4" w:space="0"/>
                    </w:tcBorders>
                    <w:shd w:val="clear" w:color="auto" w:fill="auto"/>
                  </w:tcPr>
                  <w:p>
                    <w:pPr>
                      <w:pStyle w:val="301"/>
                    </w:pPr>
                    <w:r>
                      <w:t xml:space="preserve">  </w:t>
                    </w:r>
                    <w:r>
                      <w:rPr>
                        <w:rFonts w:hint="eastAsia"/>
                      </w:rPr>
                      <w:t>在某一时段内确认收入</w:t>
                    </w:r>
                  </w:p>
                </w:tc>
              </w:sdtContent>
            </w:sdt>
            <w:sdt>
              <w:sdtPr>
                <w:alias w:val="按销售渠道分类明细合同产生的收入"/>
                <w:tag w:val="_GBC_6359bcd7ec8b4a57acdd46bbef587551"/>
                <w:id w:val="-1925634930"/>
                <w:lock w:val="sdtLocked"/>
              </w:sdtPr>
              <w:sdtContent>
                <w:tc>
                  <w:tcPr>
                    <w:tcW w:w="2238" w:type="pct"/>
                    <w:tcBorders>
                      <w:top w:val="single" w:color="auto" w:sz="4" w:space="0"/>
                      <w:left w:val="single" w:color="auto" w:sz="4" w:space="0"/>
                      <w:bottom w:val="single" w:color="auto" w:sz="4" w:space="0"/>
                      <w:right w:val="single" w:color="auto" w:sz="4" w:space="0"/>
                    </w:tcBorders>
                    <w:vAlign w:val="center"/>
                  </w:tcPr>
                  <w:p>
                    <w:pPr>
                      <w:jc w:val="right"/>
                    </w:pPr>
                    <w:r>
                      <w:t>1,098,559,983.68</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2"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rPr>
                  <w:tag w:val="_PLD_61453ad2ba3743f2bbbec0bd3c2e2bce"/>
                  <w:id w:val="-1138726277"/>
                  <w:lock w:val="sdtLocked"/>
                </w:sdtPr>
                <w:sdtEndPr>
                  <w:rPr>
                    <w:rFonts w:hint="eastAsia"/>
                  </w:rPr>
                </w:sdtEndPr>
                <w:sdtContent>
                  <w:p>
                    <w:pPr>
                      <w:jc w:val="center"/>
                    </w:pPr>
                    <w:r>
                      <w:rPr>
                        <w:rFonts w:hint="eastAsia"/>
                      </w:rPr>
                      <w:t>合计</w:t>
                    </w:r>
                  </w:p>
                </w:sdtContent>
              </w:sdt>
            </w:tc>
            <w:sdt>
              <w:sdtPr>
                <w:alias w:val="合同产生的收入"/>
                <w:tag w:val="_GBC_463fdb24770148078bc9ecdf4126a76b"/>
                <w:id w:val="1274217938"/>
                <w:lock w:val="sdtLocked"/>
              </w:sdtPr>
              <w:sdtContent>
                <w:tc>
                  <w:tcPr>
                    <w:tcW w:w="2238" w:type="pct"/>
                    <w:tcBorders>
                      <w:top w:val="single" w:color="auto" w:sz="4" w:space="0"/>
                      <w:left w:val="single" w:color="auto" w:sz="4" w:space="0"/>
                      <w:bottom w:val="single" w:color="auto" w:sz="4" w:space="0"/>
                      <w:right w:val="single" w:color="auto" w:sz="4" w:space="0"/>
                    </w:tcBorders>
                    <w:vAlign w:val="center"/>
                  </w:tcPr>
                  <w:p>
                    <w:pPr>
                      <w:jc w:val="right"/>
                    </w:pPr>
                    <w:r>
                      <w:t>6,764,508,165.44</w:t>
                    </w:r>
                  </w:p>
                </w:tc>
              </w:sdtContent>
            </w:sdt>
          </w:tr>
        </w:tbl>
        <w:p>
          <w:pPr>
            <w:pStyle w:val="114"/>
          </w:pPr>
          <w:r>
            <w:rPr>
              <w:rFonts w:hint="eastAsia"/>
            </w:rPr>
            <w:t>合同产生的收入说明：</w:t>
          </w:r>
        </w:p>
        <w:p>
          <w:pPr>
            <w:pStyle w:val="114"/>
          </w:pPr>
          <w:sdt>
            <w:sdtPr>
              <w:alias w:val="合同产生的收入说明"/>
              <w:tag w:val="_GBC_5df8a240d4764103ad340ee5d91d16d6"/>
              <w:id w:val="-2076116380"/>
              <w:lock w:val="sdtLocked"/>
              <w:placeholder>
                <w:docPart w:val="GBC22222222222222222222222222222"/>
              </w:placeholder>
            </w:sdtPr>
            <w:sdtContent>
              <w:r>
                <w:rPr>
                  <w:rFonts w:hint="eastAsia"/>
                </w:rPr>
                <w:t>不适用</w:t>
              </w:r>
            </w:sdtContent>
          </w:sdt>
        </w:p>
        <w:p>
          <w:pPr>
            <w:pStyle w:val="114"/>
          </w:pPr>
        </w:p>
      </w:sdtContent>
    </w:sdt>
    <w:bookmarkEnd w:id="236"/>
    <w:sdt>
      <w:sdtPr>
        <w:rPr>
          <w:rFonts w:hint="eastAsia" w:ascii="宋体" w:hAnsi="宋体" w:cs="宋体"/>
          <w:b w:val="0"/>
          <w:bCs w:val="0"/>
          <w:kern w:val="0"/>
          <w:szCs w:val="24"/>
        </w:rPr>
        <w:alias w:val="模块:履约义务的说明"/>
        <w:tag w:val="_SEC_c2d2612c37d449d6b1ff5194855fc52c"/>
        <w:id w:val="-185742558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80"/>
            </w:numPr>
            <w:ind w:left="426" w:hanging="426"/>
            <w:rPr>
              <w:rFonts w:ascii="宋体" w:hAnsi="宋体"/>
            </w:rPr>
          </w:pPr>
          <w:bookmarkStart w:id="237" w:name="_Hlk10538083"/>
          <w:bookmarkStart w:id="238" w:name="_Hlk10538092"/>
          <w:r>
            <w:rPr>
              <w:rFonts w:hint="eastAsia" w:ascii="宋体" w:hAnsi="宋体"/>
            </w:rPr>
            <w:t>履约义务的说明</w:t>
          </w:r>
          <w:bookmarkEnd w:id="237"/>
        </w:p>
        <w:sdt>
          <w:sdtPr>
            <w:alias w:val="是否适用：履约义务的说明[双击切换]"/>
            <w:tag w:val="_GBC_cb7f024e61b74dffae341dc41978348f"/>
            <w:id w:val="-9014516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38"/>
    <w:sdt>
      <w:sdtPr>
        <w:rPr>
          <w:rFonts w:hint="eastAsia" w:ascii="宋体" w:hAnsi="宋体" w:cs="宋体"/>
          <w:b w:val="0"/>
          <w:bCs w:val="0"/>
          <w:kern w:val="0"/>
          <w:szCs w:val="24"/>
        </w:rPr>
        <w:alias w:val="模块:分摊至剩余履约义务的说明"/>
        <w:tag w:val="_SEC_52c497559d5c4501875a7b175ab4b1eb"/>
        <w:id w:val="-36992359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80"/>
            </w:numPr>
            <w:ind w:left="426" w:hanging="426"/>
            <w:rPr>
              <w:rFonts w:ascii="宋体" w:hAnsi="宋体"/>
            </w:rPr>
          </w:pPr>
          <w:r>
            <w:rPr>
              <w:rFonts w:hint="eastAsia" w:ascii="宋体" w:hAnsi="宋体"/>
            </w:rPr>
            <w:t>分摊至剩余履约义务的说明</w:t>
          </w:r>
        </w:p>
        <w:p>
          <w:sdt>
            <w:sdtPr>
              <w:alias w:val="是否适用：分摊至剩余履约义务的说明[双击切换]"/>
              <w:tag w:val="_GBC_3e12eb65fc9e4c7b80815a7392be58f2"/>
              <w:id w:val="-1646655036"/>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r>
            <w:rPr>
              <w:rFonts w:hint="eastAsia"/>
            </w:rPr>
            <w:t>本报告期末已签订合同、但尚未履行或尚未履行完毕的履约义务所对应的收入金额为</w:t>
          </w:r>
          <w:sdt>
            <w:sdtPr>
              <w:rPr>
                <w:rFonts w:hint="eastAsia"/>
              </w:rPr>
              <w:alias w:val="剩余履约义务收入金额"/>
              <w:tag w:val="_GBC_bb850c2c04f94140b58413bcd7db31a5"/>
              <w:id w:val="-496655747"/>
              <w:lock w:val="sdtLocked"/>
            </w:sdtPr>
            <w:sdtEndPr>
              <w:rPr>
                <w:rFonts w:hint="eastAsia"/>
              </w:rPr>
            </w:sdtEndPr>
            <w:sdtContent>
              <w:r>
                <w:t>63,256,223.45</w:t>
              </w:r>
            </w:sdtContent>
          </w:sdt>
          <w:r>
            <w:rPr>
              <w:rFonts w:hint="eastAsia"/>
            </w:rPr>
            <w:t>元，均为尚未达到房地产销售合同约定的交付条件的销售合同交易价格以及建造合同的预期未来收入。</w:t>
          </w:r>
        </w:p>
      </w:sdtContent>
    </w:sdt>
    <w:p/>
    <w:sdt>
      <w:sdtPr>
        <w:rPr>
          <w:rFonts w:hint="eastAsia"/>
        </w:rPr>
        <w:alias w:val="模块:营业收入和营业成本的说明"/>
        <w:tag w:val="_SEC_530aa03318f04819b92848bd4d1e0874"/>
        <w:id w:val="1015727003"/>
        <w:lock w:val="sdtLocked"/>
        <w:placeholder>
          <w:docPart w:val="GBC22222222222222222222222222222"/>
        </w:placeholder>
      </w:sdtPr>
      <w:sdtEndPr>
        <w:rPr>
          <w:rFonts w:hint="eastAsia"/>
        </w:rPr>
      </w:sdtEndPr>
      <w:sdtContent>
        <w:p>
          <w:pPr>
            <w:spacing w:before="60" w:after="60"/>
          </w:pPr>
          <w:bookmarkStart w:id="239" w:name="_Hlk41487523"/>
          <w:bookmarkStart w:id="240" w:name="_Hlk26364697"/>
          <w:r>
            <w:rPr>
              <w:rFonts w:hint="eastAsia"/>
            </w:rPr>
            <w:t>其他说明：</w:t>
          </w:r>
        </w:p>
        <w:p>
          <w:sdt>
            <w:sdtPr>
              <w:alias w:val="主营业务说明"/>
              <w:tag w:val="_GBC_72a96250960e4e188d2fa1097869655e"/>
              <w:id w:val="-693464871"/>
              <w:lock w:val="sdtLocked"/>
              <w:placeholder>
                <w:docPart w:val="GBC22222222222222222222222222222"/>
              </w:placeholder>
            </w:sdtPr>
            <w:sdtContent>
              <w:r>
                <w:rPr>
                  <w:rFonts w:hint="eastAsia"/>
                </w:rPr>
                <w:t>不适用</w:t>
              </w:r>
            </w:sdtContent>
          </w:sdt>
          <w:bookmarkEnd w:id="240"/>
        </w:p>
        <w:p/>
      </w:sdtContent>
    </w:sdt>
    <w:bookmarkEnd w:id="239"/>
    <w:sdt>
      <w:sdtPr>
        <w:rPr>
          <w:rFonts w:hint="eastAsia" w:ascii="宋体" w:hAnsi="宋体" w:cs="宋体"/>
          <w:b w:val="0"/>
          <w:bCs w:val="0"/>
          <w:kern w:val="0"/>
          <w:szCs w:val="21"/>
        </w:rPr>
        <w:alias w:val="模块:税金及附加"/>
        <w:tag w:val="_GBC_38185835049143dd873ff3e7d0941647"/>
        <w:id w:val="-1990085433"/>
        <w:lock w:val="sdtLocked"/>
        <w:placeholder>
          <w:docPart w:val="GBC22222222222222222222222222222"/>
        </w:placeholder>
      </w:sdtPr>
      <w:sdtEndPr>
        <w:rPr>
          <w:rFonts w:hint="eastAsia" w:ascii="宋体" w:hAnsi="宋体" w:cstheme="minorBidi"/>
          <w:b w:val="0"/>
          <w:bCs w:val="0"/>
          <w:kern w:val="2"/>
          <w:szCs w:val="21"/>
        </w:rPr>
      </w:sdtEndPr>
      <w:sdtContent>
        <w:p>
          <w:pPr>
            <w:pStyle w:val="4"/>
            <w:numPr>
              <w:ilvl w:val="0"/>
              <w:numId w:val="51"/>
            </w:numPr>
            <w:tabs>
              <w:tab w:val="left" w:pos="504"/>
            </w:tabs>
            <w:rPr>
              <w:rFonts w:ascii="宋体" w:hAnsi="宋体"/>
              <w:szCs w:val="21"/>
            </w:rPr>
          </w:pPr>
          <w:r>
            <w:rPr>
              <w:rFonts w:hint="eastAsia" w:ascii="宋体" w:hAnsi="宋体"/>
              <w:szCs w:val="21"/>
            </w:rPr>
            <w:t>税金及附加</w:t>
          </w:r>
        </w:p>
        <w:sdt>
          <w:sdtPr>
            <w:alias w:val="是否适用：税金及附加[双击切换]"/>
            <w:tag w:val="_GBC_e6e37ca7fd2a435e8e042586945bb4d2"/>
            <w:id w:val="180280113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b/>
            </w:rPr>
          </w:pPr>
          <w:r>
            <w:rPr>
              <w:rFonts w:hint="eastAsia"/>
            </w:rPr>
            <w:t>单位：</w:t>
          </w:r>
          <w:sdt>
            <w:sdtPr>
              <w:rPr>
                <w:rFonts w:hint="eastAsia"/>
              </w:rPr>
              <w:alias w:val="单位：财务附注：税金及附加"/>
              <w:tag w:val="_GBC_bdd382ceb0b74413bcc8ce354afae4a8"/>
              <w:id w:val="-2125134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1647576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9"/>
            <w:gridCol w:w="3071"/>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44bcf5500dc4f7f9041afd20c147408"/>
                <w:id w:val="905879489"/>
                <w:lock w:val="sdtLocked"/>
              </w:sdtPr>
              <w:sdtContent>
                <w:tc>
                  <w:tcPr>
                    <w:tcW w:w="1607" w:type="pct"/>
                    <w:vAlign w:val="center"/>
                  </w:tcPr>
                  <w:p>
                    <w:pPr>
                      <w:autoSpaceDE w:val="0"/>
                      <w:autoSpaceDN w:val="0"/>
                      <w:adjustRightInd w:val="0"/>
                      <w:snapToGrid w:val="0"/>
                      <w:spacing w:line="240" w:lineRule="atLeast"/>
                      <w:jc w:val="center"/>
                    </w:pPr>
                    <w:r>
                      <w:rPr>
                        <w:rFonts w:hint="eastAsia"/>
                      </w:rPr>
                      <w:t>项目</w:t>
                    </w:r>
                  </w:p>
                </w:tc>
              </w:sdtContent>
            </w:sdt>
            <w:sdt>
              <w:sdtPr>
                <w:tag w:val="_PLD_986496e04f5841889074687e953bf8a9"/>
                <w:id w:val="159355786"/>
                <w:lock w:val="sdtLocked"/>
              </w:sdtPr>
              <w:sdtContent>
                <w:tc>
                  <w:tcPr>
                    <w:tcW w:w="1697" w:type="pct"/>
                  </w:tcPr>
                  <w:p>
                    <w:pPr>
                      <w:jc w:val="center"/>
                    </w:pPr>
                    <w:r>
                      <w:rPr>
                        <w:rFonts w:hint="eastAsia"/>
                      </w:rPr>
                      <w:t>本期发生额</w:t>
                    </w:r>
                  </w:p>
                </w:tc>
              </w:sdtContent>
            </w:sdt>
            <w:sdt>
              <w:sdtPr>
                <w:tag w:val="_PLD_4ab1376344dc484195a5459c78069a64"/>
                <w:id w:val="-2020384081"/>
                <w:lock w:val="sdtLocked"/>
              </w:sdtPr>
              <w:sdtContent>
                <w:tc>
                  <w:tcPr>
                    <w:tcW w:w="1696" w:type="pct"/>
                    <w:vAlign w:val="center"/>
                  </w:tcPr>
                  <w:p>
                    <w:pPr>
                      <w:jc w:val="center"/>
                    </w:pPr>
                    <w:r>
                      <w:rPr>
                        <w:rFonts w:hint="eastAs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rPr>
                    <w:rFonts w:hint="eastAsia"/>
                  </w:rPr>
                  <w:t>土地增值税</w:t>
                </w:r>
              </w:p>
            </w:tc>
            <w:tc>
              <w:tcPr>
                <w:tcW w:w="1697" w:type="pct"/>
                <w:vAlign w:val="center"/>
              </w:tcPr>
              <w:p>
                <w:pPr>
                  <w:autoSpaceDE w:val="0"/>
                  <w:autoSpaceDN w:val="0"/>
                  <w:adjustRightInd w:val="0"/>
                  <w:snapToGrid w:val="0"/>
                  <w:spacing w:line="240" w:lineRule="atLeast"/>
                  <w:jc w:val="right"/>
                </w:pPr>
                <w:r>
                  <w:t>11,215,701.35</w:t>
                </w:r>
              </w:p>
            </w:tc>
            <w:tc>
              <w:tcPr>
                <w:tcW w:w="1696" w:type="pct"/>
                <w:vAlign w:val="center"/>
              </w:tcPr>
              <w:p>
                <w:pPr>
                  <w:jc w:val="right"/>
                </w:pPr>
                <w:r>
                  <w:t>27,280,220.70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rPr>
                    <w:rFonts w:hint="eastAsia"/>
                  </w:rPr>
                  <w:t>城市维护建设税</w:t>
                </w:r>
              </w:p>
            </w:tc>
            <w:tc>
              <w:tcPr>
                <w:tcW w:w="1697" w:type="pct"/>
                <w:vAlign w:val="center"/>
              </w:tcPr>
              <w:p>
                <w:pPr>
                  <w:autoSpaceDE w:val="0"/>
                  <w:autoSpaceDN w:val="0"/>
                  <w:adjustRightInd w:val="0"/>
                  <w:snapToGrid w:val="0"/>
                  <w:spacing w:line="240" w:lineRule="atLeast"/>
                  <w:jc w:val="right"/>
                </w:pPr>
                <w:r>
                  <w:t>10,679,888.32</w:t>
                </w:r>
              </w:p>
            </w:tc>
            <w:tc>
              <w:tcPr>
                <w:tcW w:w="1696" w:type="pct"/>
                <w:vAlign w:val="center"/>
              </w:tcPr>
              <w:p>
                <w:pPr>
                  <w:jc w:val="right"/>
                </w:pPr>
                <w:r>
                  <w:t>7,582,905.02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rPr>
                    <w:rFonts w:hint="eastAsia"/>
                  </w:rPr>
                  <w:t>教育费附加</w:t>
                </w:r>
              </w:p>
            </w:tc>
            <w:tc>
              <w:tcPr>
                <w:tcW w:w="1697" w:type="pct"/>
                <w:vAlign w:val="center"/>
              </w:tcPr>
              <w:p>
                <w:pPr>
                  <w:autoSpaceDE w:val="0"/>
                  <w:autoSpaceDN w:val="0"/>
                  <w:adjustRightInd w:val="0"/>
                  <w:snapToGrid w:val="0"/>
                  <w:spacing w:line="240" w:lineRule="atLeast"/>
                  <w:jc w:val="right"/>
                </w:pPr>
                <w:r>
                  <w:t>7,706,491.54</w:t>
                </w:r>
              </w:p>
            </w:tc>
            <w:tc>
              <w:tcPr>
                <w:tcW w:w="1696" w:type="pct"/>
                <w:vAlign w:val="center"/>
              </w:tcPr>
              <w:p>
                <w:pPr>
                  <w:jc w:val="right"/>
                </w:pPr>
                <w:r>
                  <w:t>5,466,397.02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t>房产税</w:t>
                </w:r>
              </w:p>
            </w:tc>
            <w:tc>
              <w:tcPr>
                <w:tcW w:w="1697" w:type="pct"/>
                <w:vAlign w:val="center"/>
              </w:tcPr>
              <w:p>
                <w:pPr>
                  <w:autoSpaceDE w:val="0"/>
                  <w:autoSpaceDN w:val="0"/>
                  <w:adjustRightInd w:val="0"/>
                  <w:snapToGrid w:val="0"/>
                  <w:spacing w:line="240" w:lineRule="atLeast"/>
                  <w:jc w:val="right"/>
                </w:pPr>
                <w:r>
                  <w:t>6,264,535.67</w:t>
                </w:r>
              </w:p>
            </w:tc>
            <w:tc>
              <w:tcPr>
                <w:tcW w:w="1696" w:type="pct"/>
                <w:vAlign w:val="center"/>
              </w:tcPr>
              <w:p>
                <w:pPr>
                  <w:jc w:val="right"/>
                </w:pPr>
                <w:r>
                  <w:t>1,960,798.19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t>土地使用税</w:t>
                </w:r>
              </w:p>
            </w:tc>
            <w:tc>
              <w:tcPr>
                <w:tcW w:w="1697" w:type="pct"/>
                <w:vAlign w:val="center"/>
              </w:tcPr>
              <w:p>
                <w:pPr>
                  <w:autoSpaceDE w:val="0"/>
                  <w:autoSpaceDN w:val="0"/>
                  <w:adjustRightInd w:val="0"/>
                  <w:snapToGrid w:val="0"/>
                  <w:spacing w:line="240" w:lineRule="atLeast"/>
                  <w:jc w:val="right"/>
                </w:pPr>
                <w:r>
                  <w:t>948,628.95</w:t>
                </w:r>
              </w:p>
            </w:tc>
            <w:tc>
              <w:tcPr>
                <w:tcW w:w="1696" w:type="pct"/>
                <w:vAlign w:val="center"/>
              </w:tcPr>
              <w:p>
                <w:pPr>
                  <w:jc w:val="right"/>
                </w:pPr>
                <w:r>
                  <w:t>1,439,409.46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pPr>
                <w:r>
                  <w:rPr>
                    <w:rFonts w:hint="eastAsia"/>
                  </w:rPr>
                  <w:t>其他</w:t>
                </w:r>
              </w:p>
            </w:tc>
            <w:tc>
              <w:tcPr>
                <w:tcW w:w="1697" w:type="pct"/>
                <w:vAlign w:val="center"/>
              </w:tcPr>
              <w:p>
                <w:pPr>
                  <w:autoSpaceDE w:val="0"/>
                  <w:autoSpaceDN w:val="0"/>
                  <w:adjustRightInd w:val="0"/>
                  <w:snapToGrid w:val="0"/>
                  <w:spacing w:line="240" w:lineRule="atLeast"/>
                  <w:jc w:val="right"/>
                </w:pPr>
                <w:r>
                  <w:t>1,646,101.42</w:t>
                </w:r>
              </w:p>
            </w:tc>
            <w:tc>
              <w:tcPr>
                <w:tcW w:w="1696" w:type="pct"/>
                <w:vAlign w:val="center"/>
              </w:tcPr>
              <w:p>
                <w:pPr>
                  <w:jc w:val="right"/>
                </w:pPr>
                <w:r>
                  <w:t>2,471,954.59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7" w:type="pct"/>
                <w:vAlign w:val="center"/>
              </w:tcPr>
              <w:p>
                <w:pPr>
                  <w:autoSpaceDE w:val="0"/>
                  <w:autoSpaceDN w:val="0"/>
                  <w:adjustRightInd w:val="0"/>
                  <w:snapToGrid w:val="0"/>
                  <w:spacing w:line="240" w:lineRule="atLeast"/>
                  <w:jc w:val="center"/>
                </w:pPr>
                <w:r>
                  <w:rPr>
                    <w:rFonts w:hint="eastAsia"/>
                  </w:rPr>
                  <w:t>合计</w:t>
                </w:r>
              </w:p>
            </w:tc>
            <w:tc>
              <w:tcPr>
                <w:tcW w:w="1697" w:type="pct"/>
                <w:vAlign w:val="center"/>
              </w:tcPr>
              <w:p>
                <w:pPr>
                  <w:autoSpaceDE w:val="0"/>
                  <w:autoSpaceDN w:val="0"/>
                  <w:adjustRightInd w:val="0"/>
                  <w:snapToGrid w:val="0"/>
                  <w:spacing w:line="240" w:lineRule="atLeast"/>
                  <w:jc w:val="right"/>
                </w:pPr>
                <w:r>
                  <w:t>38,461,347.25</w:t>
                </w:r>
              </w:p>
            </w:tc>
            <w:tc>
              <w:tcPr>
                <w:tcW w:w="1696" w:type="pct"/>
                <w:vAlign w:val="center"/>
              </w:tcPr>
              <w:p>
                <w:pPr>
                  <w:jc w:val="right"/>
                </w:pPr>
                <w:r>
                  <w:t>46,201,684.98</w:t>
                </w:r>
              </w:p>
            </w:tc>
          </w:tr>
        </w:tbl>
        <w:p>
          <w:pPr>
            <w:spacing w:before="60" w:after="60"/>
          </w:pPr>
          <w:r>
            <w:rPr>
              <w:rFonts w:hint="eastAsia"/>
            </w:rPr>
            <w:t>其他说明：</w:t>
          </w:r>
        </w:p>
        <w:sdt>
          <w:sdtPr>
            <w:rPr>
              <w:rFonts w:hint="eastAsia"/>
            </w:rPr>
            <w:alias w:val="税金及附加说明"/>
            <w:tag w:val="_GBC_f78e413320ad4d20a3dab91dff935491"/>
            <w:id w:val="547342700"/>
            <w:lock w:val="sdtLocked"/>
            <w:placeholder>
              <w:docPart w:val="GBC22222222222222222222222222222"/>
            </w:placeholder>
          </w:sdtPr>
          <w:sdtEndPr>
            <w:rPr>
              <w:rFonts w:hint="eastAsia"/>
            </w:rPr>
          </w:sdtEnd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成本费用"/>
        <w:tag w:val="_GBC_3faa14b862dd44e8a54b6137b70adace"/>
        <w:id w:val="-294369436"/>
        <w:lock w:val="sdtLocked"/>
        <w:placeholder>
          <w:docPart w:val="GBC22222222222222222222222222222"/>
        </w:placeholder>
      </w:sdtPr>
      <w:sdtEndPr>
        <w:rPr>
          <w:rFonts w:hint="eastAsia" w:ascii="宋体" w:hAnsi="宋体" w:cstheme="minorBidi"/>
          <w:b w:val="0"/>
          <w:bCs w:val="0"/>
          <w:kern w:val="2"/>
          <w:szCs w:val="21"/>
        </w:rPr>
      </w:sdtEndPr>
      <w:sdtContent>
        <w:p>
          <w:pPr>
            <w:pStyle w:val="4"/>
            <w:numPr>
              <w:ilvl w:val="0"/>
              <w:numId w:val="51"/>
            </w:numPr>
            <w:tabs>
              <w:tab w:val="left" w:pos="504"/>
            </w:tabs>
            <w:rPr>
              <w:rFonts w:ascii="宋体" w:hAnsi="宋体" w:cs="宋体"/>
              <w:bCs w:val="0"/>
              <w:kern w:val="0"/>
              <w:szCs w:val="21"/>
            </w:rPr>
          </w:pPr>
          <w:r>
            <w:rPr>
              <w:rFonts w:hint="eastAsia" w:ascii="宋体" w:hAnsi="宋体" w:cs="宋体"/>
              <w:kern w:val="0"/>
              <w:szCs w:val="21"/>
            </w:rPr>
            <w:t>销售费用</w:t>
          </w:r>
        </w:p>
        <w:sdt>
          <w:sdtPr>
            <w:alias w:val="是否适用：销售费用[双击切换]"/>
            <w:tag w:val="_GBC_5302d6af48674660a2279c7c8a87bb8c"/>
            <w:id w:val="-147143410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销售费用"/>
              <w:tag w:val="_GBC_893203a5a3df44649aef388407d22c68"/>
              <w:id w:val="-1374233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销售费用"/>
              <w:tag w:val="_GBC_4954a9fca98d4f279270fb28f987aa6f"/>
              <w:id w:val="-736559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6"/>
            <w:gridCol w:w="2693"/>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6c47970a3b145c98f438f3cb34ff636"/>
                <w:id w:val="-594081705"/>
                <w:lock w:val="sdtLocked"/>
              </w:sdtPr>
              <w:sdtContent>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项目</w:t>
                    </w:r>
                  </w:p>
                </w:tc>
              </w:sdtContent>
            </w:sdt>
            <w:sdt>
              <w:sdtPr>
                <w:tag w:val="_PLD_b3ce435531054240b373e649bc9ae7a1"/>
                <w:id w:val="760723733"/>
                <w:lock w:val="sdtLocked"/>
              </w:sdtPr>
              <w:sdtContent>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本期发生额</w:t>
                    </w:r>
                  </w:p>
                </w:tc>
              </w:sdtContent>
            </w:sdt>
            <w:sdt>
              <w:sdtPr>
                <w:tag w:val="_PLD_9480cd5806624557b975b5d0ce06575b"/>
                <w:id w:val="-1297987195"/>
                <w:lock w:val="sdtLocked"/>
              </w:sdtPr>
              <w:sdtContent>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上期发生额</w:t>
                    </w:r>
                  </w:p>
                </w:tc>
              </w:sdtContent>
            </w:sdt>
          </w:tr>
          <w:sdt>
            <w:sdtPr>
              <w:alias w:val="销售费用明细"/>
              <w:tag w:val="_GBC_8b0e6f0534ed42879aaed18b46dbec7d"/>
              <w:id w:val="-64358378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房屋销售代理佣金</w:t>
                    </w:r>
                  </w:p>
                </w:tc>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2,940,331.79</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3,412,258.20</w:t>
                    </w:r>
                  </w:p>
                </w:tc>
              </w:tr>
            </w:sdtContent>
          </w:sdt>
          <w:sdt>
            <w:sdtPr>
              <w:alias w:val="销售费用明细"/>
              <w:tag w:val="_GBC_8b0e6f0534ed42879aaed18b46dbec7d"/>
              <w:id w:val="-142965328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广告宣传费</w:t>
                    </w:r>
                  </w:p>
                </w:tc>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1,059,586.17</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1,143,152.66</w:t>
                    </w:r>
                  </w:p>
                </w:tc>
              </w:tr>
            </w:sdtContent>
          </w:sdt>
          <w:sdt>
            <w:sdtPr>
              <w:alias w:val="销售费用明细"/>
              <w:tag w:val="_GBC_8b0e6f0534ed42879aaed18b46dbec7d"/>
              <w:id w:val="115179125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制作及策划费</w:t>
                    </w:r>
                  </w:p>
                </w:tc>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188,657.87</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205,211.43</w:t>
                    </w:r>
                  </w:p>
                </w:tc>
              </w:tr>
            </w:sdtContent>
          </w:sdt>
          <w:sdt>
            <w:sdtPr>
              <w:alias w:val="销售费用明细"/>
              <w:tag w:val="_GBC_8b0e6f0534ed42879aaed18b46dbec7d"/>
              <w:id w:val="287556826"/>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折旧费</w:t>
                    </w:r>
                  </w:p>
                </w:tc>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1,323.60</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830.10</w:t>
                    </w:r>
                  </w:p>
                </w:tc>
              </w:tr>
            </w:sdtContent>
          </w:sdt>
          <w:sdt>
            <w:sdtPr>
              <w:alias w:val="销售费用明细"/>
              <w:tag w:val="_GBC_8b0e6f0534ed42879aaed18b46dbec7d"/>
              <w:id w:val="145529572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其他</w:t>
                    </w:r>
                  </w:p>
                </w:tc>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1,613,229.34</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1,332,261.96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b83cc20a1fb4ed7973343e471dad9ef"/>
                <w:id w:val="2122486365"/>
                <w:lock w:val="sdtLocked"/>
              </w:sdtPr>
              <w:sdtContent>
                <w:tc>
                  <w:tcPr>
                    <w:tcW w:w="217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合计</w:t>
                    </w:r>
                  </w:p>
                </w:tc>
              </w:sdtContent>
            </w:sdt>
            <w:tc>
              <w:tcPr>
                <w:tcW w:w="148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5,803,128.77</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6,093,714.35</w:t>
                </w:r>
              </w:p>
            </w:tc>
          </w:tr>
        </w:tbl>
        <w:p>
          <w:pPr>
            <w:spacing w:before="60" w:after="60"/>
          </w:pPr>
          <w:r>
            <w:rPr>
              <w:rFonts w:hint="eastAsia"/>
            </w:rPr>
            <w:t>其他说明：</w:t>
          </w:r>
        </w:p>
        <w:sdt>
          <w:sdtPr>
            <w:alias w:val="销售费用的其他说明事项"/>
            <w:tag w:val="_GBC_42921bca5478449e9dd3932a8303975a"/>
            <w:id w:val="1772823055"/>
            <w:lock w:val="sdtLocked"/>
            <w:placeholder>
              <w:docPart w:val="GBC22222222222222222222222222222"/>
            </w:placeholder>
          </w:sdt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管理费用"/>
        <w:tag w:val="_GBC_d5a6283bdea64513980a0cc618e2ec60"/>
        <w:id w:val="-1017535288"/>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管理费用</w:t>
          </w:r>
        </w:p>
        <w:sdt>
          <w:sdtPr>
            <w:alias w:val="是否适用：管理费用[双击切换]"/>
            <w:tag w:val="_GBC_864c9dd9adce435698261f1da02ab8fb"/>
            <w:id w:val="63616010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管理费用"/>
              <w:tag w:val="_GBC_b8198aec3f7748d28785c1eebbf02df7"/>
              <w:id w:val="-10211602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4233379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05"/>
            <w:gridCol w:w="2604"/>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49fd0c096ba421285089a0fada9d43a"/>
                <w:id w:val="1379590494"/>
                <w:lock w:val="sdtLocked"/>
              </w:sdtPr>
              <w:sdtContent>
                <w:tc>
                  <w:tcPr>
                    <w:tcW w:w="2213"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项目</w:t>
                    </w:r>
                  </w:p>
                </w:tc>
              </w:sdtContent>
            </w:sdt>
            <w:sdt>
              <w:sdtPr>
                <w:tag w:val="_PLD_acf5bcbf929244268be56ad5d0f3ea18"/>
                <w:id w:val="1144620976"/>
                <w:lock w:val="sdtLocked"/>
              </w:sdtPr>
              <w:sdtContent>
                <w:tc>
                  <w:tcPr>
                    <w:tcW w:w="1439"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本期发生额</w:t>
                    </w:r>
                  </w:p>
                </w:tc>
              </w:sdtContent>
            </w:sdt>
            <w:sdt>
              <w:sdtPr>
                <w:tag w:val="_PLD_d37d8a59d4d74c26ac22dc33983efa29"/>
                <w:id w:val="-611434301"/>
                <w:lock w:val="sdtLocked"/>
              </w:sdtPr>
              <w:sdtContent>
                <w:tc>
                  <w:tcPr>
                    <w:tcW w:w="1348"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上期发生额</w:t>
                    </w:r>
                  </w:p>
                </w:tc>
              </w:sdtContent>
            </w:sdt>
          </w:tr>
          <w:sdt>
            <w:sdtPr>
              <w:rPr>
                <w:rFonts w:hint="eastAsia"/>
              </w:rPr>
              <w:alias w:val="管理费用明细"/>
              <w:tag w:val="_GBC_1330575ab4a44e46920401d3d7599402"/>
              <w:id w:val="-572896320"/>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员工成本</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51,253,466.93</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48,049,788.18</w:t>
                    </w:r>
                  </w:p>
                </w:tc>
              </w:tr>
            </w:sdtContent>
          </w:sdt>
          <w:sdt>
            <w:sdtPr>
              <w:rPr>
                <w:rFonts w:hint="eastAsia"/>
              </w:rPr>
              <w:alias w:val="管理费用明细"/>
              <w:tag w:val="_GBC_1330575ab4a44e46920401d3d7599402"/>
              <w:id w:val="178722806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折旧及摊销</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38,266,616.64</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38,388,495.37</w:t>
                    </w:r>
                  </w:p>
                </w:tc>
              </w:tr>
            </w:sdtContent>
          </w:sdt>
          <w:sdt>
            <w:sdtPr>
              <w:rPr>
                <w:rFonts w:hint="eastAsia"/>
              </w:rPr>
              <w:alias w:val="管理费用明细"/>
              <w:tag w:val="_GBC_1330575ab4a44e46920401d3d7599402"/>
              <w:id w:val="-83954579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咨询及中介机构费用</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7,930,488.79</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8,265,934.22</w:t>
                    </w:r>
                  </w:p>
                </w:tc>
              </w:tr>
            </w:sdtContent>
          </w:sdt>
          <w:sdt>
            <w:sdtPr>
              <w:rPr>
                <w:rFonts w:hint="eastAsia"/>
              </w:rPr>
              <w:alias w:val="管理费用明细"/>
              <w:tag w:val="_GBC_1330575ab4a44e46920401d3d7599402"/>
              <w:id w:val="117345623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劳动保护费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926,780.72</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216,114.22</w:t>
                    </w:r>
                  </w:p>
                </w:tc>
              </w:tr>
            </w:sdtContent>
          </w:sdt>
          <w:sdt>
            <w:sdtPr>
              <w:rPr>
                <w:rFonts w:hint="eastAsia"/>
              </w:rPr>
              <w:alias w:val="管理费用明细"/>
              <w:tag w:val="_GBC_1330575ab4a44e46920401d3d7599402"/>
              <w:id w:val="135777495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设备维护费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355,526.79</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1,190,311.55</w:t>
                    </w:r>
                  </w:p>
                </w:tc>
              </w:tr>
            </w:sdtContent>
          </w:sdt>
          <w:sdt>
            <w:sdtPr>
              <w:rPr>
                <w:rFonts w:hint="eastAsia"/>
              </w:rPr>
              <w:alias w:val="管理费用明细"/>
              <w:tag w:val="_GBC_1330575ab4a44e46920401d3d7599402"/>
              <w:id w:val="144311477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党群文化宣传费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208,515.56</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236,927.34</w:t>
                    </w:r>
                  </w:p>
                </w:tc>
              </w:tr>
            </w:sdtContent>
          </w:sdt>
          <w:sdt>
            <w:sdtPr>
              <w:rPr>
                <w:rFonts w:hint="eastAsia"/>
              </w:rPr>
              <w:alias w:val="管理费用明细"/>
              <w:tag w:val="_GBC_1330575ab4a44e46920401d3d7599402"/>
              <w:id w:val="1742589914"/>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车辆使用费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781,310.00</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516,608.32</w:t>
                    </w:r>
                  </w:p>
                </w:tc>
              </w:tr>
            </w:sdtContent>
          </w:sdt>
          <w:sdt>
            <w:sdtPr>
              <w:rPr>
                <w:rFonts w:hint="eastAsia"/>
              </w:rPr>
              <w:alias w:val="管理费用明细"/>
              <w:tag w:val="_GBC_1330575ab4a44e46920401d3d7599402"/>
              <w:id w:val="1006406147"/>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办公费用</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551,445.61</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449,518.53</w:t>
                    </w:r>
                  </w:p>
                </w:tc>
              </w:tr>
            </w:sdtContent>
          </w:sdt>
          <w:sdt>
            <w:sdtPr>
              <w:rPr>
                <w:rFonts w:hint="eastAsia"/>
              </w:rPr>
              <w:alias w:val="管理费用明细"/>
              <w:tag w:val="_GBC_1330575ab4a44e46920401d3d7599402"/>
              <w:id w:val="-930912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差旅费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775,728.79</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291,766.99</w:t>
                    </w:r>
                  </w:p>
                </w:tc>
              </w:tr>
            </w:sdtContent>
          </w:sdt>
          <w:sdt>
            <w:sdtPr>
              <w:rPr>
                <w:rFonts w:hint="eastAsia"/>
              </w:rPr>
              <w:alias w:val="管理费用明细"/>
              <w:tag w:val="_GBC_1330575ab4a44e46920401d3d7599402"/>
              <w:id w:val="206428899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其他</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8,577,516.16</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5,418,528.48</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1574943c0c74f868555494c72b6afa6"/>
                <w:id w:val="1846130340"/>
                <w:lock w:val="sdtLocked"/>
              </w:sdtPr>
              <w:sdtContent>
                <w:tc>
                  <w:tcPr>
                    <w:tcW w:w="2213"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合计</w:t>
                    </w:r>
                  </w:p>
                </w:tc>
              </w:sdtContent>
            </w:sdt>
            <w:tc>
              <w:tcPr>
                <w:tcW w:w="143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109,627,395.99</w:t>
                </w:r>
              </w:p>
            </w:tc>
            <w:tc>
              <w:tcPr>
                <w:tcW w:w="134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103,023,993.20</w:t>
                </w:r>
              </w:p>
            </w:tc>
          </w:tr>
        </w:tbl>
        <w:p>
          <w:pPr>
            <w:pStyle w:val="114"/>
          </w:pPr>
          <w:r>
            <w:rPr>
              <w:rFonts w:hint="eastAsia"/>
            </w:rPr>
            <w:t>其他说明：</w:t>
          </w:r>
        </w:p>
        <w:sdt>
          <w:sdtPr>
            <w:alias w:val="管理费用的其他说明事项"/>
            <w:tag w:val="_GBC_2ddba7c397f842b2a457e4f7fe020aca"/>
            <w:id w:val="410512301"/>
            <w:lock w:val="sdtLocked"/>
            <w:placeholder>
              <w:docPart w:val="GBC22222222222222222222222222222"/>
            </w:placeholder>
          </w:sdt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研发费用"/>
        <w:tag w:val="_SEC_5070ecc0a0324b189a4ec7d6e218c5d7"/>
        <w:id w:val="536092412"/>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41" w:name="_Hlk10538261"/>
          <w:r>
            <w:rPr>
              <w:rFonts w:hint="eastAsia" w:ascii="宋体" w:hAnsi="宋体"/>
              <w:szCs w:val="21"/>
            </w:rPr>
            <w:t>研发费用</w:t>
          </w:r>
        </w:p>
        <w:sdt>
          <w:sdtPr>
            <w:alias w:val="是否适用：研发费用[双击切换]"/>
            <w:tag w:val="_GBC_48b4a6beb6f54c3ba7c01af3727337bb"/>
            <w:id w:val="-11236498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bookmarkEnd w:id="241"/>
    <w:sdt>
      <w:sdtPr>
        <w:rPr>
          <w:rFonts w:hint="eastAsia" w:ascii="宋体" w:hAnsi="宋体" w:cs="宋体"/>
          <w:b w:val="0"/>
          <w:bCs w:val="0"/>
          <w:kern w:val="0"/>
          <w:szCs w:val="21"/>
        </w:rPr>
        <w:alias w:val="模块:财务费用"/>
        <w:tag w:val="_GBC_aeeadad5456b4097a79668e5a1cadb17"/>
        <w:id w:val="-167463197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财务费用</w:t>
          </w:r>
        </w:p>
        <w:sdt>
          <w:sdtPr>
            <w:alias w:val="是否适用：财务费用[双击切换]"/>
            <w:tag w:val="_GBC_699d8bdb2f1f4504a0ea4ccbc8889cfa"/>
            <w:id w:val="-544627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费用"/>
              <w:tag w:val="_GBC_eb9e02dce68144759561a3427fb3099a"/>
              <w:id w:val="9787352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4832356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05"/>
            <w:gridCol w:w="2604"/>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57c227174f044c4bfa2c0fda1e37156"/>
                <w:id w:val="-780029408"/>
                <w:lock w:val="sdtLocked"/>
              </w:sdtPr>
              <w:sdtContent>
                <w:tc>
                  <w:tcPr>
                    <w:tcW w:w="2213"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项目</w:t>
                    </w:r>
                  </w:p>
                </w:tc>
              </w:sdtContent>
            </w:sdt>
            <w:sdt>
              <w:sdtPr>
                <w:tag w:val="_PLD_d7b23aa0bcb6433894875c858270ab7f"/>
                <w:id w:val="-402531607"/>
                <w:lock w:val="sdtLocked"/>
              </w:sdtPr>
              <w:sdtContent>
                <w:tc>
                  <w:tcPr>
                    <w:tcW w:w="1439"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本期发生额</w:t>
                    </w:r>
                  </w:p>
                </w:tc>
              </w:sdtContent>
            </w:sdt>
            <w:sdt>
              <w:sdtPr>
                <w:tag w:val="_PLD_d79245f93e3d475b953b3e44bb1c6425"/>
                <w:id w:val="-1978448224"/>
                <w:lock w:val="sdtLocked"/>
              </w:sdtPr>
              <w:sdtContent>
                <w:tc>
                  <w:tcPr>
                    <w:tcW w:w="1348"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上期发生额</w:t>
                    </w:r>
                  </w:p>
                </w:tc>
              </w:sdtContent>
            </w:sdt>
          </w:tr>
          <w:sdt>
            <w:sdtPr>
              <w:rPr>
                <w:rFonts w:hint="eastAsia"/>
              </w:rPr>
              <w:alias w:val="财务费用明细"/>
              <w:tag w:val="_GBC_6315cf92135646dfa5694359777c36b0"/>
              <w:id w:val="-83221324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贷款及应付款项的利息支出</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568,214,512.98</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552,961,807.62</w:t>
                    </w:r>
                  </w:p>
                </w:tc>
              </w:tr>
            </w:sdtContent>
          </w:sdt>
          <w:sdt>
            <w:sdtPr>
              <w:rPr>
                <w:rFonts w:hint="eastAsia"/>
              </w:rPr>
              <w:alias w:val="财务费用明细"/>
              <w:tag w:val="_GBC_6315cf92135646dfa5694359777c36b0"/>
              <w:id w:val="208432921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租赁负债的利息支出</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636,434.48</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800,566.87</w:t>
                    </w:r>
                  </w:p>
                </w:tc>
              </w:tr>
            </w:sdtContent>
          </w:sdt>
          <w:sdt>
            <w:sdtPr>
              <w:rPr>
                <w:rFonts w:hint="eastAsia"/>
              </w:rPr>
              <w:alias w:val="财务费用明细"/>
              <w:tag w:val="_GBC_6315cf92135646dfa5694359777c36b0"/>
              <w:id w:val="192244907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减：资本化的利息支出</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rPr>
                        <w:rFonts w:hint="eastAsia"/>
                      </w:rPr>
                      <w:t>-</w:t>
                    </w:r>
                    <w:r>
                      <w:t>29,848,079.68</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rPr>
                        <w:rFonts w:hint="eastAsia"/>
                      </w:rPr>
                      <w:t>-</w:t>
                    </w:r>
                    <w:r>
                      <w:t>1,117,952.24</w:t>
                    </w:r>
                  </w:p>
                </w:tc>
              </w:tr>
            </w:sdtContent>
          </w:sdt>
          <w:sdt>
            <w:sdtPr>
              <w:rPr>
                <w:rFonts w:hint="eastAsia"/>
              </w:rPr>
              <w:alias w:val="财务费用明细"/>
              <w:tag w:val="_GBC_6315cf92135646dfa5694359777c36b0"/>
              <w:id w:val="134582209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存款及应收款项的利息收入</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rPr>
                        <w:rFonts w:hint="eastAsia"/>
                      </w:rPr>
                      <w:t>-</w:t>
                    </w:r>
                    <w:r>
                      <w:t>10,631,711.74</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rPr>
                        <w:rFonts w:hint="eastAsia"/>
                      </w:rPr>
                      <w:t>-</w:t>
                    </w:r>
                    <w:r>
                      <w:t>7,164,447.09</w:t>
                    </w:r>
                  </w:p>
                </w:tc>
              </w:tr>
            </w:sdtContent>
          </w:sdt>
          <w:sdt>
            <w:sdtPr>
              <w:rPr>
                <w:rFonts w:hint="eastAsia"/>
              </w:rPr>
              <w:alias w:val="财务费用明细"/>
              <w:tag w:val="_GBC_6315cf92135646dfa5694359777c36b0"/>
              <w:id w:val="153970819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净汇兑亏损</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310,784.80</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510,767.85</w:t>
                    </w:r>
                  </w:p>
                </w:tc>
              </w:tr>
            </w:sdtContent>
          </w:sdt>
          <w:sdt>
            <w:sdtPr>
              <w:rPr>
                <w:rFonts w:hint="eastAsia"/>
              </w:rPr>
              <w:alias w:val="财务费用明细"/>
              <w:tag w:val="_GBC_6315cf92135646dfa5694359777c36b0"/>
              <w:id w:val="-1155369897"/>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债券发行费及其他借款手续费</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1,013,846.50</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3,304,735.62</w:t>
                    </w:r>
                  </w:p>
                </w:tc>
              </w:tr>
            </w:sdtContent>
          </w:sdt>
          <w:sdt>
            <w:sdtPr>
              <w:rPr>
                <w:rFonts w:hint="eastAsia"/>
              </w:rPr>
              <w:alias w:val="财务费用明细"/>
              <w:tag w:val="_GBC_6315cf92135646dfa5694359777c36b0"/>
              <w:id w:val="198658470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14"/>
                    </w:pPr>
                    <w:r>
                      <w:t>其他财务费用</w:t>
                    </w:r>
                  </w:p>
                </w:tc>
                <w:tc>
                  <w:tcPr>
                    <w:tcW w:w="1439" w:type="pct"/>
                    <w:tcBorders>
                      <w:top w:val="single" w:color="auto" w:sz="4" w:space="0"/>
                      <w:left w:val="single" w:color="auto" w:sz="4" w:space="0"/>
                      <w:bottom w:val="single" w:color="auto" w:sz="4" w:space="0"/>
                      <w:right w:val="single" w:color="auto" w:sz="4" w:space="0"/>
                    </w:tcBorders>
                    <w:shd w:val="clear" w:color="auto" w:fill="auto"/>
                  </w:tcPr>
                  <w:p>
                    <w:pPr>
                      <w:jc w:val="right"/>
                    </w:pPr>
                    <w:r>
                      <w:t>3,767,399.41</w:t>
                    </w:r>
                  </w:p>
                </w:tc>
                <w:tc>
                  <w:tcPr>
                    <w:tcW w:w="1348" w:type="pct"/>
                    <w:tcBorders>
                      <w:top w:val="single" w:color="auto" w:sz="4" w:space="0"/>
                      <w:left w:val="single" w:color="auto" w:sz="4" w:space="0"/>
                      <w:bottom w:val="single" w:color="auto" w:sz="4" w:space="0"/>
                      <w:right w:val="single" w:color="auto" w:sz="4" w:space="0"/>
                    </w:tcBorders>
                    <w:shd w:val="clear" w:color="auto" w:fill="auto"/>
                  </w:tcPr>
                  <w:p>
                    <w:pPr>
                      <w:jc w:val="right"/>
                    </w:pPr>
                    <w:r>
                      <w:t>205,434.03</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7965316bcaf4972b01a6dd60323d7f4"/>
                <w:id w:val="1370946765"/>
                <w:lock w:val="sdtLocked"/>
              </w:sdtPr>
              <w:sdtContent>
                <w:tc>
                  <w:tcPr>
                    <w:tcW w:w="2213"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合计</w:t>
                    </w:r>
                  </w:p>
                </w:tc>
              </w:sdtContent>
            </w:sdt>
            <w:tc>
              <w:tcPr>
                <w:tcW w:w="143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533,463,186.75</w:t>
                </w:r>
              </w:p>
            </w:tc>
            <w:tc>
              <w:tcPr>
                <w:tcW w:w="134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549,500,912.66</w:t>
                </w:r>
              </w:p>
            </w:tc>
          </w:tr>
        </w:tbl>
        <w:p>
          <w:pPr>
            <w:pStyle w:val="114"/>
          </w:pPr>
          <w:r>
            <w:rPr>
              <w:rFonts w:hint="eastAsia"/>
            </w:rPr>
            <w:t>其他说明：</w:t>
          </w:r>
        </w:p>
        <w:sdt>
          <w:sdtPr>
            <w:alias w:val="财务费用的其他说明事项"/>
            <w:tag w:val="_GBC_5bd15645edcc4a51b94ddca48ee9be98"/>
            <w:id w:val="-1440601546"/>
            <w:lock w:val="sdtLocked"/>
            <w:placeholder>
              <w:docPart w:val="GBC22222222222222222222222222222"/>
            </w:placeholder>
          </w:sdtPr>
          <w:sdtContent>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本集团本期用于确定借款费用资本化金额的人民币借款资本化率为</w:t>
              </w:r>
              <w:r>
                <w:rPr>
                  <w:rFonts w:cs="Arial" w:asciiTheme="minorEastAsia" w:hAnsiTheme="minorEastAsia" w:eastAsiaTheme="minorEastAsia"/>
                  <w:color w:val="000000" w:themeColor="text1"/>
                  <w14:textFill>
                    <w14:solidFill>
                      <w14:schemeClr w14:val="tx1"/>
                    </w14:solidFill>
                  </w14:textFill>
                </w:rPr>
                <w:t>2.4% - 3.81%</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年同期：</w:t>
              </w:r>
              <w:r>
                <w:rPr>
                  <w:rFonts w:cs="Arial" w:asciiTheme="minorEastAsia" w:hAnsiTheme="minorEastAsia" w:eastAsiaTheme="minorEastAsia"/>
                  <w:color w:val="000000" w:themeColor="text1"/>
                  <w14:textFill>
                    <w14:solidFill>
                      <w14:schemeClr w14:val="tx1"/>
                    </w14:solidFill>
                  </w14:textFill>
                </w:rPr>
                <w:t>3.65% - 4.16%</w:t>
              </w:r>
              <w:r>
                <w:rPr>
                  <w:rFonts w:hint="eastAsia" w:cs="Arial" w:asciiTheme="minorEastAsia" w:hAnsiTheme="minorEastAsia" w:eastAsiaTheme="minorEastAsia"/>
                  <w:color w:val="000000" w:themeColor="text1"/>
                  <w14:textFill>
                    <w14:solidFill>
                      <w14:schemeClr w14:val="tx1"/>
                    </w14:solidFill>
                  </w14:textFill>
                </w:rPr>
                <w:t>）。</w:t>
              </w:r>
            </w:p>
            <w:p>
              <w:pPr>
                <w:pStyle w:val="114"/>
              </w:pPr>
            </w:p>
          </w:sdtContent>
        </w:sdt>
      </w:sdtContent>
    </w:sdt>
    <w:p>
      <w:pPr>
        <w:pStyle w:val="114"/>
      </w:pPr>
    </w:p>
    <w:sdt>
      <w:sdtPr>
        <w:rPr>
          <w:rFonts w:hint="eastAsia" w:ascii="宋体" w:hAnsi="宋体" w:cs="宋体"/>
          <w:b w:val="0"/>
          <w:bCs w:val="0"/>
          <w:kern w:val="0"/>
          <w:szCs w:val="24"/>
        </w:rPr>
        <w:alias w:val="模块:其他收益"/>
        <w:tag w:val="_SEC_b7dd1353107541ffa3a1d66fbb85a037"/>
        <w:id w:val="-1513909963"/>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rPr>
          </w:pPr>
          <w:r>
            <w:rPr>
              <w:rFonts w:hint="eastAsia" w:ascii="宋体" w:hAnsi="宋体"/>
            </w:rPr>
            <w:t>其他收益</w:t>
          </w:r>
        </w:p>
        <w:sdt>
          <w:sdtPr>
            <w:alias w:val="是否适用：财务报表其他收益[双击切换]"/>
            <w:tag w:val="_GBC_86fde94b0d4e4b1f997adc6f063babf7"/>
            <w:id w:val="195675334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rFonts w:cstheme="minorBidi"/>
              <w:bCs/>
              <w:szCs w:val="22"/>
            </w:rPr>
          </w:pPr>
          <w:r>
            <w:rPr>
              <w:rFonts w:cstheme="minorBidi"/>
              <w:szCs w:val="22"/>
            </w:rPr>
            <w:t>单位：</w:t>
          </w:r>
          <w:sdt>
            <w:sdtPr>
              <w:rPr>
                <w:rFonts w:cstheme="minorBidi"/>
                <w:bCs/>
                <w:szCs w:val="22"/>
              </w:rPr>
              <w:alias w:val="单位：财务报表其他收益明细"/>
              <w:tag w:val="_GBC_12755937dc3b48a489abda6cc5cda8d6"/>
              <w:id w:val="131213879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cstheme="minorBidi"/>
                <w:bCs/>
                <w:szCs w:val="22"/>
              </w:rPr>
            </w:sdtEndPr>
            <w:sdtContent>
              <w:r>
                <w:rPr>
                  <w:rFonts w:cstheme="minorBidi"/>
                  <w:szCs w:val="22"/>
                </w:rPr>
                <w:t>元</w:t>
              </w:r>
            </w:sdtContent>
          </w:sdt>
          <w:r>
            <w:rPr>
              <w:rFonts w:cstheme="minorBidi"/>
              <w:szCs w:val="22"/>
            </w:rPr>
            <w:t xml:space="preserve">  币种：</w:t>
          </w:r>
          <w:sdt>
            <w:sdtPr>
              <w:rPr>
                <w:rFonts w:cstheme="minorBidi"/>
                <w:bCs/>
                <w:szCs w:val="22"/>
              </w:rPr>
              <w:alias w:val="币种：财务报表其他收益明细"/>
              <w:tag w:val="_GBC_3daaaf66c73e4201b067378f3d17e13f"/>
              <w:id w:val="-7283862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cstheme="minorBidi"/>
                <w:bCs/>
                <w:szCs w:val="22"/>
              </w:rPr>
            </w:sdtEndPr>
            <w:sdtContent>
              <w:r>
                <w:rPr>
                  <w:rFonts w:cstheme="minorBidi"/>
                  <w:szCs w:val="22"/>
                </w:rPr>
                <w:t>人民币</w:t>
              </w:r>
            </w:sdtContent>
          </w:sdt>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2552"/>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sdt>
                <w:sdtPr>
                  <w:rPr>
                    <w:rFonts w:hint="eastAsia" w:ascii="Times New Roman" w:hAnsi="Times New Roman"/>
                  </w:rPr>
                  <w:tag w:val="_PLD_92b33ced889140b7b84894c5f486f4e6"/>
                  <w:id w:val="1030678962"/>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项目</w:t>
                    </w:r>
                  </w:p>
                </w:sdtContent>
              </w:sdt>
            </w:tc>
            <w:tc>
              <w:tcPr>
                <w:tcW w:w="2552" w:type="dxa"/>
              </w:tcPr>
              <w:sdt>
                <w:sdtPr>
                  <w:rPr>
                    <w:rFonts w:hint="eastAsia" w:ascii="Times New Roman" w:hAnsi="Times New Roman"/>
                  </w:rPr>
                  <w:tag w:val="_PLD_73b3023fbaed423bbb8ca1ec42a2eaf9"/>
                  <w:id w:val="-918552468"/>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本期发生额</w:t>
                    </w:r>
                  </w:p>
                </w:sdtContent>
              </w:sdt>
            </w:tc>
            <w:tc>
              <w:tcPr>
                <w:tcW w:w="2420" w:type="dxa"/>
              </w:tcPr>
              <w:sdt>
                <w:sdtPr>
                  <w:rPr>
                    <w:rFonts w:hint="eastAsia" w:ascii="Times New Roman" w:hAnsi="Times New Roman"/>
                  </w:rPr>
                  <w:tag w:val="_PLD_9f39351a333c497da22a0955aff07b4c"/>
                  <w:id w:val="1904416292"/>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上期发生额</w:t>
                    </w:r>
                  </w:p>
                </w:sdtContent>
              </w:sdt>
            </w:tc>
          </w:tr>
          <w:sdt>
            <w:sdtPr>
              <w:rPr>
                <w:rFonts w:ascii="宋体" w:hAnsi="宋体" w:eastAsiaTheme="minorEastAsia" w:cstheme="minorBidi"/>
                <w:sz w:val="22"/>
                <w:szCs w:val="22"/>
              </w:rPr>
              <w:alias w:val="财务报表其他收益明细"/>
              <w:tag w:val="_TUP_6fbc2b9298bf4c818dfcc7c62d7fcd6c"/>
              <w:id w:val="-1516770644"/>
              <w:lock w:val="sdtLocked"/>
            </w:sdtPr>
            <w:sdtEndPr>
              <w:rPr>
                <w:rFonts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pPr>
                      <w:pStyle w:val="114"/>
                      <w:widowControl w:val="0"/>
                      <w:jc w:val="both"/>
                      <w:rPr>
                        <w:rFonts w:ascii="Times New Roman" w:hAnsi="Times New Roman"/>
                      </w:rPr>
                    </w:pPr>
                    <w:r>
                      <w:rPr>
                        <w:rFonts w:ascii="Times New Roman" w:hAnsi="Times New Roman"/>
                      </w:rPr>
                      <w:t>政府补助</w:t>
                    </w:r>
                  </w:p>
                </w:tc>
                <w:tc>
                  <w:tcPr>
                    <w:tcW w:w="2552" w:type="dxa"/>
                  </w:tcPr>
                  <w:p>
                    <w:pPr>
                      <w:widowControl w:val="0"/>
                      <w:jc w:val="right"/>
                      <w:rPr>
                        <w:rFonts w:asciiTheme="minorEastAsia" w:hAnsiTheme="minorEastAsia" w:eastAsiaTheme="minorEastAsia"/>
                      </w:rPr>
                    </w:pPr>
                    <w:r>
                      <w:rPr>
                        <w:rFonts w:asciiTheme="minorEastAsia" w:hAnsiTheme="minorEastAsia" w:eastAsiaTheme="minorEastAsia"/>
                      </w:rPr>
                      <w:t>11,806,394.00</w:t>
                    </w:r>
                  </w:p>
                </w:tc>
                <w:tc>
                  <w:tcPr>
                    <w:tcW w:w="2420" w:type="dxa"/>
                  </w:tcPr>
                  <w:p>
                    <w:pPr>
                      <w:widowControl w:val="0"/>
                      <w:jc w:val="right"/>
                      <w:rPr>
                        <w:rFonts w:asciiTheme="minorEastAsia" w:hAnsiTheme="minorEastAsia" w:eastAsiaTheme="minorEastAsia"/>
                      </w:rPr>
                    </w:pPr>
                    <w:r>
                      <w:rPr>
                        <w:rFonts w:asciiTheme="minorEastAsia" w:hAnsiTheme="minorEastAsia" w:eastAsiaTheme="minorEastAsia"/>
                      </w:rPr>
                      <w:t>11,828,604.45</w:t>
                    </w:r>
                  </w:p>
                </w:tc>
              </w:tr>
            </w:sdtContent>
          </w:sdt>
          <w:sdt>
            <w:sdtPr>
              <w:rPr>
                <w:rFonts w:ascii="宋体" w:hAnsi="宋体" w:eastAsiaTheme="minorEastAsia" w:cstheme="minorBidi"/>
                <w:sz w:val="22"/>
                <w:szCs w:val="22"/>
              </w:rPr>
              <w:alias w:val="财务报表其他收益明细"/>
              <w:tag w:val="_TUP_6fbc2b9298bf4c818dfcc7c62d7fcd6c"/>
              <w:id w:val="572703624"/>
              <w:lock w:val="sdtLocked"/>
            </w:sdtPr>
            <w:sdtEndPr>
              <w:rPr>
                <w:rFonts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pPr>
                      <w:widowControl w:val="0"/>
                      <w:jc w:val="center"/>
                      <w:rPr>
                        <w:rFonts w:ascii="Times New Roman" w:hAnsi="Times New Roman"/>
                      </w:rPr>
                    </w:pPr>
                    <w:r>
                      <w:rPr>
                        <w:rFonts w:ascii="Times New Roman" w:hAnsi="Times New Roman"/>
                      </w:rPr>
                      <w:t>合计</w:t>
                    </w:r>
                  </w:p>
                </w:tc>
                <w:tc>
                  <w:tcPr>
                    <w:tcW w:w="2552" w:type="dxa"/>
                  </w:tcPr>
                  <w:p>
                    <w:pPr>
                      <w:widowControl w:val="0"/>
                      <w:jc w:val="right"/>
                      <w:rPr>
                        <w:rFonts w:asciiTheme="minorEastAsia" w:hAnsiTheme="minorEastAsia" w:eastAsiaTheme="minorEastAsia"/>
                      </w:rPr>
                    </w:pPr>
                    <w:r>
                      <w:rPr>
                        <w:rFonts w:asciiTheme="minorEastAsia" w:hAnsiTheme="minorEastAsia" w:eastAsiaTheme="minorEastAsia"/>
                      </w:rPr>
                      <w:t>11,806,394.00</w:t>
                    </w:r>
                  </w:p>
                </w:tc>
                <w:tc>
                  <w:tcPr>
                    <w:tcW w:w="2420" w:type="dxa"/>
                  </w:tcPr>
                  <w:p>
                    <w:pPr>
                      <w:widowControl w:val="0"/>
                      <w:jc w:val="right"/>
                      <w:rPr>
                        <w:rFonts w:asciiTheme="minorEastAsia" w:hAnsiTheme="minorEastAsia" w:eastAsiaTheme="minorEastAsia"/>
                      </w:rPr>
                    </w:pPr>
                    <w:r>
                      <w:rPr>
                        <w:rFonts w:asciiTheme="minorEastAsia" w:hAnsiTheme="minorEastAsia" w:eastAsiaTheme="minorEastAsia"/>
                      </w:rPr>
                      <w:t>11,828,604.45</w:t>
                    </w:r>
                  </w:p>
                </w:tc>
              </w:tr>
            </w:sdtContent>
          </w:sdt>
        </w:tbl>
        <w:p>
          <w:pPr>
            <w:pStyle w:val="114"/>
          </w:pPr>
          <w:r>
            <w:rPr>
              <w:rFonts w:hint="eastAsia"/>
            </w:rPr>
            <w:t>其他</w:t>
          </w:r>
          <w:r>
            <w:t>说明：</w:t>
          </w:r>
        </w:p>
        <w:sdt>
          <w:sdtPr>
            <w:alias w:val="财务报表其他收益其他说明"/>
            <w:tag w:val="_GBC_9489a93c45754a9ea78d3a872093a735"/>
            <w:id w:val="-1346167700"/>
            <w:lock w:val="sdtLocked"/>
            <w:placeholder>
              <w:docPart w:val="GBC22222222222222222222222222222"/>
            </w:placeholder>
          </w:sdt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投资收益"/>
        <w:tag w:val="_SEC_56e74a133dff4dcebe7ed76c1a92a2e5"/>
        <w:id w:val="1069537722"/>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42" w:name="_Hlk11857276"/>
          <w:r>
            <w:rPr>
              <w:rFonts w:hint="eastAsia" w:ascii="宋体" w:hAnsi="宋体"/>
              <w:szCs w:val="21"/>
            </w:rPr>
            <w:t>投资收益</w:t>
          </w:r>
        </w:p>
        <w:sdt>
          <w:sdtPr>
            <w:alias w:val="是否适用：投资收益[双击切换]"/>
            <w:tag w:val="_GBC_39356fd9dd9e4f5497d61d781210b2fe"/>
            <w:id w:val="25224211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b/>
            </w:rPr>
          </w:pPr>
          <w:bookmarkStart w:id="243" w:name="_Hlk10538462"/>
          <w:r>
            <w:t>单位</w:t>
          </w:r>
          <w:r>
            <w:rPr>
              <w:rFonts w:hint="eastAsia"/>
            </w:rPr>
            <w:t>：</w:t>
          </w:r>
          <w:sdt>
            <w:sdtPr>
              <w:rPr>
                <w:rFonts w:hint="eastAsia"/>
              </w:rPr>
              <w:alias w:val="单位：财务附注：会计报表中的投资收益项目增加"/>
              <w:tag w:val="_GBC_8785b82a02ca4b0db1de3227128775b4"/>
              <w:id w:val="18156857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1433478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bookmarkEnd w:id="243"/>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2693"/>
            <w:gridCol w:w="2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fef67a5db2c453288257a2dfe03fd6e"/>
                <w:id w:val="-2058847743"/>
                <w:lock w:val="sdtLocked"/>
              </w:sdtPr>
              <w:sdtContent>
                <w:tc>
                  <w:tcPr>
                    <w:tcW w:w="2018" w:type="pct"/>
                    <w:vAlign w:val="center"/>
                  </w:tcPr>
                  <w:p>
                    <w:pPr>
                      <w:ind w:left="420" w:hanging="420"/>
                      <w:jc w:val="center"/>
                    </w:pPr>
                    <w:r>
                      <w:rPr>
                        <w:rFonts w:hint="eastAsia"/>
                      </w:rPr>
                      <w:t>项目</w:t>
                    </w:r>
                  </w:p>
                </w:tc>
              </w:sdtContent>
            </w:sdt>
            <w:sdt>
              <w:sdtPr>
                <w:tag w:val="_PLD_3f927d0ff25c47abb0f9b18794554af6"/>
                <w:id w:val="-846711361"/>
                <w:lock w:val="sdtLocked"/>
              </w:sdtPr>
              <w:sdtContent>
                <w:tc>
                  <w:tcPr>
                    <w:tcW w:w="1488" w:type="pct"/>
                    <w:vAlign w:val="center"/>
                  </w:tcPr>
                  <w:p>
                    <w:pPr>
                      <w:jc w:val="center"/>
                    </w:pPr>
                    <w:r>
                      <w:rPr>
                        <w:rFonts w:hint="eastAsia"/>
                      </w:rPr>
                      <w:t>本期发生额</w:t>
                    </w:r>
                  </w:p>
                </w:tc>
              </w:sdtContent>
            </w:sdt>
            <w:sdt>
              <w:sdtPr>
                <w:tag w:val="_PLD_a6cbfed1438f48b7947079a5821a9eba"/>
                <w:id w:val="994774709"/>
                <w:lock w:val="sdtLocked"/>
              </w:sdtPr>
              <w:sdtContent>
                <w:tc>
                  <w:tcPr>
                    <w:tcW w:w="1494" w:type="pct"/>
                    <w:vAlign w:val="center"/>
                  </w:tcPr>
                  <w:p>
                    <w:pPr>
                      <w:jc w:val="center"/>
                    </w:pPr>
                    <w:r>
                      <w:rPr>
                        <w:rFonts w:hint="eastAs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95c5821555f4f22a6901c43ff8cf9ed"/>
                <w:id w:val="-2065790590"/>
                <w:lock w:val="sdtLocked"/>
              </w:sdtPr>
              <w:sdtContent>
                <w:tc>
                  <w:tcPr>
                    <w:tcW w:w="2018" w:type="pct"/>
                  </w:tcPr>
                  <w:p>
                    <w:pPr>
                      <w:pStyle w:val="114"/>
                    </w:pPr>
                    <w:r>
                      <w:rPr>
                        <w:rFonts w:hint="eastAsia"/>
                      </w:rPr>
                      <w:t>权益法核算的长期股权投资收益</w:t>
                    </w:r>
                  </w:p>
                </w:tc>
              </w:sdtContent>
            </w:sdt>
            <w:tc>
              <w:tcPr>
                <w:tcW w:w="1488" w:type="pct"/>
                <w:vAlign w:val="center"/>
              </w:tcPr>
              <w:p>
                <w:pPr>
                  <w:jc w:val="right"/>
                </w:pPr>
                <w:r>
                  <w:t>461,731,804.50</w:t>
                </w:r>
              </w:p>
            </w:tc>
            <w:tc>
              <w:tcPr>
                <w:tcW w:w="1494" w:type="pct"/>
                <w:vAlign w:val="center"/>
              </w:tcPr>
              <w:p>
                <w:pPr>
                  <w:jc w:val="right"/>
                </w:pPr>
                <w:r>
                  <w:t>341,366,881.16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sdt>
                <w:sdtPr>
                  <w:rPr>
                    <w:rFonts w:hint="eastAsia"/>
                  </w:rPr>
                  <w:tag w:val="_PLD_6531b310ca654e5892cc88bec130b5fa"/>
                  <w:id w:val="-1843926915"/>
                  <w:lock w:val="sdtLocked"/>
                </w:sdtPr>
                <w:sdtEndPr>
                  <w:rPr>
                    <w:rFonts w:hint="eastAsia"/>
                  </w:rPr>
                </w:sdtEndPr>
                <w:sdtContent>
                  <w:p>
                    <w:pPr>
                      <w:pStyle w:val="114"/>
                    </w:pPr>
                    <w:r>
                      <w:rPr>
                        <w:rFonts w:hint="eastAsia"/>
                      </w:rPr>
                      <w:t>交易性金融资产在持有期间的投资收益</w:t>
                    </w:r>
                  </w:p>
                </w:sdtContent>
              </w:sdt>
            </w:tc>
            <w:tc>
              <w:tcPr>
                <w:tcW w:w="1488" w:type="pct"/>
                <w:vAlign w:val="center"/>
              </w:tcPr>
              <w:p>
                <w:pPr>
                  <w:jc w:val="right"/>
                </w:pPr>
                <w:r>
                  <w:t>-</w:t>
                </w:r>
              </w:p>
            </w:tc>
            <w:tc>
              <w:tcPr>
                <w:tcW w:w="1494" w:type="pct"/>
                <w:vAlign w:val="center"/>
              </w:tcPr>
              <w:p>
                <w:pPr>
                  <w:jc w:val="right"/>
                </w:pPr>
                <w:r>
                  <w:t>2,316,473.94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sdt>
                <w:sdtPr>
                  <w:rPr>
                    <w:rFonts w:hint="eastAsia"/>
                  </w:rPr>
                  <w:tag w:val="_PLD_3fb066cc533f4905803faa53dcf2b7bb"/>
                  <w:id w:val="-2109883879"/>
                  <w:lock w:val="sdtLocked"/>
                </w:sdtPr>
                <w:sdtEndPr>
                  <w:rPr>
                    <w:rFonts w:hint="eastAsia"/>
                  </w:rPr>
                </w:sdtEndPr>
                <w:sdtContent>
                  <w:p>
                    <w:pPr>
                      <w:pStyle w:val="114"/>
                    </w:pPr>
                    <w:r>
                      <w:rPr>
                        <w:rFonts w:hint="eastAsia"/>
                      </w:rPr>
                      <w:t>处置交易性金融资产取得的投资收益</w:t>
                    </w:r>
                  </w:p>
                </w:sdtContent>
              </w:sdt>
            </w:tc>
            <w:tc>
              <w:tcPr>
                <w:tcW w:w="1488" w:type="pct"/>
                <w:vAlign w:val="center"/>
              </w:tcPr>
              <w:p>
                <w:pPr>
                  <w:jc w:val="right"/>
                </w:pPr>
                <w:r>
                  <w:t>37,916,950.92</w:t>
                </w:r>
              </w:p>
            </w:tc>
            <w:tc>
              <w:tcPr>
                <w:tcW w:w="1494" w:type="pct"/>
                <w:vAlign w:val="center"/>
              </w:tcPr>
              <w:p>
                <w:pPr>
                  <w:jc w:val="right"/>
                </w:pPr>
                <w:r>
                  <w:t>84,746,566.29</w:t>
                </w:r>
              </w:p>
            </w:tc>
          </w:tr>
          <w:sdt>
            <w:sdtPr>
              <w:rPr>
                <w:rFonts w:hint="eastAsia"/>
              </w:rPr>
              <w:alias w:val="其他投资收益"/>
              <w:tag w:val="_TUP_1e4670059c8948749cda0c0baf7948f3"/>
              <w:id w:val="-1258743903"/>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pPr>
                      <w:pStyle w:val="114"/>
                    </w:pPr>
                    <w:r>
                      <w:t>其他非流动金融资产在持有期间的投资收益</w:t>
                    </w:r>
                  </w:p>
                </w:tc>
                <w:tc>
                  <w:tcPr>
                    <w:tcW w:w="1488" w:type="pct"/>
                  </w:tcPr>
                  <w:p>
                    <w:pPr>
                      <w:jc w:val="right"/>
                    </w:pPr>
                    <w:r>
                      <w:t>31,970,664.21</w:t>
                    </w:r>
                  </w:p>
                </w:tc>
                <w:tc>
                  <w:tcPr>
                    <w:tcW w:w="1494" w:type="pct"/>
                  </w:tcPr>
                  <w:p>
                    <w:pPr>
                      <w:jc w:val="right"/>
                    </w:pPr>
                    <w:r>
                      <w:t>7,920,000.00</w:t>
                    </w:r>
                  </w:p>
                </w:tc>
              </w:tr>
            </w:sdtContent>
          </w:sdt>
          <w:sdt>
            <w:sdtPr>
              <w:rPr>
                <w:rFonts w:hint="eastAsia"/>
              </w:rPr>
              <w:alias w:val="其他投资收益"/>
              <w:tag w:val="_TUP_1e4670059c8948749cda0c0baf7948f3"/>
              <w:id w:val="-1102635502"/>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pPr>
                      <w:pStyle w:val="114"/>
                    </w:pPr>
                    <w:r>
                      <w:t>其他权益工具在持有期间的投资收益</w:t>
                    </w:r>
                  </w:p>
                </w:tc>
                <w:tc>
                  <w:tcPr>
                    <w:tcW w:w="1488" w:type="pct"/>
                  </w:tcPr>
                  <w:p>
                    <w:pPr>
                      <w:jc w:val="right"/>
                    </w:pPr>
                    <w:r>
                      <w:t>81,900,000.00</w:t>
                    </w:r>
                  </w:p>
                </w:tc>
                <w:tc>
                  <w:tcPr>
                    <w:tcW w:w="1494" w:type="pct"/>
                  </w:tcPr>
                  <w:p>
                    <w:pPr>
                      <w:jc w:val="right"/>
                    </w:pPr>
                    <w:r>
                      <w:t>390,099,920.00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1e45f17edee4a0fa17110849cf94fad"/>
                <w:id w:val="-734398735"/>
                <w:lock w:val="sdtLocked"/>
              </w:sdtPr>
              <w:sdtContent>
                <w:tc>
                  <w:tcPr>
                    <w:tcW w:w="2018" w:type="pct"/>
                    <w:vAlign w:val="center"/>
                  </w:tcPr>
                  <w:p>
                    <w:pPr>
                      <w:jc w:val="center"/>
                    </w:pPr>
                    <w:r>
                      <w:rPr>
                        <w:rFonts w:hint="eastAsia"/>
                      </w:rPr>
                      <w:t>合计</w:t>
                    </w:r>
                  </w:p>
                </w:tc>
              </w:sdtContent>
            </w:sdt>
            <w:tc>
              <w:tcPr>
                <w:tcW w:w="1488" w:type="pct"/>
                <w:vAlign w:val="center"/>
              </w:tcPr>
              <w:p>
                <w:pPr>
                  <w:jc w:val="right"/>
                </w:pPr>
                <w:r>
                  <w:t>613,519,419.63</w:t>
                </w:r>
              </w:p>
            </w:tc>
            <w:tc>
              <w:tcPr>
                <w:tcW w:w="1494" w:type="pct"/>
                <w:vAlign w:val="center"/>
              </w:tcPr>
              <w:p>
                <w:pPr>
                  <w:jc w:val="right"/>
                </w:pPr>
                <w:r>
                  <w:t>826,449,841.39</w:t>
                </w:r>
              </w:p>
            </w:tc>
          </w:tr>
        </w:tbl>
        <w:p>
          <w:pPr>
            <w:spacing w:before="60" w:after="60" w:line="360" w:lineRule="exact"/>
          </w:pPr>
          <w:r>
            <w:rPr>
              <w:rFonts w:hint="eastAsia"/>
            </w:rPr>
            <w:t>其他说明：</w:t>
          </w:r>
        </w:p>
        <w:sdt>
          <w:sdtPr>
            <w:rPr>
              <w:rFonts w:hint="eastAsia"/>
            </w:rPr>
            <w:alias w:val="投资收益说明"/>
            <w:tag w:val="_GBC_911712f239a14e98b4c6c89180ceef27"/>
            <w:id w:val="-173576851"/>
            <w:lock w:val="sdtLocked"/>
            <w:placeholder>
              <w:docPart w:val="GBC22222222222222222222222222222"/>
            </w:placeholder>
          </w:sdtPr>
          <w:sdtEndPr>
            <w:rPr>
              <w:rFonts w:hint="eastAsia"/>
            </w:rPr>
          </w:sdtEndPr>
          <w:sdtContent>
            <w:p>
              <w:pPr>
                <w:autoSpaceDE w:val="0"/>
                <w:autoSpaceDN w:val="0"/>
                <w:adjustRightInd w:val="0"/>
              </w:pPr>
              <w:r>
                <w:rPr>
                  <w:rFonts w:hint="eastAsia"/>
                </w:rPr>
                <w:t>不适用</w:t>
              </w:r>
            </w:p>
          </w:sdtContent>
        </w:sdt>
      </w:sdtContent>
    </w:sdt>
    <w:bookmarkEnd w:id="242"/>
    <w:p>
      <w:pPr>
        <w:autoSpaceDE w:val="0"/>
        <w:autoSpaceDN w:val="0"/>
        <w:adjustRightInd w:val="0"/>
      </w:pPr>
    </w:p>
    <w:sdt>
      <w:sdtPr>
        <w:rPr>
          <w:rFonts w:hint="eastAsia" w:ascii="宋体" w:hAnsi="宋体" w:cs="宋体"/>
          <w:b w:val="0"/>
          <w:bCs w:val="0"/>
          <w:kern w:val="0"/>
          <w:szCs w:val="21"/>
        </w:rPr>
        <w:alias w:val="模块:净敞口套期收益"/>
        <w:tag w:val="_SEC_cbd8186e9cf3452cab63fa24a69149bc"/>
        <w:id w:val="-713433946"/>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44" w:name="_Hlk10538831"/>
          <w:r>
            <w:rPr>
              <w:rFonts w:hint="eastAsia" w:ascii="宋体" w:hAnsi="宋体"/>
              <w:szCs w:val="21"/>
            </w:rPr>
            <w:t>净敞口套期收益</w:t>
          </w:r>
        </w:p>
        <w:sdt>
          <w:sdtPr>
            <w:alias w:val="是否适用：净敞口套期收益[双击切换]"/>
            <w:tag w:val="_GBC_33e106b71ec640cd9126570421557bda"/>
            <w:id w:val="24631223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pPr>
        </w:p>
      </w:sdtContent>
    </w:sdt>
    <w:bookmarkEnd w:id="244"/>
    <w:p>
      <w:pPr>
        <w:pStyle w:val="114"/>
      </w:pPr>
    </w:p>
    <w:sdt>
      <w:sdtPr>
        <w:rPr>
          <w:rFonts w:hint="eastAsia" w:ascii="宋体" w:hAnsi="宋体" w:cs="宋体"/>
          <w:b w:val="0"/>
          <w:bCs w:val="0"/>
          <w:kern w:val="0"/>
          <w:szCs w:val="21"/>
        </w:rPr>
        <w:alias w:val="模块:公允价值变动收益"/>
        <w:tag w:val="_GBC_66e6cb51ec7740408a31ff233ae3330d"/>
        <w:id w:val="1603766649"/>
        <w:lock w:val="sdtLocked"/>
        <w:placeholder>
          <w:docPart w:val="GBC22222222222222222222222222222"/>
        </w:placeholder>
      </w:sdtPr>
      <w:sdtEndPr>
        <w:rPr>
          <w:rFonts w:hint="eastAsia" w:ascii="宋体" w:hAnsi="宋体" w:cstheme="minorBidi"/>
          <w:b w:val="0"/>
          <w:bCs w:val="0"/>
          <w:kern w:val="2"/>
          <w:szCs w:val="21"/>
        </w:rPr>
      </w:sdtEndPr>
      <w:sdtContent>
        <w:p>
          <w:pPr>
            <w:pStyle w:val="4"/>
            <w:numPr>
              <w:ilvl w:val="0"/>
              <w:numId w:val="51"/>
            </w:numPr>
            <w:tabs>
              <w:tab w:val="left" w:pos="504"/>
            </w:tabs>
            <w:rPr>
              <w:rFonts w:ascii="宋体" w:hAnsi="宋体"/>
              <w:szCs w:val="21"/>
            </w:rPr>
          </w:pPr>
          <w:bookmarkStart w:id="245" w:name="_Hlk10538896"/>
          <w:r>
            <w:rPr>
              <w:rFonts w:hint="eastAsia" w:ascii="宋体" w:hAnsi="宋体"/>
              <w:szCs w:val="21"/>
            </w:rPr>
            <w:t>公允价值变动收益</w:t>
          </w:r>
        </w:p>
        <w:sdt>
          <w:sdtPr>
            <w:alias w:val="是否适用：公允价值变动收益[双击切换]"/>
            <w:tag w:val="_GBC_21669fdeb74c4273a55facece1a56109"/>
            <w:id w:val="98821207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公允价值变动收益"/>
              <w:tag w:val="_GBC_a2b6fb2423244bbaa3600e1be3b4d548"/>
              <w:id w:val="21121689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公允价值变动收益"/>
              <w:tag w:val="_GBC_0343c5436a0742acbf5d87cc18c51638"/>
              <w:id w:val="-1929654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8"/>
            <w:gridCol w:w="2826"/>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07c0df95be549039f5bf24c4a595cbd"/>
                <w:id w:val="1507168633"/>
                <w:lock w:val="sdtLocked"/>
              </w:sdtPr>
              <w:sdtContent>
                <w:tc>
                  <w:tcPr>
                    <w:tcW w:w="18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产生公允价值变动收益的来源</w:t>
                    </w:r>
                  </w:p>
                </w:tc>
              </w:sdtContent>
            </w:sdt>
            <w:sdt>
              <w:sdtPr>
                <w:tag w:val="_PLD_b9803e3282e549d5b5e179588ec75dc3"/>
                <w:id w:val="790327297"/>
                <w:lock w:val="sdtLocked"/>
              </w:sdtPr>
              <w:sdtContent>
                <w:tc>
                  <w:tcPr>
                    <w:tcW w:w="1561"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本期发生额</w:t>
                    </w:r>
                  </w:p>
                </w:tc>
              </w:sdtContent>
            </w:sdt>
            <w:sdt>
              <w:sdtPr>
                <w:tag w:val="_PLD_943dd94af7be43cd9f57756acf9a8c19"/>
                <w:id w:val="623045150"/>
                <w:lock w:val="sdtLocked"/>
              </w:sdtPr>
              <w:sdtContent>
                <w:tc>
                  <w:tcPr>
                    <w:tcW w:w="1561"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上期发生额</w:t>
                    </w:r>
                  </w:p>
                </w:tc>
              </w:sdtContent>
            </w:sdt>
          </w:tr>
          <w:sdt>
            <w:sdtPr>
              <w:rPr>
                <w:rFonts w:hint="eastAsia"/>
              </w:rPr>
              <w:alias w:val="产生公允价值变动收益的来源的明细"/>
              <w:tag w:val="_TUP_901043d70806435fbba28aa3c0d298b6"/>
              <w:id w:val="-326519997"/>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7" w:type="pct"/>
                    <w:tcBorders>
                      <w:top w:val="single" w:color="auto" w:sz="4" w:space="0"/>
                      <w:left w:val="single" w:color="auto" w:sz="4" w:space="0"/>
                      <w:bottom w:val="single" w:color="auto" w:sz="4" w:space="0"/>
                      <w:right w:val="single" w:color="auto" w:sz="4" w:space="0"/>
                    </w:tcBorders>
                  </w:tcPr>
                  <w:p>
                    <w:pPr>
                      <w:pStyle w:val="114"/>
                    </w:pPr>
                    <w:r>
                      <w:t>交易性金融资产</w:t>
                    </w:r>
                  </w:p>
                </w:tc>
                <w:tc>
                  <w:tcPr>
                    <w:tcW w:w="1561" w:type="pct"/>
                    <w:tcBorders>
                      <w:top w:val="single" w:color="auto" w:sz="4" w:space="0"/>
                      <w:left w:val="single" w:color="auto" w:sz="4" w:space="0"/>
                      <w:bottom w:val="single" w:color="auto" w:sz="4" w:space="0"/>
                      <w:right w:val="single" w:color="auto" w:sz="4" w:space="0"/>
                    </w:tcBorders>
                  </w:tcPr>
                  <w:p>
                    <w:pPr>
                      <w:jc w:val="right"/>
                    </w:pPr>
                    <w:r>
                      <w:t>1,330</w:t>
                    </w:r>
                    <w:r>
                      <w:rPr>
                        <w:rFonts w:hint="eastAsia"/>
                      </w:rPr>
                      <w:t>,</w:t>
                    </w:r>
                    <w:r>
                      <w:t>920.14</w:t>
                    </w:r>
                  </w:p>
                </w:tc>
                <w:tc>
                  <w:tcPr>
                    <w:tcW w:w="1561"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pPr>
                    <w:r>
                      <w:t>(2,599,844.00)</w:t>
                    </w:r>
                  </w:p>
                </w:tc>
              </w:tr>
            </w:sdtContent>
          </w:sdt>
          <w:sdt>
            <w:sdtPr>
              <w:rPr>
                <w:rFonts w:hint="eastAsia"/>
              </w:rPr>
              <w:alias w:val="产生公允价值变动收益的来源的明细"/>
              <w:tag w:val="_TUP_901043d70806435fbba28aa3c0d298b6"/>
              <w:id w:val="192514562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7" w:type="pct"/>
                    <w:tcBorders>
                      <w:top w:val="single" w:color="auto" w:sz="4" w:space="0"/>
                      <w:left w:val="single" w:color="auto" w:sz="4" w:space="0"/>
                      <w:bottom w:val="single" w:color="auto" w:sz="4" w:space="0"/>
                      <w:right w:val="single" w:color="auto" w:sz="4" w:space="0"/>
                    </w:tcBorders>
                  </w:tcPr>
                  <w:p>
                    <w:pPr>
                      <w:pStyle w:val="114"/>
                    </w:pPr>
                    <w:r>
                      <w:t>其他非流动金融资产</w:t>
                    </w:r>
                  </w:p>
                </w:tc>
                <w:tc>
                  <w:tcPr>
                    <w:tcW w:w="1561" w:type="pct"/>
                    <w:tcBorders>
                      <w:top w:val="single" w:color="auto" w:sz="4" w:space="0"/>
                      <w:left w:val="single" w:color="auto" w:sz="4" w:space="0"/>
                      <w:bottom w:val="single" w:color="auto" w:sz="4" w:space="0"/>
                      <w:right w:val="single" w:color="auto" w:sz="4" w:space="0"/>
                    </w:tcBorders>
                  </w:tcPr>
                  <w:p>
                    <w:pPr>
                      <w:jc w:val="right"/>
                    </w:pPr>
                    <w:r>
                      <w:t>74,271,202.73</w:t>
                    </w:r>
                  </w:p>
                </w:tc>
                <w:tc>
                  <w:tcPr>
                    <w:tcW w:w="1561"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pPr>
                    <w:r>
                      <w:t>37,704,850.37</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eb386e2c7144b76b7f1061a9d9942d9"/>
                <w:id w:val="-367912699"/>
                <w:lock w:val="sdtLocked"/>
              </w:sdtPr>
              <w:sdtContent>
                <w:tc>
                  <w:tcPr>
                    <w:tcW w:w="18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合计</w:t>
                    </w:r>
                  </w:p>
                </w:tc>
              </w:sdtContent>
            </w:sdt>
            <w:tc>
              <w:tcPr>
                <w:tcW w:w="1561" w:type="pct"/>
                <w:tcBorders>
                  <w:top w:val="single" w:color="auto" w:sz="4" w:space="0"/>
                  <w:left w:val="single" w:color="auto" w:sz="4" w:space="0"/>
                  <w:bottom w:val="single" w:color="auto" w:sz="4" w:space="0"/>
                  <w:right w:val="single" w:color="auto" w:sz="4" w:space="0"/>
                </w:tcBorders>
                <w:vAlign w:val="center"/>
              </w:tcPr>
              <w:p>
                <w:pPr>
                  <w:jc w:val="right"/>
                </w:pPr>
                <w:r>
                  <w:t>75,602,122.87</w:t>
                </w:r>
              </w:p>
            </w:tc>
            <w:tc>
              <w:tcPr>
                <w:tcW w:w="1561"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pPr>
                <w:r>
                  <w:t>35,105,006.37</w:t>
                </w:r>
              </w:p>
            </w:tc>
          </w:tr>
        </w:tbl>
        <w:p>
          <w:pPr>
            <w:spacing w:before="60" w:after="60"/>
          </w:pPr>
          <w:r>
            <w:rPr>
              <w:rFonts w:hint="eastAsia"/>
            </w:rPr>
            <w:t>其他说明：</w:t>
          </w:r>
        </w:p>
        <w:sdt>
          <w:sdtPr>
            <w:rPr>
              <w:rFonts w:hint="eastAsia"/>
            </w:rPr>
            <w:alias w:val="公允价值变动收益的说明"/>
            <w:tag w:val="_GBC_ca97bf4455704ba1b8c90a97a9d856f0"/>
            <w:id w:val="871803213"/>
            <w:lock w:val="sdtLocked"/>
            <w:placeholder>
              <w:docPart w:val="GBC22222222222222222222222222222"/>
            </w:placeholder>
          </w:sdtPr>
          <w:sdtEndPr>
            <w:rPr>
              <w:rFonts w:hint="eastAsia"/>
            </w:rPr>
          </w:sdtEndPr>
          <w:sdtContent>
            <w:p>
              <w:pPr>
                <w:pStyle w:val="114"/>
              </w:pPr>
              <w:r>
                <w:rPr>
                  <w:rFonts w:hint="eastAsia"/>
                </w:rPr>
                <w:t>不适用</w:t>
              </w:r>
            </w:p>
          </w:sdtContent>
        </w:sdt>
      </w:sdtContent>
    </w:sdt>
    <w:bookmarkEnd w:id="245"/>
    <w:p>
      <w:pPr>
        <w:pStyle w:val="114"/>
      </w:pPr>
    </w:p>
    <w:sdt>
      <w:sdtPr>
        <w:rPr>
          <w:rFonts w:ascii="宋体" w:hAnsi="宋体" w:cs="宋体"/>
          <w:b w:val="0"/>
          <w:bCs w:val="0"/>
          <w:kern w:val="0"/>
          <w:szCs w:val="21"/>
        </w:rPr>
        <w:alias w:val="模块:"/>
        <w:tag w:val="_SEC_87edd713957c4f11900f8738aeba1216"/>
        <w:id w:val="-1282645601"/>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51"/>
            </w:numPr>
            <w:tabs>
              <w:tab w:val="left" w:pos="504"/>
            </w:tabs>
            <w:rPr>
              <w:rFonts w:ascii="宋体" w:hAnsi="宋体"/>
            </w:rPr>
          </w:pPr>
          <w:bookmarkStart w:id="246" w:name="_Hlk72829754"/>
          <w:r>
            <w:rPr>
              <w:rFonts w:hint="eastAsia" w:ascii="宋体" w:hAnsi="宋体"/>
            </w:rPr>
            <w:t>信用减值损失</w:t>
          </w:r>
        </w:p>
        <w:sdt>
          <w:sdtPr>
            <w:alias w:val="是否适用：信用减值损失[双击切换]"/>
            <w:tag w:val="_GBC_091d631028b64a0dbabe3c252fdf5712"/>
            <w:id w:val="124568700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ind w:left="420" w:firstLine="0" w:firstLineChars="0"/>
            <w:jc w:val="right"/>
            <w:rPr>
              <w:rFonts w:ascii="宋体" w:hAnsi="宋体"/>
            </w:rPr>
          </w:pPr>
          <w:r>
            <w:rPr>
              <w:rFonts w:hint="eastAsia" w:ascii="宋体" w:hAnsi="宋体"/>
            </w:rPr>
            <w:t>单位：</w:t>
          </w:r>
          <w:sdt>
            <w:sdtPr>
              <w:rPr>
                <w:rFonts w:hint="eastAsia" w:ascii="宋体" w:hAnsi="宋体"/>
              </w:rPr>
              <w:alias w:val="单位：信用减值损失"/>
              <w:tag w:val="_GBC_be6f29e88d6d4a459d7640ec9d687c98"/>
              <w:id w:val="19669931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rPr>
            </w:sdtEndPr>
            <w:sdtContent>
              <w:r>
                <w:rPr>
                  <w:rFonts w:hint="eastAsia" w:ascii="宋体" w:hAnsi="宋体"/>
                </w:rPr>
                <w:t>元</w:t>
              </w:r>
            </w:sdtContent>
          </w:sdt>
          <w:r>
            <w:rPr>
              <w:rFonts w:hint="eastAsia" w:ascii="宋体" w:hAnsi="宋体"/>
            </w:rPr>
            <w:t xml:space="preserve">  币种：</w:t>
          </w:r>
          <w:sdt>
            <w:sdtPr>
              <w:rPr>
                <w:rFonts w:hint="eastAsia" w:ascii="宋体" w:hAnsi="宋体"/>
              </w:rPr>
              <w:alias w:val="币种：信用减值损失"/>
              <w:tag w:val="_GBC_7bb1c4130f5c47cdbfa091247dbf05dc"/>
              <w:id w:val="1605957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rPr>
            </w:sdtEndPr>
            <w:sdtContent>
              <w:r>
                <w:rPr>
                  <w:rFonts w:hint="eastAsia" w:ascii="宋体" w:hAnsi="宋体"/>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0"/>
            <w:gridCol w:w="2688"/>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4ee29c5c67448b288248caa86e974a6"/>
                <w:id w:val="865714046"/>
                <w:lock w:val="sdtLocked"/>
              </w:sdtPr>
              <w:sdtContent>
                <w:tc>
                  <w:tcPr>
                    <w:tcW w:w="2017" w:type="pct"/>
                    <w:shd w:val="clear" w:color="auto" w:fill="auto"/>
                    <w:vAlign w:val="center"/>
                  </w:tcPr>
                  <w:p>
                    <w:pPr>
                      <w:jc w:val="center"/>
                    </w:pPr>
                    <w:r>
                      <w:rPr>
                        <w:rFonts w:hint="eastAsia"/>
                      </w:rPr>
                      <w:t>项目</w:t>
                    </w:r>
                  </w:p>
                </w:tc>
              </w:sdtContent>
            </w:sdt>
            <w:sdt>
              <w:sdtPr>
                <w:tag w:val="_PLD_560d3fc458c74be7aaa6d31bdfb4da69"/>
                <w:id w:val="-1155369635"/>
                <w:lock w:val="sdtLocked"/>
              </w:sdtPr>
              <w:sdtContent>
                <w:tc>
                  <w:tcPr>
                    <w:tcW w:w="1485" w:type="pct"/>
                    <w:shd w:val="clear" w:color="auto" w:fill="auto"/>
                    <w:vAlign w:val="center"/>
                  </w:tcPr>
                  <w:p>
                    <w:pPr>
                      <w:jc w:val="center"/>
                    </w:pPr>
                    <w:r>
                      <w:rPr>
                        <w:rFonts w:hint="eastAsia"/>
                      </w:rPr>
                      <w:t>本期发生额</w:t>
                    </w:r>
                  </w:p>
                </w:tc>
              </w:sdtContent>
            </w:sdt>
            <w:sdt>
              <w:sdtPr>
                <w:tag w:val="_PLD_4dbd931f6768425793e565db22a0fbd4"/>
                <w:id w:val="-956252454"/>
                <w:lock w:val="sdtLocked"/>
              </w:sdtPr>
              <w:sdtContent>
                <w:tc>
                  <w:tcPr>
                    <w:tcW w:w="1498" w:type="pct"/>
                    <w:shd w:val="clear" w:color="auto" w:fill="auto"/>
                    <w:vAlign w:val="center"/>
                  </w:tcPr>
                  <w:p>
                    <w:pPr>
                      <w:jc w:val="center"/>
                    </w:pPr>
                    <w:r>
                      <w:rPr>
                        <w:rFonts w:hint="eastAsia"/>
                      </w:rPr>
                      <w:t>上期发生额</w:t>
                    </w:r>
                  </w:p>
                </w:tc>
              </w:sdtContent>
            </w:sdt>
          </w:tr>
          <w:sdt>
            <w:sdtPr>
              <w:alias w:val="信用减值损失明细"/>
              <w:tag w:val="_TUP_5de7ab4c13e84bbeb2f7ffab8e8e017a"/>
              <w:id w:val="41575358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7" w:type="pct"/>
                    <w:shd w:val="clear" w:color="auto" w:fill="auto"/>
                    <w:vAlign w:val="center"/>
                  </w:tcPr>
                  <w:p>
                    <w:pPr>
                      <w:pStyle w:val="114"/>
                    </w:pPr>
                    <w:r>
                      <w:t>应收账款</w:t>
                    </w:r>
                  </w:p>
                </w:tc>
                <w:tc>
                  <w:tcPr>
                    <w:tcW w:w="1485" w:type="pct"/>
                    <w:shd w:val="clear" w:color="auto" w:fill="auto"/>
                  </w:tcPr>
                  <w:p>
                    <w:pPr>
                      <w:jc w:val="right"/>
                    </w:pPr>
                    <w:r>
                      <w:t>8,941,646.00</w:t>
                    </w:r>
                  </w:p>
                </w:tc>
                <w:tc>
                  <w:tcPr>
                    <w:tcW w:w="1498" w:type="pct"/>
                    <w:shd w:val="clear" w:color="auto" w:fill="auto"/>
                  </w:tcPr>
                  <w:p>
                    <w:pPr>
                      <w:jc w:val="right"/>
                    </w:pPr>
                    <w:r>
                      <w:t>5,820,267.59</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280344d67cd4d1392e8972abbb82e72"/>
                <w:id w:val="239681844"/>
                <w:lock w:val="sdtLocked"/>
              </w:sdtPr>
              <w:sdtContent>
                <w:tc>
                  <w:tcPr>
                    <w:tcW w:w="2017" w:type="pct"/>
                    <w:shd w:val="clear" w:color="auto" w:fill="auto"/>
                    <w:vAlign w:val="center"/>
                  </w:tcPr>
                  <w:p>
                    <w:pPr>
                      <w:jc w:val="center"/>
                    </w:pPr>
                    <w:r>
                      <w:rPr>
                        <w:rFonts w:hint="eastAsia"/>
                      </w:rPr>
                      <w:t>合计</w:t>
                    </w:r>
                  </w:p>
                </w:tc>
              </w:sdtContent>
            </w:sdt>
            <w:tc>
              <w:tcPr>
                <w:tcW w:w="1485" w:type="pct"/>
                <w:shd w:val="clear" w:color="auto" w:fill="auto"/>
                <w:vAlign w:val="center"/>
              </w:tcPr>
              <w:p>
                <w:pPr>
                  <w:jc w:val="right"/>
                </w:pPr>
                <w:r>
                  <w:t>8,941,646.00</w:t>
                </w:r>
              </w:p>
            </w:tc>
            <w:tc>
              <w:tcPr>
                <w:tcW w:w="1498" w:type="pct"/>
                <w:shd w:val="clear" w:color="auto" w:fill="auto"/>
                <w:vAlign w:val="center"/>
              </w:tcPr>
              <w:p>
                <w:pPr>
                  <w:jc w:val="right"/>
                </w:pPr>
                <w:r>
                  <w:t>5,820,267.59</w:t>
                </w:r>
              </w:p>
            </w:tc>
          </w:tr>
        </w:tbl>
        <w:p>
          <w:pPr>
            <w:pStyle w:val="114"/>
          </w:pPr>
          <w:r>
            <w:rPr>
              <w:rFonts w:hint="eastAsia"/>
            </w:rPr>
            <w:t>其他</w:t>
          </w:r>
          <w:r>
            <w:t>说明</w:t>
          </w:r>
          <w:r>
            <w:rPr>
              <w:rFonts w:hint="eastAsia"/>
            </w:rPr>
            <w:t>：</w:t>
          </w:r>
        </w:p>
        <w:sdt>
          <w:sdtPr>
            <w:alias w:val="信用减值损失其他说明"/>
            <w:tag w:val="_GBC_bb0ec45413144929857be6dfa37bb50b"/>
            <w:id w:val="-915474571"/>
            <w:lock w:val="sdtLocked"/>
            <w:placeholder>
              <w:docPart w:val="GBC22222222222222222222222222222"/>
            </w:placeholder>
          </w:sdtPr>
          <w:sdtContent>
            <w:p>
              <w:pPr>
                <w:pStyle w:val="114"/>
              </w:pPr>
              <w:r>
                <w:rPr>
                  <w:rFonts w:hint="eastAsia"/>
                </w:rPr>
                <w:t>不适用</w:t>
              </w:r>
            </w:p>
          </w:sdtContent>
        </w:sdt>
        <w:p>
          <w:pPr>
            <w:pStyle w:val="114"/>
          </w:pPr>
        </w:p>
      </w:sdtContent>
    </w:sdt>
    <w:bookmarkEnd w:id="246"/>
    <w:p>
      <w:pPr>
        <w:pStyle w:val="114"/>
      </w:pPr>
    </w:p>
    <w:sdt>
      <w:sdtPr>
        <w:rPr>
          <w:rFonts w:hint="eastAsia" w:ascii="宋体" w:hAnsi="宋体" w:cs="宋体"/>
          <w:b w:val="0"/>
          <w:bCs w:val="0"/>
          <w:kern w:val="0"/>
          <w:szCs w:val="21"/>
        </w:rPr>
        <w:alias w:val="模块:资产减值损失"/>
        <w:tag w:val="_GBC_e0187e33fb024605af673daabe2f7861"/>
        <w:id w:val="-842088314"/>
        <w:lock w:val="sdtLocked"/>
        <w:placeholder>
          <w:docPart w:val="GBC22222222222222222222222222222"/>
        </w:placeholder>
      </w:sdtPr>
      <w:sdtEndPr>
        <w:rPr>
          <w:rFonts w:hint="default" w:ascii="宋体" w:hAnsi="宋体" w:cs="宋体"/>
          <w:b w:val="0"/>
          <w:bCs w:val="0"/>
          <w:kern w:val="0"/>
          <w:szCs w:val="22"/>
        </w:rPr>
      </w:sdtEndPr>
      <w:sdtContent>
        <w:p>
          <w:pPr>
            <w:pStyle w:val="4"/>
            <w:numPr>
              <w:ilvl w:val="0"/>
              <w:numId w:val="51"/>
            </w:numPr>
            <w:tabs>
              <w:tab w:val="left" w:pos="504"/>
            </w:tabs>
            <w:rPr>
              <w:rFonts w:ascii="宋体" w:hAnsi="宋体"/>
              <w:szCs w:val="21"/>
            </w:rPr>
          </w:pPr>
          <w:r>
            <w:rPr>
              <w:rFonts w:hint="eastAsia" w:ascii="宋体" w:hAnsi="宋体"/>
              <w:szCs w:val="21"/>
            </w:rPr>
            <w:t>资产减值损失</w:t>
          </w:r>
        </w:p>
        <w:sdt>
          <w:sdtPr>
            <w:alias w:val="是否适用：资产减值损失[双击切换]"/>
            <w:tag w:val="_GBC_7fdc5881d69a48d59383942dbd2c2a3e"/>
            <w:id w:val="145459732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1"/>
        </w:rPr>
        <w:alias w:val="模块:资产处置收益"/>
        <w:tag w:val="_SEC_32e84127ca0a46b8896ad8e149c91048"/>
        <w:id w:val="23376690"/>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资产处置收益</w:t>
          </w:r>
        </w:p>
        <w:sdt>
          <w:sdtPr>
            <w:rPr>
              <w:rFonts w:hint="eastAsia"/>
            </w:rPr>
            <w:alias w:val="是否适用：资产处置收益[双击切换]"/>
            <w:tag w:val="_GBC_9e584d6f46c648d195946caa434a4619"/>
            <w:id w:val="745772795"/>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bCs/>
            </w:rPr>
          </w:pPr>
          <w:r>
            <w:t>单位：</w:t>
          </w:r>
          <w:sdt>
            <w:sdtPr>
              <w:rPr>
                <w:bCs/>
              </w:rPr>
              <w:alias w:val="单位：资产处置收益明细"/>
              <w:tag w:val="_GBC_72dc168499e249b988d6753a6df1ce44"/>
              <w:id w:val="-211204671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bCs/>
              </w:rPr>
            </w:sdtEndPr>
            <w:sdtContent>
              <w:r>
                <w:t>元</w:t>
              </w:r>
            </w:sdtContent>
          </w:sdt>
          <w:r>
            <w:t xml:space="preserve">  币种：</w:t>
          </w:r>
          <w:sdt>
            <w:sdtPr>
              <w:rPr>
                <w:bCs/>
              </w:rPr>
              <w:alias w:val="币种：资产处置收益明细"/>
              <w:tag w:val="_GBC_d68880ec5b074fdc8846b703ead631e2"/>
              <w:id w:val="-404530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bCs/>
              </w:rPr>
            </w:sdtEndPr>
            <w:sdtContent>
              <w:r>
                <w:t>人民币</w:t>
              </w:r>
            </w:sdtContent>
          </w:sdt>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6"/>
            <w:gridCol w:w="2951"/>
            <w:gridCol w:w="2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6" w:type="dxa"/>
              </w:tcPr>
              <w:sdt>
                <w:sdtPr>
                  <w:rPr>
                    <w:rFonts w:hint="eastAsia" w:ascii="Times New Roman" w:hAnsi="Times New Roman"/>
                  </w:rPr>
                  <w:tag w:val="_PLD_5ae5d7d7d48342e7bc1da8d90a245459"/>
                  <w:id w:val="-1012983108"/>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项目</w:t>
                    </w:r>
                  </w:p>
                </w:sdtContent>
              </w:sdt>
            </w:tc>
            <w:tc>
              <w:tcPr>
                <w:tcW w:w="2951" w:type="dxa"/>
              </w:tcPr>
              <w:sdt>
                <w:sdtPr>
                  <w:rPr>
                    <w:rFonts w:hint="eastAsia" w:ascii="Times New Roman" w:hAnsi="Times New Roman"/>
                  </w:rPr>
                  <w:tag w:val="_PLD_879cf215b86c45c790218e646c831e7d"/>
                  <w:id w:val="-78828382"/>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本期发生额</w:t>
                    </w:r>
                  </w:p>
                </w:sdtContent>
              </w:sdt>
            </w:tc>
            <w:tc>
              <w:tcPr>
                <w:tcW w:w="2956" w:type="dxa"/>
              </w:tcPr>
              <w:sdt>
                <w:sdtPr>
                  <w:rPr>
                    <w:rFonts w:hint="eastAsia" w:ascii="Times New Roman" w:hAnsi="Times New Roman"/>
                  </w:rPr>
                  <w:tag w:val="_PLD_8860a002ccc44e14bf36aa3e10fb5d70"/>
                  <w:id w:val="-2092695597"/>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上期发生额</w:t>
                    </w:r>
                  </w:p>
                </w:sdtContent>
              </w:sdt>
            </w:tc>
          </w:tr>
          <w:sdt>
            <w:sdtPr>
              <w:rPr>
                <w:rFonts w:ascii="宋体" w:hAnsi="宋体" w:eastAsiaTheme="minorEastAsia" w:cstheme="minorBidi"/>
                <w:sz w:val="22"/>
                <w:szCs w:val="22"/>
              </w:rPr>
              <w:alias w:val="资产处置收益明细"/>
              <w:tag w:val="_TUP_4fb92e1c2e6d48c3ba0fd0e082ed3be0"/>
              <w:id w:val="-1315941811"/>
              <w:lock w:val="sdtLocked"/>
            </w:sdtPr>
            <w:sdtEndPr>
              <w:rPr>
                <w:rFonts w:ascii="宋体" w:hAnsi="宋体"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6" w:type="dxa"/>
                  </w:tcPr>
                  <w:p>
                    <w:pPr>
                      <w:pStyle w:val="114"/>
                      <w:widowControl w:val="0"/>
                      <w:jc w:val="both"/>
                      <w:rPr>
                        <w:rFonts w:ascii="Times New Roman" w:hAnsi="Times New Roman"/>
                      </w:rPr>
                    </w:pPr>
                    <w:r>
                      <w:rPr>
                        <w:rFonts w:ascii="Times New Roman" w:hAnsi="Times New Roman"/>
                      </w:rPr>
                      <w:t>固定资产处置利得</w:t>
                    </w:r>
                  </w:p>
                </w:tc>
                <w:tc>
                  <w:tcPr>
                    <w:tcW w:w="2951" w:type="dxa"/>
                  </w:tcPr>
                  <w:p>
                    <w:pPr>
                      <w:widowControl w:val="0"/>
                      <w:jc w:val="right"/>
                      <w:rPr>
                        <w:rFonts w:ascii="Times New Roman" w:hAnsi="Times New Roman"/>
                      </w:rPr>
                    </w:pPr>
                    <w:r>
                      <w:rPr>
                        <w:rFonts w:ascii="Times New Roman" w:hAnsi="Times New Roman"/>
                      </w:rPr>
                      <w:t>4,789,530.84</w:t>
                    </w:r>
                  </w:p>
                </w:tc>
                <w:tc>
                  <w:tcPr>
                    <w:tcW w:w="2956" w:type="dxa"/>
                  </w:tcPr>
                  <w:p>
                    <w:pPr>
                      <w:widowControl w:val="0"/>
                      <w:jc w:val="right"/>
                      <w:rPr>
                        <w:rFonts w:ascii="Times New Roman" w:hAnsi="Times New Roman"/>
                      </w:rPr>
                    </w:pPr>
                    <w:r>
                      <w:rPr>
                        <w:rFonts w:ascii="Times New Roman" w:hAnsi="Times New Roman"/>
                      </w:rPr>
                      <w:t>29,346,091.26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6" w:type="dxa"/>
              </w:tcPr>
              <w:sdt>
                <w:sdtPr>
                  <w:rPr>
                    <w:rFonts w:hint="eastAsia" w:ascii="Times New Roman" w:hAnsi="Times New Roman"/>
                  </w:rPr>
                  <w:tag w:val="_PLD_8313ddfe5809449c9ba5acf78ad5340a"/>
                  <w:id w:val="-1288496380"/>
                  <w:lock w:val="sdtLocked"/>
                </w:sdtPr>
                <w:sdtEndPr>
                  <w:rPr>
                    <w:rFonts w:hint="eastAsia" w:ascii="Times New Roman" w:hAnsi="Times New Roman"/>
                  </w:rPr>
                </w:sdtEndPr>
                <w:sdtContent>
                  <w:p>
                    <w:pPr>
                      <w:widowControl w:val="0"/>
                      <w:jc w:val="center"/>
                      <w:rPr>
                        <w:rFonts w:ascii="Times New Roman" w:hAnsi="Times New Roman"/>
                      </w:rPr>
                    </w:pPr>
                    <w:r>
                      <w:rPr>
                        <w:rFonts w:hint="eastAsia" w:ascii="Times New Roman" w:hAnsi="Times New Roman"/>
                      </w:rPr>
                      <w:t>合计</w:t>
                    </w:r>
                  </w:p>
                </w:sdtContent>
              </w:sdt>
            </w:tc>
            <w:tc>
              <w:tcPr>
                <w:tcW w:w="2951" w:type="dxa"/>
                <w:vAlign w:val="center"/>
              </w:tcPr>
              <w:p>
                <w:pPr>
                  <w:widowControl w:val="0"/>
                  <w:jc w:val="right"/>
                  <w:rPr>
                    <w:rFonts w:ascii="Times New Roman" w:hAnsi="Times New Roman"/>
                  </w:rPr>
                </w:pPr>
                <w:r>
                  <w:rPr>
                    <w:rFonts w:ascii="Times New Roman" w:hAnsi="Times New Roman"/>
                  </w:rPr>
                  <w:t>4,789,530.84</w:t>
                </w:r>
              </w:p>
            </w:tc>
            <w:tc>
              <w:tcPr>
                <w:tcW w:w="2956" w:type="dxa"/>
                <w:vAlign w:val="center"/>
              </w:tcPr>
              <w:p>
                <w:pPr>
                  <w:widowControl w:val="0"/>
                  <w:jc w:val="right"/>
                  <w:rPr>
                    <w:rFonts w:ascii="Times New Roman" w:hAnsi="Times New Roman"/>
                  </w:rPr>
                </w:pPr>
                <w:r>
                  <w:rPr>
                    <w:rFonts w:ascii="Times New Roman" w:hAnsi="Times New Roman"/>
                  </w:rPr>
                  <w:t>29,346,091.26</w:t>
                </w:r>
              </w:p>
            </w:tc>
          </w:tr>
        </w:tbl>
        <w:p>
          <w:pPr>
            <w:pStyle w:val="114"/>
          </w:pPr>
        </w:p>
        <w:p>
          <w:pPr>
            <w:pStyle w:val="114"/>
          </w:pPr>
          <w:r>
            <w:rPr>
              <w:rFonts w:hint="eastAsia"/>
            </w:rPr>
            <w:t>其他</w:t>
          </w:r>
          <w:r>
            <w:t>说明：</w:t>
          </w:r>
        </w:p>
        <w:sdt>
          <w:sdtPr>
            <w:rPr>
              <w:rFonts w:hint="eastAsia"/>
            </w:rPr>
            <w:alias w:val="是否适用：资产处置收益其他说明[双击切换]"/>
            <w:tag w:val="_GBC_15965d17bc0a4e6788b5c6faf8c51b58"/>
            <w:id w:val="-1560776437"/>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营业外收入</w:t>
      </w:r>
    </w:p>
    <w:sdt>
      <w:sdtPr>
        <w:rPr>
          <w:rFonts w:hint="eastAsia" w:cstheme="minorBidi"/>
          <w:bCs/>
          <w:szCs w:val="22"/>
        </w:rPr>
        <w:alias w:val="是否适用：营业外收入情况 [双击切换]"/>
        <w:tag w:val="_GBC_b6e9df1124844122abb2dde58392c605"/>
        <w:id w:val="-251196217"/>
        <w:lock w:val="sdtContentLocked"/>
        <w:placeholder>
          <w:docPart w:val="GBC22222222222222222222222222222"/>
        </w:placeholder>
      </w:sdtPr>
      <w:sdtEndPr>
        <w:rPr>
          <w:rFonts w:hint="eastAsia" w:cstheme="minorBidi"/>
          <w:bCs/>
          <w:szCs w:val="22"/>
        </w:rPr>
      </w:sdtEndPr>
      <w:sdtContent>
        <w:p>
          <w:pPr>
            <w:rPr>
              <w:rFonts w:cstheme="minorBidi"/>
              <w:bCs/>
              <w:szCs w:val="22"/>
            </w:rPr>
          </w:pPr>
          <w:r>
            <w:rPr>
              <w:rFonts w:cstheme="minorBidi"/>
              <w:bCs/>
              <w:szCs w:val="22"/>
            </w:rPr>
            <w:fldChar w:fldCharType="begin"/>
          </w:r>
          <w:r>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szCs w:val="22"/>
            </w:rPr>
            <w:instrText xml:space="preserve"> MACROBUTTON  SnrToggleCheckbox □不适用 </w:instrText>
          </w:r>
          <w:r>
            <w:rPr>
              <w:rFonts w:cstheme="minorBidi"/>
              <w:bCs/>
              <w:szCs w:val="22"/>
            </w:rPr>
            <w:fldChar w:fldCharType="end"/>
          </w:r>
        </w:p>
      </w:sdtContent>
    </w:sdt>
    <w:sdt>
      <w:sdtPr>
        <w:rPr>
          <w:rFonts w:hint="eastAsia"/>
        </w:rPr>
        <w:alias w:val="模块:营业外收入"/>
        <w:tag w:val="_SEC_62e5cfd7609742dd8d0ae51a88918288"/>
        <w:id w:val="-1865969627"/>
        <w:lock w:val="sdtLocked"/>
        <w:placeholder>
          <w:docPart w:val="GBC22222222222222222222222222222"/>
        </w:placeholder>
      </w:sdtPr>
      <w:sdtEndPr>
        <w:rPr>
          <w:rFonts w:hint="default"/>
        </w:rPr>
      </w:sdtEndPr>
      <w:sdtContent>
        <w:p>
          <w:pPr>
            <w:jc w:val="right"/>
          </w:pPr>
          <w:r>
            <w:rPr>
              <w:rFonts w:hint="eastAsia"/>
            </w:rPr>
            <w:t>单位：</w:t>
          </w:r>
          <w:sdt>
            <w:sdtPr>
              <w:rPr>
                <w:rFonts w:hint="eastAsia"/>
              </w:rPr>
              <w:alias w:val="单位：财务附注：营业外收入"/>
              <w:tag w:val="_GBC_dd93a692e0c045038f9ddf46f86e7289"/>
              <w:id w:val="-2004814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361132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1"/>
            <w:gridCol w:w="2306"/>
            <w:gridCol w:w="2315"/>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649e0d07dd047a497e69591bf3e322c"/>
                <w:id w:val="1308899612"/>
                <w:lock w:val="sdtLocked"/>
              </w:sdtPr>
              <w:sdtContent>
                <w:tc>
                  <w:tcPr>
                    <w:tcW w:w="11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项目</w:t>
                    </w:r>
                  </w:p>
                </w:tc>
              </w:sdtContent>
            </w:sdt>
            <w:sdt>
              <w:sdtPr>
                <w:tag w:val="_PLD_eabf358cb2c947a9b4e7bacb394074db"/>
                <w:id w:val="850149551"/>
                <w:lock w:val="sdtLocked"/>
              </w:sdtPr>
              <w:sdtContent>
                <w:tc>
                  <w:tcPr>
                    <w:tcW w:w="127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本期发生额</w:t>
                    </w:r>
                  </w:p>
                </w:tc>
              </w:sdtContent>
            </w:sdt>
            <w:sdt>
              <w:sdtPr>
                <w:tag w:val="_PLD_0469d808d7334ff0ab3460273b0c8f8f"/>
                <w:id w:val="-672417288"/>
                <w:lock w:val="sdtLocked"/>
              </w:sdtPr>
              <w:sdtContent>
                <w:tc>
                  <w:tcPr>
                    <w:tcW w:w="1279"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上期发生额</w:t>
                    </w:r>
                  </w:p>
                </w:tc>
              </w:sdtContent>
            </w:sdt>
            <w:sdt>
              <w:sdtPr>
                <w:tag w:val="_PLD_121bda757dda46918753fabf9329298f"/>
                <w:id w:val="-958486477"/>
                <w:lock w:val="sdtLocked"/>
              </w:sdtPr>
              <w:sdtContent>
                <w:tc>
                  <w:tcPr>
                    <w:tcW w:w="128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FF0000"/>
                      </w:rPr>
                    </w:pPr>
                    <w:r>
                      <w:rPr>
                        <w:rFonts w:hint="eastAsia"/>
                      </w:rPr>
                      <w:t>计入当期非经常性损益的金额</w:t>
                    </w:r>
                  </w:p>
                </w:tc>
              </w:sdtContent>
            </w:sdt>
          </w:tr>
          <w:sdt>
            <w:sdtPr>
              <w:rPr>
                <w:rFonts w:hint="eastAsia"/>
              </w:rPr>
              <w:alias w:val="营业外收入明细"/>
              <w:tag w:val="_GBC_fd02acc867064481b957560afa744c85"/>
              <w:id w:val="54633874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7" w:type="pct"/>
                    <w:tcBorders>
                      <w:top w:val="single" w:color="auto" w:sz="4" w:space="0"/>
                      <w:left w:val="single" w:color="auto" w:sz="4" w:space="0"/>
                      <w:bottom w:val="single" w:color="auto" w:sz="4" w:space="0"/>
                      <w:right w:val="single" w:color="auto" w:sz="4" w:space="0"/>
                    </w:tcBorders>
                  </w:tcPr>
                  <w:p>
                    <w:pPr>
                      <w:pStyle w:val="114"/>
                    </w:pPr>
                    <w:r>
                      <w:t>路产赔偿收入</w:t>
                    </w:r>
                  </w:p>
                </w:tc>
                <w:tc>
                  <w:tcPr>
                    <w:tcW w:w="1274" w:type="pct"/>
                    <w:tcBorders>
                      <w:top w:val="single" w:color="auto" w:sz="4" w:space="0"/>
                      <w:left w:val="single" w:color="auto" w:sz="4" w:space="0"/>
                      <w:bottom w:val="single" w:color="auto" w:sz="4" w:space="0"/>
                      <w:right w:val="single" w:color="auto" w:sz="4" w:space="0"/>
                    </w:tcBorders>
                  </w:tcPr>
                  <w:p>
                    <w:pPr>
                      <w:jc w:val="right"/>
                    </w:pPr>
                    <w:r>
                      <w:t>3,333,500.00</w:t>
                    </w:r>
                  </w:p>
                </w:tc>
                <w:tc>
                  <w:tcPr>
                    <w:tcW w:w="1279" w:type="pct"/>
                    <w:tcBorders>
                      <w:top w:val="single" w:color="auto" w:sz="4" w:space="0"/>
                      <w:left w:val="single" w:color="auto" w:sz="4" w:space="0"/>
                      <w:bottom w:val="single" w:color="auto" w:sz="4" w:space="0"/>
                      <w:right w:val="single" w:color="auto" w:sz="4" w:space="0"/>
                    </w:tcBorders>
                  </w:tcPr>
                  <w:p>
                    <w:pPr>
                      <w:jc w:val="right"/>
                    </w:pPr>
                    <w:r>
                      <w:t>3,402,800.00</w:t>
                    </w:r>
                  </w:p>
                </w:tc>
                <w:tc>
                  <w:tcPr>
                    <w:tcW w:w="1280" w:type="pct"/>
                    <w:tcBorders>
                      <w:top w:val="single" w:color="auto" w:sz="4" w:space="0"/>
                      <w:left w:val="single" w:color="auto" w:sz="4" w:space="0"/>
                      <w:bottom w:val="single" w:color="auto" w:sz="4" w:space="0"/>
                      <w:right w:val="single" w:color="auto" w:sz="4" w:space="0"/>
                    </w:tcBorders>
                  </w:tcPr>
                  <w:p>
                    <w:pPr>
                      <w:jc w:val="right"/>
                    </w:pPr>
                    <w:r>
                      <w:t>3,333,500.00</w:t>
                    </w:r>
                  </w:p>
                </w:tc>
              </w:tr>
            </w:sdtContent>
          </w:sdt>
          <w:sdt>
            <w:sdtPr>
              <w:rPr>
                <w:rFonts w:hint="eastAsia"/>
              </w:rPr>
              <w:alias w:val="营业外收入明细"/>
              <w:tag w:val="_GBC_fd02acc867064481b957560afa744c85"/>
              <w:id w:val="-70787206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7" w:type="pct"/>
                    <w:tcBorders>
                      <w:top w:val="single" w:color="auto" w:sz="4" w:space="0"/>
                      <w:left w:val="single" w:color="auto" w:sz="4" w:space="0"/>
                      <w:bottom w:val="single" w:color="auto" w:sz="4" w:space="0"/>
                      <w:right w:val="single" w:color="auto" w:sz="4" w:space="0"/>
                    </w:tcBorders>
                  </w:tcPr>
                  <w:p>
                    <w:pPr>
                      <w:pStyle w:val="114"/>
                    </w:pPr>
                    <w:r>
                      <w:t>其他</w:t>
                    </w:r>
                  </w:p>
                </w:tc>
                <w:tc>
                  <w:tcPr>
                    <w:tcW w:w="1274" w:type="pct"/>
                    <w:tcBorders>
                      <w:top w:val="single" w:color="auto" w:sz="4" w:space="0"/>
                      <w:left w:val="single" w:color="auto" w:sz="4" w:space="0"/>
                      <w:bottom w:val="single" w:color="auto" w:sz="4" w:space="0"/>
                      <w:right w:val="single" w:color="auto" w:sz="4" w:space="0"/>
                    </w:tcBorders>
                  </w:tcPr>
                  <w:p>
                    <w:pPr>
                      <w:jc w:val="right"/>
                    </w:pPr>
                    <w:r>
                      <w:t>4,825,297.75</w:t>
                    </w:r>
                  </w:p>
                </w:tc>
                <w:tc>
                  <w:tcPr>
                    <w:tcW w:w="1279" w:type="pct"/>
                    <w:tcBorders>
                      <w:top w:val="single" w:color="auto" w:sz="4" w:space="0"/>
                      <w:left w:val="single" w:color="auto" w:sz="4" w:space="0"/>
                      <w:bottom w:val="single" w:color="auto" w:sz="4" w:space="0"/>
                      <w:right w:val="single" w:color="auto" w:sz="4" w:space="0"/>
                    </w:tcBorders>
                  </w:tcPr>
                  <w:p>
                    <w:pPr>
                      <w:jc w:val="right"/>
                    </w:pPr>
                    <w:r>
                      <w:t>1,946,167.82</w:t>
                    </w:r>
                  </w:p>
                </w:tc>
                <w:tc>
                  <w:tcPr>
                    <w:tcW w:w="1280" w:type="pct"/>
                    <w:tcBorders>
                      <w:top w:val="single" w:color="auto" w:sz="4" w:space="0"/>
                      <w:left w:val="single" w:color="auto" w:sz="4" w:space="0"/>
                      <w:bottom w:val="single" w:color="auto" w:sz="4" w:space="0"/>
                      <w:right w:val="single" w:color="auto" w:sz="4" w:space="0"/>
                    </w:tcBorders>
                  </w:tcPr>
                  <w:p>
                    <w:pPr>
                      <w:jc w:val="right"/>
                    </w:pPr>
                    <w:r>
                      <w:t>4,825,297.75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5918db321f1404aaddb2a14d0bd05fc"/>
                <w:id w:val="-2071182800"/>
                <w:lock w:val="sdtLocked"/>
              </w:sdtPr>
              <w:sdtContent>
                <w:tc>
                  <w:tcPr>
                    <w:tcW w:w="1167"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合计</w:t>
                    </w:r>
                  </w:p>
                </w:tc>
              </w:sdtContent>
            </w:sdt>
            <w:tc>
              <w:tcPr>
                <w:tcW w:w="1274" w:type="pct"/>
                <w:tcBorders>
                  <w:top w:val="single" w:color="auto" w:sz="4" w:space="0"/>
                  <w:left w:val="single" w:color="auto" w:sz="4" w:space="0"/>
                  <w:bottom w:val="single" w:color="auto" w:sz="4" w:space="0"/>
                  <w:right w:val="single" w:color="auto" w:sz="4" w:space="0"/>
                </w:tcBorders>
                <w:vAlign w:val="center"/>
              </w:tcPr>
              <w:p>
                <w:pPr>
                  <w:jc w:val="right"/>
                </w:pPr>
                <w:r>
                  <w:t>8,158,797.75</w:t>
                </w:r>
              </w:p>
            </w:tc>
            <w:tc>
              <w:tcPr>
                <w:tcW w:w="1279" w:type="pct"/>
                <w:tcBorders>
                  <w:top w:val="single" w:color="auto" w:sz="4" w:space="0"/>
                  <w:left w:val="single" w:color="auto" w:sz="4" w:space="0"/>
                  <w:bottom w:val="single" w:color="auto" w:sz="4" w:space="0"/>
                  <w:right w:val="single" w:color="auto" w:sz="4" w:space="0"/>
                </w:tcBorders>
                <w:vAlign w:val="center"/>
              </w:tcPr>
              <w:p>
                <w:pPr>
                  <w:jc w:val="right"/>
                </w:pPr>
                <w:r>
                  <w:t>5,348,967.82</w:t>
                </w:r>
              </w:p>
            </w:tc>
            <w:tc>
              <w:tcPr>
                <w:tcW w:w="128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pPr>
                <w:r>
                  <w:t>8,158,797.75</w:t>
                </w:r>
              </w:p>
            </w:tc>
          </w:tr>
        </w:tbl>
        <w:p>
          <w:pPr>
            <w:pStyle w:val="114"/>
          </w:pPr>
        </w:p>
      </w:sdtContent>
    </w:sdt>
    <w:sdt>
      <w:sdtPr>
        <w:rPr>
          <w:rFonts w:hint="eastAsia"/>
          <w:b/>
        </w:rPr>
        <w:alias w:val="模块:计入当期损益的政府补助"/>
        <w:tag w:val="_GBC_941e4c9023f94b758b05afb87d550363"/>
        <w:id w:val="-1527792082"/>
        <w:lock w:val="sdtLocked"/>
        <w:placeholder>
          <w:docPart w:val="GBC22222222222222222222222222222"/>
        </w:placeholder>
      </w:sdtPr>
      <w:sdtEndPr>
        <w:rPr>
          <w:rFonts w:hint="default"/>
          <w:b w:val="0"/>
        </w:rPr>
      </w:sdtEndPr>
      <w:sdtContent>
        <w:p>
          <w:pPr>
            <w:rPr>
              <w:rStyle w:val="47"/>
              <w:rFonts w:ascii="宋体" w:hAnsi="宋体"/>
              <w:b w:val="0"/>
              <w:szCs w:val="21"/>
            </w:rPr>
          </w:pPr>
          <w:r>
            <w:rPr>
              <w:rStyle w:val="47"/>
              <w:rFonts w:hint="eastAsia" w:ascii="宋体" w:hAnsi="宋体"/>
              <w:b w:val="0"/>
              <w:szCs w:val="21"/>
            </w:rPr>
            <w:t>计入当期</w:t>
          </w:r>
          <w:r>
            <w:rPr>
              <w:rFonts w:hint="eastAsia"/>
            </w:rPr>
            <w:t>损益</w:t>
          </w:r>
          <w:r>
            <w:rPr>
              <w:rStyle w:val="47"/>
              <w:rFonts w:hint="eastAsia" w:ascii="宋体" w:hAnsi="宋体"/>
              <w:b w:val="0"/>
              <w:szCs w:val="21"/>
            </w:rPr>
            <w:t>的政府补助</w:t>
          </w:r>
        </w:p>
        <w:sdt>
          <w:sdtPr>
            <w:rPr>
              <w:rStyle w:val="47"/>
              <w:rFonts w:ascii="宋体" w:hAnsi="宋体"/>
              <w:b w:val="0"/>
              <w:szCs w:val="21"/>
            </w:rPr>
            <w:alias w:val="是否适用：计入当期损益的政府补助[双击切换]"/>
            <w:tag w:val="_GBC_c8882fe165a24797aca3c402f799f006"/>
            <w:id w:val="780988710"/>
            <w:lock w:val="sdtLocked"/>
            <w:placeholder>
              <w:docPart w:val="GBC22222222222222222222222222222"/>
            </w:placeholder>
          </w:sdtPr>
          <w:sdtEndPr>
            <w:rPr>
              <w:rStyle w:val="47"/>
              <w:rFonts w:ascii="宋体" w:hAnsi="宋体"/>
              <w:b w:val="0"/>
              <w:szCs w:val="21"/>
            </w:rPr>
          </w:sdtEndPr>
          <w:sdtContent>
            <w:p>
              <w:pPr>
                <w:pStyle w:val="114"/>
              </w:pPr>
              <w:r>
                <w:rPr>
                  <w:rStyle w:val="47"/>
                  <w:rFonts w:ascii="宋体" w:hAnsi="宋体"/>
                  <w:b w:val="0"/>
                  <w:szCs w:val="21"/>
                </w:rPr>
                <w:fldChar w:fldCharType="begin"/>
              </w:r>
              <w:r>
                <w:rPr>
                  <w:rStyle w:val="47"/>
                  <w:rFonts w:ascii="宋体" w:hAnsi="宋体"/>
                  <w:b w:val="0"/>
                  <w:szCs w:val="21"/>
                </w:rPr>
                <w:instrText xml:space="preserve"> MACROBUTTON  SnrToggleCheckbox □适用 </w:instrText>
              </w:r>
              <w:r>
                <w:rPr>
                  <w:rStyle w:val="47"/>
                  <w:rFonts w:ascii="宋体" w:hAnsi="宋体"/>
                  <w:b w:val="0"/>
                  <w:szCs w:val="21"/>
                </w:rPr>
                <w:fldChar w:fldCharType="end"/>
              </w:r>
              <w:r>
                <w:rPr>
                  <w:rStyle w:val="47"/>
                  <w:rFonts w:ascii="宋体" w:hAnsi="宋体"/>
                  <w:b w:val="0"/>
                  <w:szCs w:val="21"/>
                </w:rPr>
                <w:fldChar w:fldCharType="begin"/>
              </w:r>
              <w:r>
                <w:rPr>
                  <w:rStyle w:val="47"/>
                  <w:rFonts w:ascii="宋体" w:hAnsi="宋体"/>
                  <w:b w:val="0"/>
                  <w:szCs w:val="21"/>
                </w:rPr>
                <w:instrText xml:space="preserve"> MACROBUTTON  SnrToggleCheckbox √不适用 </w:instrText>
              </w:r>
              <w:r>
                <w:rPr>
                  <w:rStyle w:val="47"/>
                  <w:rFonts w:ascii="宋体" w:hAnsi="宋体"/>
                  <w:b w:val="0"/>
                  <w:szCs w:val="21"/>
                </w:rPr>
                <w:fldChar w:fldCharType="end"/>
              </w:r>
            </w:p>
          </w:sdtContent>
        </w:sdt>
      </w:sdtContent>
    </w:sdt>
    <w:p>
      <w:pPr>
        <w:pStyle w:val="114"/>
      </w:pPr>
    </w:p>
    <w:sdt>
      <w:sdtPr>
        <w:rPr>
          <w:rFonts w:hint="eastAsia"/>
        </w:rPr>
        <w:alias w:val="模块:营业外收入说明"/>
        <w:tag w:val="_GBC_613f834d57f34b828d1fb937ee139a13"/>
        <w:id w:val="1347293151"/>
        <w:lock w:val="sdtLocked"/>
        <w:placeholder>
          <w:docPart w:val="GBC22222222222222222222222222222"/>
        </w:placeholder>
      </w:sdtPr>
      <w:sdtEndPr>
        <w:rPr>
          <w:rFonts w:hint="eastAsia"/>
        </w:rPr>
      </w:sdtEndPr>
      <w:sdtContent>
        <w:p>
          <w:pPr>
            <w:spacing w:line="360" w:lineRule="exact"/>
          </w:pPr>
          <w:r>
            <w:rPr>
              <w:rFonts w:hint="eastAsia"/>
            </w:rPr>
            <w:t>其他说明：</w:t>
          </w:r>
        </w:p>
        <w:sdt>
          <w:sdtPr>
            <w:alias w:val="是否适用：营业外收入说明[双击切换]"/>
            <w:tag w:val="_GBC_9bd4fc9f0fcc4e85bee85b3ce60c8b2c"/>
            <w:id w:val="121192352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营业外支出"/>
        <w:tag w:val="_GBC_7c51aa70be1f405d954dc316ed26b5b4"/>
        <w:id w:val="-1511139186"/>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营业外支出</w:t>
          </w:r>
        </w:p>
        <w:sdt>
          <w:sdtPr>
            <w:alias w:val="是否适用：营业外支出[双击切换]"/>
            <w:tag w:val="_GBC_6d4b8ac674ce425b8c798e92aa1fe455"/>
            <w:id w:val="6547319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营业外支出"/>
              <w:tag w:val="_GBC_f8678a9a1bbf4b0697744c5d21146839"/>
              <w:id w:val="-7482657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8023131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7"/>
            <w:gridCol w:w="2376"/>
            <w:gridCol w:w="2329"/>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abf292cb0a7463788e39d1bdabb85fc"/>
                <w:id w:val="1900097498"/>
                <w:lock w:val="sdtLocked"/>
              </w:sdtPr>
              <w:sdtContent>
                <w:tc>
                  <w:tcPr>
                    <w:tcW w:w="11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项目</w:t>
                    </w:r>
                  </w:p>
                </w:tc>
              </w:sdtContent>
            </w:sdt>
            <w:sdt>
              <w:sdtPr>
                <w:tag w:val="_PLD_36a30142728e41bb9c215b73cfe3204c"/>
                <w:id w:val="225038847"/>
                <w:lock w:val="sdtLocked"/>
              </w:sdtPr>
              <w:sdtContent>
                <w:tc>
                  <w:tcPr>
                    <w:tcW w:w="131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本期发生额</w:t>
                    </w:r>
                  </w:p>
                </w:tc>
              </w:sdtContent>
            </w:sdt>
            <w:sdt>
              <w:sdtPr>
                <w:tag w:val="_PLD_16b0936bf8024bdf99cf883b1827419f"/>
                <w:id w:val="-1625682488"/>
                <w:lock w:val="sdtLocked"/>
              </w:sdtPr>
              <w:sdtContent>
                <w:tc>
                  <w:tcPr>
                    <w:tcW w:w="128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上期发生额</w:t>
                    </w:r>
                  </w:p>
                </w:tc>
              </w:sdtContent>
            </w:sdt>
            <w:sdt>
              <w:sdtPr>
                <w:tag w:val="_PLD_92014506c2824f6fbe79731f91aa61bc"/>
                <w:id w:val="141471238"/>
                <w:lock w:val="sdtLocked"/>
              </w:sdtPr>
              <w:sdtContent>
                <w:tc>
                  <w:tcPr>
                    <w:tcW w:w="128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pPr>
                    <w:r>
                      <w:rPr>
                        <w:rFonts w:hint="eastAsia"/>
                      </w:rPr>
                      <w:t>计入当期非经常性损益的金额</w:t>
                    </w:r>
                  </w:p>
                </w:tc>
              </w:sdtContent>
            </w:sdt>
          </w:tr>
          <w:sdt>
            <w:sdtPr>
              <w:rPr>
                <w:rFonts w:hint="eastAsia"/>
              </w:rPr>
              <w:alias w:val="营业外支出明细"/>
              <w:tag w:val="_GBC_5b9df89383994b599a7029fc70bb3881"/>
              <w:id w:val="192930293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tcBorders>
                      <w:top w:val="single" w:color="auto" w:sz="4" w:space="0"/>
                      <w:left w:val="single" w:color="auto" w:sz="4" w:space="0"/>
                      <w:bottom w:val="single" w:color="auto" w:sz="4" w:space="0"/>
                      <w:right w:val="single" w:color="auto" w:sz="4" w:space="0"/>
                    </w:tcBorders>
                  </w:tcPr>
                  <w:p>
                    <w:pPr>
                      <w:pStyle w:val="114"/>
                    </w:pPr>
                    <w:r>
                      <w:t>固定资产报废损失</w:t>
                    </w:r>
                  </w:p>
                </w:tc>
                <w:tc>
                  <w:tcPr>
                    <w:tcW w:w="1313" w:type="pct"/>
                    <w:tcBorders>
                      <w:top w:val="single" w:color="auto" w:sz="4" w:space="0"/>
                      <w:left w:val="single" w:color="auto" w:sz="4" w:space="0"/>
                      <w:bottom w:val="single" w:color="auto" w:sz="4" w:space="0"/>
                      <w:right w:val="single" w:color="auto" w:sz="4" w:space="0"/>
                    </w:tcBorders>
                  </w:tcPr>
                  <w:p>
                    <w:pPr>
                      <w:jc w:val="right"/>
                    </w:pPr>
                    <w:r>
                      <w:t>275,060.13</w:t>
                    </w:r>
                  </w:p>
                </w:tc>
                <w:tc>
                  <w:tcPr>
                    <w:tcW w:w="1287" w:type="pct"/>
                    <w:tcBorders>
                      <w:top w:val="single" w:color="auto" w:sz="4" w:space="0"/>
                      <w:left w:val="single" w:color="auto" w:sz="4" w:space="0"/>
                      <w:bottom w:val="single" w:color="auto" w:sz="4" w:space="0"/>
                      <w:right w:val="single" w:color="auto" w:sz="4" w:space="0"/>
                    </w:tcBorders>
                  </w:tcPr>
                  <w:p>
                    <w:pPr>
                      <w:jc w:val="right"/>
                    </w:pPr>
                    <w:r>
                      <w:t>4,557.22</w:t>
                    </w:r>
                  </w:p>
                </w:tc>
                <w:tc>
                  <w:tcPr>
                    <w:tcW w:w="1280" w:type="pct"/>
                    <w:tcBorders>
                      <w:top w:val="single" w:color="auto" w:sz="4" w:space="0"/>
                      <w:left w:val="single" w:color="auto" w:sz="4" w:space="0"/>
                      <w:bottom w:val="single" w:color="auto" w:sz="4" w:space="0"/>
                      <w:right w:val="single" w:color="auto" w:sz="4" w:space="0"/>
                    </w:tcBorders>
                  </w:tcPr>
                  <w:p>
                    <w:pPr>
                      <w:jc w:val="right"/>
                    </w:pPr>
                    <w:r>
                      <w:t>275,060.13</w:t>
                    </w:r>
                  </w:p>
                </w:tc>
              </w:tr>
            </w:sdtContent>
          </w:sdt>
          <w:sdt>
            <w:sdtPr>
              <w:rPr>
                <w:rFonts w:hint="eastAsia"/>
              </w:rPr>
              <w:alias w:val="营业外支出明细"/>
              <w:tag w:val="_GBC_5b9df89383994b599a7029fc70bb3881"/>
              <w:id w:val="173134690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tcBorders>
                      <w:top w:val="single" w:color="auto" w:sz="4" w:space="0"/>
                      <w:left w:val="single" w:color="auto" w:sz="4" w:space="0"/>
                      <w:bottom w:val="single" w:color="auto" w:sz="4" w:space="0"/>
                      <w:right w:val="single" w:color="auto" w:sz="4" w:space="0"/>
                    </w:tcBorders>
                  </w:tcPr>
                  <w:p>
                    <w:pPr>
                      <w:pStyle w:val="114"/>
                    </w:pPr>
                    <w:r>
                      <w:t>路产损坏修复支出</w:t>
                    </w:r>
                  </w:p>
                </w:tc>
                <w:tc>
                  <w:tcPr>
                    <w:tcW w:w="1313" w:type="pct"/>
                    <w:tcBorders>
                      <w:top w:val="single" w:color="auto" w:sz="4" w:space="0"/>
                      <w:left w:val="single" w:color="auto" w:sz="4" w:space="0"/>
                      <w:bottom w:val="single" w:color="auto" w:sz="4" w:space="0"/>
                      <w:right w:val="single" w:color="auto" w:sz="4" w:space="0"/>
                    </w:tcBorders>
                  </w:tcPr>
                  <w:p>
                    <w:pPr>
                      <w:jc w:val="right"/>
                    </w:pPr>
                    <w:r>
                      <w:t>2,931,175.37</w:t>
                    </w:r>
                  </w:p>
                </w:tc>
                <w:tc>
                  <w:tcPr>
                    <w:tcW w:w="1287" w:type="pct"/>
                    <w:tcBorders>
                      <w:top w:val="single" w:color="auto" w:sz="4" w:space="0"/>
                      <w:left w:val="single" w:color="auto" w:sz="4" w:space="0"/>
                      <w:bottom w:val="single" w:color="auto" w:sz="4" w:space="0"/>
                      <w:right w:val="single" w:color="auto" w:sz="4" w:space="0"/>
                    </w:tcBorders>
                  </w:tcPr>
                  <w:p>
                    <w:pPr>
                      <w:jc w:val="right"/>
                    </w:pPr>
                    <w:r>
                      <w:t>8,861,124.74</w:t>
                    </w:r>
                  </w:p>
                </w:tc>
                <w:tc>
                  <w:tcPr>
                    <w:tcW w:w="1280" w:type="pct"/>
                    <w:tcBorders>
                      <w:top w:val="single" w:color="auto" w:sz="4" w:space="0"/>
                      <w:left w:val="single" w:color="auto" w:sz="4" w:space="0"/>
                      <w:bottom w:val="single" w:color="auto" w:sz="4" w:space="0"/>
                      <w:right w:val="single" w:color="auto" w:sz="4" w:space="0"/>
                    </w:tcBorders>
                  </w:tcPr>
                  <w:p>
                    <w:pPr>
                      <w:jc w:val="right"/>
                    </w:pPr>
                    <w:r>
                      <w:t>2,931,175.37</w:t>
                    </w:r>
                  </w:p>
                </w:tc>
              </w:tr>
            </w:sdtContent>
          </w:sdt>
          <w:sdt>
            <w:sdtPr>
              <w:rPr>
                <w:rFonts w:hint="eastAsia"/>
              </w:rPr>
              <w:alias w:val="营业外支出明细"/>
              <w:tag w:val="_GBC_5b9df89383994b599a7029fc70bb3881"/>
              <w:id w:val="96764019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tcBorders>
                      <w:top w:val="single" w:color="auto" w:sz="4" w:space="0"/>
                      <w:left w:val="single" w:color="auto" w:sz="4" w:space="0"/>
                      <w:bottom w:val="single" w:color="auto" w:sz="4" w:space="0"/>
                      <w:right w:val="single" w:color="auto" w:sz="4" w:space="0"/>
                    </w:tcBorders>
                  </w:tcPr>
                  <w:p>
                    <w:pPr>
                      <w:pStyle w:val="114"/>
                    </w:pPr>
                    <w:r>
                      <w:t>公益性捐赠支出</w:t>
                    </w:r>
                  </w:p>
                </w:tc>
                <w:tc>
                  <w:tcPr>
                    <w:tcW w:w="1313" w:type="pct"/>
                    <w:tcBorders>
                      <w:top w:val="single" w:color="auto" w:sz="4" w:space="0"/>
                      <w:left w:val="single" w:color="auto" w:sz="4" w:space="0"/>
                      <w:bottom w:val="single" w:color="auto" w:sz="4" w:space="0"/>
                      <w:right w:val="single" w:color="auto" w:sz="4" w:space="0"/>
                    </w:tcBorders>
                  </w:tcPr>
                  <w:p>
                    <w:pPr>
                      <w:jc w:val="right"/>
                    </w:pPr>
                    <w:r>
                      <w:t>800,000.00</w:t>
                    </w:r>
                  </w:p>
                </w:tc>
                <w:tc>
                  <w:tcPr>
                    <w:tcW w:w="1287" w:type="pct"/>
                    <w:tcBorders>
                      <w:top w:val="single" w:color="auto" w:sz="4" w:space="0"/>
                      <w:left w:val="single" w:color="auto" w:sz="4" w:space="0"/>
                      <w:bottom w:val="single" w:color="auto" w:sz="4" w:space="0"/>
                      <w:right w:val="single" w:color="auto" w:sz="4" w:space="0"/>
                    </w:tcBorders>
                  </w:tcPr>
                  <w:p>
                    <w:pPr>
                      <w:jc w:val="right"/>
                    </w:pPr>
                    <w:r>
                      <w:t>559,450.79</w:t>
                    </w:r>
                  </w:p>
                </w:tc>
                <w:tc>
                  <w:tcPr>
                    <w:tcW w:w="1280" w:type="pct"/>
                    <w:tcBorders>
                      <w:top w:val="single" w:color="auto" w:sz="4" w:space="0"/>
                      <w:left w:val="single" w:color="auto" w:sz="4" w:space="0"/>
                      <w:bottom w:val="single" w:color="auto" w:sz="4" w:space="0"/>
                      <w:right w:val="single" w:color="auto" w:sz="4" w:space="0"/>
                    </w:tcBorders>
                  </w:tcPr>
                  <w:p>
                    <w:pPr>
                      <w:jc w:val="right"/>
                    </w:pPr>
                    <w:r>
                      <w:t>800,000.00</w:t>
                    </w:r>
                  </w:p>
                </w:tc>
              </w:tr>
            </w:sdtContent>
          </w:sdt>
          <w:sdt>
            <w:sdtPr>
              <w:rPr>
                <w:rFonts w:hint="eastAsia"/>
              </w:rPr>
              <w:alias w:val="营业外支出明细"/>
              <w:tag w:val="_GBC_5b9df89383994b599a7029fc70bb3881"/>
              <w:id w:val="-568183063"/>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tcBorders>
                      <w:top w:val="single" w:color="auto" w:sz="4" w:space="0"/>
                      <w:left w:val="single" w:color="auto" w:sz="4" w:space="0"/>
                      <w:bottom w:val="single" w:color="auto" w:sz="4" w:space="0"/>
                      <w:right w:val="single" w:color="auto" w:sz="4" w:space="0"/>
                    </w:tcBorders>
                  </w:tcPr>
                  <w:p>
                    <w:pPr>
                      <w:pStyle w:val="114"/>
                    </w:pPr>
                    <w:r>
                      <w:t>延期交房违约金</w:t>
                    </w:r>
                  </w:p>
                </w:tc>
                <w:tc>
                  <w:tcPr>
                    <w:tcW w:w="1313" w:type="pct"/>
                    <w:tcBorders>
                      <w:top w:val="single" w:color="auto" w:sz="4" w:space="0"/>
                      <w:left w:val="single" w:color="auto" w:sz="4" w:space="0"/>
                      <w:bottom w:val="single" w:color="auto" w:sz="4" w:space="0"/>
                      <w:right w:val="single" w:color="auto" w:sz="4" w:space="0"/>
                    </w:tcBorders>
                  </w:tcPr>
                  <w:p>
                    <w:pPr>
                      <w:jc w:val="right"/>
                    </w:pPr>
                    <w:r>
                      <w:t>332,709.63</w:t>
                    </w:r>
                  </w:p>
                </w:tc>
                <w:tc>
                  <w:tcPr>
                    <w:tcW w:w="1287" w:type="pct"/>
                    <w:tcBorders>
                      <w:top w:val="single" w:color="auto" w:sz="4" w:space="0"/>
                      <w:left w:val="single" w:color="auto" w:sz="4" w:space="0"/>
                      <w:bottom w:val="single" w:color="auto" w:sz="4" w:space="0"/>
                      <w:right w:val="single" w:color="auto" w:sz="4" w:space="0"/>
                    </w:tcBorders>
                  </w:tcPr>
                  <w:p>
                    <w:pPr>
                      <w:jc w:val="right"/>
                    </w:pPr>
                    <w:r>
                      <w:t>-</w:t>
                    </w:r>
                  </w:p>
                </w:tc>
                <w:tc>
                  <w:tcPr>
                    <w:tcW w:w="1280" w:type="pct"/>
                    <w:tcBorders>
                      <w:top w:val="single" w:color="auto" w:sz="4" w:space="0"/>
                      <w:left w:val="single" w:color="auto" w:sz="4" w:space="0"/>
                      <w:bottom w:val="single" w:color="auto" w:sz="4" w:space="0"/>
                      <w:right w:val="single" w:color="auto" w:sz="4" w:space="0"/>
                    </w:tcBorders>
                  </w:tcPr>
                  <w:p>
                    <w:pPr>
                      <w:jc w:val="right"/>
                    </w:pPr>
                    <w:r>
                      <w:t>332,709.63</w:t>
                    </w:r>
                  </w:p>
                </w:tc>
              </w:tr>
            </w:sdtContent>
          </w:sdt>
          <w:sdt>
            <w:sdtPr>
              <w:rPr>
                <w:rFonts w:hint="eastAsia"/>
              </w:rPr>
              <w:alias w:val="营业外支出明细"/>
              <w:tag w:val="_GBC_5b9df89383994b599a7029fc70bb3881"/>
              <w:id w:val="-517312954"/>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tcBorders>
                      <w:top w:val="single" w:color="auto" w:sz="4" w:space="0"/>
                      <w:left w:val="single" w:color="auto" w:sz="4" w:space="0"/>
                      <w:bottom w:val="single" w:color="auto" w:sz="4" w:space="0"/>
                      <w:right w:val="single" w:color="auto" w:sz="4" w:space="0"/>
                    </w:tcBorders>
                  </w:tcPr>
                  <w:p>
                    <w:pPr>
                      <w:pStyle w:val="114"/>
                    </w:pPr>
                    <w:r>
                      <w:t>其他</w:t>
                    </w:r>
                  </w:p>
                </w:tc>
                <w:tc>
                  <w:tcPr>
                    <w:tcW w:w="1313" w:type="pct"/>
                    <w:tcBorders>
                      <w:top w:val="single" w:color="auto" w:sz="4" w:space="0"/>
                      <w:left w:val="single" w:color="auto" w:sz="4" w:space="0"/>
                      <w:bottom w:val="single" w:color="auto" w:sz="4" w:space="0"/>
                      <w:right w:val="single" w:color="auto" w:sz="4" w:space="0"/>
                    </w:tcBorders>
                  </w:tcPr>
                  <w:p>
                    <w:pPr>
                      <w:jc w:val="right"/>
                    </w:pPr>
                    <w:r>
                      <w:t>6,474,436.95</w:t>
                    </w:r>
                  </w:p>
                </w:tc>
                <w:tc>
                  <w:tcPr>
                    <w:tcW w:w="1287" w:type="pct"/>
                    <w:tcBorders>
                      <w:top w:val="single" w:color="auto" w:sz="4" w:space="0"/>
                      <w:left w:val="single" w:color="auto" w:sz="4" w:space="0"/>
                      <w:bottom w:val="single" w:color="auto" w:sz="4" w:space="0"/>
                      <w:right w:val="single" w:color="auto" w:sz="4" w:space="0"/>
                    </w:tcBorders>
                  </w:tcPr>
                  <w:p>
                    <w:pPr>
                      <w:jc w:val="right"/>
                    </w:pPr>
                    <w:r>
                      <w:t>408,277.65</w:t>
                    </w:r>
                  </w:p>
                </w:tc>
                <w:tc>
                  <w:tcPr>
                    <w:tcW w:w="1280" w:type="pct"/>
                    <w:tcBorders>
                      <w:top w:val="single" w:color="auto" w:sz="4" w:space="0"/>
                      <w:left w:val="single" w:color="auto" w:sz="4" w:space="0"/>
                      <w:bottom w:val="single" w:color="auto" w:sz="4" w:space="0"/>
                      <w:right w:val="single" w:color="auto" w:sz="4" w:space="0"/>
                    </w:tcBorders>
                  </w:tcPr>
                  <w:p>
                    <w:pPr>
                      <w:jc w:val="right"/>
                    </w:pPr>
                    <w:r>
                      <w:t>6,474,436.95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2b9d5e76f4549198980f8ca24fe3112"/>
                <w:id w:val="-597869240"/>
                <w:lock w:val="sdtLocked"/>
              </w:sdtPr>
              <w:sdtContent>
                <w:tc>
                  <w:tcPr>
                    <w:tcW w:w="1120" w:type="pct"/>
                    <w:tcBorders>
                      <w:top w:val="single" w:color="auto" w:sz="4" w:space="0"/>
                      <w:left w:val="single" w:color="auto" w:sz="4" w:space="0"/>
                      <w:bottom w:val="single" w:color="auto" w:sz="4" w:space="0"/>
                      <w:right w:val="single" w:color="auto" w:sz="4" w:space="0"/>
                    </w:tcBorders>
                  </w:tcPr>
                  <w:p>
                    <w:pPr>
                      <w:ind w:right="6"/>
                      <w:jc w:val="center"/>
                    </w:pPr>
                    <w:r>
                      <w:rPr>
                        <w:rFonts w:hint="eastAsia"/>
                      </w:rPr>
                      <w:t>合计</w:t>
                    </w:r>
                  </w:p>
                </w:tc>
              </w:sdtContent>
            </w:sdt>
            <w:tc>
              <w:tcPr>
                <w:tcW w:w="1313" w:type="pct"/>
                <w:tcBorders>
                  <w:top w:val="single" w:color="auto" w:sz="4" w:space="0"/>
                  <w:left w:val="single" w:color="auto" w:sz="4" w:space="0"/>
                  <w:bottom w:val="single" w:color="auto" w:sz="4" w:space="0"/>
                  <w:right w:val="single" w:color="auto" w:sz="4" w:space="0"/>
                </w:tcBorders>
                <w:vAlign w:val="center"/>
              </w:tcPr>
              <w:p>
                <w:pPr>
                  <w:jc w:val="right"/>
                </w:pPr>
                <w:r>
                  <w:t>10,813,382.08</w:t>
                </w:r>
              </w:p>
            </w:tc>
            <w:tc>
              <w:tcPr>
                <w:tcW w:w="1287" w:type="pct"/>
                <w:tcBorders>
                  <w:top w:val="single" w:color="auto" w:sz="4" w:space="0"/>
                  <w:left w:val="single" w:color="auto" w:sz="4" w:space="0"/>
                  <w:bottom w:val="single" w:color="auto" w:sz="4" w:space="0"/>
                  <w:right w:val="single" w:color="auto" w:sz="4" w:space="0"/>
                </w:tcBorders>
                <w:vAlign w:val="center"/>
              </w:tcPr>
              <w:p>
                <w:pPr>
                  <w:jc w:val="right"/>
                </w:pPr>
                <w:r>
                  <w:t>9,833,410.40</w:t>
                </w:r>
              </w:p>
            </w:tc>
            <w:tc>
              <w:tcPr>
                <w:tcW w:w="128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pPr>
                <w:r>
                  <w:t>10,813,382.08</w:t>
                </w:r>
              </w:p>
            </w:tc>
          </w:tr>
        </w:tbl>
        <w:p>
          <w:pPr>
            <w:spacing w:before="60" w:after="60"/>
          </w:pPr>
          <w:r>
            <w:rPr>
              <w:rFonts w:hint="eastAsia"/>
            </w:rPr>
            <w:t>其他说明：</w:t>
          </w:r>
        </w:p>
        <w:sdt>
          <w:sdtPr>
            <w:rPr>
              <w:rFonts w:hint="eastAsia"/>
            </w:rPr>
            <w:alias w:val="营业外支出说明"/>
            <w:tag w:val="_GBC_948d4d2c5cfc43b999d968de3476bc75"/>
            <w:id w:val="1268974298"/>
            <w:lock w:val="sdtLocked"/>
            <w:placeholder>
              <w:docPart w:val="GBC22222222222222222222222222222"/>
            </w:placeholder>
          </w:sdtPr>
          <w:sdtEndPr>
            <w:rPr>
              <w:rFonts w:hint="eastAsia"/>
            </w:rPr>
          </w:sdtEnd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所得税费用"/>
        <w:tag w:val="_GBC_c8eb4731730a4ca395e992a85b3eafe1"/>
        <w:id w:val="-1786177279"/>
        <w:lock w:val="sdtLocked"/>
        <w:placeholder>
          <w:docPart w:val="GBC22222222222222222222222222222"/>
        </w:placeholder>
      </w:sdtPr>
      <w:sdtEndPr>
        <w:rPr>
          <w:rFonts w:hint="default" w:ascii="宋体" w:hAnsi="宋体" w:cstheme="minorBidi"/>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所得税费用</w:t>
          </w:r>
        </w:p>
        <w:p>
          <w:pPr>
            <w:pStyle w:val="5"/>
            <w:numPr>
              <w:ilvl w:val="0"/>
              <w:numId w:val="81"/>
            </w:numPr>
            <w:rPr>
              <w:rFonts w:ascii="宋体" w:hAnsi="宋体"/>
            </w:rPr>
          </w:pPr>
          <w:r>
            <w:rPr>
              <w:rFonts w:hint="eastAsia" w:ascii="宋体" w:hAnsi="宋体"/>
            </w:rPr>
            <w:t>所得税费用表</w:t>
          </w:r>
        </w:p>
        <w:sdt>
          <w:sdtPr>
            <w:alias w:val="是否适用：所得税费用表[双击切换]"/>
            <w:tag w:val="_GBC_61ff35087b014685a6e03347957ab922"/>
            <w:id w:val="63267357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wordWrap w:val="0"/>
            <w:jc w:val="right"/>
          </w:pPr>
          <w:r>
            <w:rPr>
              <w:rFonts w:hint="eastAsia"/>
            </w:rPr>
            <w:t>单位：</w:t>
          </w:r>
          <w:sdt>
            <w:sdtPr>
              <w:rPr>
                <w:rFonts w:hint="eastAsia"/>
              </w:rPr>
              <w:alias w:val="单位：财务附注：所得税费用"/>
              <w:tag w:val="_GBC_18ed8ed511fe4791a90ee25fc956bd2b"/>
              <w:id w:val="12219404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13396067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3157"/>
            <w:gridCol w:w="2877"/>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trHeight w:val="87" w:hRule="atLeast"/>
            </w:trPr>
            <w:sdt>
              <w:sdtPr>
                <w:tag w:val="_PLD_951f380ec376457cb80126c7d6018f65"/>
                <w:id w:val="-893883855"/>
                <w:lock w:val="sdtLocked"/>
              </w:sdtPr>
              <w:sdtContent>
                <w:tc>
                  <w:tcPr>
                    <w:tcW w:w="1774" w:type="pct"/>
                    <w:vAlign w:val="center"/>
                  </w:tcPr>
                  <w:p>
                    <w:pPr>
                      <w:ind w:right="6"/>
                      <w:jc w:val="center"/>
                    </w:pPr>
                    <w:r>
                      <w:rPr>
                        <w:rFonts w:hint="eastAsia"/>
                      </w:rPr>
                      <w:t>项目</w:t>
                    </w:r>
                  </w:p>
                </w:tc>
              </w:sdtContent>
            </w:sdt>
            <w:sdt>
              <w:sdtPr>
                <w:tag w:val="_PLD_1e59791ce9d340b7b60e63b833f13708"/>
                <w:id w:val="918058463"/>
                <w:lock w:val="sdtLocked"/>
              </w:sdtPr>
              <w:sdtContent>
                <w:tc>
                  <w:tcPr>
                    <w:tcW w:w="1617" w:type="pct"/>
                    <w:vAlign w:val="center"/>
                  </w:tcPr>
                  <w:p>
                    <w:pPr>
                      <w:ind w:right="6"/>
                      <w:jc w:val="center"/>
                    </w:pPr>
                    <w:r>
                      <w:rPr>
                        <w:rFonts w:hint="eastAsia"/>
                      </w:rPr>
                      <w:t>本期发生额</w:t>
                    </w:r>
                  </w:p>
                </w:tc>
              </w:sdtContent>
            </w:sdt>
            <w:sdt>
              <w:sdtPr>
                <w:tag w:val="_PLD_23c0825dcbc74481a17a7811dee40e02"/>
                <w:id w:val="1272976052"/>
                <w:lock w:val="sdtLocked"/>
              </w:sdtPr>
              <w:sdtContent>
                <w:tc>
                  <w:tcPr>
                    <w:tcW w:w="1608" w:type="pct"/>
                    <w:vAlign w:val="center"/>
                  </w:tcPr>
                  <w:p>
                    <w:pPr>
                      <w:ind w:right="6"/>
                      <w:jc w:val="center"/>
                    </w:pPr>
                    <w:r>
                      <w:rPr>
                        <w:rFonts w:hint="eastAsia"/>
                      </w:rPr>
                      <w:t>上期发生额</w:t>
                    </w:r>
                  </w:p>
                </w:tc>
              </w:sdtContent>
            </w:sdt>
          </w:tr>
          <w:sdt>
            <w:sdtPr>
              <w:rPr>
                <w:rFonts w:hint="eastAsia"/>
              </w:rPr>
              <w:alias w:val="所得税明细"/>
              <w:tag w:val="_GBC_addf9f4d91c7433594594e23cb371f51"/>
              <w:id w:val="-98362078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c>
                  <w:tcPr>
                    <w:tcW w:w="1774" w:type="pct"/>
                  </w:tcPr>
                  <w:p>
                    <w:pPr>
                      <w:ind w:right="6"/>
                    </w:pPr>
                    <w:r>
                      <w:t>按税法及相关规定计算的当期所得税</w:t>
                    </w:r>
                  </w:p>
                </w:tc>
                <w:tc>
                  <w:tcPr>
                    <w:tcW w:w="1617" w:type="pct"/>
                  </w:tcPr>
                  <w:p>
                    <w:pPr>
                      <w:ind w:right="6"/>
                      <w:jc w:val="right"/>
                    </w:pPr>
                    <w:r>
                      <w:t>634,139,891.76</w:t>
                    </w:r>
                  </w:p>
                </w:tc>
                <w:tc>
                  <w:tcPr>
                    <w:tcW w:w="1608" w:type="pct"/>
                  </w:tcPr>
                  <w:p>
                    <w:pPr>
                      <w:ind w:right="6"/>
                      <w:jc w:val="right"/>
                    </w:pPr>
                    <w:r>
                      <w:t>438,977,073.28</w:t>
                    </w:r>
                  </w:p>
                </w:tc>
              </w:tr>
            </w:sdtContent>
          </w:sdt>
          <w:sdt>
            <w:sdtPr>
              <w:rPr>
                <w:rFonts w:hint="eastAsia"/>
              </w:rPr>
              <w:alias w:val="所得税明细"/>
              <w:tag w:val="_GBC_addf9f4d91c7433594594e23cb371f51"/>
              <w:id w:val="122441795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c>
                  <w:tcPr>
                    <w:tcW w:w="1774" w:type="pct"/>
                  </w:tcPr>
                  <w:p>
                    <w:pPr>
                      <w:ind w:right="6"/>
                    </w:pPr>
                    <w:r>
                      <w:t>递延所得税的变动</w:t>
                    </w:r>
                  </w:p>
                </w:tc>
                <w:tc>
                  <w:tcPr>
                    <w:tcW w:w="1617" w:type="pct"/>
                  </w:tcPr>
                  <w:p>
                    <w:pPr>
                      <w:ind w:right="6"/>
                      <w:jc w:val="right"/>
                    </w:pPr>
                    <w:r>
                      <w:t>11,693,428.57</w:t>
                    </w:r>
                  </w:p>
                </w:tc>
                <w:tc>
                  <w:tcPr>
                    <w:tcW w:w="1608" w:type="pct"/>
                  </w:tcPr>
                  <w:p>
                    <w:pPr>
                      <w:ind w:right="6"/>
                      <w:jc w:val="right"/>
                    </w:pPr>
                    <w:r>
                      <w:t>9,443,441.14</w:t>
                    </w:r>
                  </w:p>
                </w:tc>
              </w:tr>
            </w:sdtContent>
          </w:sdt>
          <w:sdt>
            <w:sdtPr>
              <w:rPr>
                <w:rFonts w:hint="eastAsia"/>
              </w:rPr>
              <w:alias w:val="所得税明细"/>
              <w:tag w:val="_GBC_addf9f4d91c7433594594e23cb371f51"/>
              <w:id w:val="196546303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c>
                  <w:tcPr>
                    <w:tcW w:w="1774" w:type="pct"/>
                  </w:tcPr>
                  <w:p>
                    <w:pPr>
                      <w:ind w:right="6"/>
                    </w:pPr>
                    <w:r>
                      <w:t>以前年度汇算清缴差异</w:t>
                    </w:r>
                  </w:p>
                </w:tc>
                <w:tc>
                  <w:tcPr>
                    <w:tcW w:w="1617" w:type="pct"/>
                  </w:tcPr>
                  <w:p>
                    <w:pPr>
                      <w:ind w:right="6"/>
                      <w:jc w:val="right"/>
                    </w:pPr>
                    <w:r>
                      <w:rPr>
                        <w:rFonts w:hint="eastAsia"/>
                      </w:rPr>
                      <w:t>-</w:t>
                    </w:r>
                    <w:r>
                      <w:t>17,341,425.67</w:t>
                    </w:r>
                  </w:p>
                </w:tc>
                <w:tc>
                  <w:tcPr>
                    <w:tcW w:w="1608" w:type="pct"/>
                  </w:tcPr>
                  <w:p>
                    <w:pPr>
                      <w:ind w:right="6"/>
                      <w:jc w:val="right"/>
                    </w:pPr>
                    <w:r>
                      <w:rPr>
                        <w:rFonts w:hint="eastAsia"/>
                      </w:rPr>
                      <w:t>-</w:t>
                    </w:r>
                    <w:r>
                      <w:t>965,973.30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10ad171e28bb4cf3957eba2cca611ce8"/>
                <w:id w:val="716322976"/>
                <w:lock w:val="sdtLocked"/>
              </w:sdtPr>
              <w:sdtContent>
                <w:tc>
                  <w:tcPr>
                    <w:tcW w:w="1774" w:type="pct"/>
                  </w:tcPr>
                  <w:p>
                    <w:pPr>
                      <w:ind w:right="6"/>
                      <w:jc w:val="center"/>
                    </w:pPr>
                    <w:r>
                      <w:rPr>
                        <w:rFonts w:hint="eastAsia"/>
                      </w:rPr>
                      <w:t>合计</w:t>
                    </w:r>
                  </w:p>
                </w:tc>
              </w:sdtContent>
            </w:sdt>
            <w:tc>
              <w:tcPr>
                <w:tcW w:w="1617" w:type="pct"/>
                <w:vAlign w:val="center"/>
              </w:tcPr>
              <w:p>
                <w:pPr>
                  <w:ind w:right="6"/>
                  <w:jc w:val="right"/>
                </w:pPr>
                <w:r>
                  <w:t>628,491,894.66</w:t>
                </w:r>
              </w:p>
            </w:tc>
            <w:tc>
              <w:tcPr>
                <w:tcW w:w="1608" w:type="pct"/>
                <w:vAlign w:val="center"/>
              </w:tcPr>
              <w:p>
                <w:pPr>
                  <w:ind w:right="6"/>
                  <w:jc w:val="right"/>
                </w:pPr>
                <w:r>
                  <w:t>447,454,541.12</w:t>
                </w:r>
              </w:p>
            </w:tc>
          </w:tr>
        </w:tbl>
        <w:p>
          <w:pPr>
            <w:pStyle w:val="114"/>
          </w:pPr>
        </w:p>
        <w:p>
          <w:pPr>
            <w:pStyle w:val="5"/>
            <w:numPr>
              <w:ilvl w:val="0"/>
              <w:numId w:val="81"/>
            </w:numPr>
            <w:rPr>
              <w:rFonts w:ascii="宋体" w:hAnsi="宋体"/>
              <w:szCs w:val="21"/>
            </w:rPr>
          </w:pPr>
          <w:r>
            <w:rPr>
              <w:rFonts w:hint="eastAsia" w:ascii="宋体" w:hAnsi="宋体"/>
              <w:szCs w:val="21"/>
            </w:rPr>
            <w:t>会计利润与</w:t>
          </w:r>
          <w:r>
            <w:rPr>
              <w:rFonts w:hint="eastAsia" w:ascii="宋体" w:hAnsi="宋体"/>
            </w:rPr>
            <w:t>所得税</w:t>
          </w:r>
          <w:r>
            <w:rPr>
              <w:rFonts w:hint="eastAsia" w:ascii="宋体" w:hAnsi="宋体"/>
              <w:szCs w:val="21"/>
            </w:rPr>
            <w:t>费用调整过程</w:t>
          </w:r>
        </w:p>
        <w:sdt>
          <w:sdtPr>
            <w:alias w:val="是否适用：会计利润与所得税费用调整过程[双击切换]"/>
            <w:tag w:val="_GBC_92a49ce6320645cc9101c809f426c9db"/>
            <w:id w:val="-124147570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会计利润与所得税费用调整过程"/>
              <w:tag w:val="_GBC_8b3d0d6296b944dcbc6077158d5eb7ca"/>
              <w:id w:val="12580316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会计利润与所得税费用调整过程"/>
              <w:tag w:val="_GBC_f07b399def8f4b49bdebcbb56994fb61"/>
              <w:id w:val="10193560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4301"/>
            <w:gridCol w:w="4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762c770e68ab4734ab4b1455db567f92"/>
                <w:id w:val="-1156919654"/>
                <w:lock w:val="sdtLocked"/>
              </w:sdtPr>
              <w:sdtContent>
                <w:tc>
                  <w:tcPr>
                    <w:tcW w:w="2419" w:type="pct"/>
                    <w:shd w:val="clear" w:color="auto" w:fill="auto"/>
                  </w:tcPr>
                  <w:p>
                    <w:pPr>
                      <w:jc w:val="center"/>
                    </w:pPr>
                    <w:r>
                      <w:rPr>
                        <w:rFonts w:hint="eastAsia"/>
                      </w:rPr>
                      <w:t>项目</w:t>
                    </w:r>
                  </w:p>
                </w:tc>
              </w:sdtContent>
            </w:sdt>
            <w:sdt>
              <w:sdtPr>
                <w:tag w:val="_PLD_dbffde77b3344828a64e53b9962d0e3a"/>
                <w:id w:val="1120649236"/>
                <w:lock w:val="sdtLocked"/>
              </w:sdtPr>
              <w:sdtContent>
                <w:tc>
                  <w:tcPr>
                    <w:tcW w:w="2581" w:type="pct"/>
                    <w:shd w:val="clear" w:color="auto" w:fill="auto"/>
                  </w:tcPr>
                  <w:p>
                    <w:pPr>
                      <w:jc w:val="center"/>
                    </w:pPr>
                    <w:r>
                      <w:rPr>
                        <w:rFonts w:hint="eastAsia"/>
                      </w:rPr>
                      <w:t>本期发生额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e49aa9df3fa0441889c07b63b32585c5"/>
                <w:id w:val="862407753"/>
                <w:lock w:val="sdtLocked"/>
              </w:sdtPr>
              <w:sdtContent>
                <w:tc>
                  <w:tcPr>
                    <w:tcW w:w="2419" w:type="pct"/>
                    <w:shd w:val="clear" w:color="auto" w:fill="auto"/>
                  </w:tcPr>
                  <w:p>
                    <w:pPr>
                      <w:ind w:right="6"/>
                      <w:rPr>
                        <w:b/>
                        <w:bCs/>
                      </w:rPr>
                    </w:pPr>
                    <w:r>
                      <w:rPr>
                        <w:rFonts w:hint="eastAsia"/>
                      </w:rPr>
                      <w:t>利润总额</w:t>
                    </w:r>
                  </w:p>
                </w:tc>
              </w:sdtContent>
            </w:sdt>
            <w:tc>
              <w:tcPr>
                <w:tcW w:w="2581" w:type="pct"/>
                <w:shd w:val="clear" w:color="auto" w:fill="auto"/>
              </w:tcPr>
              <w:p>
                <w:pPr>
                  <w:jc w:val="right"/>
                </w:pPr>
                <w:r>
                  <w:t>3,216,115,854.02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bcfd0d413e444c6f881fc95e048d73ce"/>
                <w:id w:val="-698394463"/>
                <w:lock w:val="sdtLocked"/>
              </w:sdtPr>
              <w:sdtContent>
                <w:tc>
                  <w:tcPr>
                    <w:tcW w:w="2419" w:type="pct"/>
                    <w:shd w:val="clear" w:color="auto" w:fill="auto"/>
                  </w:tcPr>
                  <w:p>
                    <w:pPr>
                      <w:ind w:right="6"/>
                    </w:pPr>
                    <w:r>
                      <w:rPr>
                        <w:rFonts w:hint="eastAsia"/>
                      </w:rPr>
                      <w:t>按法定</w:t>
                    </w:r>
                    <w:r>
                      <w:t>/</w:t>
                    </w:r>
                    <w:r>
                      <w:rPr>
                        <w:rFonts w:hint="eastAsia"/>
                      </w:rPr>
                      <w:t>适用税率计算的所得税费用</w:t>
                    </w:r>
                  </w:p>
                </w:tc>
              </w:sdtContent>
            </w:sdt>
            <w:tc>
              <w:tcPr>
                <w:tcW w:w="2581" w:type="pct"/>
                <w:shd w:val="clear" w:color="auto" w:fill="auto"/>
              </w:tcPr>
              <w:p>
                <w:pPr>
                  <w:jc w:val="right"/>
                </w:pPr>
                <w:r>
                  <w:t>804,028,963.51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trHeight w:val="139" w:hRule="atLeast"/>
            </w:trPr>
            <w:sdt>
              <w:sdtPr>
                <w:tag w:val="_PLD_dc5f6e856113456cb1312b5cf234201d"/>
                <w:id w:val="1667982269"/>
                <w:lock w:val="sdtLocked"/>
              </w:sdtPr>
              <w:sdtContent>
                <w:tc>
                  <w:tcPr>
                    <w:tcW w:w="2419" w:type="pct"/>
                    <w:shd w:val="clear" w:color="auto" w:fill="auto"/>
                  </w:tcPr>
                  <w:p>
                    <w:pPr>
                      <w:ind w:right="6"/>
                    </w:pPr>
                    <w:r>
                      <w:rPr>
                        <w:rFonts w:hint="eastAsia"/>
                      </w:rPr>
                      <w:t>子公司适用不同税率的影响</w:t>
                    </w:r>
                  </w:p>
                </w:tc>
              </w:sdtContent>
            </w:sdt>
            <w:tc>
              <w:tcPr>
                <w:tcW w:w="2581" w:type="pct"/>
                <w:shd w:val="clear" w:color="auto" w:fill="auto"/>
              </w:tcPr>
              <w:p>
                <w:pPr>
                  <w:jc w:val="right"/>
                </w:pPr>
                <w:r>
                  <w:t>-23,459,582.47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a18b0f1e64674563b277a2e43b991ab6"/>
                <w:id w:val="-1405216771"/>
                <w:lock w:val="sdtLocked"/>
              </w:sdtPr>
              <w:sdtContent>
                <w:tc>
                  <w:tcPr>
                    <w:tcW w:w="2419" w:type="pct"/>
                    <w:shd w:val="clear" w:color="auto" w:fill="auto"/>
                  </w:tcPr>
                  <w:p>
                    <w:pPr>
                      <w:ind w:right="6"/>
                    </w:pPr>
                    <w:r>
                      <w:rPr>
                        <w:rFonts w:hint="eastAsia"/>
                      </w:rPr>
                      <w:t>调整以前期间所得税的影响</w:t>
                    </w:r>
                  </w:p>
                </w:tc>
              </w:sdtContent>
            </w:sdt>
            <w:tc>
              <w:tcPr>
                <w:tcW w:w="2581" w:type="pct"/>
                <w:shd w:val="clear" w:color="auto" w:fill="auto"/>
              </w:tcPr>
              <w:p>
                <w:pPr>
                  <w:jc w:val="right"/>
                </w:pPr>
                <w:r>
                  <w:t>-17,341,425.67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451dd13012144866aaf62c35812344d7"/>
                <w:id w:val="-1854100327"/>
                <w:lock w:val="sdtLocked"/>
              </w:sdtPr>
              <w:sdtContent>
                <w:tc>
                  <w:tcPr>
                    <w:tcW w:w="2419" w:type="pct"/>
                    <w:shd w:val="clear" w:color="auto" w:fill="auto"/>
                  </w:tcPr>
                  <w:p>
                    <w:pPr>
                      <w:ind w:right="6"/>
                    </w:pPr>
                    <w:r>
                      <w:rPr>
                        <w:rFonts w:hint="eastAsia"/>
                      </w:rPr>
                      <w:t>非应税收入的影响</w:t>
                    </w:r>
                  </w:p>
                </w:tc>
              </w:sdtContent>
            </w:sdt>
            <w:tc>
              <w:tcPr>
                <w:tcW w:w="2581" w:type="pct"/>
                <w:shd w:val="clear" w:color="auto" w:fill="auto"/>
              </w:tcPr>
              <w:p>
                <w:pPr>
                  <w:jc w:val="right"/>
                </w:pPr>
                <w:r>
                  <w:t>-143,900,617.18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0906044dc7ff47d6ba8d4be46514c623"/>
                <w:id w:val="-834138753"/>
                <w:lock w:val="sdtLocked"/>
              </w:sdtPr>
              <w:sdtContent>
                <w:tc>
                  <w:tcPr>
                    <w:tcW w:w="2419" w:type="pct"/>
                    <w:shd w:val="clear" w:color="auto" w:fill="auto"/>
                  </w:tcPr>
                  <w:p>
                    <w:pPr>
                      <w:ind w:right="6"/>
                    </w:pPr>
                    <w:r>
                      <w:rPr>
                        <w:rFonts w:hint="eastAsia"/>
                      </w:rPr>
                      <w:t>不可抵扣的成本、费用和损失的影响</w:t>
                    </w:r>
                  </w:p>
                </w:tc>
              </w:sdtContent>
            </w:sdt>
            <w:tc>
              <w:tcPr>
                <w:tcW w:w="2581" w:type="pct"/>
                <w:shd w:val="clear" w:color="auto" w:fill="auto"/>
              </w:tcPr>
              <w:p>
                <w:pPr>
                  <w:jc w:val="right"/>
                </w:pPr>
                <w:r>
                  <w:t>17,919,643.44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958280e6456341698f323fb9f71bf973"/>
                <w:id w:val="395164376"/>
                <w:lock w:val="sdtLocked"/>
              </w:sdtPr>
              <w:sdtContent>
                <w:tc>
                  <w:tcPr>
                    <w:tcW w:w="2419" w:type="pct"/>
                    <w:shd w:val="clear" w:color="auto" w:fill="auto"/>
                  </w:tcPr>
                  <w:p>
                    <w:pPr>
                      <w:ind w:right="6"/>
                    </w:pPr>
                    <w:r>
                      <w:rPr>
                        <w:rFonts w:hint="eastAsia"/>
                      </w:rPr>
                      <w:t>使用前期未确认递延所得税资产的可抵扣亏损的影响</w:t>
                    </w:r>
                  </w:p>
                </w:tc>
              </w:sdtContent>
            </w:sdt>
            <w:tc>
              <w:tcPr>
                <w:tcW w:w="2581" w:type="pct"/>
                <w:shd w:val="clear" w:color="auto" w:fill="auto"/>
              </w:tcPr>
              <w:p>
                <w:pPr>
                  <w:jc w:val="right"/>
                </w:pPr>
                <w:r>
                  <w:t>-23,467,832.35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ba3d89f087964402b8cb1b2a58f5d0ba"/>
                <w:id w:val="1553960633"/>
                <w:lock w:val="sdtLocked"/>
              </w:sdtPr>
              <w:sdtContent>
                <w:tc>
                  <w:tcPr>
                    <w:tcW w:w="2419" w:type="pct"/>
                    <w:shd w:val="clear" w:color="auto" w:fill="auto"/>
                  </w:tcPr>
                  <w:p>
                    <w:pPr>
                      <w:ind w:right="6"/>
                    </w:pPr>
                    <w:r>
                      <w:rPr>
                        <w:rFonts w:hint="eastAsia"/>
                      </w:rPr>
                      <w:t>本期未确认递延所得税资产的可抵扣暂时性差异或可抵扣亏损的影响</w:t>
                    </w:r>
                  </w:p>
                </w:tc>
              </w:sdtContent>
            </w:sdt>
            <w:tc>
              <w:tcPr>
                <w:tcW w:w="2581" w:type="pct"/>
                <w:shd w:val="clear" w:color="auto" w:fill="auto"/>
              </w:tcPr>
              <w:p>
                <w:pPr>
                  <w:jc w:val="right"/>
                </w:pPr>
                <w:r>
                  <w:t>14,712,745.38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sdt>
              <w:sdtPr>
                <w:tag w:val="_PLD_2fe3b63863164c92a5502c41abff42f1"/>
                <w:id w:val="-1408382177"/>
                <w:lock w:val="sdtLocked"/>
              </w:sdtPr>
              <w:sdtContent>
                <w:tc>
                  <w:tcPr>
                    <w:tcW w:w="2419" w:type="pct"/>
                    <w:shd w:val="clear" w:color="auto" w:fill="auto"/>
                  </w:tcPr>
                  <w:p>
                    <w:pPr>
                      <w:pStyle w:val="114"/>
                    </w:pPr>
                    <w:r>
                      <w:rPr>
                        <w:rFonts w:hint="eastAsia"/>
                      </w:rPr>
                      <w:t>所得税费用</w:t>
                    </w:r>
                  </w:p>
                </w:tc>
              </w:sdtContent>
            </w:sdt>
            <w:tc>
              <w:tcPr>
                <w:tcW w:w="2581" w:type="pct"/>
                <w:shd w:val="clear" w:color="auto" w:fill="auto"/>
              </w:tcPr>
              <w:p>
                <w:pPr>
                  <w:jc w:val="right"/>
                </w:pPr>
                <w:r>
                  <w:t>628,491,894.66</w:t>
                </w:r>
              </w:p>
            </w:tc>
          </w:tr>
        </w:tbl>
        <w:p>
          <w:pPr>
            <w:pStyle w:val="114"/>
          </w:pPr>
        </w:p>
        <w:p>
          <w:pPr>
            <w:spacing w:before="60" w:after="60"/>
          </w:pPr>
          <w:r>
            <w:rPr>
              <w:rFonts w:hint="eastAsia"/>
            </w:rPr>
            <w:t>其他说明：</w:t>
          </w:r>
        </w:p>
        <w:sdt>
          <w:sdtPr>
            <w:alias w:val="是否适用：所得税费用的说明[双击切换]"/>
            <w:tag w:val="_GBC_0363d79a647b4d96aa5d7b72c93b1e45"/>
            <w:id w:val="-1009443586"/>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b/>
        </w:rPr>
      </w:pPr>
    </w:p>
    <w:sdt>
      <w:sdtPr>
        <w:rPr>
          <w:rFonts w:hint="eastAsia" w:ascii="宋体" w:hAnsi="宋体" w:cs="宋体"/>
          <w:b w:val="0"/>
          <w:bCs w:val="0"/>
          <w:kern w:val="0"/>
          <w:szCs w:val="21"/>
        </w:rPr>
        <w:alias w:val="模块:其他综合收益"/>
        <w:tag w:val="_GBC_a490950b62a146d9901e0aeb01787f97"/>
        <w:id w:val="190087217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其他综合收益</w:t>
          </w:r>
        </w:p>
        <w:sdt>
          <w:sdtPr>
            <w:alias w:val="是否适用：其他综合收益[双击切换]"/>
            <w:tag w:val="_GBC_bef6c47936994e5e94c77d5dd812be30"/>
            <w:id w:val="-179513377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sdt>
            <w:sdtPr>
              <w:rPr>
                <w:rFonts w:hint="eastAsia"/>
              </w:rPr>
              <w:alias w:val="其他综合收益详见附注"/>
              <w:tag w:val="_GBC_6f59ae7e2b78472ea4fa736cbb8f062d"/>
              <w:id w:val="1245992754"/>
              <w:lock w:val="sdtLocked"/>
              <w:placeholder>
                <w:docPart w:val="GBC22222222222222222222222222222"/>
              </w:placeholder>
            </w:sdtPr>
            <w:sdtEndPr>
              <w:rPr>
                <w:rFonts w:hint="eastAsia"/>
              </w:rPr>
            </w:sdtEndPr>
            <w:sdtContent>
              <w:r>
                <w:rPr>
                  <w:rFonts w:hint="eastAsia"/>
                </w:rPr>
                <w:t>详见附注七、5</w:t>
              </w:r>
              <w:r>
                <w:t>7</w:t>
              </w:r>
            </w:sdtContent>
          </w:sdt>
        </w:p>
      </w:sdtContent>
    </w:sdt>
    <w:p>
      <w:pPr>
        <w:pStyle w:val="114"/>
      </w:pPr>
    </w:p>
    <w:p>
      <w:pPr>
        <w:pStyle w:val="4"/>
        <w:numPr>
          <w:ilvl w:val="0"/>
          <w:numId w:val="51"/>
        </w:numPr>
        <w:tabs>
          <w:tab w:val="left" w:pos="504"/>
        </w:tabs>
        <w:rPr>
          <w:rFonts w:ascii="宋体" w:hAnsi="宋体"/>
          <w:szCs w:val="21"/>
        </w:rPr>
      </w:pPr>
      <w:r>
        <w:rPr>
          <w:rFonts w:hint="eastAsia" w:ascii="宋体" w:hAnsi="宋体"/>
          <w:szCs w:val="21"/>
        </w:rPr>
        <w:t>现金流量表项目</w:t>
      </w:r>
    </w:p>
    <w:sdt>
      <w:sdtPr>
        <w:rPr>
          <w:rFonts w:hint="eastAsia" w:ascii="宋体" w:hAnsi="宋体" w:cs="宋体"/>
          <w:b w:val="0"/>
          <w:bCs w:val="0"/>
          <w:kern w:val="0"/>
          <w:sz w:val="24"/>
          <w:szCs w:val="21"/>
        </w:rPr>
        <w:alias w:val="模块:收到的其他与经营活动有关的现金"/>
        <w:tag w:val="_GBC_aebbed0d25f14d50b64339a751dec4bd"/>
        <w:id w:val="1747846977"/>
        <w:lock w:val="sdtLocked"/>
        <w:placeholder>
          <w:docPart w:val="GBC22222222222222222222222222222"/>
        </w:placeholder>
      </w:sdtPr>
      <w:sdtEndPr>
        <w:rPr>
          <w:rFonts w:hint="default" w:ascii="宋体" w:hAnsi="宋体" w:cstheme="minorBidi"/>
          <w:b w:val="0"/>
          <w:bCs w:val="0"/>
          <w:kern w:val="2"/>
          <w:sz w:val="21"/>
          <w:szCs w:val="21"/>
        </w:rPr>
      </w:sdtEndPr>
      <w:sdtContent>
        <w:p>
          <w:pPr>
            <w:pStyle w:val="5"/>
            <w:numPr>
              <w:ilvl w:val="0"/>
              <w:numId w:val="82"/>
            </w:numPr>
            <w:tabs>
              <w:tab w:val="left" w:pos="700"/>
            </w:tabs>
            <w:rPr>
              <w:rFonts w:ascii="宋体" w:hAnsi="宋体"/>
              <w:szCs w:val="21"/>
            </w:rPr>
          </w:pPr>
          <w:r>
            <w:rPr>
              <w:rFonts w:hint="eastAsia" w:ascii="宋体" w:hAnsi="宋体"/>
              <w:szCs w:val="21"/>
            </w:rPr>
            <w:t>收到的其他与经营活动有关的现金</w:t>
          </w:r>
        </w:p>
        <w:sdt>
          <w:sdtPr>
            <w:alias w:val="是否适用：收到的其他与经营活动有关的现金[双击切换]"/>
            <w:tag w:val="_GBC_c5c1fd7856fd40f88e814da378eb1220"/>
            <w:id w:val="-41471304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收到的其他与经营活动有关的现金"/>
              <w:tag w:val="_GBC_5ccae82b68484e708f12fda90762616a"/>
              <w:id w:val="7840097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8130937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347"/>
            <w:gridCol w:w="2778"/>
            <w:gridCol w:w="2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20"/>
                  <w:szCs w:val="20"/>
                </w:rPr>
                <w:tag w:val="_PLD_37a08d49f8e14506929ae8c9544c259e"/>
                <w:id w:val="1533844309"/>
                <w:lock w:val="sdtLocked"/>
              </w:sdtPr>
              <w:sdtEndPr>
                <w:rPr>
                  <w:sz w:val="20"/>
                  <w:szCs w:val="20"/>
                </w:rPr>
              </w:sdtEndPr>
              <w:sdtContent>
                <w:tc>
                  <w:tcPr>
                    <w:tcW w:w="1882" w:type="pct"/>
                  </w:tcPr>
                  <w:p>
                    <w:pPr>
                      <w:autoSpaceDE w:val="0"/>
                      <w:autoSpaceDN w:val="0"/>
                      <w:adjustRightInd w:val="0"/>
                      <w:snapToGrid w:val="0"/>
                      <w:spacing w:line="240" w:lineRule="atLeast"/>
                      <w:jc w:val="center"/>
                      <w:rPr>
                        <w:sz w:val="20"/>
                        <w:szCs w:val="20"/>
                      </w:rPr>
                    </w:pPr>
                    <w:r>
                      <w:rPr>
                        <w:rFonts w:hint="eastAsia"/>
                        <w:sz w:val="20"/>
                        <w:szCs w:val="20"/>
                      </w:rPr>
                      <w:t>项目</w:t>
                    </w:r>
                  </w:p>
                </w:tc>
              </w:sdtContent>
            </w:sdt>
            <w:sdt>
              <w:sdtPr>
                <w:rPr>
                  <w:sz w:val="20"/>
                  <w:szCs w:val="20"/>
                </w:rPr>
                <w:tag w:val="_PLD_f6cb8d17057e4de79000a7b7c263b07e"/>
                <w:id w:val="1806969542"/>
                <w:lock w:val="sdtLocked"/>
              </w:sdtPr>
              <w:sdtEndPr>
                <w:rPr>
                  <w:sz w:val="20"/>
                  <w:szCs w:val="20"/>
                </w:rPr>
              </w:sdtEndPr>
              <w:sdtContent>
                <w:tc>
                  <w:tcPr>
                    <w:tcW w:w="1562" w:type="pct"/>
                  </w:tcPr>
                  <w:p>
                    <w:pPr>
                      <w:autoSpaceDE w:val="0"/>
                      <w:autoSpaceDN w:val="0"/>
                      <w:adjustRightInd w:val="0"/>
                      <w:snapToGrid w:val="0"/>
                      <w:spacing w:line="240" w:lineRule="atLeast"/>
                      <w:jc w:val="center"/>
                      <w:rPr>
                        <w:sz w:val="20"/>
                        <w:szCs w:val="20"/>
                      </w:rPr>
                    </w:pPr>
                    <w:r>
                      <w:rPr>
                        <w:rFonts w:hint="eastAsia"/>
                        <w:sz w:val="20"/>
                        <w:szCs w:val="20"/>
                      </w:rPr>
                      <w:t>本期发生额</w:t>
                    </w:r>
                  </w:p>
                </w:tc>
              </w:sdtContent>
            </w:sdt>
            <w:sdt>
              <w:sdtPr>
                <w:rPr>
                  <w:sz w:val="20"/>
                  <w:szCs w:val="20"/>
                </w:rPr>
                <w:tag w:val="_PLD_28d6db3ec51c43eb8751b53e93c8f270"/>
                <w:id w:val="1149793297"/>
                <w:lock w:val="sdtLocked"/>
              </w:sdtPr>
              <w:sdtEndPr>
                <w:rPr>
                  <w:sz w:val="20"/>
                  <w:szCs w:val="20"/>
                </w:rPr>
              </w:sdtEndPr>
              <w:sdtContent>
                <w:tc>
                  <w:tcPr>
                    <w:tcW w:w="1556" w:type="pct"/>
                  </w:tcPr>
                  <w:p>
                    <w:pPr>
                      <w:autoSpaceDE w:val="0"/>
                      <w:autoSpaceDN w:val="0"/>
                      <w:adjustRightInd w:val="0"/>
                      <w:snapToGrid w:val="0"/>
                      <w:spacing w:line="240" w:lineRule="atLeast"/>
                      <w:jc w:val="center"/>
                      <w:rPr>
                        <w:sz w:val="20"/>
                        <w:szCs w:val="20"/>
                      </w:rPr>
                    </w:pPr>
                    <w:r>
                      <w:rPr>
                        <w:rFonts w:hint="eastAsia"/>
                        <w:sz w:val="20"/>
                        <w:szCs w:val="20"/>
                      </w:rPr>
                      <w:t>上期发生额</w:t>
                    </w:r>
                  </w:p>
                </w:tc>
              </w:sdtContent>
            </w:sdt>
          </w:tr>
          <w:sdt>
            <w:sdtPr>
              <w:rPr>
                <w:rFonts w:hint="eastAsia"/>
                <w:sz w:val="20"/>
                <w:szCs w:val="20"/>
              </w:rPr>
              <w:alias w:val="收到的其他与经营活动有关的现金明细"/>
              <w:tag w:val="_GBC_339bc885f058400ca0c6b375c3f5b0d5"/>
              <w:id w:val="128292473"/>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spacing w:line="240" w:lineRule="atLeast"/>
                      <w:rPr>
                        <w:sz w:val="20"/>
                        <w:szCs w:val="20"/>
                      </w:rPr>
                    </w:pPr>
                    <w:r>
                      <w:rPr>
                        <w:sz w:val="20"/>
                        <w:szCs w:val="20"/>
                      </w:rPr>
                      <w:t>受限制货币资金的变动</w:t>
                    </w:r>
                  </w:p>
                </w:tc>
                <w:tc>
                  <w:tcPr>
                    <w:tcW w:w="1562" w:type="pct"/>
                    <w:vAlign w:val="bottom"/>
                  </w:tcPr>
                  <w:p>
                    <w:pPr>
                      <w:jc w:val="right"/>
                      <w:rPr>
                        <w:sz w:val="20"/>
                        <w:szCs w:val="20"/>
                      </w:rPr>
                    </w:pPr>
                    <w:r>
                      <w:rPr>
                        <w:sz w:val="20"/>
                        <w:szCs w:val="20"/>
                      </w:rPr>
                      <w:t>-</w:t>
                    </w:r>
                  </w:p>
                </w:tc>
                <w:tc>
                  <w:tcPr>
                    <w:tcW w:w="1556" w:type="pct"/>
                  </w:tcPr>
                  <w:p>
                    <w:pPr>
                      <w:jc w:val="right"/>
                      <w:rPr>
                        <w:sz w:val="20"/>
                        <w:szCs w:val="20"/>
                      </w:rPr>
                    </w:pPr>
                    <w:r>
                      <w:rPr>
                        <w:sz w:val="20"/>
                        <w:szCs w:val="20"/>
                      </w:rPr>
                      <w:t>27,483.26</w:t>
                    </w:r>
                  </w:p>
                </w:tc>
              </w:tr>
            </w:sdtContent>
          </w:sdt>
          <w:sdt>
            <w:sdtPr>
              <w:rPr>
                <w:rFonts w:hint="eastAsia"/>
                <w:sz w:val="20"/>
                <w:szCs w:val="20"/>
              </w:rPr>
              <w:alias w:val="收到的其他与经营活动有关的现金明细"/>
              <w:tag w:val="_GBC_339bc885f058400ca0c6b375c3f5b0d5"/>
              <w:id w:val="-195542863"/>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spacing w:line="240" w:lineRule="atLeast"/>
                      <w:rPr>
                        <w:sz w:val="20"/>
                        <w:szCs w:val="20"/>
                      </w:rPr>
                    </w:pPr>
                    <w:r>
                      <w:rPr>
                        <w:sz w:val="20"/>
                        <w:szCs w:val="20"/>
                      </w:rPr>
                      <w:t>收到的政府补助与营业外收入项目等</w:t>
                    </w:r>
                  </w:p>
                </w:tc>
                <w:tc>
                  <w:tcPr>
                    <w:tcW w:w="1562" w:type="pct"/>
                    <w:vAlign w:val="bottom"/>
                  </w:tcPr>
                  <w:p>
                    <w:pPr>
                      <w:jc w:val="right"/>
                      <w:rPr>
                        <w:sz w:val="20"/>
                        <w:szCs w:val="20"/>
                      </w:rPr>
                    </w:pPr>
                    <w:r>
                      <w:rPr>
                        <w:sz w:val="20"/>
                        <w:szCs w:val="20"/>
                      </w:rPr>
                      <w:t>115,679,522.15</w:t>
                    </w:r>
                  </w:p>
                </w:tc>
                <w:tc>
                  <w:tcPr>
                    <w:tcW w:w="1556" w:type="pct"/>
                  </w:tcPr>
                  <w:p>
                    <w:pPr>
                      <w:jc w:val="right"/>
                      <w:rPr>
                        <w:sz w:val="20"/>
                        <w:szCs w:val="20"/>
                      </w:rPr>
                    </w:pPr>
                    <w:r>
                      <w:rPr>
                        <w:sz w:val="20"/>
                        <w:szCs w:val="20"/>
                      </w:rPr>
                      <w:t>60,369,130.42</w:t>
                    </w:r>
                  </w:p>
                </w:tc>
              </w:tr>
            </w:sdtContent>
          </w:sdt>
          <w:sdt>
            <w:sdtPr>
              <w:rPr>
                <w:rFonts w:hint="eastAsia"/>
                <w:sz w:val="20"/>
                <w:szCs w:val="20"/>
              </w:rPr>
              <w:alias w:val="收到的其他与经营活动有关的现金明细"/>
              <w:tag w:val="_GBC_339bc885f058400ca0c6b375c3f5b0d5"/>
              <w:id w:val="503786825"/>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spacing w:line="240" w:lineRule="atLeast"/>
                      <w:rPr>
                        <w:sz w:val="20"/>
                        <w:szCs w:val="20"/>
                      </w:rPr>
                    </w:pPr>
                    <w:r>
                      <w:rPr>
                        <w:sz w:val="20"/>
                        <w:szCs w:val="20"/>
                      </w:rPr>
                      <w:t>收到的银行存款利息收入</w:t>
                    </w:r>
                  </w:p>
                </w:tc>
                <w:tc>
                  <w:tcPr>
                    <w:tcW w:w="1562" w:type="pct"/>
                    <w:vAlign w:val="bottom"/>
                  </w:tcPr>
                  <w:p>
                    <w:pPr>
                      <w:jc w:val="right"/>
                      <w:rPr>
                        <w:sz w:val="20"/>
                        <w:szCs w:val="20"/>
                      </w:rPr>
                    </w:pPr>
                    <w:r>
                      <w:rPr>
                        <w:sz w:val="20"/>
                        <w:szCs w:val="20"/>
                      </w:rPr>
                      <w:t>10,631,711.74</w:t>
                    </w:r>
                  </w:p>
                </w:tc>
                <w:tc>
                  <w:tcPr>
                    <w:tcW w:w="1556" w:type="pct"/>
                  </w:tcPr>
                  <w:p>
                    <w:pPr>
                      <w:jc w:val="right"/>
                      <w:rPr>
                        <w:sz w:val="20"/>
                        <w:szCs w:val="20"/>
                      </w:rPr>
                    </w:pPr>
                    <w:r>
                      <w:rPr>
                        <w:sz w:val="20"/>
                        <w:szCs w:val="20"/>
                      </w:rPr>
                      <w:t>7,164,447.09</w:t>
                    </w:r>
                  </w:p>
                </w:tc>
              </w:tr>
            </w:sdtContent>
          </w:sdt>
          <w:sdt>
            <w:sdtPr>
              <w:rPr>
                <w:rFonts w:hint="eastAsia"/>
                <w:sz w:val="20"/>
                <w:szCs w:val="20"/>
              </w:rPr>
              <w:alias w:val="收到的其他与经营活动有关的现金明细"/>
              <w:tag w:val="_GBC_339bc885f058400ca0c6b375c3f5b0d5"/>
              <w:id w:val="-1736006589"/>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spacing w:line="240" w:lineRule="atLeast"/>
                      <w:rPr>
                        <w:sz w:val="20"/>
                        <w:szCs w:val="20"/>
                      </w:rPr>
                    </w:pPr>
                    <w:r>
                      <w:rPr>
                        <w:rFonts w:hint="eastAsia"/>
                        <w:sz w:val="20"/>
                        <w:szCs w:val="20"/>
                      </w:rPr>
                      <w:t>代收工程款</w:t>
                    </w:r>
                  </w:p>
                </w:tc>
                <w:tc>
                  <w:tcPr>
                    <w:tcW w:w="1562" w:type="pct"/>
                    <w:vAlign w:val="bottom"/>
                  </w:tcPr>
                  <w:p>
                    <w:pPr>
                      <w:jc w:val="right"/>
                      <w:rPr>
                        <w:sz w:val="20"/>
                        <w:szCs w:val="20"/>
                      </w:rPr>
                    </w:pPr>
                    <w:r>
                      <w:rPr>
                        <w:sz w:val="20"/>
                        <w:szCs w:val="20"/>
                      </w:rPr>
                      <w:t>56,226,040.00</w:t>
                    </w:r>
                  </w:p>
                </w:tc>
                <w:tc>
                  <w:tcPr>
                    <w:tcW w:w="1556" w:type="pct"/>
                  </w:tcPr>
                  <w:p>
                    <w:pPr>
                      <w:jc w:val="right"/>
                      <w:rPr>
                        <w:sz w:val="20"/>
                        <w:szCs w:val="20"/>
                      </w:rPr>
                    </w:pPr>
                    <w:r>
                      <w:rPr>
                        <w:sz w:val="20"/>
                        <w:szCs w:val="20"/>
                      </w:rPr>
                      <w:t>-</w:t>
                    </w:r>
                  </w:p>
                </w:tc>
              </w:tr>
            </w:sdtContent>
          </w:sdt>
          <w:sdt>
            <w:sdtPr>
              <w:rPr>
                <w:rFonts w:hint="eastAsia"/>
                <w:sz w:val="20"/>
                <w:szCs w:val="20"/>
              </w:rPr>
              <w:alias w:val="收到的其他与经营活动有关的现金明细"/>
              <w:tag w:val="_GBC_339bc885f058400ca0c6b375c3f5b0d5"/>
              <w:id w:val="-87774654"/>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spacing w:line="240" w:lineRule="atLeast"/>
                      <w:rPr>
                        <w:sz w:val="20"/>
                        <w:szCs w:val="20"/>
                      </w:rPr>
                    </w:pPr>
                    <w:r>
                      <w:rPr>
                        <w:sz w:val="20"/>
                        <w:szCs w:val="20"/>
                      </w:rPr>
                      <w:t>融资保理业务收回</w:t>
                    </w:r>
                  </w:p>
                </w:tc>
                <w:tc>
                  <w:tcPr>
                    <w:tcW w:w="1562" w:type="pct"/>
                    <w:vAlign w:val="bottom"/>
                  </w:tcPr>
                  <w:p>
                    <w:pPr>
                      <w:jc w:val="right"/>
                      <w:rPr>
                        <w:sz w:val="20"/>
                        <w:szCs w:val="20"/>
                      </w:rPr>
                    </w:pPr>
                    <w:r>
                      <w:rPr>
                        <w:sz w:val="20"/>
                        <w:szCs w:val="20"/>
                      </w:rPr>
                      <w:t>318,326,787.40</w:t>
                    </w:r>
                  </w:p>
                </w:tc>
                <w:tc>
                  <w:tcPr>
                    <w:tcW w:w="1556" w:type="pct"/>
                  </w:tcPr>
                  <w:p>
                    <w:pPr>
                      <w:jc w:val="right"/>
                      <w:rPr>
                        <w:sz w:val="20"/>
                        <w:szCs w:val="20"/>
                      </w:rPr>
                    </w:pPr>
                    <w:r>
                      <w:rPr>
                        <w:sz w:val="20"/>
                        <w:szCs w:val="20"/>
                      </w:rPr>
                      <w:t>416,076,241.16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20"/>
                  <w:szCs w:val="20"/>
                </w:rPr>
                <w:tag w:val="_PLD_68684c586fce4c6e95f718cded68b47c"/>
                <w:id w:val="345526191"/>
                <w:lock w:val="sdtLocked"/>
              </w:sdtPr>
              <w:sdtEndPr>
                <w:rPr>
                  <w:sz w:val="20"/>
                  <w:szCs w:val="20"/>
                </w:rPr>
              </w:sdtEndPr>
              <w:sdtContent>
                <w:tc>
                  <w:tcPr>
                    <w:tcW w:w="1882" w:type="pct"/>
                  </w:tcPr>
                  <w:p>
                    <w:pPr>
                      <w:autoSpaceDE w:val="0"/>
                      <w:autoSpaceDN w:val="0"/>
                      <w:adjustRightInd w:val="0"/>
                      <w:snapToGrid w:val="0"/>
                      <w:spacing w:line="240" w:lineRule="atLeast"/>
                      <w:jc w:val="center"/>
                      <w:rPr>
                        <w:sz w:val="20"/>
                        <w:szCs w:val="20"/>
                      </w:rPr>
                    </w:pPr>
                    <w:r>
                      <w:rPr>
                        <w:rFonts w:hint="eastAsia"/>
                        <w:sz w:val="20"/>
                        <w:szCs w:val="20"/>
                      </w:rPr>
                      <w:t>合计</w:t>
                    </w:r>
                  </w:p>
                </w:tc>
              </w:sdtContent>
            </w:sdt>
            <w:tc>
              <w:tcPr>
                <w:tcW w:w="1562" w:type="pct"/>
                <w:vAlign w:val="center"/>
              </w:tcPr>
              <w:p>
                <w:pPr>
                  <w:jc w:val="right"/>
                  <w:rPr>
                    <w:sz w:val="20"/>
                    <w:szCs w:val="20"/>
                  </w:rPr>
                </w:pPr>
                <w:r>
                  <w:rPr>
                    <w:sz w:val="20"/>
                    <w:szCs w:val="20"/>
                  </w:rPr>
                  <w:t>500,864,061.29</w:t>
                </w:r>
              </w:p>
            </w:tc>
            <w:tc>
              <w:tcPr>
                <w:tcW w:w="1556" w:type="pct"/>
                <w:vAlign w:val="center"/>
              </w:tcPr>
              <w:p>
                <w:pPr>
                  <w:jc w:val="right"/>
                  <w:rPr>
                    <w:sz w:val="20"/>
                    <w:szCs w:val="20"/>
                  </w:rPr>
                </w:pPr>
                <w:r>
                  <w:rPr>
                    <w:sz w:val="20"/>
                    <w:szCs w:val="20"/>
                  </w:rPr>
                  <w:t>483,637,301.93</w:t>
                </w:r>
              </w:p>
            </w:tc>
          </w:tr>
        </w:tbl>
        <w:p>
          <w:pPr>
            <w:snapToGrid w:val="0"/>
            <w:spacing w:before="60" w:after="60" w:line="240" w:lineRule="atLeast"/>
          </w:pPr>
          <w:r>
            <w:rPr>
              <w:rFonts w:hint="eastAsia"/>
            </w:rPr>
            <w:t>收到的其他与经营活动有关的现金说明：</w:t>
          </w:r>
        </w:p>
        <w:sdt>
          <w:sdtPr>
            <w:alias w:val="收到的其他与经营活动有关的现金说明"/>
            <w:tag w:val="_GBC_1204b17e37bf4cc187a1ffb6f9463f05"/>
            <w:id w:val="1147628463"/>
            <w:lock w:val="sdtLocked"/>
            <w:placeholder>
              <w:docPart w:val="GBC22222222222222222222222222222"/>
            </w:placeholder>
          </w:sdtPr>
          <w:sdtContent>
            <w:p>
              <w:pPr>
                <w:pStyle w:val="114"/>
              </w:pPr>
              <w:r>
                <w:rPr>
                  <w:rFonts w:hint="eastAsia"/>
                </w:rPr>
                <w:t>无</w:t>
              </w:r>
            </w:p>
          </w:sdtContent>
        </w:sdt>
      </w:sdtContent>
    </w:sdt>
    <w:p>
      <w:pPr>
        <w:pStyle w:val="114"/>
      </w:pPr>
    </w:p>
    <w:sdt>
      <w:sdtPr>
        <w:rPr>
          <w:rFonts w:hint="eastAsia" w:ascii="宋体" w:hAnsi="宋体" w:cs="宋体"/>
          <w:b w:val="0"/>
          <w:bCs w:val="0"/>
          <w:kern w:val="0"/>
          <w:sz w:val="24"/>
          <w:szCs w:val="21"/>
        </w:rPr>
        <w:alias w:val="模块:支付的其他与经营活动有关的现金"/>
        <w:tag w:val="_GBC_3c8453861c4b4e94956633ec6c228388"/>
        <w:id w:val="1371650907"/>
        <w:lock w:val="sdtLocked"/>
        <w:placeholder>
          <w:docPart w:val="GBC22222222222222222222222222222"/>
        </w:placeholder>
      </w:sdtPr>
      <w:sdtEndPr>
        <w:rPr>
          <w:rFonts w:hint="eastAsia" w:ascii="宋体" w:hAnsi="宋体" w:cstheme="minorBidi"/>
          <w:b w:val="0"/>
          <w:bCs w:val="0"/>
          <w:kern w:val="2"/>
          <w:sz w:val="21"/>
          <w:szCs w:val="21"/>
        </w:rPr>
      </w:sdtEndPr>
      <w:sdtContent>
        <w:p>
          <w:pPr>
            <w:pStyle w:val="5"/>
            <w:numPr>
              <w:ilvl w:val="0"/>
              <w:numId w:val="82"/>
            </w:numPr>
            <w:tabs>
              <w:tab w:val="left" w:pos="700"/>
            </w:tabs>
            <w:rPr>
              <w:rFonts w:ascii="宋体" w:hAnsi="宋体"/>
              <w:szCs w:val="21"/>
            </w:rPr>
          </w:pPr>
          <w:r>
            <w:rPr>
              <w:rFonts w:hint="eastAsia" w:ascii="宋体" w:hAnsi="宋体"/>
              <w:szCs w:val="21"/>
            </w:rPr>
            <w:t>支付的其他与经营活动有关的现金</w:t>
          </w:r>
        </w:p>
        <w:sdt>
          <w:sdtPr>
            <w:alias w:val="是否适用：支付的其他与经营活动有关的现金[双击切换]"/>
            <w:tag w:val="_GBC_73331002c48743d9a4438c6eb4a07c95"/>
            <w:id w:val="-180685242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支付的其他与经营活动有关的现金"/>
              <w:tag w:val="_GBC_8252d4ac9be64f04b08b1dc08e270310"/>
              <w:id w:val="-13508724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7670462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347"/>
            <w:gridCol w:w="2759"/>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164da6d2b96e42688b06fe557d996ac2"/>
                <w:id w:val="1770280398"/>
                <w:lock w:val="sdtLocked"/>
              </w:sdtPr>
              <w:sdtContent>
                <w:tc>
                  <w:tcPr>
                    <w:tcW w:w="1882" w:type="pct"/>
                  </w:tcPr>
                  <w:p>
                    <w:pPr>
                      <w:autoSpaceDE w:val="0"/>
                      <w:autoSpaceDN w:val="0"/>
                      <w:adjustRightInd w:val="0"/>
                      <w:snapToGrid w:val="0"/>
                      <w:jc w:val="center"/>
                    </w:pPr>
                    <w:r>
                      <w:rPr>
                        <w:rFonts w:hint="eastAsia"/>
                      </w:rPr>
                      <w:t>项目</w:t>
                    </w:r>
                  </w:p>
                </w:tc>
              </w:sdtContent>
            </w:sdt>
            <w:sdt>
              <w:sdtPr>
                <w:tag w:val="_PLD_69d21b5f023448adbd8c69a7e96e585d"/>
                <w:id w:val="510032195"/>
                <w:lock w:val="sdtLocked"/>
              </w:sdtPr>
              <w:sdtContent>
                <w:tc>
                  <w:tcPr>
                    <w:tcW w:w="1551" w:type="pct"/>
                  </w:tcPr>
                  <w:p>
                    <w:pPr>
                      <w:autoSpaceDE w:val="0"/>
                      <w:autoSpaceDN w:val="0"/>
                      <w:adjustRightInd w:val="0"/>
                      <w:snapToGrid w:val="0"/>
                      <w:jc w:val="center"/>
                    </w:pPr>
                    <w:r>
                      <w:rPr>
                        <w:rFonts w:hint="eastAsia"/>
                      </w:rPr>
                      <w:t>本期发生额</w:t>
                    </w:r>
                  </w:p>
                </w:tc>
              </w:sdtContent>
            </w:sdt>
            <w:sdt>
              <w:sdtPr>
                <w:tag w:val="_PLD_fccf4811cdbb443297a0ce875715525f"/>
                <w:id w:val="1515492948"/>
                <w:lock w:val="sdtLocked"/>
              </w:sdtPr>
              <w:sdtContent>
                <w:tc>
                  <w:tcPr>
                    <w:tcW w:w="1567" w:type="pct"/>
                  </w:tcPr>
                  <w:p>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2023002532"/>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pPr>
                    <w:r>
                      <w:t>受限制货币资金的变动</w:t>
                    </w:r>
                  </w:p>
                </w:tc>
                <w:tc>
                  <w:tcPr>
                    <w:tcW w:w="1551" w:type="pct"/>
                  </w:tcPr>
                  <w:p>
                    <w:pPr>
                      <w:jc w:val="right"/>
                    </w:pPr>
                    <w:r>
                      <w:t>1,273,510.11</w:t>
                    </w:r>
                  </w:p>
                </w:tc>
                <w:tc>
                  <w:tcPr>
                    <w:tcW w:w="1567" w:type="pct"/>
                  </w:tcPr>
                  <w:p>
                    <w:pPr>
                      <w:jc w:val="right"/>
                    </w:pPr>
                    <w:r>
                      <w:t>-</w:t>
                    </w:r>
                  </w:p>
                </w:tc>
              </w:tr>
            </w:sdtContent>
          </w:sdt>
          <w:sdt>
            <w:sdtPr>
              <w:rPr>
                <w:rFonts w:hint="eastAsia"/>
              </w:rPr>
              <w:alias w:val="支付的其他与经营活动有关的现金明细"/>
              <w:tag w:val="_GBC_9880266c0e6f4e6b92c7692ef64ec140"/>
              <w:id w:val="44944755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pPr>
                    <w:r>
                      <w:t>支付非工资性费用等支出</w:t>
                    </w:r>
                  </w:p>
                </w:tc>
                <w:tc>
                  <w:tcPr>
                    <w:tcW w:w="1551" w:type="pct"/>
                  </w:tcPr>
                  <w:p>
                    <w:pPr>
                      <w:jc w:val="right"/>
                    </w:pPr>
                    <w:r>
                      <w:t>113,762,047.22</w:t>
                    </w:r>
                  </w:p>
                </w:tc>
                <w:tc>
                  <w:tcPr>
                    <w:tcW w:w="1567" w:type="pct"/>
                  </w:tcPr>
                  <w:p>
                    <w:pPr>
                      <w:jc w:val="right"/>
                    </w:pPr>
                    <w:r>
                      <w:t>105,199,245.59</w:t>
                    </w:r>
                  </w:p>
                </w:tc>
              </w:tr>
            </w:sdtContent>
          </w:sdt>
          <w:sdt>
            <w:sdtPr>
              <w:rPr>
                <w:rFonts w:hint="eastAsia"/>
              </w:rPr>
              <w:alias w:val="支付的其他与经营活动有关的现金明细"/>
              <w:tag w:val="_GBC_9880266c0e6f4e6b92c7692ef64ec140"/>
              <w:id w:val="209326767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pPr>
                    <w:r>
                      <w:t>融资保理业务支出</w:t>
                    </w:r>
                  </w:p>
                </w:tc>
                <w:tc>
                  <w:tcPr>
                    <w:tcW w:w="1551" w:type="pct"/>
                  </w:tcPr>
                  <w:p>
                    <w:pPr>
                      <w:jc w:val="right"/>
                    </w:pPr>
                    <w:r>
                      <w:t>209,792,461.11</w:t>
                    </w:r>
                  </w:p>
                </w:tc>
                <w:tc>
                  <w:tcPr>
                    <w:tcW w:w="1567" w:type="pct"/>
                  </w:tcPr>
                  <w:p>
                    <w:pPr>
                      <w:jc w:val="right"/>
                    </w:pPr>
                    <w:r>
                      <w:t>488,343,220.12</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4b68c0729f8e49a4ac82fb1d64daa6dc"/>
                <w:id w:val="896392321"/>
                <w:lock w:val="sdtLocked"/>
              </w:sdtPr>
              <w:sdtContent>
                <w:tc>
                  <w:tcPr>
                    <w:tcW w:w="1882" w:type="pct"/>
                  </w:tcPr>
                  <w:p>
                    <w:pPr>
                      <w:autoSpaceDE w:val="0"/>
                      <w:autoSpaceDN w:val="0"/>
                      <w:adjustRightInd w:val="0"/>
                      <w:snapToGrid w:val="0"/>
                      <w:jc w:val="center"/>
                    </w:pPr>
                    <w:r>
                      <w:rPr>
                        <w:rFonts w:hint="eastAsia"/>
                      </w:rPr>
                      <w:t>合计</w:t>
                    </w:r>
                  </w:p>
                </w:tc>
              </w:sdtContent>
            </w:sdt>
            <w:tc>
              <w:tcPr>
                <w:tcW w:w="1551" w:type="pct"/>
                <w:vAlign w:val="center"/>
              </w:tcPr>
              <w:p>
                <w:pPr>
                  <w:jc w:val="right"/>
                </w:pPr>
                <w:r>
                  <w:t>324,828,018.44</w:t>
                </w:r>
              </w:p>
            </w:tc>
            <w:tc>
              <w:tcPr>
                <w:tcW w:w="1567" w:type="pct"/>
                <w:vAlign w:val="center"/>
              </w:tcPr>
              <w:p>
                <w:pPr>
                  <w:jc w:val="right"/>
                </w:pPr>
                <w:r>
                  <w:t>593,542,465.71</w:t>
                </w:r>
              </w:p>
            </w:tc>
          </w:tr>
        </w:tbl>
        <w:p>
          <w:pPr>
            <w:spacing w:before="60" w:after="60"/>
          </w:pPr>
          <w:r>
            <w:rPr>
              <w:rFonts w:hint="eastAsia"/>
            </w:rPr>
            <w:t>支付的其他与经营活动有关的现金说明：</w:t>
          </w:r>
        </w:p>
        <w:sdt>
          <w:sdtPr>
            <w:rPr>
              <w:rFonts w:hint="eastAsia"/>
            </w:rPr>
            <w:alias w:val="支付的其他与经营活动有关的现金说明"/>
            <w:tag w:val="_GBC_632dc3caefd547b5b57f9340a021af22"/>
            <w:id w:val="-1671330596"/>
            <w:lock w:val="sdtLocked"/>
            <w:placeholder>
              <w:docPart w:val="GBC22222222222222222222222222222"/>
            </w:placeholder>
          </w:sdtPr>
          <w:sdtEndPr>
            <w:rPr>
              <w:rFonts w:hint="eastAsia"/>
            </w:rPr>
          </w:sdtEndPr>
          <w:sdtContent>
            <w:p>
              <w:pPr>
                <w:ind w:right="5"/>
              </w:pPr>
              <w:r>
                <w:rPr>
                  <w:rFonts w:hint="eastAsia"/>
                </w:rPr>
                <w:t>无</w:t>
              </w:r>
            </w:p>
          </w:sdtContent>
        </w:sdt>
      </w:sdtContent>
    </w:sdt>
    <w:p>
      <w:pPr>
        <w:spacing w:line="360" w:lineRule="exact"/>
        <w:ind w:right="5"/>
      </w:pPr>
    </w:p>
    <w:sdt>
      <w:sdtPr>
        <w:rPr>
          <w:rFonts w:hint="eastAsia" w:ascii="宋体" w:hAnsi="宋体" w:cs="宋体"/>
          <w:b w:val="0"/>
          <w:bCs w:val="0"/>
          <w:kern w:val="0"/>
          <w:sz w:val="24"/>
          <w:szCs w:val="21"/>
        </w:rPr>
        <w:alias w:val="模块:收到的其他与投资活动有关的现金"/>
        <w:tag w:val="_GBC_7d29c8348da547cab82786074f1b3249"/>
        <w:id w:val="414986135"/>
        <w:lock w:val="sdtLocked"/>
        <w:placeholder>
          <w:docPart w:val="GBC22222222222222222222222222222"/>
        </w:placeholder>
      </w:sdtPr>
      <w:sdtEndPr>
        <w:rPr>
          <w:rFonts w:hint="default" w:ascii="宋体" w:hAnsi="宋体" w:cstheme="minorBidi"/>
          <w:b w:val="0"/>
          <w:bCs w:val="0"/>
          <w:kern w:val="2"/>
          <w:sz w:val="21"/>
          <w:szCs w:val="21"/>
        </w:rPr>
      </w:sdtEndPr>
      <w:sdtContent>
        <w:p>
          <w:pPr>
            <w:pStyle w:val="5"/>
            <w:numPr>
              <w:ilvl w:val="0"/>
              <w:numId w:val="82"/>
            </w:numPr>
            <w:tabs>
              <w:tab w:val="left" w:pos="728"/>
            </w:tabs>
            <w:rPr>
              <w:rFonts w:ascii="宋体" w:hAnsi="宋体"/>
              <w:szCs w:val="21"/>
            </w:rPr>
          </w:pPr>
          <w:r>
            <w:rPr>
              <w:rFonts w:hint="eastAsia" w:ascii="宋体" w:hAnsi="宋体"/>
              <w:szCs w:val="21"/>
            </w:rPr>
            <w:t>收到的其他与投资活动有关的现金</w:t>
          </w:r>
        </w:p>
        <w:sdt>
          <w:sdtPr>
            <w:alias w:val="是否适用：收到的其他与投资活动有关的现金[双击切换]"/>
            <w:tag w:val="_GBC_ae3b1cf9e3aa408a8867e76d71769712"/>
            <w:id w:val="6261106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p>
      <w:pPr>
        <w:pStyle w:val="114"/>
      </w:pPr>
    </w:p>
    <w:sdt>
      <w:sdtPr>
        <w:rPr>
          <w:rFonts w:hint="eastAsia" w:ascii="宋体" w:hAnsi="宋体" w:cs="宋体"/>
          <w:b w:val="0"/>
          <w:bCs w:val="0"/>
          <w:kern w:val="0"/>
          <w:sz w:val="24"/>
          <w:szCs w:val="21"/>
        </w:rPr>
        <w:alias w:val="模块:支付的其他与投资活动有关的现金"/>
        <w:tag w:val="_GBC_fa501b3ede254af6bdfad826e328392a"/>
        <w:id w:val="1393611468"/>
        <w:lock w:val="sdtLocked"/>
        <w:placeholder>
          <w:docPart w:val="GBC22222222222222222222222222222"/>
        </w:placeholder>
      </w:sdtPr>
      <w:sdtEndPr>
        <w:rPr>
          <w:rFonts w:hint="eastAsia" w:ascii="宋体" w:hAnsi="宋体" w:cstheme="minorBidi"/>
          <w:b w:val="0"/>
          <w:bCs w:val="0"/>
          <w:kern w:val="2"/>
          <w:sz w:val="21"/>
          <w:szCs w:val="21"/>
        </w:rPr>
      </w:sdtEndPr>
      <w:sdtContent>
        <w:p>
          <w:pPr>
            <w:pStyle w:val="5"/>
            <w:numPr>
              <w:ilvl w:val="0"/>
              <w:numId w:val="82"/>
            </w:numPr>
            <w:tabs>
              <w:tab w:val="left" w:pos="728"/>
            </w:tabs>
            <w:rPr>
              <w:rFonts w:ascii="宋体" w:hAnsi="宋体"/>
              <w:szCs w:val="21"/>
            </w:rPr>
          </w:pPr>
          <w:r>
            <w:rPr>
              <w:rFonts w:hint="eastAsia" w:ascii="宋体" w:hAnsi="宋体"/>
              <w:szCs w:val="21"/>
            </w:rPr>
            <w:t>支付的其他与投资活动有关的现金</w:t>
          </w:r>
        </w:p>
        <w:sdt>
          <w:sdtPr>
            <w:alias w:val="是否适用：支付的其他与投资活动有关的现金[双击切换]"/>
            <w:tag w:val="_GBC_8862c0a38548482cb3b55a82757e3e33"/>
            <w:id w:val="-7027673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 w:val="24"/>
          <w:szCs w:val="21"/>
        </w:rPr>
        <w:alias w:val="模块:收到的其他与筹资活动有关的现金"/>
        <w:tag w:val="_GBC_6e57c618c25c498db37f205341e0c66a"/>
        <w:id w:val="-419799141"/>
        <w:lock w:val="sdtLocked"/>
        <w:placeholder>
          <w:docPart w:val="GBC22222222222222222222222222222"/>
        </w:placeholder>
      </w:sdtPr>
      <w:sdtEndPr>
        <w:rPr>
          <w:rFonts w:hint="eastAsia" w:ascii="宋体" w:hAnsi="宋体" w:cstheme="minorBidi"/>
          <w:b w:val="0"/>
          <w:bCs w:val="0"/>
          <w:kern w:val="2"/>
          <w:sz w:val="21"/>
          <w:szCs w:val="22"/>
        </w:rPr>
      </w:sdtEndPr>
      <w:sdtContent>
        <w:p>
          <w:pPr>
            <w:pStyle w:val="5"/>
            <w:numPr>
              <w:ilvl w:val="0"/>
              <w:numId w:val="82"/>
            </w:numPr>
            <w:rPr>
              <w:rFonts w:ascii="宋体" w:hAnsi="宋体"/>
              <w:szCs w:val="21"/>
            </w:rPr>
          </w:pPr>
          <w:r>
            <w:rPr>
              <w:rFonts w:hint="eastAsia" w:ascii="宋体" w:hAnsi="宋体"/>
              <w:szCs w:val="21"/>
            </w:rPr>
            <w:t>收到的其他与筹资活动有关的现金</w:t>
          </w:r>
        </w:p>
        <w:sdt>
          <w:sdtPr>
            <w:alias w:val="是否适用：收到的其他与筹资活动有关的现金[双击切换]"/>
            <w:tag w:val="_GBC_6e82da4b55134cf6aacd6132e71f2c27"/>
            <w:id w:val="142268072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 w:val="24"/>
          <w:szCs w:val="22"/>
        </w:rPr>
        <w:alias w:val="模块:支付的其他与筹资活动有关的现金"/>
        <w:tag w:val="_GBC_96162aa406234e2485524876a03968e7"/>
        <w:id w:val="1576853794"/>
        <w:lock w:val="sdtLocked"/>
        <w:placeholder>
          <w:docPart w:val="GBC22222222222222222222222222222"/>
        </w:placeholder>
      </w:sdtPr>
      <w:sdtEndPr>
        <w:rPr>
          <w:rFonts w:hint="eastAsia" w:ascii="宋体" w:hAnsi="宋体" w:cstheme="minorBidi"/>
          <w:b w:val="0"/>
          <w:bCs w:val="0"/>
          <w:kern w:val="2"/>
          <w:sz w:val="21"/>
          <w:szCs w:val="22"/>
        </w:rPr>
      </w:sdtEndPr>
      <w:sdtContent>
        <w:p>
          <w:pPr>
            <w:pStyle w:val="5"/>
            <w:numPr>
              <w:ilvl w:val="0"/>
              <w:numId w:val="82"/>
            </w:numPr>
            <w:rPr>
              <w:rFonts w:ascii="宋体" w:hAnsi="宋体"/>
              <w:szCs w:val="21"/>
            </w:rPr>
          </w:pPr>
          <w:r>
            <w:rPr>
              <w:rFonts w:hint="eastAsia" w:ascii="宋体" w:hAnsi="宋体"/>
              <w:szCs w:val="21"/>
            </w:rPr>
            <w:t>支付的其他与筹资活动有关的现金</w:t>
          </w:r>
        </w:p>
        <w:sdt>
          <w:sdtPr>
            <w:alias w:val="是否适用：支付的其他与筹资活动有关的现金[双击切换]"/>
            <w:tag w:val="_GBC_cf7fd4869f8d4d98a07243e22bf22793"/>
            <w:id w:val="37304455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支付的其他与筹资活动有关的现金"/>
              <w:tag w:val="_GBC_323ca3d874214911880818d387e0c63b"/>
              <w:id w:val="982431884"/>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支付的其他与筹资活动有关的现金"/>
              <w:tag w:val="_GBC_d6726952256941209f32bac8fffa568d"/>
              <w:id w:val="124137080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347"/>
            <w:gridCol w:w="2864"/>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2b9da6111f3f4cacb3afcfc0de00e1e9"/>
                <w:id w:val="-685835186"/>
                <w:lock w:val="sdtLocked"/>
              </w:sdtPr>
              <w:sdtContent>
                <w:tc>
                  <w:tcPr>
                    <w:tcW w:w="1882" w:type="pct"/>
                  </w:tcPr>
                  <w:p>
                    <w:pPr>
                      <w:autoSpaceDE w:val="0"/>
                      <w:autoSpaceDN w:val="0"/>
                      <w:adjustRightInd w:val="0"/>
                      <w:snapToGrid w:val="0"/>
                      <w:jc w:val="center"/>
                    </w:pPr>
                    <w:r>
                      <w:rPr>
                        <w:rFonts w:hint="eastAsia"/>
                      </w:rPr>
                      <w:t>项目</w:t>
                    </w:r>
                  </w:p>
                </w:tc>
              </w:sdtContent>
            </w:sdt>
            <w:sdt>
              <w:sdtPr>
                <w:tag w:val="_PLD_b6791a7f5c234d80be8964d8fb7b3ce6"/>
                <w:id w:val="-1144187735"/>
                <w:lock w:val="sdtLocked"/>
              </w:sdtPr>
              <w:sdtContent>
                <w:tc>
                  <w:tcPr>
                    <w:tcW w:w="1610" w:type="pct"/>
                  </w:tcPr>
                  <w:p>
                    <w:pPr>
                      <w:autoSpaceDE w:val="0"/>
                      <w:autoSpaceDN w:val="0"/>
                      <w:adjustRightInd w:val="0"/>
                      <w:snapToGrid w:val="0"/>
                      <w:jc w:val="center"/>
                    </w:pPr>
                    <w:r>
                      <w:rPr>
                        <w:rFonts w:hint="eastAsia"/>
                      </w:rPr>
                      <w:t>本期发生额</w:t>
                    </w:r>
                  </w:p>
                </w:tc>
              </w:sdtContent>
            </w:sdt>
            <w:sdt>
              <w:sdtPr>
                <w:tag w:val="_PLD_b4a33da4012d47bd8013a6c570bcad87"/>
                <w:id w:val="-313326440"/>
                <w:lock w:val="sdtLocked"/>
              </w:sdtPr>
              <w:sdtContent>
                <w:tc>
                  <w:tcPr>
                    <w:tcW w:w="1508" w:type="pct"/>
                  </w:tcPr>
                  <w:p>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784872295"/>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882" w:type="pct"/>
                  </w:tcPr>
                  <w:p>
                    <w:pPr>
                      <w:autoSpaceDE w:val="0"/>
                      <w:autoSpaceDN w:val="0"/>
                      <w:adjustRightInd w:val="0"/>
                      <w:snapToGrid w:val="0"/>
                    </w:pPr>
                    <w:r>
                      <w:t>债券发行费及其他借款手续费等</w:t>
                    </w:r>
                  </w:p>
                </w:tc>
                <w:tc>
                  <w:tcPr>
                    <w:tcW w:w="1610" w:type="pct"/>
                    <w:vAlign w:val="bottom"/>
                  </w:tcPr>
                  <w:p>
                    <w:pPr>
                      <w:jc w:val="right"/>
                    </w:pPr>
                    <w:r>
                      <w:t>16,271,493.93</w:t>
                    </w:r>
                  </w:p>
                </w:tc>
                <w:tc>
                  <w:tcPr>
                    <w:tcW w:w="1508" w:type="pct"/>
                  </w:tcPr>
                  <w:p>
                    <w:pPr>
                      <w:jc w:val="right"/>
                    </w:pPr>
                    <w:r>
                      <w:t>3,730,092.00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22dc5e1e835f424c922e14021ea4fcda"/>
                <w:id w:val="-20480658"/>
                <w:lock w:val="sdtLocked"/>
              </w:sdtPr>
              <w:sdtContent>
                <w:tc>
                  <w:tcPr>
                    <w:tcW w:w="1882" w:type="pct"/>
                  </w:tcPr>
                  <w:p>
                    <w:pPr>
                      <w:autoSpaceDE w:val="0"/>
                      <w:autoSpaceDN w:val="0"/>
                      <w:adjustRightInd w:val="0"/>
                      <w:snapToGrid w:val="0"/>
                      <w:jc w:val="center"/>
                    </w:pPr>
                    <w:r>
                      <w:rPr>
                        <w:rFonts w:hint="eastAsia"/>
                      </w:rPr>
                      <w:t>合计</w:t>
                    </w:r>
                  </w:p>
                </w:tc>
              </w:sdtContent>
            </w:sdt>
            <w:tc>
              <w:tcPr>
                <w:tcW w:w="1610" w:type="pct"/>
                <w:vAlign w:val="center"/>
              </w:tcPr>
              <w:p>
                <w:pPr>
                  <w:jc w:val="right"/>
                </w:pPr>
                <w:r>
                  <w:t>16,271,493.93</w:t>
                </w:r>
              </w:p>
            </w:tc>
            <w:tc>
              <w:tcPr>
                <w:tcW w:w="1508" w:type="pct"/>
                <w:vAlign w:val="center"/>
              </w:tcPr>
              <w:p>
                <w:pPr>
                  <w:jc w:val="right"/>
                </w:pPr>
                <w:r>
                  <w:t>3,730,092.00</w:t>
                </w:r>
              </w:p>
            </w:tc>
          </w:tr>
        </w:tbl>
        <w:p>
          <w:pPr>
            <w:spacing w:before="60" w:after="60"/>
          </w:pPr>
          <w:r>
            <w:rPr>
              <w:rFonts w:hint="eastAsia"/>
            </w:rPr>
            <w:t>支付的其他与筹资活动有关的现金说明：</w:t>
          </w:r>
        </w:p>
        <w:sdt>
          <w:sdtPr>
            <w:rPr>
              <w:rFonts w:hint="eastAsia"/>
            </w:rPr>
            <w:alias w:val="支付的其他与筹资活动有关的现金说明"/>
            <w:tag w:val="_GBC_7240a9be12a64ca5b011a2561db068a1"/>
            <w:id w:val="922069959"/>
            <w:lock w:val="sdtLocked"/>
          </w:sdtPr>
          <w:sdtEndPr>
            <w:rPr>
              <w:rFonts w:hint="eastAsia"/>
            </w:rPr>
          </w:sdtEndPr>
          <w:sdtContent>
            <w:p>
              <w:pPr>
                <w:pStyle w:val="114"/>
              </w:pPr>
              <w:r>
                <w:rPr>
                  <w:rFonts w:hint="eastAsia"/>
                </w:rPr>
                <w:t>无</w:t>
              </w:r>
            </w:p>
          </w:sdtContent>
        </w:sdt>
        <w:p>
          <w:pPr>
            <w:ind w:right="5"/>
          </w:pPr>
        </w:p>
        <w:p>
          <w:pPr>
            <w:ind w:right="5"/>
          </w:pPr>
        </w:p>
      </w:sdtContent>
    </w:sdt>
    <w:p>
      <w:pPr>
        <w:pStyle w:val="4"/>
        <w:numPr>
          <w:ilvl w:val="0"/>
          <w:numId w:val="51"/>
        </w:numPr>
        <w:tabs>
          <w:tab w:val="left" w:pos="504"/>
        </w:tabs>
        <w:rPr>
          <w:rFonts w:ascii="宋体" w:hAnsi="宋体"/>
        </w:rPr>
      </w:pPr>
      <w:r>
        <w:rPr>
          <w:rFonts w:hint="eastAsia" w:ascii="宋体" w:hAnsi="宋体"/>
        </w:rPr>
        <w:t>现金流量表</w:t>
      </w:r>
      <w:r>
        <w:rPr>
          <w:rFonts w:hint="eastAsia" w:ascii="宋体" w:hAnsi="宋体"/>
          <w:szCs w:val="21"/>
        </w:rPr>
        <w:t>补充</w:t>
      </w:r>
      <w:r>
        <w:rPr>
          <w:rFonts w:hint="eastAsia" w:ascii="宋体" w:hAnsi="宋体"/>
        </w:rPr>
        <w:t>资料</w:t>
      </w:r>
    </w:p>
    <w:sdt>
      <w:sdtPr>
        <w:rPr>
          <w:rFonts w:hint="eastAsia" w:ascii="宋体" w:hAnsi="宋体" w:cs="宋体"/>
          <w:b w:val="0"/>
          <w:bCs w:val="0"/>
          <w:kern w:val="0"/>
          <w:szCs w:val="24"/>
        </w:rPr>
        <w:alias w:val="模块:现金流量表补充资料"/>
        <w:tag w:val="_GBC_7c9a174810ac4558be4e54f8019d5a1a"/>
        <w:id w:val="97690916"/>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83"/>
            </w:numPr>
            <w:rPr>
              <w:rFonts w:ascii="宋体" w:hAnsi="宋体"/>
            </w:rPr>
          </w:pPr>
          <w:r>
            <w:rPr>
              <w:rFonts w:hint="eastAsia" w:ascii="宋体" w:hAnsi="宋体"/>
            </w:rPr>
            <w:t>现金流量表补充资料</w:t>
          </w:r>
        </w:p>
        <w:sdt>
          <w:sdtPr>
            <w:alias w:val="是否适用：现金流量表补充资料[双击切换]"/>
            <w:tag w:val="_GBC_3ee8e178479245ea907bff86e4dcd54a"/>
            <w:id w:val="-1883695460"/>
            <w:lock w:val="sdtLocked"/>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现金流量表补充资料"/>
              <w:tag w:val="_GBC_ba7cd13a54fa44929e0fd4c276876d0e"/>
              <w:id w:val="422538839"/>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212068345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7"/>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482"/>
            <w:gridCol w:w="2800"/>
            <w:gridCol w:w="276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6ea455751354381bc869d5865ef3d8f"/>
                <w:id w:val="-23524744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rPr>
                    </w:pPr>
                    <w:r>
                      <w:rPr>
                        <w:rFonts w:hint="eastAsia"/>
                      </w:rPr>
                      <w:t>补充资料</w:t>
                    </w:r>
                  </w:p>
                </w:tc>
              </w:sdtContent>
            </w:sdt>
            <w:sdt>
              <w:sdtPr>
                <w:tag w:val="_PLD_0687e3743a4e4e2db7b08855f23641e8"/>
                <w:id w:val="520741917"/>
                <w:lock w:val="sdtLocked"/>
              </w:sdtPr>
              <w:sdtContent>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本期金额</w:t>
                    </w:r>
                  </w:p>
                </w:tc>
              </w:sdtContent>
            </w:sdt>
            <w:sdt>
              <w:sdtPr>
                <w:tag w:val="_PLD_f90342638d124edea40aa264bbe65e8e"/>
                <w:id w:val="-1781023415"/>
                <w:lock w:val="sdtLocked"/>
              </w:sdtPr>
              <w:sdtContent>
                <w:tc>
                  <w:tcPr>
                    <w:tcW w:w="15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上期金额</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a799a1250f946df9181881c4b1f3829"/>
                <w:id w:val="-292601820"/>
                <w:lock w:val="sdtLocked"/>
              </w:sdtPr>
              <w:sdtContent>
                <w:tc>
                  <w:tcPr>
                    <w:tcW w:w="5000" w:type="pct"/>
                    <w:gridSpan w:val="3"/>
                    <w:tcBorders>
                      <w:top w:val="single" w:color="auto" w:sz="4" w:space="0"/>
                      <w:left w:val="single" w:color="auto" w:sz="4" w:space="0"/>
                      <w:bottom w:val="single" w:color="auto" w:sz="4" w:space="0"/>
                      <w:right w:val="outset" w:color="auto" w:sz="6" w:space="0"/>
                    </w:tcBorders>
                    <w:shd w:val="clear" w:color="auto" w:fill="auto"/>
                  </w:tcPr>
                  <w:p>
                    <w:pPr>
                      <w:jc w:val="both"/>
                      <w:rPr>
                        <w:b/>
                      </w:rPr>
                    </w:pPr>
                    <w:r>
                      <w:rPr>
                        <w:b/>
                      </w:rPr>
                      <w:t>1</w:t>
                    </w:r>
                    <w:r>
                      <w:rPr>
                        <w:rFonts w:hint="eastAsia"/>
                        <w:b/>
                      </w:rPr>
                      <w:t>．将净利润调节为经营活动现金流量：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e8ba8a255d384555b8eb4380916342fb"/>
                <w:id w:val="-52010721"/>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净利润</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2,587,623,959.36</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1,820,186,140.63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7814036ec544a08a51db5a353f5adf0"/>
                <w:id w:val="115433941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加：资产减值准备</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24"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rPr>
                  <w:tag w:val="_PLD_0f91129fab43498ab9fd68a182c3fe1b"/>
                  <w:id w:val="1332033127"/>
                  <w:lock w:val="sdtLocked"/>
                </w:sdtPr>
                <w:sdtEndPr>
                  <w:rPr>
                    <w:rFonts w:hint="eastAsia"/>
                  </w:rPr>
                </w:sdtEndPr>
                <w:sdtContent>
                  <w:p>
                    <w:r>
                      <w:rPr>
                        <w:rFonts w:hint="eastAsia"/>
                      </w:rPr>
                      <w:t>信用减值损失</w:t>
                    </w:r>
                  </w:p>
                </w:sdtContent>
              </w:sdt>
            </w:tc>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8,941,646.00</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5,820,267.59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74496ee98ed44629fd0638816a4a7d0"/>
                <w:id w:val="1543241173"/>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固定资产折旧、油气资产折耗、生产性生物资产折旧</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312,271,032.99</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293,525,034.02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24"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rPr>
                  <w:tag w:val="_PLD_721d42c6411f4a4db89c85694880a730"/>
                  <w:id w:val="1336572817"/>
                  <w:lock w:val="sdtLocked"/>
                </w:sdtPr>
                <w:sdtEndPr>
                  <w:rPr>
                    <w:rFonts w:hint="eastAsia"/>
                  </w:rPr>
                </w:sdtEndPr>
                <w:sdtContent>
                  <w:p>
                    <w:r>
                      <w:rPr>
                        <w:rFonts w:hint="eastAsia"/>
                      </w:rPr>
                      <w:t>使用权资产摊销</w:t>
                    </w:r>
                  </w:p>
                </w:sdtContent>
              </w:sdt>
            </w:tc>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4,440,662.20</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6,884,951.16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d21857dddff4f46b0472ee6fc927660"/>
                <w:id w:val="-1285042202"/>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无形资产摊销</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878,327,598.35</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692,991,760.45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88800a12fe645aeab959c7549cf4ee3"/>
                <w:id w:val="107092722"/>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长期待摊费用摊销</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4,503,562.07</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1,258,628.51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8d8cb21251d34ba1815e334e49c1f773"/>
                <w:id w:val="-21860030"/>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-4,789,530.84</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-29,346,091.26</w:t>
                </w:r>
              </w:p>
            </w:tc>
          </w:tr>
          <w:sdt>
            <w:sdtPr>
              <w:alias w:val="投资性房地产摊销"/>
              <w:tag w:val="_TUP_a4bffeabecee42068612b03f706bd60c"/>
              <w:id w:val="1732881534"/>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投资性房地产摊销"/>
                    <w:tag w:val="_GBC_96a70e3e5d384c69bc4964a52b4d8823"/>
                    <w:id w:val="1417823520"/>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t>投资性房地产摊销</w:t>
                        </w:r>
                      </w:p>
                    </w:tc>
                  </w:sdtContent>
                </w:sdt>
                <w:sdt>
                  <w:sdtPr>
                    <w:tag w:val="_GBC_fb2802377eae4b1baeb7a5d39cc9ed83"/>
                    <w:id w:val="1079641574"/>
                    <w:lock w:val="sdtLocked"/>
                  </w:sdtPr>
                  <w:sdtConten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2,308,703.20</w:t>
                        </w:r>
                      </w:p>
                    </w:tc>
                  </w:sdtContent>
                </w:sdt>
                <w:sdt>
                  <w:sdtPr>
                    <w:tag w:val="_GBC_3b6591b92bef4aac9b383626b5318ace"/>
                    <w:id w:val="-2014908417"/>
                    <w:lock w:val="sdtLocked"/>
                  </w:sdtPr>
                  <w:sdtContent>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2,479,127.28</w:t>
                        </w:r>
                      </w:p>
                    </w:tc>
                  </w:sdtContent>
                </w:sdt>
              </w:tr>
            </w:sdtContent>
          </w:sdt>
          <w:sdt>
            <w:sdtPr>
              <w:alias w:val="递延收益摊销"/>
              <w:tag w:val="_TUP_5ba9c3a8e66d4f788f012e6e3fc35e9f"/>
              <w:id w:val="-6370561"/>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alias w:val="递延收益摊销"/>
                    <w:tag w:val="_GBC_351b3c82429949cf96f5cbfdb4db5314"/>
                    <w:id w:val="127127600"/>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t>递延收益摊销</w:t>
                        </w:r>
                      </w:p>
                    </w:tc>
                  </w:sdtContent>
                </w:sdt>
                <w:sdt>
                  <w:sdtPr>
                    <w:tag w:val="_GBC_bee8320ca9364bf68b550d0cffabe537"/>
                    <w:id w:val="382520298"/>
                    <w:lock w:val="sdtLocked"/>
                  </w:sdtPr>
                  <w:sdtConten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-5,046,765.49</w:t>
                        </w:r>
                      </w:p>
                    </w:tc>
                  </w:sdtContent>
                </w:sdt>
                <w:sdt>
                  <w:sdtPr>
                    <w:tag w:val="_GBC_ae66406e1a954ded93d5bd1e4d2c6032"/>
                    <w:id w:val="-19630528"/>
                    <w:lock w:val="sdtLocked"/>
                  </w:sdtPr>
                  <w:sdtContent>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-4,912,227.23</w:t>
                        </w:r>
                      </w:p>
                    </w:tc>
                  </w:sdtContent>
                </w:sdt>
              </w:tr>
            </w:sdtContent>
          </w:sd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5daedcccfe54756bef02f32552a8b7b"/>
                <w:id w:val="-340085656"/>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公允价值变动损失（收益以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-75,602,122.87</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p>
              <w:p>
                <w:pPr>
                  <w:jc w:val="right"/>
                </w:pPr>
                <w:r>
                  <w:t>-35,105,006.37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e4c1f4478ea4e41a213ed937b2d2949"/>
                <w:id w:val="1816064807"/>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财务费用（收益以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540,327,499.08</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556,459,925.72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fbd860cf427540b4a431128ef763534d"/>
                <w:id w:val="-1775006263"/>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投资损失（收益以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-613,519,419.63</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-826,449,841.39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03270151a6684c629b53007cc62dad45"/>
                <w:id w:val="-1369604201"/>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9,717,556.79</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88,552.01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00ead502e934b2fbc5c4c2289a4d701"/>
                <w:id w:val="544797710"/>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-21,410,985.36</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9,354,889.11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75c37a3f209d4b1fb608b47efbf0f17b"/>
                <w:id w:val="648712997"/>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存货的减少（增加以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181,098,169.89</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pPr>
                <w:r>
                  <w:t>136,546,757.29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6dd2e6fa25164f14ae03eb5c47cfeb92"/>
                <w:id w:val="1228347404"/>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36,867,133.57</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rPr>
                    <w:b/>
                  </w:rPr>
                </w:pPr>
                <w:r>
                  <w:t>-178,507,004.08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b77e5d0637ca424ea3521e9194452268"/>
                <w:id w:val="-61467861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pPr>
                <w:r>
                  <w:t>-216,377,772.14</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rPr>
                    <w:b/>
                  </w:rPr>
                </w:pPr>
                <w:r>
                  <w:t>-127,590,531.35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5e18d37458f0499f93803040a145120b"/>
                <w:id w:val="-197944948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受限货币资金增加/（减少）</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1,273,510.11</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27,483.26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cbbe2315982347e89e355315dde12742"/>
                <w:id w:val="-115005532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经营活动产生的现金流量净额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3,630,954,437.28</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2,323,712,815.35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db693429a97d44a2848da029ca6a724c"/>
                <w:id w:val="1773438310"/>
                <w:lock w:val="sdtLocked"/>
              </w:sdtPr>
              <w:sdtContent>
                <w:tc>
                  <w:tcPr>
                    <w:tcW w:w="5000" w:type="pct"/>
                    <w:gridSpan w:val="3"/>
                    <w:tcBorders>
                      <w:top w:val="single" w:color="auto" w:sz="4" w:space="0"/>
                      <w:left w:val="single" w:color="auto" w:sz="4" w:space="0"/>
                      <w:bottom w:val="single" w:color="auto" w:sz="4" w:space="0"/>
                      <w:right w:val="outset" w:color="auto" w:sz="6" w:space="0"/>
                    </w:tcBorders>
                    <w:shd w:val="clear" w:color="auto" w:fill="auto"/>
                  </w:tcPr>
                  <w:p>
                    <w:r>
                      <w:rPr>
                        <w:b/>
                      </w:rPr>
                      <w:t>2</w:t>
                    </w:r>
                    <w:r>
                      <w:rPr>
                        <w:rFonts w:hint="eastAsia"/>
                        <w:b/>
                      </w:rPr>
                      <w:t>．不涉及现金收支的重大投资和筹资活动：</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1294459fe7ee46638b8d4b78b8d8c436"/>
                <w:id w:val="920530097"/>
                <w:lock w:val="sdtLocked"/>
              </w:sdtPr>
              <w:sdtContent>
                <w:tc>
                  <w:tcPr>
                    <w:tcW w:w="5000" w:type="pct"/>
                    <w:gridSpan w:val="3"/>
                    <w:tcBorders>
                      <w:top w:val="single" w:color="auto" w:sz="4" w:space="0"/>
                      <w:left w:val="single" w:color="auto" w:sz="4" w:space="0"/>
                      <w:bottom w:val="single" w:color="auto" w:sz="4" w:space="0"/>
                      <w:right w:val="outset" w:color="auto" w:sz="6" w:space="0"/>
                    </w:tcBorders>
                    <w:shd w:val="clear" w:color="auto" w:fill="auto"/>
                  </w:tcPr>
                  <w:p>
                    <w:r>
                      <w:rPr>
                        <w:b/>
                      </w:rPr>
                      <w:t>3</w:t>
                    </w:r>
                    <w:r>
                      <w:rPr>
                        <w:rFonts w:hint="eastAsia"/>
                        <w:b/>
                      </w:rPr>
                      <w:t>．现金及现金等价物净变动情况：</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082c840cddc45338520bd3516ed16c9"/>
                <w:id w:val="-958878330"/>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现金的期末余额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532,332,063.19</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t>756,252,365.19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8039ff8828d402facebab3f2e19fcc0"/>
                <w:id w:val="1429475409"/>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减：现金的期初余额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rPr>
                    <w:bCs/>
                  </w:rPr>
                </w:pPr>
                <w:r>
                  <w:t>925,012,854.49</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rPr>
                    <w:bCs/>
                  </w:rPr>
                </w:pPr>
                <w:r>
                  <w:t>617,306,798.75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b870bd2bf7a4a1c8f0ef717c730f23e"/>
                <w:id w:val="921220835"/>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加：现金等价物的期末余额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rPr>
                    <w:rFonts w:hint="eastAsia"/>
                  </w:rPr>
                  <w:t>-</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pPr>
                <w:r>
                  <w:rPr>
                    <w:rFonts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ad568407cb3c454d95c72fc52ac36fe9"/>
                <w:id w:val="-1960022102"/>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减：现金等价物的期初余额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vAlign w:val="center"/>
              </w:tcPr>
              <w:p>
                <w:pPr>
                  <w:jc w:val="right"/>
                  <w:rPr>
                    <w:bCs/>
                  </w:rPr>
                </w:pPr>
                <w:r>
                  <w:rPr>
                    <w:rFonts w:hint="eastAsia"/>
                    <w:bCs/>
                  </w:rPr>
                  <w:t>-</w:t>
                </w:r>
              </w:p>
            </w:tc>
            <w:tc>
              <w:tcPr>
                <w:tcW w:w="1529" w:type="pct"/>
                <w:tcBorders>
                  <w:top w:val="outset" w:color="auto" w:sz="6" w:space="0"/>
                  <w:left w:val="outset" w:color="auto" w:sz="6" w:space="0"/>
                  <w:bottom w:val="outset" w:color="auto" w:sz="6" w:space="0"/>
                  <w:right w:val="outset" w:color="auto" w:sz="6" w:space="0"/>
                </w:tcBorders>
                <w:shd w:val="clear" w:color="auto" w:fill="auto"/>
                <w:vAlign w:val="center"/>
              </w:tcPr>
              <w:p>
                <w:pPr>
                  <w:jc w:val="right"/>
                  <w:rPr>
                    <w:bCs/>
                  </w:rPr>
                </w:pPr>
                <w:r>
                  <w:rPr>
                    <w:rFonts w:hint="eastAsia"/>
                    <w:bCs/>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sdt>
              <w:sdtPr>
                <w:tag w:val="_PLD_2dd0b4fbd20a49c1991e732523abf0b3"/>
                <w:id w:val="627597266"/>
                <w:lock w:val="sdtLocked"/>
              </w:sdtPr>
              <w:sdtContent>
                <w:tc>
                  <w:tcPr>
                    <w:tcW w:w="192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现金及现金等价物净增加额</w:t>
                    </w:r>
                  </w:p>
                </w:tc>
              </w:sdtContent>
            </w:sdt>
            <w:tc>
              <w:tcPr>
                <w:tcW w:w="1547" w:type="pct"/>
                <w:tcBorders>
                  <w:top w:val="outset" w:color="auto" w:sz="6" w:space="0"/>
                  <w:left w:val="single" w:color="auto" w:sz="4" w:space="0"/>
                  <w:bottom w:val="outset" w:color="auto" w:sz="6" w:space="0"/>
                  <w:right w:val="outset" w:color="auto" w:sz="6" w:space="0"/>
                </w:tcBorders>
                <w:shd w:val="clear" w:color="auto" w:fill="auto"/>
              </w:tcPr>
              <w:p>
                <w:pPr>
                  <w:jc w:val="right"/>
                </w:pPr>
                <w:r>
                  <w:t>-392,680,791.30</w:t>
                </w:r>
              </w:p>
            </w:tc>
            <w:tc>
              <w:tcPr>
                <w:tcW w:w="1529" w:type="pct"/>
                <w:tcBorders>
                  <w:top w:val="outset" w:color="auto" w:sz="6" w:space="0"/>
                  <w:left w:val="outset" w:color="auto" w:sz="6" w:space="0"/>
                  <w:bottom w:val="outset" w:color="auto" w:sz="6" w:space="0"/>
                  <w:right w:val="outset" w:color="auto" w:sz="6" w:space="0"/>
                </w:tcBorders>
                <w:shd w:val="clear" w:color="auto" w:fill="auto"/>
              </w:tcPr>
              <w:p>
                <w:pPr>
                  <w:jc w:val="right"/>
                  <w:rPr>
                    <w:bCs/>
                  </w:rPr>
                </w:pPr>
                <w:r>
                  <w:t>138,945,566.44</w:t>
                </w:r>
              </w:p>
            </w:tc>
          </w:tr>
        </w:tbl>
        <w:p>
          <w:pPr>
            <w:pStyle w:val="114"/>
          </w:pPr>
        </w:p>
      </w:sdtContent>
    </w:sdt>
    <w:sdt>
      <w:sdtPr>
        <w:rPr>
          <w:rFonts w:hint="eastAsia" w:ascii="宋体" w:hAnsi="宋体" w:cs="宋体"/>
          <w:b w:val="0"/>
          <w:bCs w:val="0"/>
          <w:kern w:val="0"/>
          <w:szCs w:val="21"/>
        </w:rPr>
        <w:alias w:val="模块:取得子公司支付的现金净额"/>
        <w:tag w:val="_GBC_4161b069f3a54b4a9ab95be67b841c16"/>
        <w:id w:val="1653791874"/>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83"/>
            </w:numPr>
            <w:rPr>
              <w:rFonts w:ascii="宋体" w:hAnsi="宋体"/>
              <w:szCs w:val="21"/>
            </w:rPr>
          </w:pPr>
          <w:r>
            <w:rPr>
              <w:rFonts w:hint="eastAsia" w:ascii="宋体" w:hAnsi="宋体" w:cs="宋体"/>
              <w:kern w:val="0"/>
              <w:szCs w:val="21"/>
            </w:rPr>
            <w:t>本期支付的</w:t>
          </w:r>
          <w:r>
            <w:rPr>
              <w:rFonts w:hint="eastAsia" w:ascii="宋体" w:hAnsi="宋体"/>
              <w:szCs w:val="21"/>
            </w:rPr>
            <w:t>取得子公司的现金净额</w:t>
          </w:r>
        </w:p>
        <w:sdt>
          <w:sdtPr>
            <w:alias w:val="是否适用：本期支付的取得子公司的现金净额[双击切换]"/>
            <w:tag w:val="_GBC_903abae67cad448caac446eb8c11fd79"/>
            <w:id w:val="-123909187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4"/>
        </w:rPr>
        <w:alias w:val="模块:处置子公司收到的现金净额"/>
        <w:tag w:val="_GBC_2b15b115b2104b8ba327581d943203fc"/>
        <w:id w:val="729117910"/>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83"/>
            </w:numPr>
            <w:rPr>
              <w:rFonts w:ascii="宋体" w:hAnsi="宋体"/>
            </w:rPr>
          </w:pPr>
          <w:r>
            <w:rPr>
              <w:rFonts w:hint="eastAsia" w:ascii="宋体" w:hAnsi="宋体" w:cs="宋体"/>
              <w:kern w:val="0"/>
              <w:szCs w:val="24"/>
            </w:rPr>
            <w:t>本期收到的</w:t>
          </w:r>
          <w:r>
            <w:rPr>
              <w:rStyle w:val="410"/>
            </w:rPr>
            <w:t>其他资产负债表日后事项说明</w:t>
          </w:r>
          <w:r>
            <w:rPr>
              <w:rFonts w:hint="eastAsia" w:ascii="宋体" w:hAnsi="宋体"/>
            </w:rPr>
            <w:t>的现金净额</w:t>
          </w:r>
        </w:p>
        <w:sdt>
          <w:sdtPr>
            <w:alias w:val="是否适用：本期收到的处置子公司的现金净额[双击切换]"/>
            <w:tag w:val="_GBC_2b4b13c85bb94d13bb7b7edebe0a9f5a"/>
            <w:id w:val="-98407686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1"/>
        </w:rPr>
        <w:alias w:val="模块:现金和现金等价物的构成"/>
        <w:tag w:val="_GBC_b19766ead83d4bb4825af61147af6138"/>
        <w:id w:val="-328220185"/>
        <w:lock w:val="sdtLocked"/>
        <w:placeholder>
          <w:docPart w:val="GBC22222222222222222222222222222"/>
        </w:placeholder>
      </w:sdtPr>
      <w:sdtEndPr>
        <w:rPr>
          <w:rFonts w:hint="default" w:ascii="宋体" w:hAnsi="宋体" w:cs="宋体"/>
          <w:b w:val="0"/>
          <w:bCs w:val="0"/>
          <w:kern w:val="0"/>
          <w:szCs w:val="22"/>
        </w:rPr>
      </w:sdtEndPr>
      <w:sdtContent>
        <w:p>
          <w:pPr>
            <w:pStyle w:val="5"/>
            <w:numPr>
              <w:ilvl w:val="0"/>
              <w:numId w:val="83"/>
            </w:numPr>
            <w:rPr>
              <w:rFonts w:ascii="宋体" w:hAnsi="宋体"/>
              <w:szCs w:val="21"/>
            </w:rPr>
          </w:pPr>
          <w:r>
            <w:rPr>
              <w:rFonts w:hint="eastAsia" w:ascii="宋体" w:hAnsi="宋体"/>
              <w:szCs w:val="21"/>
            </w:rPr>
            <w:t>现金和现金</w:t>
          </w:r>
          <w:r>
            <w:rPr>
              <w:rFonts w:hint="eastAsia" w:ascii="宋体" w:hAnsi="宋体"/>
            </w:rPr>
            <w:t>等价物</w:t>
          </w:r>
          <w:r>
            <w:rPr>
              <w:rFonts w:hint="eastAsia" w:ascii="宋体" w:hAnsi="宋体"/>
              <w:szCs w:val="21"/>
            </w:rPr>
            <w:t>的构成</w:t>
          </w:r>
        </w:p>
        <w:sdt>
          <w:sdtPr>
            <w:alias w:val="是否适用：现金和现金等价物的构成[双击切换]"/>
            <w:tag w:val="_GBC_4f1d477972634410a6ea7bdfaf766947"/>
            <w:id w:val="-196896047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b/>
            </w:rPr>
          </w:pPr>
          <w:r>
            <w:rPr>
              <w:rFonts w:hint="eastAsia"/>
            </w:rPr>
            <w:t>单位：</w:t>
          </w:r>
          <w:sdt>
            <w:sdtPr>
              <w:rPr>
                <w:rFonts w:hint="eastAsia"/>
              </w:rPr>
              <w:alias w:val="单位：财务附注：现金和现金等价物的构成"/>
              <w:tag w:val="_GBC_b65333ba6aec402382c4acbbb6696560"/>
              <w:id w:val="-15841436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081029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3"/>
            <w:gridCol w:w="2921"/>
            <w:gridCol w:w="2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d5bf85e9303e4843a7623f09eae933c6"/>
                <w:id w:val="-718676203"/>
                <w:lock w:val="sdtLocked"/>
              </w:sdtPr>
              <w:sdtContent>
                <w:tc>
                  <w:tcPr>
                    <w:tcW w:w="1875" w:type="pct"/>
                    <w:tcBorders>
                      <w:bottom w:val="single" w:color="auto" w:sz="4" w:space="0"/>
                    </w:tcBorders>
                    <w:shd w:val="clear" w:color="auto" w:fill="auto"/>
                    <w:vAlign w:val="center"/>
                  </w:tcPr>
                  <w:p>
                    <w:pPr>
                      <w:ind w:left="-107" w:leftChars="-51"/>
                      <w:jc w:val="center"/>
                    </w:pPr>
                    <w:r>
                      <w:rPr>
                        <w:rFonts w:hint="eastAsia"/>
                      </w:rPr>
                      <w:t>项目</w:t>
                    </w:r>
                  </w:p>
                </w:tc>
              </w:sdtContent>
            </w:sdt>
            <w:sdt>
              <w:sdtPr>
                <w:tag w:val="_PLD_e3a960d2f6474687b9cbaec3f1075e19"/>
                <w:id w:val="-1915777068"/>
                <w:lock w:val="sdtLocked"/>
              </w:sdtPr>
              <w:sdtContent>
                <w:tc>
                  <w:tcPr>
                    <w:tcW w:w="1614" w:type="pct"/>
                    <w:shd w:val="clear" w:color="auto" w:fill="auto"/>
                    <w:vAlign w:val="center"/>
                  </w:tcPr>
                  <w:p>
                    <w:pPr>
                      <w:jc w:val="center"/>
                    </w:pPr>
                    <w:r>
                      <w:rPr>
                        <w:rFonts w:hint="eastAsia"/>
                      </w:rPr>
                      <w:t>期末余额</w:t>
                    </w:r>
                  </w:p>
                </w:tc>
              </w:sdtContent>
            </w:sdt>
            <w:sdt>
              <w:sdtPr>
                <w:tag w:val="_PLD_0d0909eba9344c8ab96c7fb88f0b117a"/>
                <w:id w:val="370350594"/>
                <w:lock w:val="sdtLocked"/>
              </w:sdtPr>
              <w:sdtContent>
                <w:tc>
                  <w:tcPr>
                    <w:tcW w:w="1511" w:type="pct"/>
                    <w:shd w:val="clear" w:color="auto" w:fill="auto"/>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6a173ce99a864661a21d726eff0af5b3"/>
                <w:id w:val="253104172"/>
                <w:lock w:val="sdtLocked"/>
              </w:sdtPr>
              <w:sdtContent>
                <w:tc>
                  <w:tcPr>
                    <w:tcW w:w="1875" w:type="pct"/>
                    <w:shd w:val="clear" w:color="auto" w:fill="auto"/>
                    <w:vAlign w:val="center"/>
                  </w:tcPr>
                  <w:p>
                    <w:pPr>
                      <w:pStyle w:val="114"/>
                    </w:pPr>
                    <w:r>
                      <w:rPr>
                        <w:rFonts w:hint="eastAsia"/>
                      </w:rPr>
                      <w:t>一、现金</w:t>
                    </w:r>
                  </w:p>
                </w:tc>
              </w:sdtContent>
            </w:sdt>
            <w:tc>
              <w:tcPr>
                <w:tcW w:w="1614" w:type="pct"/>
                <w:shd w:val="clear" w:color="auto" w:fill="auto"/>
                <w:vAlign w:val="center"/>
              </w:tcPr>
              <w:p>
                <w:pPr>
                  <w:jc w:val="right"/>
                </w:pPr>
                <w:r>
                  <w:t>532,332,063.19</w:t>
                </w:r>
              </w:p>
            </w:tc>
            <w:tc>
              <w:tcPr>
                <w:tcW w:w="1511" w:type="pct"/>
                <w:shd w:val="clear" w:color="auto" w:fill="auto"/>
                <w:vAlign w:val="center"/>
              </w:tcPr>
              <w:p>
                <w:pPr>
                  <w:jc w:val="right"/>
                </w:pPr>
                <w:r>
                  <w:t>925,012,854.49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00026e2b0a3d4b39803714a078a9949d"/>
                <w:id w:val="-1245719965"/>
                <w:lock w:val="sdtLocked"/>
              </w:sdtPr>
              <w:sdtContent>
                <w:tc>
                  <w:tcPr>
                    <w:tcW w:w="1875" w:type="pct"/>
                    <w:shd w:val="clear" w:color="auto" w:fill="auto"/>
                    <w:vAlign w:val="center"/>
                  </w:tcPr>
                  <w:p>
                    <w:pPr>
                      <w:pStyle w:val="114"/>
                    </w:pPr>
                    <w:r>
                      <w:rPr>
                        <w:rFonts w:hint="eastAsia"/>
                      </w:rPr>
                      <w:t>其中：库存现金</w:t>
                    </w:r>
                  </w:p>
                </w:tc>
              </w:sdtContent>
            </w:sdt>
            <w:tc>
              <w:tcPr>
                <w:tcW w:w="1614" w:type="pct"/>
                <w:shd w:val="clear" w:color="auto" w:fill="auto"/>
                <w:vAlign w:val="center"/>
              </w:tcPr>
              <w:p>
                <w:pPr>
                  <w:jc w:val="right"/>
                </w:pPr>
                <w:r>
                  <w:t>137,092.83</w:t>
                </w:r>
              </w:p>
            </w:tc>
            <w:tc>
              <w:tcPr>
                <w:tcW w:w="1511" w:type="pct"/>
                <w:shd w:val="clear" w:color="auto" w:fill="auto"/>
                <w:vAlign w:val="center"/>
              </w:tcPr>
              <w:p>
                <w:pPr>
                  <w:jc w:val="right"/>
                </w:pPr>
                <w:r>
                  <w:t>69,744.33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703c5ac82ddb4fd7bf9d7372c95ca92f"/>
                <w:id w:val="-1932576786"/>
                <w:lock w:val="sdtLocked"/>
              </w:sdtPr>
              <w:sdtContent>
                <w:tc>
                  <w:tcPr>
                    <w:tcW w:w="1875" w:type="pct"/>
                    <w:shd w:val="clear" w:color="auto" w:fill="auto"/>
                    <w:vAlign w:val="center"/>
                  </w:tcPr>
                  <w:p>
                    <w:pPr>
                      <w:pStyle w:val="114"/>
                    </w:pPr>
                    <w:r>
                      <w:rPr>
                        <w:rFonts w:hint="eastAsia"/>
                      </w:rPr>
                      <w:t>　　可随时用于支付的银行存款</w:t>
                    </w:r>
                  </w:p>
                </w:tc>
              </w:sdtContent>
            </w:sdt>
            <w:tc>
              <w:tcPr>
                <w:tcW w:w="1614" w:type="pct"/>
                <w:shd w:val="clear" w:color="auto" w:fill="auto"/>
                <w:vAlign w:val="center"/>
              </w:tcPr>
              <w:p>
                <w:pPr>
                  <w:jc w:val="right"/>
                </w:pPr>
                <w:r>
                  <w:t>531,499,097.37</w:t>
                </w:r>
              </w:p>
            </w:tc>
            <w:tc>
              <w:tcPr>
                <w:tcW w:w="1511" w:type="pct"/>
                <w:shd w:val="clear" w:color="auto" w:fill="auto"/>
                <w:vAlign w:val="center"/>
              </w:tcPr>
              <w:p>
                <w:pPr>
                  <w:jc w:val="right"/>
                </w:pPr>
                <w:r>
                  <w:t>923,740,933.17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39dc74346d4643c0b32e781621749a55"/>
                <w:id w:val="-347877234"/>
                <w:lock w:val="sdtLocked"/>
              </w:sdtPr>
              <w:sdtContent>
                <w:tc>
                  <w:tcPr>
                    <w:tcW w:w="1875" w:type="pct"/>
                    <w:shd w:val="clear" w:color="auto" w:fill="auto"/>
                    <w:vAlign w:val="center"/>
                  </w:tcPr>
                  <w:p>
                    <w:pPr>
                      <w:pStyle w:val="114"/>
                    </w:pPr>
                    <w:r>
                      <w:rPr>
                        <w:rFonts w:hint="eastAsia"/>
                      </w:rPr>
                      <w:t>　　可随时用于支付的其他货币资金</w:t>
                    </w:r>
                  </w:p>
                </w:tc>
              </w:sdtContent>
            </w:sdt>
            <w:tc>
              <w:tcPr>
                <w:tcW w:w="1614" w:type="pct"/>
                <w:shd w:val="clear" w:color="auto" w:fill="auto"/>
                <w:vAlign w:val="center"/>
              </w:tcPr>
              <w:p>
                <w:pPr>
                  <w:jc w:val="right"/>
                </w:pPr>
                <w:r>
                  <w:t>695,872.99</w:t>
                </w:r>
              </w:p>
            </w:tc>
            <w:tc>
              <w:tcPr>
                <w:tcW w:w="1511" w:type="pct"/>
                <w:shd w:val="clear" w:color="auto" w:fill="auto"/>
                <w:vAlign w:val="center"/>
              </w:tcPr>
              <w:p>
                <w:pPr>
                  <w:jc w:val="right"/>
                </w:pPr>
                <w:r>
                  <w:t>1,202,176.99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sdt>
              <w:sdtPr>
                <w:tag w:val="_PLD_4d07bfc591df4d5483e486621c246fa5"/>
                <w:id w:val="1189035442"/>
                <w:lock w:val="sdtLocked"/>
              </w:sdtPr>
              <w:sdtContent>
                <w:tc>
                  <w:tcPr>
                    <w:tcW w:w="1875" w:type="pct"/>
                    <w:shd w:val="clear" w:color="auto" w:fill="auto"/>
                    <w:vAlign w:val="center"/>
                  </w:tcPr>
                  <w:p>
                    <w:pPr>
                      <w:pStyle w:val="114"/>
                    </w:pPr>
                    <w:r>
                      <w:rPr>
                        <w:rFonts w:hint="eastAsia"/>
                      </w:rPr>
                      <w:t>二、期末现金及现金等价物余额</w:t>
                    </w:r>
                  </w:p>
                </w:tc>
              </w:sdtContent>
            </w:sdt>
            <w:tc>
              <w:tcPr>
                <w:tcW w:w="1614" w:type="pct"/>
                <w:shd w:val="clear" w:color="auto" w:fill="auto"/>
                <w:vAlign w:val="center"/>
              </w:tcPr>
              <w:p>
                <w:pPr>
                  <w:jc w:val="right"/>
                </w:pPr>
                <w:r>
                  <w:t>532,332,063.19</w:t>
                </w:r>
              </w:p>
            </w:tc>
            <w:tc>
              <w:tcPr>
                <w:tcW w:w="1511" w:type="pct"/>
                <w:shd w:val="clear" w:color="auto" w:fill="auto"/>
                <w:vAlign w:val="center"/>
              </w:tcPr>
              <w:p>
                <w:pPr>
                  <w:jc w:val="right"/>
                </w:pPr>
                <w:r>
                  <w:t>925,012,854.49</w:t>
                </w:r>
              </w:p>
            </w:tc>
          </w:tr>
        </w:tbl>
        <w:p>
          <w:pPr>
            <w:spacing w:before="60" w:after="60"/>
          </w:pPr>
        </w:p>
        <w:p>
          <w:pPr>
            <w:spacing w:before="60" w:after="60"/>
          </w:pPr>
          <w:r>
            <w:rPr>
              <w:rFonts w:hint="eastAsia"/>
            </w:rPr>
            <w:t>其他说明：</w:t>
          </w:r>
        </w:p>
        <w:sdt>
          <w:sdtPr>
            <w:alias w:val="是否适用：现金流量表补充资料的说明[双击切换]"/>
            <w:tag w:val="_GBC_2212775a699e4804b260767f3ce34d12"/>
            <w:id w:val="702224363"/>
            <w:lock w:val="sdtLocked"/>
            <w:placeholder>
              <w:docPart w:val="GBC22222222222222222222222222222"/>
            </w:placeholder>
          </w:sdtPr>
          <w:sdtContent>
            <w:p>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所有者权益变动表项目注释"/>
        <w:tag w:val="_GBC_f67b410d6123403caa2cee84fe191372"/>
        <w:id w:val="489679877"/>
        <w:lock w:val="sdtLocked"/>
        <w:placeholder>
          <w:docPart w:val="GBC22222222222222222222222222222"/>
        </w:placeholder>
      </w:sdtPr>
      <w:sdtEndPr>
        <w:rPr>
          <w:rFonts w:hint="default" w:ascii="宋体" w:hAnsi="宋体" w:cstheme="minorBidi"/>
          <w:b w:val="0"/>
          <w:bCs w:val="0"/>
          <w:color w:val="FF00FF"/>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所有者权益变动表项目注释</w:t>
          </w:r>
        </w:p>
        <w:p>
          <w:pPr>
            <w:pStyle w:val="114"/>
          </w:pPr>
          <w:r>
            <w:rPr>
              <w:rFonts w:hint="eastAsia"/>
            </w:rPr>
            <w:t>说明对上年期末余额进行调整的“其他”项目名称及调整金额等事项：</w:t>
          </w:r>
        </w:p>
        <w:sdt>
          <w:sdtPr>
            <w:alias w:val="是否适用：所有者权益变动表项目注释[双击切换]"/>
            <w:tag w:val="_GBC_61e84760a3fd4a58bb2421e95114d9b8"/>
            <w:id w:val="499551872"/>
            <w:lock w:val="sdtLocked"/>
            <w:placeholder>
              <w:docPart w:val="GBC22222222222222222222222222222"/>
            </w:placeholder>
          </w:sdtPr>
          <w:sdtContent>
            <w:p>
              <w:pPr>
                <w:rPr>
                  <w:color w:val="FF00FF"/>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所有权或使用权受到限制的资产"/>
        <w:tag w:val="_GBC_5707fab016f94974bd447e81a88f0183"/>
        <w:id w:val="1899561011"/>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szCs w:val="21"/>
            </w:rPr>
          </w:pPr>
          <w:r>
            <w:rPr>
              <w:rFonts w:hint="eastAsia" w:ascii="宋体" w:hAnsi="宋体"/>
              <w:szCs w:val="21"/>
            </w:rPr>
            <w:t>所有权或使用权受到限制的资产</w:t>
          </w:r>
        </w:p>
        <w:sdt>
          <w:sdtPr>
            <w:alias w:val="是否适用：所有权或使用权受到限制的资产[双击切换]"/>
            <w:tag w:val="_GBC_52ae2d0e78d54772b7a0dc510205909b"/>
            <w:id w:val="-68805855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财务附注：所有权或使用权受到限制的资产"/>
              <w:tag w:val="_GBC_41b1006bd71a4064aa99aa2d8750f726"/>
              <w:id w:val="21358275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财务附注：所有权或使用权受到限制的资产"/>
              <w:tag w:val="_GBC_065bcf44f5b34330834a869f23aa83bc"/>
              <w:id w:val="14047184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155"/>
            <w:gridCol w:w="3045"/>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tag w:val="_PLD_e7174293a57c4a70b40b8a0fb698e34e"/>
                <w:id w:val="727501284"/>
                <w:lock w:val="sdtLocked"/>
              </w:sdtPr>
              <w:sdtContent>
                <w:tc>
                  <w:tcPr>
                    <w:tcW w:w="1774" w:type="pct"/>
                    <w:shd w:val="clear" w:color="auto" w:fill="auto"/>
                  </w:tcPr>
                  <w:p>
                    <w:pPr>
                      <w:jc w:val="center"/>
                    </w:pPr>
                    <w:r>
                      <w:rPr>
                        <w:rFonts w:hint="eastAsia"/>
                      </w:rPr>
                      <w:t>项目</w:t>
                    </w:r>
                  </w:p>
                </w:tc>
              </w:sdtContent>
            </w:sdt>
            <w:sdt>
              <w:sdtPr>
                <w:tag w:val="_PLD_67814dca9df1416c87e0ce7ca03c3bf6"/>
                <w:id w:val="-1814397347"/>
                <w:lock w:val="sdtLocked"/>
              </w:sdtPr>
              <w:sdtContent>
                <w:tc>
                  <w:tcPr>
                    <w:tcW w:w="1712" w:type="pct"/>
                    <w:shd w:val="clear" w:color="auto" w:fill="auto"/>
                  </w:tcPr>
                  <w:p>
                    <w:pPr>
                      <w:jc w:val="center"/>
                    </w:pPr>
                    <w:r>
                      <w:rPr>
                        <w:rFonts w:hint="eastAsia"/>
                      </w:rPr>
                      <w:t>期末账面价值</w:t>
                    </w:r>
                  </w:p>
                </w:tc>
              </w:sdtContent>
            </w:sdt>
            <w:sdt>
              <w:sdtPr>
                <w:tag w:val="_PLD_874205b57d36493284671995a440c448"/>
                <w:id w:val="622892345"/>
                <w:lock w:val="sdtLocked"/>
              </w:sdtPr>
              <w:sdtContent>
                <w:tc>
                  <w:tcPr>
                    <w:tcW w:w="1514" w:type="pct"/>
                    <w:shd w:val="clear" w:color="auto" w:fill="auto"/>
                  </w:tcPr>
                  <w:p>
                    <w:pPr>
                      <w:jc w:val="center"/>
                    </w:pPr>
                    <w:r>
                      <w:rPr>
                        <w:rFonts w:hint="eastAsia"/>
                      </w:rPr>
                      <w:t>受限原因</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774" w:type="pct"/>
                <w:shd w:val="clear" w:color="auto" w:fill="auto"/>
              </w:tcPr>
              <w:p>
                <w:pPr>
                  <w:pStyle w:val="114"/>
                </w:pPr>
                <w:r>
                  <w:rPr>
                    <w:rFonts w:hint="eastAsia"/>
                  </w:rPr>
                  <w:t>货币资金</w:t>
                </w:r>
              </w:p>
            </w:tc>
            <w:tc>
              <w:tcPr>
                <w:tcW w:w="1712" w:type="pct"/>
                <w:shd w:val="clear" w:color="auto" w:fill="auto"/>
                <w:vAlign w:val="center"/>
              </w:tcPr>
              <w:p>
                <w:pPr>
                  <w:jc w:val="right"/>
                </w:pPr>
                <w:r>
                  <w:t>9,192,000.00</w:t>
                </w:r>
              </w:p>
            </w:tc>
            <w:tc>
              <w:tcPr>
                <w:tcW w:w="1514" w:type="pct"/>
                <w:shd w:val="clear" w:color="auto" w:fill="auto"/>
                <w:vAlign w:val="center"/>
              </w:tcPr>
              <w:p>
                <w:pPr>
                  <w:pStyle w:val="114"/>
                </w:pPr>
                <w:r>
                  <w:rPr>
                    <w:rFonts w:hint="eastAsia"/>
                  </w:rPr>
                  <w:t>票据保证金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774" w:type="pct"/>
                <w:shd w:val="clear" w:color="auto" w:fill="auto"/>
              </w:tcPr>
              <w:p>
                <w:pPr>
                  <w:pStyle w:val="114"/>
                </w:pPr>
                <w:r>
                  <w:rPr>
                    <w:rFonts w:hint="eastAsia"/>
                  </w:rPr>
                  <w:t>无形资产</w:t>
                </w:r>
              </w:p>
            </w:tc>
            <w:tc>
              <w:tcPr>
                <w:tcW w:w="1712" w:type="pct"/>
                <w:shd w:val="clear" w:color="auto" w:fill="auto"/>
                <w:vAlign w:val="center"/>
              </w:tcPr>
              <w:p>
                <w:pPr>
                  <w:jc w:val="right"/>
                </w:pPr>
                <w:r>
                  <w:t>24,134,633,285.17</w:t>
                </w:r>
              </w:p>
            </w:tc>
            <w:tc>
              <w:tcPr>
                <w:tcW w:w="1514" w:type="pct"/>
                <w:shd w:val="clear" w:color="auto" w:fill="auto"/>
                <w:vAlign w:val="center"/>
              </w:tcPr>
              <w:p>
                <w:pPr>
                  <w:pStyle w:val="114"/>
                </w:pPr>
                <w:r>
                  <w:rPr>
                    <w:rFonts w:hint="eastAsia"/>
                  </w:rPr>
                  <w:t>高速公路收费经营权质押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774" w:type="pct"/>
                <w:shd w:val="clear" w:color="auto" w:fill="auto"/>
              </w:tcPr>
              <w:p>
                <w:pPr>
                  <w:pStyle w:val="114"/>
                </w:pPr>
                <w:r>
                  <w:t>应收账款</w:t>
                </w:r>
              </w:p>
            </w:tc>
            <w:tc>
              <w:tcPr>
                <w:tcW w:w="1712" w:type="pct"/>
                <w:shd w:val="clear" w:color="auto" w:fill="auto"/>
              </w:tcPr>
              <w:p>
                <w:pPr>
                  <w:jc w:val="right"/>
                </w:pPr>
                <w:r>
                  <w:t>725,606,629.13</w:t>
                </w:r>
              </w:p>
            </w:tc>
            <w:tc>
              <w:tcPr>
                <w:tcW w:w="1514" w:type="pct"/>
                <w:shd w:val="clear" w:color="auto" w:fill="auto"/>
              </w:tcPr>
              <w:p>
                <w:pPr>
                  <w:pStyle w:val="114"/>
                </w:pPr>
                <w:r>
                  <w:rPr>
                    <w:rFonts w:hint="eastAsia"/>
                  </w:rPr>
                  <w:t>应收电费收费权质押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774" w:type="pct"/>
                <w:shd w:val="clear" w:color="auto" w:fill="auto"/>
                <w:vAlign w:val="center"/>
              </w:tcPr>
              <w:p>
                <w:pPr>
                  <w:jc w:val="center"/>
                </w:pPr>
                <w:r>
                  <w:rPr>
                    <w:rFonts w:hint="eastAsia"/>
                  </w:rPr>
                  <w:t>合计</w:t>
                </w:r>
              </w:p>
            </w:tc>
            <w:tc>
              <w:tcPr>
                <w:tcW w:w="1712" w:type="pct"/>
                <w:shd w:val="clear" w:color="auto" w:fill="auto"/>
                <w:vAlign w:val="center"/>
              </w:tcPr>
              <w:p>
                <w:pPr>
                  <w:jc w:val="right"/>
                </w:pPr>
                <w:r>
                  <w:t>24,869,431,914.30</w:t>
                </w:r>
              </w:p>
            </w:tc>
            <w:tc>
              <w:tcPr>
                <w:tcW w:w="1514" w:type="pct"/>
                <w:shd w:val="clear" w:color="auto" w:fill="auto"/>
                <w:vAlign w:val="center"/>
              </w:tcPr>
              <w:p>
                <w:pPr>
                  <w:jc w:val="center"/>
                </w:pPr>
                <w:r>
                  <w:t>/</w:t>
                </w:r>
              </w:p>
            </w:tc>
          </w:tr>
        </w:tbl>
        <w:p>
          <w:pPr>
            <w:spacing w:before="60" w:after="60"/>
          </w:pPr>
          <w:r>
            <w:rPr>
              <w:rFonts w:hint="eastAsia"/>
            </w:rPr>
            <w:t>其他说明：</w:t>
          </w:r>
        </w:p>
        <w:sdt>
          <w:sdtPr>
            <w:alias w:val="所有权或使用权受到限制的资产的其他说明"/>
            <w:tag w:val="_GBC_8c900f9a43384e3baa58823305552176"/>
            <w:id w:val="-78994222"/>
            <w:lock w:val="sdtLocked"/>
            <w:placeholder>
              <w:docPart w:val="GBC22222222222222222222222222222"/>
            </w:placeholder>
          </w:sdtPr>
          <w:sdtContent>
            <w:p>
              <w:pPr>
                <w:pStyle w:val="114"/>
              </w:pPr>
              <w:r>
                <w:rPr>
                  <w:rFonts w:hint="eastAsia"/>
                </w:rPr>
                <w:t>不适用</w:t>
              </w:r>
            </w:p>
          </w:sdtContent>
        </w:sdt>
      </w:sdtContent>
    </w:sdt>
    <w:p>
      <w:pPr>
        <w:pStyle w:val="114"/>
      </w:pPr>
    </w:p>
    <w:sdt>
      <w:sdtPr>
        <w:rPr>
          <w:rFonts w:hint="eastAsia" w:ascii="宋体" w:hAnsi="宋体" w:cs="宋体"/>
          <w:b w:val="0"/>
          <w:bCs w:val="0"/>
          <w:kern w:val="0"/>
          <w:szCs w:val="21"/>
        </w:rPr>
        <w:alias w:val="模块:外币货币性项目"/>
        <w:tag w:val="_GBC_7a80c9b78caf4e6686905c555fe61f9a"/>
        <w:id w:val="-2041739622"/>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szCs w:val="21"/>
            </w:rPr>
          </w:pPr>
          <w:bookmarkStart w:id="247" w:name="_Hlk42158948"/>
          <w:r>
            <w:rPr>
              <w:rFonts w:hint="eastAsia" w:ascii="宋体" w:hAnsi="宋体"/>
              <w:szCs w:val="21"/>
            </w:rPr>
            <w:t>外币货币性项目</w:t>
          </w:r>
        </w:p>
        <w:p>
          <w:pPr>
            <w:pStyle w:val="55"/>
            <w:numPr>
              <w:ilvl w:val="0"/>
              <w:numId w:val="84"/>
            </w:numPr>
            <w:tabs>
              <w:tab w:val="left" w:pos="700"/>
            </w:tabs>
            <w:spacing w:before="60" w:after="60"/>
            <w:ind w:firstLineChars="0"/>
            <w:jc w:val="left"/>
            <w:rPr>
              <w:rFonts w:ascii="宋体" w:hAnsi="宋体"/>
              <w:szCs w:val="21"/>
            </w:rPr>
          </w:pPr>
          <w:r>
            <w:rPr>
              <w:rStyle w:val="47"/>
              <w:rFonts w:hint="eastAsia" w:ascii="宋体" w:hAnsi="宋体"/>
              <w:szCs w:val="21"/>
            </w:rPr>
            <w:t>外币货币性项目</w:t>
          </w:r>
        </w:p>
        <w:sdt>
          <w:sdtPr>
            <w:alias w:val="是否适用：外币货币性项目[双击切换]"/>
            <w:tag w:val="_GBC_7b0870ec262840d78495babcff3639aa"/>
            <w:id w:val="-62647483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p>
          <w:pPr>
            <w:pStyle w:val="55"/>
            <w:numPr>
              <w:ilvl w:val="0"/>
              <w:numId w:val="84"/>
            </w:numPr>
            <w:tabs>
              <w:tab w:val="left" w:pos="700"/>
            </w:tabs>
            <w:spacing w:before="60" w:after="60"/>
            <w:ind w:firstLineChars="0"/>
            <w:jc w:val="left"/>
            <w:rPr>
              <w:rFonts w:ascii="宋体" w:hAnsi="宋体"/>
              <w:b/>
              <w:szCs w:val="21"/>
            </w:rPr>
          </w:pPr>
          <w:r>
            <w:rPr>
              <w:rStyle w:val="47"/>
              <w:rFonts w:hint="eastAsia" w:ascii="宋体" w:hAnsi="宋体"/>
              <w:szCs w:val="21"/>
            </w:rPr>
            <w:t>境外</w:t>
          </w:r>
          <w:r>
            <w:rPr>
              <w:rFonts w:hint="eastAsia" w:ascii="宋体" w:hAnsi="宋体"/>
              <w:b/>
              <w:szCs w:val="21"/>
            </w:rPr>
            <w:t>经营实体说明，包括对于重要的境外经营实体，应披露其境外主要经营地、记账本位币及选择依据，记账本位币发生变化的还应披露原因</w:t>
          </w:r>
        </w:p>
        <w:p>
          <w:pPr>
            <w:pStyle w:val="114"/>
          </w:pPr>
          <w:sdt>
            <w:sdtPr>
              <w:alias w:val="是否适用：境外经营实体主要报表项目的折算汇率[双击切换]"/>
              <w:tag w:val="_GBC_4ad16f5c306d4c6ead144dfd007fb925"/>
              <w:id w:val="-1977289925"/>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End w:id="247"/>
    <w:p>
      <w:pPr>
        <w:pStyle w:val="114"/>
      </w:pPr>
    </w:p>
    <w:sdt>
      <w:sdtPr>
        <w:rPr>
          <w:rFonts w:hint="eastAsia" w:ascii="宋体" w:hAnsi="宋体" w:cs="宋体"/>
          <w:b w:val="0"/>
          <w:bCs w:val="0"/>
          <w:kern w:val="0"/>
          <w:szCs w:val="24"/>
        </w:rPr>
        <w:alias w:val="模块:按照套期类别披露套期及相关套期工具、被套期风险的相关的定性定"/>
        <w:tag w:val="_GBC_e37f7bfcfa2f4a9e92bdd5e8593a6fd8"/>
        <w:id w:val="1744992720"/>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51"/>
            </w:numPr>
            <w:tabs>
              <w:tab w:val="left" w:pos="504"/>
            </w:tabs>
            <w:rPr>
              <w:rFonts w:ascii="宋体" w:hAnsi="宋体" w:cs="宋体"/>
              <w:bCs w:val="0"/>
              <w:kern w:val="0"/>
              <w:szCs w:val="24"/>
            </w:rPr>
          </w:pPr>
          <w:r>
            <w:rPr>
              <w:rFonts w:hint="eastAsia" w:ascii="宋体" w:hAnsi="宋体" w:cs="宋体"/>
              <w:kern w:val="0"/>
              <w:szCs w:val="24"/>
            </w:rPr>
            <w:t>套期</w:t>
          </w:r>
        </w:p>
        <w:sdt>
          <w:sdtPr>
            <w:alias w:val="是否适用：套期[双击切换]"/>
            <w:tag w:val="_GBC_bca8fe779ada470c87241e7b3e12387a"/>
            <w:id w:val="79487162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4"/>
        </w:rPr>
        <w:alias w:val="模块:政府补助"/>
        <w:tag w:val="_SEC_8b247fe8025b433290c47017eb23d965"/>
        <w:id w:val="-7011948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51"/>
            </w:numPr>
            <w:tabs>
              <w:tab w:val="left" w:pos="504"/>
            </w:tabs>
            <w:rPr>
              <w:rFonts w:ascii="宋体" w:hAnsi="宋体"/>
            </w:rPr>
          </w:pPr>
          <w:r>
            <w:rPr>
              <w:rFonts w:hint="eastAsia" w:ascii="宋体" w:hAnsi="宋体"/>
            </w:rPr>
            <w:t>政府</w:t>
          </w:r>
          <w:r>
            <w:rPr>
              <w:rFonts w:hint="eastAsia" w:ascii="宋体" w:hAnsi="宋体" w:cs="宋体"/>
              <w:kern w:val="0"/>
              <w:szCs w:val="24"/>
            </w:rPr>
            <w:t>补助</w:t>
          </w:r>
        </w:p>
        <w:p>
          <w:pPr>
            <w:pStyle w:val="5"/>
            <w:numPr>
              <w:ilvl w:val="0"/>
              <w:numId w:val="85"/>
            </w:numPr>
            <w:rPr>
              <w:rFonts w:ascii="宋体" w:hAnsi="宋体"/>
            </w:rPr>
          </w:pPr>
          <w:r>
            <w:rPr>
              <w:rFonts w:hint="eastAsia" w:ascii="宋体" w:hAnsi="宋体"/>
            </w:rPr>
            <w:t>政府补助基本情况</w:t>
          </w:r>
        </w:p>
        <w:sdt>
          <w:sdtPr>
            <w:rPr>
              <w:rFonts w:hint="eastAsia"/>
            </w:rPr>
            <w:alias w:val="是否适用：政府补助基本情况[双击切换]"/>
            <w:tag w:val="_GBC_8a025998848a4a4d930f199d57736e15"/>
            <w:id w:val="212093955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政府补助基本情况"/>
              <w:tag w:val="_GBC_49d8ad9a78444187ab5ec6859fc38653"/>
              <w:id w:val="-5817651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8190389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262"/>
            <w:gridCol w:w="2262"/>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inorEastAsia" w:hAnsiTheme="minorEastAsia" w:eastAsiaTheme="minorEastAsia"/>
                </w:rPr>
                <w:tag w:val="_PLD_20198135e9724233ad4bece3169fd38a"/>
                <w:id w:val="1558519156"/>
                <w:lock w:val="sdtLocked"/>
              </w:sdtPr>
              <w:sdtEndPr>
                <w:rPr>
                  <w:rFonts w:asciiTheme="minorEastAsia" w:hAnsiTheme="minorEastAsia" w:eastAsiaTheme="minorEastAsia"/>
                </w:rPr>
              </w:sdtEndPr>
              <w:sdtContent>
                <w:tc>
                  <w:tcPr>
                    <w:tcW w:w="1250"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种类</w:t>
                    </w:r>
                  </w:p>
                </w:tc>
              </w:sdtContent>
            </w:sdt>
            <w:sdt>
              <w:sdtPr>
                <w:rPr>
                  <w:rFonts w:asciiTheme="minorEastAsia" w:hAnsiTheme="minorEastAsia" w:eastAsiaTheme="minorEastAsia"/>
                </w:rPr>
                <w:tag w:val="_PLD_50674c48b51140b28f91e26b50ec3ca3"/>
                <w:id w:val="1194033209"/>
                <w:lock w:val="sdtLocked"/>
              </w:sdtPr>
              <w:sdtEndPr>
                <w:rPr>
                  <w:rFonts w:asciiTheme="minorEastAsia" w:hAnsiTheme="minorEastAsia" w:eastAsiaTheme="minorEastAsia"/>
                </w:rPr>
              </w:sdtEndPr>
              <w:sdtContent>
                <w:tc>
                  <w:tcPr>
                    <w:tcW w:w="1250"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金额</w:t>
                    </w:r>
                  </w:p>
                </w:tc>
              </w:sdtContent>
            </w:sdt>
            <w:sdt>
              <w:sdtPr>
                <w:rPr>
                  <w:rFonts w:asciiTheme="minorEastAsia" w:hAnsiTheme="minorEastAsia" w:eastAsiaTheme="minorEastAsia"/>
                </w:rPr>
                <w:tag w:val="_PLD_89c889fd1e0e48039263b92a213ea66d"/>
                <w:id w:val="1524821260"/>
                <w:lock w:val="sdtLocked"/>
              </w:sdtPr>
              <w:sdtEndPr>
                <w:rPr>
                  <w:rFonts w:asciiTheme="minorEastAsia" w:hAnsiTheme="minorEastAsia" w:eastAsiaTheme="minorEastAsia"/>
                </w:rPr>
              </w:sdtEndPr>
              <w:sdtContent>
                <w:tc>
                  <w:tcPr>
                    <w:tcW w:w="1250"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列报项目</w:t>
                    </w:r>
                  </w:p>
                </w:tc>
              </w:sdtContent>
            </w:sdt>
            <w:sdt>
              <w:sdtPr>
                <w:rPr>
                  <w:rFonts w:asciiTheme="minorEastAsia" w:hAnsiTheme="minorEastAsia" w:eastAsiaTheme="minorEastAsia"/>
                </w:rPr>
                <w:tag w:val="_PLD_edddb4c4d0cf4f88861cbb3e2b5c9ca7"/>
                <w:id w:val="1560747519"/>
                <w:lock w:val="sdtLocked"/>
              </w:sdtPr>
              <w:sdtEndPr>
                <w:rPr>
                  <w:rFonts w:asciiTheme="minorEastAsia" w:hAnsiTheme="minorEastAsia" w:eastAsiaTheme="minorEastAsia"/>
                </w:rPr>
              </w:sdtEndPr>
              <w:sdtContent>
                <w:tc>
                  <w:tcPr>
                    <w:tcW w:w="1250" w:type="pct"/>
                    <w:vAlign w:val="center"/>
                  </w:tcPr>
                  <w:p>
                    <w:pPr>
                      <w:widowControl w:val="0"/>
                      <w:jc w:val="center"/>
                      <w:rPr>
                        <w:rFonts w:asciiTheme="minorEastAsia" w:hAnsiTheme="minorEastAsia" w:eastAsiaTheme="minorEastAsia"/>
                      </w:rPr>
                    </w:pPr>
                    <w:r>
                      <w:rPr>
                        <w:rFonts w:hint="eastAsia" w:asciiTheme="minorEastAsia" w:hAnsiTheme="minorEastAsia" w:eastAsiaTheme="minorEastAsia"/>
                      </w:rPr>
                      <w:t>计入当期损益的金额</w:t>
                    </w:r>
                  </w:p>
                </w:tc>
              </w:sdtContent>
            </w:sdt>
          </w:tr>
          <w:sdt>
            <w:sdtPr>
              <w:rPr>
                <w:rFonts w:hint="eastAsia" w:asciiTheme="minorEastAsia" w:hAnsiTheme="minorEastAsia" w:eastAsiaTheme="minorEastAsia" w:cstheme="minorBidi"/>
                <w:sz w:val="22"/>
                <w:szCs w:val="22"/>
              </w:rPr>
              <w:alias w:val="政府补助基本情况明细"/>
              <w:tag w:val="_TUP_6721ef78150942db8758c3d102513424"/>
              <w:id w:val="32937190"/>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增值税加计扣除</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5,380,541.46</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5,380,541.46</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1617595231"/>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pStyle w:val="114"/>
                      <w:widowControl w:val="0"/>
                      <w:jc w:val="both"/>
                      <w:rPr>
                        <w:rFonts w:asciiTheme="minorEastAsia" w:hAnsiTheme="minorEastAsia" w:eastAsiaTheme="minorEastAsia"/>
                      </w:rPr>
                    </w:pPr>
                    <w:r>
                      <w:rPr>
                        <w:rFonts w:asciiTheme="minorEastAsia" w:hAnsiTheme="minorEastAsia" w:eastAsiaTheme="minorEastAsia"/>
                      </w:rPr>
                      <w:t>高速公路省界收费站改造工程建设补助资金</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4,232,412.48</w:t>
                    </w:r>
                  </w:p>
                </w:tc>
                <w:tc>
                  <w:tcPr>
                    <w:tcW w:w="1250" w:type="pct"/>
                  </w:tcPr>
                  <w:p>
                    <w:pPr>
                      <w:pStyle w:val="114"/>
                      <w:widowControl w:val="0"/>
                      <w:jc w:val="both"/>
                      <w:rPr>
                        <w:rFonts w:asciiTheme="minorEastAsia" w:hAnsiTheme="minorEastAsia" w:eastAsiaTheme="minorEastAsia"/>
                      </w:rPr>
                    </w:pPr>
                    <w:r>
                      <w:rPr>
                        <w:rFonts w:asciiTheme="minorEastAsia" w:hAnsiTheme="minorEastAsia" w:eastAsiaTheme="minorEastAsia"/>
                      </w:rPr>
                      <w:t>递延收益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4,232,412.48</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1745477885"/>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宁常高速公路建设补助</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814,353.01</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递延收益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814,353.01</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150225119"/>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企业稳岗津贴</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3,000.00</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3,000.00</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1247336843"/>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节能减排政府补贴</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24,000.00</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24,000.00</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1324509402"/>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商业保理企业经营贡献奖</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1,053,200.00</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1,053,200.00</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580905840"/>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298,887.05</w:t>
                    </w:r>
                  </w:p>
                </w:tc>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其他收益</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298,887.05</w:t>
                    </w:r>
                  </w:p>
                </w:tc>
              </w:tr>
            </w:sdtContent>
          </w:sdt>
          <w:sdt>
            <w:sdtPr>
              <w:rPr>
                <w:rFonts w:hint="eastAsia" w:asciiTheme="minorEastAsia" w:hAnsiTheme="minorEastAsia" w:eastAsiaTheme="minorEastAsia" w:cstheme="minorBidi"/>
                <w:sz w:val="22"/>
                <w:szCs w:val="22"/>
              </w:rPr>
              <w:alias w:val="政府补助基本情况明细"/>
              <w:tag w:val="_TUP_6721ef78150942db8758c3d102513424"/>
              <w:id w:val="631527700"/>
              <w:lock w:val="sdtLocked"/>
            </w:sdtPr>
            <w:sdtEndPr>
              <w:rPr>
                <w:rFonts w:hint="eastAsia" w:asciiTheme="minorEastAsia" w:hAnsiTheme="minorEastAsia" w:eastAsiaTheme="minorEastAsia" w:cstheme="minorBidi"/>
                <w:sz w:val="22"/>
                <w:szCs w:val="2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widowControl w:val="0"/>
                      <w:jc w:val="left"/>
                      <w:rPr>
                        <w:rFonts w:asciiTheme="minorEastAsia" w:hAnsiTheme="minorEastAsia" w:eastAsiaTheme="minorEastAsia"/>
                      </w:rPr>
                    </w:pPr>
                    <w:r>
                      <w:rPr>
                        <w:rFonts w:asciiTheme="minorEastAsia" w:hAnsiTheme="minorEastAsia" w:eastAsiaTheme="minorEastAsia"/>
                      </w:rPr>
                      <w:t>合计</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11,806,394.00</w:t>
                    </w:r>
                  </w:p>
                </w:tc>
                <w:tc>
                  <w:tcPr>
                    <w:tcW w:w="1250" w:type="pct"/>
                  </w:tcPr>
                  <w:p>
                    <w:pPr>
                      <w:widowControl w:val="0"/>
                      <w:jc w:val="left"/>
                      <w:rPr>
                        <w:rFonts w:asciiTheme="minorEastAsia" w:hAnsiTheme="minorEastAsia" w:eastAsiaTheme="minorEastAsia"/>
                      </w:rPr>
                    </w:pPr>
                    <w:r>
                      <w:rPr>
                        <w:rFonts w:hint="eastAsia" w:ascii="MS Mincho" w:hAnsi="MS Mincho" w:eastAsia="MS Mincho" w:cs="MS Mincho"/>
                      </w:rPr>
                      <w:t> </w:t>
                    </w:r>
                  </w:p>
                </w:tc>
                <w:tc>
                  <w:tcPr>
                    <w:tcW w:w="1250" w:type="pct"/>
                  </w:tcPr>
                  <w:p>
                    <w:pPr>
                      <w:widowControl w:val="0"/>
                      <w:jc w:val="right"/>
                      <w:rPr>
                        <w:rFonts w:asciiTheme="minorEastAsia" w:hAnsiTheme="minorEastAsia" w:eastAsiaTheme="minorEastAsia"/>
                      </w:rPr>
                    </w:pPr>
                    <w:r>
                      <w:rPr>
                        <w:rFonts w:asciiTheme="minorEastAsia" w:hAnsiTheme="minorEastAsia" w:eastAsiaTheme="minorEastAsia"/>
                      </w:rPr>
                      <w:t>11,806,394.00</w:t>
                    </w:r>
                  </w:p>
                </w:tc>
              </w:tr>
            </w:sdtContent>
          </w:sdt>
        </w:tbl>
        <w:p>
          <w:pPr>
            <w:pStyle w:val="114"/>
          </w:pPr>
        </w:p>
        <w:p>
          <w:pPr>
            <w:pStyle w:val="5"/>
            <w:numPr>
              <w:ilvl w:val="0"/>
              <w:numId w:val="85"/>
            </w:numPr>
            <w:rPr>
              <w:rFonts w:ascii="宋体" w:hAnsi="宋体"/>
            </w:rPr>
          </w:pPr>
          <w:r>
            <w:rPr>
              <w:rFonts w:hint="eastAsia" w:ascii="宋体" w:hAnsi="宋体"/>
            </w:rPr>
            <w:t>政府补助退回情况</w:t>
          </w:r>
        </w:p>
        <w:sdt>
          <w:sdtPr>
            <w:alias w:val="是否适用：政府补助退回情况[双击切换]"/>
            <w:tag w:val="_GBC_d6d1c427ffcb427184f1234527bb5b16"/>
            <w:id w:val="-127216317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r>
            <w:rPr>
              <w:rFonts w:hint="eastAsia"/>
            </w:rPr>
            <w:t>其他说明</w:t>
          </w:r>
        </w:p>
        <w:sdt>
          <w:sdtPr>
            <w:alias w:val="政府补助说明"/>
            <w:tag w:val="_GBC_f71d7a3695a84c0c9e67640c00a61dad"/>
            <w:id w:val="606777635"/>
            <w:lock w:val="sdtLocked"/>
            <w:placeholder>
              <w:docPart w:val="GBC22222222222222222222222222222"/>
            </w:placeholder>
          </w:sdtPr>
          <w:sdtContent>
            <w:p>
              <w:pPr>
                <w:pStyle w:val="114"/>
              </w:pPr>
              <w:r>
                <w:rPr>
                  <w:rFonts w:hint="eastAsia"/>
                </w:rPr>
                <w:t>不适用</w:t>
              </w:r>
            </w:p>
          </w:sdtContent>
        </w:sdt>
      </w:sdtContent>
    </w:sdt>
    <w:sdt>
      <w:sdtPr>
        <w:rPr>
          <w:rFonts w:ascii="宋体" w:hAnsi="宋体" w:cs="宋体"/>
          <w:b w:val="0"/>
          <w:bCs w:val="0"/>
          <w:kern w:val="0"/>
          <w:szCs w:val="24"/>
        </w:rPr>
        <w:alias w:val="模块:合并财务报表项目注释其他需要说明的事项"/>
        <w:tag w:val="_GBC_f027b70d30154df58ffdc310123f3e1f"/>
        <w:id w:val="-844089790"/>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51"/>
            </w:numPr>
            <w:tabs>
              <w:tab w:val="left" w:pos="504"/>
            </w:tabs>
            <w:rPr>
              <w:rFonts w:ascii="宋体" w:hAnsi="宋体"/>
            </w:rPr>
          </w:pPr>
          <w:r>
            <w:rPr>
              <w:rFonts w:hint="eastAsia" w:ascii="宋体" w:hAnsi="宋体"/>
            </w:rPr>
            <w:t>其他</w:t>
          </w:r>
        </w:p>
        <w:sdt>
          <w:sdtPr>
            <w:alias w:val="是否适用：合并财务报表项目注释其他需要说明的事项[双击切换]"/>
            <w:tag w:val="_GBC_d9335575f6594653aa8718dc633c644c"/>
            <w:id w:val="88252493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并财务报表项目注释其他需要说明的事项"/>
            <w:tag w:val="_GBC_80f37a02cda14573a72e973b2a94432d"/>
            <w:id w:val="-111749815"/>
            <w:lock w:val="sdtLocked"/>
            <w:placeholder>
              <w:docPart w:val="GBC22222222222222222222222222222"/>
            </w:placeholder>
          </w:sdtPr>
          <w:sdtContent>
            <w:p>
              <w:pPr>
                <w:pStyle w:val="114"/>
              </w:pPr>
              <w:r>
                <w:rPr>
                  <w:rFonts w:hint="eastAsia"/>
                </w:rPr>
                <w:t>一般风险准备</w:t>
              </w:r>
            </w:p>
            <w:tbl>
              <w:tblPr>
                <w:tblStyle w:val="4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810"/>
                <w:gridCol w:w="1810"/>
                <w:gridCol w:w="1810"/>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项目</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期初余额</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本期增加</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本期减少</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期末余额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一般风险准备</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9,737,731.83</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819,394.53</w:t>
                    </w:r>
                  </w:p>
                </w:tc>
                <w:tc>
                  <w:tcPr>
                    <w:tcW w:w="1000" w:type="pct"/>
                  </w:tcPr>
                  <w:p>
                    <w:pPr>
                      <w:pStyle w:val="114"/>
                      <w:widowControl w:val="0"/>
                      <w:jc w:val="both"/>
                      <w:rPr>
                        <w:rFonts w:asciiTheme="minorEastAsia" w:hAnsiTheme="minorEastAsia" w:eastAsiaTheme="minorEastAsia"/>
                      </w:rPr>
                    </w:pPr>
                    <w:r>
                      <w:rPr>
                        <w:rFonts w:asciiTheme="minorEastAsia" w:hAnsiTheme="minorEastAsia" w:eastAsiaTheme="minorEastAsia"/>
                      </w:rPr>
                      <w:t>8,918,337.30</w:t>
                    </w:r>
                  </w:p>
                </w:tc>
              </w:tr>
            </w:tbl>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一般风险准备本期变动是本公司的子公司宁沪保理公司根据《中国银保监会办公厅关于加强商业保理企业监督管理的通知》</w:t>
              </w:r>
              <w:r>
                <w:rPr>
                  <w:rFonts w:cs="Arial" w:asciiTheme="minorEastAsia" w:hAnsiTheme="minorEastAsia" w:eastAsiaTheme="minorEastAsia"/>
                  <w:color w:val="000000" w:themeColor="text1"/>
                  <w14:textFill>
                    <w14:solidFill>
                      <w14:schemeClr w14:val="tx1"/>
                    </w14:solidFill>
                  </w14:textFill>
                </w:rPr>
                <w:t>(</w:t>
              </w:r>
              <w:r>
                <w:rPr>
                  <w:rFonts w:hint="eastAsia" w:cs="Arial" w:asciiTheme="minorEastAsia" w:hAnsiTheme="minorEastAsia" w:eastAsiaTheme="minorEastAsia"/>
                  <w:color w:val="000000" w:themeColor="text1"/>
                  <w14:textFill>
                    <w14:solidFill>
                      <w14:schemeClr w14:val="tx1"/>
                    </w14:solidFill>
                  </w14:textFill>
                </w:rPr>
                <w:t>银保监办发〔</w:t>
              </w:r>
              <w:r>
                <w:rPr>
                  <w:rFonts w:cs="Arial" w:asciiTheme="minorEastAsia" w:hAnsiTheme="minorEastAsia" w:eastAsiaTheme="minorEastAsia"/>
                  <w:color w:val="000000" w:themeColor="text1"/>
                  <w14:textFill>
                    <w14:solidFill>
                      <w14:schemeClr w14:val="tx1"/>
                    </w14:solidFill>
                  </w14:textFill>
                </w:rPr>
                <w:t>2019</w:t>
              </w:r>
              <w:r>
                <w:rPr>
                  <w:rFonts w:hint="eastAsia" w:cs="Arial" w:asciiTheme="minorEastAsia" w:hAnsiTheme="minorEastAsia" w:eastAsiaTheme="minorEastAsia"/>
                  <w:color w:val="000000" w:themeColor="text1"/>
                  <w14:textFill>
                    <w14:solidFill>
                      <w14:schemeClr w14:val="tx1"/>
                    </w14:solidFill>
                  </w14:textFill>
                </w:rPr>
                <w:t>〕</w:t>
              </w:r>
              <w:r>
                <w:rPr>
                  <w:rFonts w:cs="Arial" w:asciiTheme="minorEastAsia" w:hAnsiTheme="minorEastAsia" w:eastAsiaTheme="minorEastAsia"/>
                  <w:color w:val="000000" w:themeColor="text1"/>
                  <w14:textFill>
                    <w14:solidFill>
                      <w14:schemeClr w14:val="tx1"/>
                    </w14:solidFill>
                  </w14:textFill>
                </w:rPr>
                <w:t>205</w:t>
              </w:r>
              <w:r>
                <w:rPr>
                  <w:rFonts w:hint="eastAsia" w:cs="Arial" w:asciiTheme="minorEastAsia" w:hAnsiTheme="minorEastAsia" w:eastAsiaTheme="minorEastAsia"/>
                  <w:color w:val="000000" w:themeColor="text1"/>
                  <w14:textFill>
                    <w14:solidFill>
                      <w14:schemeClr w14:val="tx1"/>
                    </w14:solidFill>
                  </w14:textFill>
                </w:rPr>
                <w:t>号</w:t>
              </w:r>
              <w:r>
                <w:rPr>
                  <w:rFonts w:cs="Arial" w:asciiTheme="minorEastAsia" w:hAnsiTheme="minorEastAsia" w:eastAsiaTheme="minorEastAsia"/>
                  <w:color w:val="000000" w:themeColor="text1"/>
                  <w14:textFill>
                    <w14:solidFill>
                      <w14:schemeClr w14:val="tx1"/>
                    </w14:solidFill>
                  </w14:textFill>
                </w:rPr>
                <w:t xml:space="preserve">) </w:t>
              </w:r>
              <w:r>
                <w:rPr>
                  <w:rFonts w:hint="eastAsia" w:cs="Arial" w:asciiTheme="minorEastAsia" w:hAnsiTheme="minorEastAsia" w:eastAsiaTheme="minorEastAsia"/>
                  <w:color w:val="000000" w:themeColor="text1"/>
                  <w14:textFill>
                    <w14:solidFill>
                      <w14:schemeClr w14:val="tx1"/>
                    </w14:solidFill>
                  </w14:textFill>
                </w:rPr>
                <w:t>的要求减少计提的风险准备金。</w:t>
              </w:r>
            </w:p>
            <w:p>
              <w:pPr>
                <w:pStyle w:val="114"/>
              </w:pPr>
            </w:p>
          </w:sdtContent>
        </w:sdt>
        <w:p>
          <w:pPr>
            <w:pStyle w:val="114"/>
          </w:pPr>
        </w:p>
      </w:sdtContent>
    </w:sdt>
    <w:p>
      <w:pPr>
        <w:pStyle w:val="3"/>
        <w:numPr>
          <w:ilvl w:val="0"/>
          <w:numId w:val="38"/>
        </w:numPr>
        <w:ind w:left="422" w:hanging="422"/>
        <w:rPr>
          <w:rFonts w:ascii="宋体" w:hAnsi="宋体"/>
        </w:rPr>
      </w:pPr>
      <w:r>
        <w:rPr>
          <w:rFonts w:hint="eastAsia" w:ascii="宋体" w:hAnsi="宋体"/>
        </w:rPr>
        <w:t>合并范围的变更</w:t>
      </w:r>
    </w:p>
    <w:p>
      <w:pPr>
        <w:pStyle w:val="117"/>
        <w:numPr>
          <w:ilvl w:val="0"/>
          <w:numId w:val="86"/>
        </w:numPr>
        <w:rPr>
          <w:rFonts w:ascii="宋体" w:hAnsi="宋体" w:cs="Arial"/>
          <w:szCs w:val="21"/>
        </w:rPr>
      </w:pPr>
      <w:r>
        <w:rPr>
          <w:rFonts w:hint="eastAsia" w:ascii="宋体" w:hAnsi="宋体" w:cs="Arial"/>
          <w:szCs w:val="21"/>
        </w:rPr>
        <w:t>非同一控制下企业合并</w:t>
      </w:r>
    </w:p>
    <w:sdt>
      <w:sdtPr>
        <w:alias w:val="是否适用：非同一控制下企业合并[双击切换]"/>
        <w:tag w:val="_GBC_2f9a65b0b4644b14ab5af1407e6467f1"/>
        <w:id w:val="260879607"/>
        <w:lock w:val="sdtLocked"/>
        <w:placeholder>
          <w:docPart w:val="GBC22222222222222222222222222222"/>
        </w:placeholder>
      </w:sdtPr>
      <w:sdtContent>
        <w:p>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rPr>
      </w:pPr>
    </w:p>
    <w:p>
      <w:pPr>
        <w:pStyle w:val="114"/>
      </w:pPr>
    </w:p>
    <w:p>
      <w:pPr>
        <w:pStyle w:val="117"/>
        <w:numPr>
          <w:ilvl w:val="0"/>
          <w:numId w:val="86"/>
        </w:numPr>
        <w:rPr>
          <w:rFonts w:ascii="宋体" w:hAnsi="宋体" w:cs="Arial"/>
          <w:szCs w:val="21"/>
        </w:rPr>
      </w:pPr>
      <w:r>
        <w:rPr>
          <w:rFonts w:hint="eastAsia" w:ascii="宋体" w:hAnsi="宋体" w:cs="Arial"/>
          <w:szCs w:val="21"/>
        </w:rPr>
        <w:t>同一控制下企业合并</w:t>
      </w:r>
    </w:p>
    <w:sdt>
      <w:sdtPr>
        <w:alias w:val="是否适用：同一控制下企业合并[双击切换]"/>
        <w:tag w:val="_GBC_cde296136a1d4f2094eb79d21291eae2"/>
        <w:id w:val="-892351714"/>
        <w:lock w:val="sdtLocked"/>
        <w:placeholder>
          <w:docPart w:val="GBC22222222222222222222222222222"/>
        </w:placeholder>
      </w:sdtPr>
      <w:sdtContent>
        <w:p>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rPr>
      </w:pPr>
    </w:p>
    <w:p>
      <w:pPr>
        <w:pStyle w:val="114"/>
      </w:pPr>
    </w:p>
    <w:sdt>
      <w:sdtPr>
        <w:rPr>
          <w:rFonts w:hint="eastAsia" w:ascii="宋体" w:hAnsi="宋体" w:cs="Arial"/>
          <w:b w:val="0"/>
          <w:bCs w:val="0"/>
          <w:kern w:val="0"/>
          <w:szCs w:val="21"/>
        </w:rPr>
        <w:alias w:val="模块:反向购买"/>
        <w:tag w:val="_SEC_e0818786830d42ce99957d3ef113691a"/>
        <w:id w:val="-866992878"/>
        <w:lock w:val="sdtLocked"/>
        <w:placeholder>
          <w:docPart w:val="GBC22222222222222222222222222222"/>
        </w:placeholder>
      </w:sdtPr>
      <w:sdtEndPr>
        <w:rPr>
          <w:rFonts w:hint="default" w:ascii="宋体" w:hAnsi="宋体" w:cs="Arial"/>
          <w:b w:val="0"/>
          <w:bCs w:val="0"/>
          <w:kern w:val="0"/>
          <w:szCs w:val="21"/>
        </w:rPr>
      </w:sdtEndPr>
      <w:sdtContent>
        <w:p>
          <w:pPr>
            <w:pStyle w:val="117"/>
            <w:numPr>
              <w:ilvl w:val="0"/>
              <w:numId w:val="86"/>
            </w:numPr>
            <w:rPr>
              <w:rFonts w:ascii="宋体" w:hAnsi="宋体" w:cs="Arial"/>
              <w:szCs w:val="21"/>
            </w:rPr>
          </w:pPr>
          <w:r>
            <w:rPr>
              <w:rFonts w:hint="eastAsia" w:ascii="宋体" w:hAnsi="宋体" w:cs="Arial"/>
              <w:szCs w:val="21"/>
            </w:rPr>
            <w:t>反向购买</w:t>
          </w:r>
        </w:p>
        <w:sdt>
          <w:sdtPr>
            <w:alias w:val="是否适用：反向购买[双击切换]"/>
            <w:tag w:val="_GBC_973cde3cea5d460790de47cc49169bde"/>
            <w:id w:val="-13485587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rPr>
          </w:pPr>
        </w:p>
      </w:sdtContent>
    </w:sdt>
    <w:p>
      <w:pPr>
        <w:rPr>
          <w:rFonts w:cs="Arial"/>
          <w:color w:val="808080"/>
          <w:lang w:val="en-GB"/>
        </w:rPr>
        <w:sectPr>
          <w:pgSz w:w="11906" w:h="16838"/>
          <w:pgMar w:top="1525" w:right="1276" w:bottom="1440" w:left="1797" w:header="856" w:footer="992" w:gutter="0"/>
          <w:cols w:space="425" w:num="1"/>
          <w:docGrid w:linePitch="312" w:charSpace="0"/>
        </w:sectPr>
      </w:pPr>
    </w:p>
    <w:sdt>
      <w:sdtPr>
        <w:rPr>
          <w:rFonts w:hint="eastAsia" w:ascii="宋体" w:hAnsi="宋体" w:cs="Arial"/>
          <w:b w:val="0"/>
          <w:bCs w:val="0"/>
          <w:kern w:val="0"/>
          <w:szCs w:val="21"/>
        </w:rPr>
        <w:alias w:val="模块:处置子公司"/>
        <w:tag w:val="_GBC_cc6d41993eca4369a3cdb3c33d4f3299"/>
        <w:id w:val="-115907744"/>
        <w:lock w:val="sdtLocked"/>
        <w:placeholder>
          <w:docPart w:val="GBC22222222222222222222222222222"/>
        </w:placeholder>
      </w:sdtPr>
      <w:sdtEndPr>
        <w:rPr>
          <w:rFonts w:hint="eastAsia" w:ascii="宋体" w:hAnsi="宋体" w:cs="宋体"/>
          <w:b w:val="0"/>
          <w:bCs w:val="0"/>
          <w:color w:val="000000"/>
          <w:kern w:val="0"/>
          <w:szCs w:val="21"/>
        </w:rPr>
      </w:sdtEndPr>
      <w:sdtContent>
        <w:p>
          <w:pPr>
            <w:pStyle w:val="117"/>
            <w:numPr>
              <w:ilvl w:val="0"/>
              <w:numId w:val="86"/>
            </w:numPr>
            <w:rPr>
              <w:rFonts w:ascii="宋体" w:hAnsi="宋体" w:cs="Arial"/>
              <w:szCs w:val="21"/>
            </w:rPr>
          </w:pPr>
          <w:r>
            <w:rPr>
              <w:rFonts w:hint="eastAsia" w:ascii="宋体" w:hAnsi="宋体" w:cs="Arial"/>
              <w:szCs w:val="21"/>
            </w:rPr>
            <w:t>处置子公司</w:t>
          </w:r>
        </w:p>
        <w:p>
          <w:pPr>
            <w:pStyle w:val="114"/>
          </w:pPr>
          <w:r>
            <w:rPr>
              <w:rFonts w:hint="eastAsia"/>
            </w:rPr>
            <w:t>是否存在单次处置</w:t>
          </w:r>
          <w:r>
            <w:t>对子公司投资即丧失控制权的情形</w:t>
          </w:r>
        </w:p>
        <w:sdt>
          <w:sdtPr>
            <w:rPr>
              <w:rFonts w:hint="eastAsia" w:cs="Arial"/>
            </w:rPr>
            <w:alias w:val="是否存在单次交易处置对子公司投资即丧失控制权的情形[双击切换]"/>
            <w:tag w:val="_GBC_a2b81d1c138141d5bea164d8b7f9ce19"/>
            <w:id w:val="-1344467406"/>
            <w:lock w:val="sdtLocked"/>
            <w:placeholder>
              <w:docPart w:val="GBC22222222222222222222222222222"/>
            </w:placeholder>
          </w:sdtPr>
          <w:sdtEndPr>
            <w:rPr>
              <w:rFonts w:hint="eastAsia" w:cs="Arial"/>
            </w:rPr>
          </w:sdtEndPr>
          <w:sdtContent>
            <w:p>
              <w:pPr>
                <w:rPr>
                  <w:rFonts w:cs="Arial"/>
                  <w:color w:val="000000"/>
                </w:rPr>
              </w:pPr>
              <w:r>
                <w:rPr>
                  <w:rFonts w:cs="Arial"/>
                </w:rPr>
                <w:fldChar w:fldCharType="begin"/>
              </w:r>
              <w:r>
                <w:rPr>
                  <w:rFonts w:cs="Arial"/>
                </w:rPr>
                <w:instrText xml:space="preserve">MACROBUTTON  SnrToggleCheckbox □适用</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pPr>
            <w:rPr>
              <w:rFonts w:cs="Arial"/>
              <w:color w:val="000000"/>
            </w:rPr>
          </w:pPr>
          <w:r>
            <w:rPr>
              <w:rFonts w:hint="eastAsia" w:cs="Arial"/>
              <w:color w:val="000000"/>
            </w:rPr>
            <w:t>其他说明：</w:t>
          </w:r>
        </w:p>
        <w:sdt>
          <w:sdtPr>
            <w:rPr>
              <w:rFonts w:cs="Arial"/>
              <w:color w:val="000000"/>
            </w:rPr>
            <w:alias w:val="是否适用：单次交易处置对子公司投资即丧失控制权的情形的说明[双击切换]"/>
            <w:tag w:val="_GBC_28bcdbd3ff45497eb8fc02428c0c76e4"/>
            <w:id w:val="-609364588"/>
            <w:lock w:val="sdtLocked"/>
            <w:placeholder>
              <w:docPart w:val="GBC22222222222222222222222222222"/>
            </w:placeholder>
          </w:sdtPr>
          <w:sdtEndPr>
            <w:rPr>
              <w:rFonts w:cs="Arial"/>
              <w:color w:val="000000"/>
            </w:rPr>
          </w:sdtEndPr>
          <w:sdtContent>
            <w:p>
              <w:pPr>
                <w:rPr>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pPr>
        <w:rPr>
          <w:rFonts w:cs="Arial"/>
          <w:color w:val="000000"/>
        </w:rPr>
      </w:pPr>
    </w:p>
    <w:p>
      <w:pPr>
        <w:rPr>
          <w:rFonts w:cs="Arial"/>
          <w:color w:val="000000"/>
        </w:rPr>
      </w:pPr>
    </w:p>
    <w:sdt>
      <w:sdtPr>
        <w:rPr>
          <w:rFonts w:hint="eastAsia" w:ascii="宋体" w:hAnsi="宋体" w:cs="Arial"/>
          <w:b w:val="0"/>
          <w:bCs w:val="0"/>
          <w:color w:val="000000"/>
          <w:kern w:val="0"/>
          <w:szCs w:val="24"/>
        </w:rPr>
        <w:alias w:val="模块:其他原因的合并范围变动"/>
        <w:tag w:val="_GBC_c61d869cb31c439992bb2118c8eaac1e"/>
        <w:id w:val="-492951078"/>
        <w:lock w:val="sdtLocked"/>
        <w:placeholder>
          <w:docPart w:val="GBC22222222222222222222222222222"/>
        </w:placeholder>
      </w:sdtPr>
      <w:sdtEndPr>
        <w:rPr>
          <w:rFonts w:hint="eastAsia" w:ascii="宋体" w:hAnsi="宋体" w:cs="Arial"/>
          <w:b w:val="0"/>
          <w:bCs w:val="0"/>
          <w:color w:val="000000"/>
          <w:kern w:val="0"/>
          <w:szCs w:val="21"/>
        </w:rPr>
      </w:sdtEndPr>
      <w:sdtContent>
        <w:p>
          <w:pPr>
            <w:pStyle w:val="117"/>
            <w:numPr>
              <w:ilvl w:val="0"/>
              <w:numId w:val="86"/>
            </w:numPr>
            <w:rPr>
              <w:rFonts w:ascii="宋体" w:hAnsi="宋体" w:cs="Arial"/>
              <w:color w:val="000000"/>
            </w:rPr>
          </w:pPr>
          <w:r>
            <w:rPr>
              <w:rFonts w:hint="eastAsia" w:ascii="宋体" w:hAnsi="宋体" w:cs="Arial"/>
              <w:color w:val="000000"/>
            </w:rPr>
            <w:t>其他原因的合并范围变动</w:t>
          </w:r>
        </w:p>
        <w:p>
          <w:pPr>
            <w:pStyle w:val="114"/>
          </w:pPr>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075512138"/>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1175613085"/>
            <w:lock w:val="sdtLocked"/>
          </w:sdtPr>
          <w:sdtEndPr>
            <w:rPr>
              <w:rFonts w:cs="Arial"/>
              <w:color w:val="000000"/>
            </w:rPr>
          </w:sdtEndPr>
          <w:sdtContent>
            <w:p>
              <w:pPr>
                <w:tabs>
                  <w:tab w:val="left" w:pos="566"/>
                </w:tabs>
                <w:overflowPunct w:val="0"/>
                <w:adjustRightInd w:val="0"/>
                <w:ind w:hanging="851"/>
                <w:rPr>
                  <w:rFonts w:cs="Arial"/>
                  <w:color w:val="000000"/>
                </w:rPr>
              </w:pPr>
              <w:r>
                <w:rPr>
                  <w:rFonts w:cs="Arial"/>
                  <w:color w:val="000000"/>
                </w:rPr>
                <w:t xml:space="preserve">         </w:t>
              </w:r>
              <w:r>
                <w:rPr>
                  <w:rFonts w:hint="eastAsia" w:cs="Arial"/>
                  <w:color w:val="000000"/>
                </w:rPr>
                <w:t>本集团本期新增苏</w:t>
              </w:r>
              <w:r>
                <w:rPr>
                  <w:rFonts w:hint="eastAsia"/>
                </w:rPr>
                <w:t>交控清洁能源宿迁有限公司（“宿迁公司”）</w:t>
              </w:r>
              <w:r>
                <w:rPr>
                  <w:rFonts w:hint="eastAsia" w:cs="Arial"/>
                  <w:color w:val="000000"/>
                </w:rPr>
                <w:t>纳入合并范围，</w:t>
              </w:r>
              <w:r>
                <w:rPr>
                  <w:rFonts w:hint="eastAsia"/>
                </w:rPr>
                <w:t>宿迁公司注册资本人民币2</w:t>
              </w:r>
              <w:r>
                <w:t>000</w:t>
              </w:r>
              <w:r>
                <w:rPr>
                  <w:rFonts w:hint="eastAsia"/>
                </w:rPr>
                <w:t>万元，云杉清能公司持股6</w:t>
              </w:r>
              <w:r>
                <w:t>5</w:t>
              </w:r>
              <w:r>
                <w:rPr>
                  <w:rFonts w:hint="eastAsia"/>
                </w:rPr>
                <w:t>%，注册资金按实际投资项目进展分批到位，宿迁公司于2</w:t>
              </w:r>
              <w:r>
                <w:t>023</w:t>
              </w:r>
              <w:r>
                <w:rPr>
                  <w:rFonts w:hint="eastAsia"/>
                </w:rPr>
                <w:t>年3月2</w:t>
              </w:r>
              <w:r>
                <w:t>0</w:t>
              </w:r>
              <w:r>
                <w:rPr>
                  <w:rFonts w:hint="eastAsia"/>
                </w:rPr>
                <w:t>日完成工商登记。本报告期，云杉清能公司已出资人民币10万元。</w:t>
              </w:r>
            </w:p>
            <w:p/>
          </w:sdtContent>
        </w:sdt>
        <w:p>
          <w:pPr>
            <w:rPr>
              <w:rFonts w:cs="Arial"/>
              <w:color w:val="000000"/>
            </w:rPr>
          </w:pPr>
        </w:p>
      </w:sdtContent>
    </w:sdt>
    <w:p>
      <w:pPr>
        <w:rPr>
          <w:rFonts w:cs="Arial"/>
          <w:color w:val="000000"/>
        </w:rPr>
      </w:pPr>
    </w:p>
    <w:sdt>
      <w:sdtPr>
        <w:rPr>
          <w:rFonts w:hint="eastAsia" w:ascii="宋体" w:hAnsi="宋体" w:cs="Arial"/>
          <w:b w:val="0"/>
          <w:bCs w:val="0"/>
          <w:color w:val="000000"/>
          <w:kern w:val="0"/>
          <w:szCs w:val="24"/>
        </w:rPr>
        <w:alias w:val="模块:同一控制下企业合并其他"/>
        <w:tag w:val="_GBC_8ddcb59af8af49d295c61727d65b8301"/>
        <w:id w:val="99618533"/>
        <w:lock w:val="sdtLocked"/>
        <w:placeholder>
          <w:docPart w:val="GBC22222222222222222222222222222"/>
        </w:placeholder>
      </w:sdtPr>
      <w:sdtEndPr>
        <w:rPr>
          <w:rFonts w:hint="eastAsia" w:ascii="宋体" w:hAnsi="宋体" w:cs="Arial"/>
          <w:b w:val="0"/>
          <w:bCs w:val="0"/>
          <w:color w:val="000000"/>
          <w:kern w:val="0"/>
          <w:szCs w:val="21"/>
        </w:rPr>
      </w:sdtEndPr>
      <w:sdtContent>
        <w:p>
          <w:pPr>
            <w:pStyle w:val="117"/>
            <w:numPr>
              <w:ilvl w:val="0"/>
              <w:numId w:val="86"/>
            </w:numPr>
            <w:rPr>
              <w:rFonts w:ascii="宋体" w:hAnsi="宋体" w:cs="Arial"/>
              <w:color w:val="000000"/>
            </w:rPr>
          </w:pPr>
          <w:r>
            <w:rPr>
              <w:rFonts w:hint="eastAsia" w:ascii="宋体" w:hAnsi="宋体" w:cs="Arial"/>
              <w:color w:val="000000"/>
            </w:rPr>
            <w:t>其他</w:t>
          </w:r>
        </w:p>
        <w:sdt>
          <w:sdtPr>
            <w:alias w:val="是否适用：合并范围的变更-其他说明[双击切换]"/>
            <w:tag w:val="_GBC_cca0ea12df6c44878cdcbeced06ed993"/>
            <w:id w:val="-641726832"/>
            <w:lock w:val="sdtLocked"/>
            <w:placeholder>
              <w:docPart w:val="GBC22222222222222222222222222222"/>
            </w:placeholder>
          </w:sdtPr>
          <w:sdtContent>
            <w:p>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ectPr>
          <w:pgSz w:w="16838" w:h="11906" w:orient="landscape"/>
          <w:pgMar w:top="1797" w:right="1525" w:bottom="1276" w:left="1440" w:header="856" w:footer="992" w:gutter="0"/>
          <w:cols w:space="425" w:num="1"/>
          <w:docGrid w:linePitch="312" w:charSpace="0"/>
        </w:sectPr>
      </w:pPr>
    </w:p>
    <w:p>
      <w:pPr>
        <w:pStyle w:val="3"/>
        <w:numPr>
          <w:ilvl w:val="0"/>
          <w:numId w:val="38"/>
        </w:numPr>
        <w:ind w:left="422" w:hanging="422"/>
        <w:rPr>
          <w:rFonts w:ascii="宋体" w:hAnsi="宋体"/>
        </w:rPr>
      </w:pPr>
      <w:r>
        <w:rPr>
          <w:rFonts w:hint="eastAsia" w:ascii="宋体" w:hAnsi="宋体"/>
        </w:rPr>
        <w:t>在其他主体中的权益</w:t>
      </w:r>
    </w:p>
    <w:p>
      <w:pPr>
        <w:pStyle w:val="117"/>
        <w:numPr>
          <w:ilvl w:val="2"/>
          <w:numId w:val="87"/>
        </w:numPr>
        <w:rPr>
          <w:rFonts w:ascii="宋体" w:hAnsi="宋体"/>
        </w:rPr>
      </w:pPr>
      <w:r>
        <w:rPr>
          <w:rFonts w:hint="eastAsia" w:ascii="宋体" w:hAnsi="宋体"/>
        </w:rPr>
        <w:t>在子公司中的权益</w:t>
      </w:r>
    </w:p>
    <w:sdt>
      <w:sdtPr>
        <w:rPr>
          <w:rFonts w:hint="eastAsia" w:ascii="宋体" w:hAnsi="宋体" w:cs="宋体"/>
          <w:b w:val="0"/>
          <w:bCs w:val="0"/>
          <w:kern w:val="0"/>
          <w:szCs w:val="24"/>
        </w:rPr>
        <w:alias w:val="模块:企业集团的构成"/>
        <w:tag w:val="_GBC_47f8b786d9024ebb977349f022d18c1c"/>
        <w:id w:val="1382520781"/>
        <w:lock w:val="sdtLocked"/>
        <w:placeholder>
          <w:docPart w:val="GBC22222222222222222222222222222"/>
        </w:placeholder>
      </w:sdtPr>
      <w:sdtEndPr>
        <w:rPr>
          <w:rFonts w:hint="default" w:ascii="宋体" w:hAnsi="宋体" w:cstheme="minorBidi"/>
          <w:b w:val="0"/>
          <w:bCs w:val="0"/>
          <w:kern w:val="0"/>
          <w:szCs w:val="21"/>
        </w:rPr>
      </w:sdtEndPr>
      <w:sdtContent>
        <w:p>
          <w:pPr>
            <w:pStyle w:val="118"/>
            <w:numPr>
              <w:ilvl w:val="3"/>
              <w:numId w:val="88"/>
            </w:numPr>
            <w:tabs>
              <w:tab w:val="left" w:pos="644"/>
            </w:tabs>
            <w:rPr>
              <w:rFonts w:ascii="宋体" w:hAnsi="宋体"/>
            </w:rPr>
          </w:pPr>
          <w:r>
            <w:rPr>
              <w:rFonts w:hint="eastAsia" w:ascii="宋体" w:hAnsi="宋体"/>
            </w:rPr>
            <w:t>企业集团的构成</w:t>
          </w:r>
        </w:p>
        <w:sdt>
          <w:sdtPr>
            <w:alias w:val="是否适用：企业集团的构成[双击切换]"/>
            <w:tag w:val="_GBC_34a27c9c622e483cb4651d6ff3bc0d5a"/>
            <w:id w:val="-160271467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1139"/>
            <w:gridCol w:w="1122"/>
            <w:gridCol w:w="1151"/>
            <w:gridCol w:w="1176"/>
            <w:gridCol w:w="1137"/>
            <w:gridCol w:w="1138"/>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sdt>
              <w:sdtPr>
                <w:rPr>
                  <w:rFonts w:asciiTheme="majorEastAsia" w:hAnsiTheme="majorEastAsia" w:eastAsiaTheme="majorEastAsia"/>
                  <w:sz w:val="12"/>
                  <w:szCs w:val="12"/>
                </w:rPr>
                <w:tag w:val="_PLD_e6e24505838941c88a7f70e573a1261c"/>
                <w:id w:val="-684600070"/>
                <w:lock w:val="sdtLocked"/>
              </w:sdtPr>
              <w:sdtEndPr>
                <w:rPr>
                  <w:rFonts w:asciiTheme="majorEastAsia" w:hAnsiTheme="majorEastAsia" w:eastAsiaTheme="majorEastAsia"/>
                  <w:sz w:val="12"/>
                  <w:szCs w:val="12"/>
                </w:rPr>
              </w:sdtEndPr>
              <w:sdtContent>
                <w:tc>
                  <w:tcPr>
                    <w:tcW w:w="584"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子公司</w:t>
                    </w:r>
                  </w:p>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名称</w:t>
                    </w:r>
                  </w:p>
                </w:tc>
              </w:sdtContent>
            </w:sdt>
            <w:sdt>
              <w:sdtPr>
                <w:rPr>
                  <w:rFonts w:asciiTheme="majorEastAsia" w:hAnsiTheme="majorEastAsia" w:eastAsiaTheme="majorEastAsia"/>
                  <w:sz w:val="12"/>
                  <w:szCs w:val="12"/>
                </w:rPr>
                <w:tag w:val="_PLD_056e18f052024978add90fe8aacf887d"/>
                <w:id w:val="-492331744"/>
                <w:lock w:val="sdtLocked"/>
              </w:sdtPr>
              <w:sdtEndPr>
                <w:rPr>
                  <w:rFonts w:asciiTheme="majorEastAsia" w:hAnsiTheme="majorEastAsia" w:eastAsiaTheme="majorEastAsia"/>
                  <w:sz w:val="12"/>
                  <w:szCs w:val="12"/>
                </w:rPr>
              </w:sdtEndPr>
              <w:sdtContent>
                <w:tc>
                  <w:tcPr>
                    <w:tcW w:w="633"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主要经营地</w:t>
                    </w:r>
                  </w:p>
                </w:tc>
              </w:sdtContent>
            </w:sdt>
            <w:sdt>
              <w:sdtPr>
                <w:rPr>
                  <w:rFonts w:asciiTheme="majorEastAsia" w:hAnsiTheme="majorEastAsia" w:eastAsiaTheme="majorEastAsia"/>
                  <w:sz w:val="12"/>
                  <w:szCs w:val="12"/>
                </w:rPr>
                <w:tag w:val="_PLD_591af8ff23104790a7ac5dbb3278e185"/>
                <w:id w:val="1089896195"/>
                <w:lock w:val="sdtLocked"/>
              </w:sdtPr>
              <w:sdtEndPr>
                <w:rPr>
                  <w:rFonts w:asciiTheme="majorEastAsia" w:hAnsiTheme="majorEastAsia" w:eastAsiaTheme="majorEastAsia"/>
                  <w:sz w:val="12"/>
                  <w:szCs w:val="12"/>
                </w:rPr>
              </w:sdtEndPr>
              <w:sdtContent>
                <w:tc>
                  <w:tcPr>
                    <w:tcW w:w="624"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注册地</w:t>
                    </w:r>
                  </w:p>
                </w:tc>
              </w:sdtContent>
            </w:sdt>
            <w:sdt>
              <w:sdtPr>
                <w:rPr>
                  <w:rFonts w:asciiTheme="majorEastAsia" w:hAnsiTheme="majorEastAsia" w:eastAsiaTheme="majorEastAsia"/>
                  <w:sz w:val="12"/>
                  <w:szCs w:val="12"/>
                </w:rPr>
                <w:tag w:val="_PLD_00f166f7d07d4fab80fa91c95fb5d089"/>
                <w:id w:val="-516769627"/>
                <w:lock w:val="sdtLocked"/>
              </w:sdtPr>
              <w:sdtEndPr>
                <w:rPr>
                  <w:rFonts w:asciiTheme="majorEastAsia" w:hAnsiTheme="majorEastAsia" w:eastAsiaTheme="majorEastAsia"/>
                  <w:sz w:val="12"/>
                  <w:szCs w:val="12"/>
                </w:rPr>
              </w:sdtEndPr>
              <w:sdtContent>
                <w:tc>
                  <w:tcPr>
                    <w:tcW w:w="640"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业务性质</w:t>
                    </w:r>
                  </w:p>
                </w:tc>
              </w:sdtContent>
            </w:sdt>
            <w:tc>
              <w:tcPr>
                <w:tcW w:w="624"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注册资本</w:t>
                </w:r>
              </w:p>
            </w:tc>
            <w:sdt>
              <w:sdtPr>
                <w:rPr>
                  <w:rFonts w:asciiTheme="majorEastAsia" w:hAnsiTheme="majorEastAsia" w:eastAsiaTheme="majorEastAsia"/>
                  <w:sz w:val="12"/>
                  <w:szCs w:val="12"/>
                </w:rPr>
                <w:tag w:val="_PLD_312b40f444994b628fc2b8c3e4c90fdc"/>
                <w:id w:val="-399835200"/>
                <w:lock w:val="sdtLocked"/>
              </w:sdtPr>
              <w:sdtEndPr>
                <w:rPr>
                  <w:rFonts w:asciiTheme="majorEastAsia" w:hAnsiTheme="majorEastAsia" w:eastAsiaTheme="majorEastAsia"/>
                  <w:sz w:val="12"/>
                  <w:szCs w:val="12"/>
                </w:rPr>
              </w:sdtEndPr>
              <w:sdtContent>
                <w:tc>
                  <w:tcPr>
                    <w:tcW w:w="1264" w:type="pct"/>
                    <w:gridSpan w:val="2"/>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持股比例</w:t>
                    </w:r>
                    <w:r>
                      <w:rPr>
                        <w:rFonts w:cs="Arial" w:asciiTheme="majorEastAsia" w:hAnsiTheme="majorEastAsia" w:eastAsiaTheme="majorEastAsia"/>
                        <w:sz w:val="12"/>
                        <w:szCs w:val="12"/>
                      </w:rPr>
                      <w:t>(%)</w:t>
                    </w:r>
                  </w:p>
                </w:tc>
              </w:sdtContent>
            </w:sdt>
            <w:sdt>
              <w:sdtPr>
                <w:rPr>
                  <w:rFonts w:asciiTheme="majorEastAsia" w:hAnsiTheme="majorEastAsia" w:eastAsiaTheme="majorEastAsia"/>
                  <w:sz w:val="12"/>
                  <w:szCs w:val="12"/>
                </w:rPr>
                <w:tag w:val="_PLD_7955b51c085a48948cb5518baa55ee50"/>
                <w:id w:val="-394894615"/>
                <w:lock w:val="sdtLocked"/>
              </w:sdtPr>
              <w:sdtEndPr>
                <w:rPr>
                  <w:rFonts w:asciiTheme="majorEastAsia" w:hAnsiTheme="majorEastAsia" w:eastAsiaTheme="majorEastAsia"/>
                  <w:sz w:val="12"/>
                  <w:szCs w:val="12"/>
                </w:rPr>
              </w:sdtEndPr>
              <w:sdtContent>
                <w:tc>
                  <w:tcPr>
                    <w:tcW w:w="631" w:type="pct"/>
                    <w:vMerge w:val="restar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取得</w:t>
                    </w:r>
                  </w:p>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方式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584" w:type="pct"/>
                <w:vMerge w:val="continue"/>
                <w:shd w:val="clear" w:color="auto" w:fill="auto"/>
                <w:vAlign w:val="center"/>
              </w:tcPr>
              <w:p>
                <w:pPr>
                  <w:rPr>
                    <w:rFonts w:cs="Arial" w:asciiTheme="majorEastAsia" w:hAnsiTheme="majorEastAsia" w:eastAsiaTheme="majorEastAsia"/>
                    <w:sz w:val="12"/>
                    <w:szCs w:val="12"/>
                  </w:rPr>
                </w:pPr>
              </w:p>
            </w:tc>
            <w:tc>
              <w:tcPr>
                <w:tcW w:w="633" w:type="pct"/>
                <w:vMerge w:val="continue"/>
                <w:shd w:val="clear" w:color="auto" w:fill="auto"/>
                <w:vAlign w:val="center"/>
              </w:tcPr>
              <w:p>
                <w:pPr>
                  <w:rPr>
                    <w:rFonts w:cs="Arial" w:asciiTheme="majorEastAsia" w:hAnsiTheme="majorEastAsia" w:eastAsiaTheme="majorEastAsia"/>
                    <w:sz w:val="12"/>
                    <w:szCs w:val="12"/>
                  </w:rPr>
                </w:pPr>
              </w:p>
            </w:tc>
            <w:tc>
              <w:tcPr>
                <w:tcW w:w="624" w:type="pct"/>
                <w:vMerge w:val="continue"/>
                <w:shd w:val="clear" w:color="auto" w:fill="auto"/>
                <w:vAlign w:val="center"/>
              </w:tcPr>
              <w:p>
                <w:pPr>
                  <w:rPr>
                    <w:rFonts w:cs="Arial" w:asciiTheme="majorEastAsia" w:hAnsiTheme="majorEastAsia" w:eastAsiaTheme="majorEastAsia"/>
                    <w:sz w:val="12"/>
                    <w:szCs w:val="12"/>
                  </w:rPr>
                </w:pPr>
              </w:p>
            </w:tc>
            <w:tc>
              <w:tcPr>
                <w:tcW w:w="640" w:type="pct"/>
                <w:vMerge w:val="continue"/>
                <w:shd w:val="clear" w:color="auto" w:fill="auto"/>
                <w:vAlign w:val="center"/>
              </w:tcPr>
              <w:p>
                <w:pPr>
                  <w:rPr>
                    <w:rFonts w:cs="Arial" w:asciiTheme="majorEastAsia" w:hAnsiTheme="majorEastAsia" w:eastAsiaTheme="majorEastAsia"/>
                    <w:sz w:val="12"/>
                    <w:szCs w:val="12"/>
                  </w:rPr>
                </w:pPr>
              </w:p>
            </w:tc>
            <w:tc>
              <w:tcPr>
                <w:tcW w:w="624" w:type="pct"/>
                <w:vMerge w:val="continue"/>
                <w:shd w:val="clear" w:color="auto" w:fill="auto"/>
                <w:vAlign w:val="center"/>
              </w:tcPr>
              <w:p>
                <w:pPr>
                  <w:rPr>
                    <w:rFonts w:cs="Arial" w:asciiTheme="majorEastAsia" w:hAnsiTheme="majorEastAsia" w:eastAsiaTheme="majorEastAsia"/>
                    <w:sz w:val="12"/>
                    <w:szCs w:val="12"/>
                  </w:rPr>
                </w:pPr>
              </w:p>
            </w:tc>
            <w:sdt>
              <w:sdtPr>
                <w:rPr>
                  <w:rFonts w:asciiTheme="majorEastAsia" w:hAnsiTheme="majorEastAsia" w:eastAsiaTheme="majorEastAsia"/>
                  <w:sz w:val="12"/>
                  <w:szCs w:val="12"/>
                </w:rPr>
                <w:tag w:val="_PLD_ab045acafe9d4890848568705ddd5475"/>
                <w:id w:val="-425889573"/>
                <w:lock w:val="sdtLocked"/>
              </w:sdtPr>
              <w:sdtEndPr>
                <w:rPr>
                  <w:rFonts w:asciiTheme="majorEastAsia" w:hAnsiTheme="majorEastAsia" w:eastAsiaTheme="majorEastAsia"/>
                  <w:sz w:val="12"/>
                  <w:szCs w:val="12"/>
                </w:rPr>
              </w:sdtEndPr>
              <w:sdtContent>
                <w:tc>
                  <w:tcPr>
                    <w:tcW w:w="632" w:type="pc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直接</w:t>
                    </w:r>
                  </w:p>
                </w:tc>
              </w:sdtContent>
            </w:sdt>
            <w:sdt>
              <w:sdtPr>
                <w:rPr>
                  <w:rFonts w:asciiTheme="majorEastAsia" w:hAnsiTheme="majorEastAsia" w:eastAsiaTheme="majorEastAsia"/>
                  <w:sz w:val="12"/>
                  <w:szCs w:val="12"/>
                </w:rPr>
                <w:tag w:val="_PLD_78e5db032e5044cba22bc40c16ee940a"/>
                <w:id w:val="-826674067"/>
                <w:lock w:val="sdtLocked"/>
              </w:sdtPr>
              <w:sdtEndPr>
                <w:rPr>
                  <w:rFonts w:asciiTheme="majorEastAsia" w:hAnsiTheme="majorEastAsia" w:eastAsiaTheme="majorEastAsia"/>
                  <w:sz w:val="12"/>
                  <w:szCs w:val="12"/>
                </w:rPr>
              </w:sdtEndPr>
              <w:sdtContent>
                <w:tc>
                  <w:tcPr>
                    <w:tcW w:w="632" w:type="pct"/>
                    <w:shd w:val="clear" w:color="auto" w:fill="auto"/>
                    <w:vAlign w:val="center"/>
                  </w:tcPr>
                  <w:p>
                    <w:pP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间接</w:t>
                    </w:r>
                  </w:p>
                </w:tc>
              </w:sdtContent>
            </w:sdt>
            <w:tc>
              <w:tcPr>
                <w:tcW w:w="631" w:type="pct"/>
                <w:vMerge w:val="continue"/>
              </w:tcPr>
              <w:p>
                <w:pPr>
                  <w:rPr>
                    <w:rFonts w:cs="Arial" w:asciiTheme="majorEastAsia" w:hAnsiTheme="majorEastAsia" w:eastAsiaTheme="majorEastAsia"/>
                    <w:sz w:val="12"/>
                    <w:szCs w:val="12"/>
                  </w:rPr>
                </w:pPr>
              </w:p>
            </w:tc>
          </w:tr>
          <w:sdt>
            <w:sdtPr>
              <w:rPr>
                <w:rFonts w:asciiTheme="majorEastAsia" w:hAnsiTheme="majorEastAsia" w:eastAsiaTheme="majorEastAsia"/>
                <w:sz w:val="12"/>
                <w:szCs w:val="12"/>
              </w:rPr>
              <w:alias w:val="企业合并及合并财务报表明细"/>
              <w:tag w:val="_GBC_986bfe326d834fea9d2920637e286f21"/>
              <w:id w:val="-73916960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江苏宁沪投资发展有限公司（"宁沪投资"）</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投资、服务</w:t>
                    </w:r>
                  </w:p>
                </w:tc>
                <w:sdt>
                  <w:sdtPr>
                    <w:rPr>
                      <w:rFonts w:asciiTheme="majorEastAsia" w:hAnsiTheme="majorEastAsia" w:eastAsiaTheme="majorEastAsia"/>
                      <w:sz w:val="12"/>
                      <w:szCs w:val="12"/>
                    </w:rPr>
                    <w:alias w:val="注册资本"/>
                    <w:tag w:val="_GBC_cd730102683e4640b85b4a2d0b142be0"/>
                    <w:id w:val="1977570918"/>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人民币2,140,000,000.00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772483462"/>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江苏宁沪置业有限责任公司（"宁沪置业"）</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南京、镇江</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房地产</w:t>
                    </w:r>
                  </w:p>
                </w:tc>
                <w:sdt>
                  <w:sdtPr>
                    <w:rPr>
                      <w:rFonts w:asciiTheme="majorEastAsia" w:hAnsiTheme="majorEastAsia" w:eastAsiaTheme="majorEastAsia"/>
                      <w:sz w:val="12"/>
                      <w:szCs w:val="12"/>
                    </w:rPr>
                    <w:alias w:val="注册资本"/>
                    <w:tag w:val="_GBC_cd730102683e4640b85b4a2d0b142be0"/>
                    <w:id w:val="1523749045"/>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人民币500,000,000.00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367403468"/>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南京瀚威房地产开发有限公司（"瀚威公司"）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房地产</w:t>
                    </w:r>
                  </w:p>
                </w:tc>
                <w:sdt>
                  <w:sdtPr>
                    <w:rPr>
                      <w:rFonts w:asciiTheme="majorEastAsia" w:hAnsiTheme="majorEastAsia" w:eastAsiaTheme="majorEastAsia"/>
                      <w:sz w:val="12"/>
                      <w:szCs w:val="12"/>
                    </w:rPr>
                    <w:alias w:val="注册资本"/>
                    <w:tag w:val="_GBC_cd730102683e4640b85b4a2d0b142be0"/>
                    <w:id w:val="2076769636"/>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人民币290,000,000.00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非同一控制下企业合并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602938941"/>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江苏长江商业能源有限公司（“长江商能”）</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服务区运营</w:t>
                    </w:r>
                  </w:p>
                </w:tc>
                <w:sdt>
                  <w:sdtPr>
                    <w:rPr>
                      <w:rFonts w:asciiTheme="majorEastAsia" w:hAnsiTheme="majorEastAsia" w:eastAsiaTheme="majorEastAsia"/>
                      <w:sz w:val="12"/>
                      <w:szCs w:val="12"/>
                    </w:rPr>
                    <w:alias w:val="注册资本"/>
                    <w:tag w:val="_GBC_cd730102683e4640b85b4a2d0b142be0"/>
                    <w:id w:val="1347209834"/>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82049501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江苏扬子江高速信道管理有限公司（"扬子江管理"）</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无锡</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433595083"/>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人民币50,000,000.00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04062532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宁沪国际</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中国香港</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中国香港</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w:t>
                    </w:r>
                  </w:p>
                </w:tc>
                <w:sdt>
                  <w:sdtPr>
                    <w:rPr>
                      <w:rFonts w:asciiTheme="majorEastAsia" w:hAnsiTheme="majorEastAsia" w:eastAsiaTheme="majorEastAsia"/>
                      <w:sz w:val="12"/>
                      <w:szCs w:val="12"/>
                    </w:rPr>
                    <w:alias w:val="注册资本"/>
                    <w:tag w:val="_GBC_cd730102683e4640b85b4a2d0b142be0"/>
                    <w:id w:val="1024676019"/>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美元113,176.86</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512065095"/>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云杉清能</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61967986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人民币2,000,000,000.00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719935868"/>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广靖锡澄公司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无锡</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1547830876"/>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人民币2,500,000,000.00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85</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749015915"/>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江苏镇丹高速公路有限公司（"镇丹公司"）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镇江</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148599978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人民币605,590,000.00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70</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786392011"/>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江苏五峰山大桥有限公司（"五峰山大桥"）</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镇江、扬州</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镇江</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107069423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人民币4,826,350,000.00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64.5</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32926283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江苏龙潭大桥有限公司（"龙潭大桥"）</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30019370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人民币5,993,860,000.00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57.3</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59082608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宁沪置业(昆山)有限公司（"置业昆山"）</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房地产</w:t>
                    </w:r>
                  </w:p>
                </w:tc>
                <w:sdt>
                  <w:sdtPr>
                    <w:rPr>
                      <w:rFonts w:asciiTheme="majorEastAsia" w:hAnsiTheme="majorEastAsia" w:eastAsiaTheme="majorEastAsia"/>
                      <w:sz w:val="12"/>
                      <w:szCs w:val="12"/>
                    </w:rPr>
                    <w:alias w:val="注册资本"/>
                    <w:tag w:val="_GBC_cd730102683e4640b85b4a2d0b142be0"/>
                    <w:id w:val="1883666193"/>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33172846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宁沪置业(苏州)有限公司（"置业苏州"）</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苏州</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苏州</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房地产</w:t>
                    </w:r>
                  </w:p>
                </w:tc>
                <w:sdt>
                  <w:sdtPr>
                    <w:rPr>
                      <w:rFonts w:asciiTheme="majorEastAsia" w:hAnsiTheme="majorEastAsia" w:eastAsiaTheme="majorEastAsia"/>
                      <w:sz w:val="12"/>
                      <w:szCs w:val="12"/>
                    </w:rPr>
                    <w:alias w:val="注册资本"/>
                    <w:tag w:val="_GBC_cd730102683e4640b85b4a2d0b142be0"/>
                    <w:id w:val="111540570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5186376"/>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宁沪保理公司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广州</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广州</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商务服务</w:t>
                    </w:r>
                  </w:p>
                </w:tc>
                <w:sdt>
                  <w:sdtPr>
                    <w:rPr>
                      <w:rFonts w:asciiTheme="majorEastAsia" w:hAnsiTheme="majorEastAsia" w:eastAsiaTheme="majorEastAsia"/>
                      <w:sz w:val="12"/>
                      <w:szCs w:val="12"/>
                    </w:rPr>
                    <w:alias w:val="注册资本"/>
                    <w:tag w:val="_GBC_cd730102683e4640b85b4a2d0b142be0"/>
                    <w:id w:val="1648087394"/>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人民币300,000,000.00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95283067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昆山丰源</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房地产</w:t>
                    </w:r>
                  </w:p>
                </w:tc>
                <w:sdt>
                  <w:sdtPr>
                    <w:rPr>
                      <w:rFonts w:asciiTheme="majorEastAsia" w:hAnsiTheme="majorEastAsia" w:eastAsiaTheme="majorEastAsia"/>
                      <w:sz w:val="12"/>
                      <w:szCs w:val="12"/>
                    </w:rPr>
                    <w:alias w:val="注册资本"/>
                    <w:tag w:val="_GBC_cd730102683e4640b85b4a2d0b142be0"/>
                    <w:id w:val="-91856609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人民币9,000,000.00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79894333"/>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江苏同城时代物业管理有限公司（"同城物业"）</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昆山</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物业管理</w:t>
                    </w:r>
                  </w:p>
                </w:tc>
                <w:sdt>
                  <w:sdtPr>
                    <w:rPr>
                      <w:rFonts w:asciiTheme="majorEastAsia" w:hAnsiTheme="majorEastAsia" w:eastAsiaTheme="majorEastAsia"/>
                      <w:sz w:val="12"/>
                      <w:szCs w:val="12"/>
                    </w:rPr>
                    <w:alias w:val="注册资本"/>
                    <w:tag w:val="_GBC_cd730102683e4640b85b4a2d0b142be0"/>
                    <w:id w:val="1918899723"/>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人民币3,000,000.00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87203974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靖澄广告</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无锡</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无锡</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服务</w:t>
                    </w:r>
                  </w:p>
                </w:tc>
                <w:sdt>
                  <w:sdtPr>
                    <w:rPr>
                      <w:rFonts w:asciiTheme="majorEastAsia" w:hAnsiTheme="majorEastAsia" w:eastAsiaTheme="majorEastAsia"/>
                      <w:sz w:val="12"/>
                      <w:szCs w:val="12"/>
                    </w:rPr>
                    <w:alias w:val="注册资本"/>
                    <w:tag w:val="_GBC_cd730102683e4640b85b4a2d0b142be0"/>
                    <w:id w:val="369267045"/>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606728125"/>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徐州清能</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徐州</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徐州</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24056126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人民币6,900,000.00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883626202"/>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铜山清能</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铜山</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铜山</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063334405"/>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人民币15,150,000.00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559277386"/>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丰县新能源</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900480613"/>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人民币32,600,000.00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137370240"/>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农业科技</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农业</w:t>
                    </w:r>
                  </w:p>
                </w:tc>
                <w:sdt>
                  <w:sdtPr>
                    <w:rPr>
                      <w:rFonts w:asciiTheme="majorEastAsia" w:hAnsiTheme="majorEastAsia" w:eastAsiaTheme="majorEastAsia"/>
                      <w:sz w:val="12"/>
                      <w:szCs w:val="12"/>
                    </w:rPr>
                    <w:alias w:val="注册资本"/>
                    <w:tag w:val="_GBC_cd730102683e4640b85b4a2d0b142be0"/>
                    <w:id w:val="389384569"/>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833835922"/>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苏交控清洁能源江苏有限公司（"江苏清能"）</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南京</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703592413"/>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100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202020848"/>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溧阳优科</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溧阳</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溧阳</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337593464"/>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90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097403443"/>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盐城云杉</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盐城</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盐城</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201681138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人民币54,000,000.00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80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25648472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如东公司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南通</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南通</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686325300"/>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人民币1,391,000,000.00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72</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827463219"/>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丰县再生能源</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南通</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丰县</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5705138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人民币49,230,000.00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70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2058820312"/>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金坛禾一</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常州</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常州</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1996766457"/>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人民币20,000,000.00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70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同一控制下企业合并</w:t>
                    </w:r>
                  </w:p>
                </w:tc>
              </w:tr>
            </w:sdtContent>
          </w:sdt>
          <w:sdt>
            <w:sdtPr>
              <w:rPr>
                <w:rFonts w:asciiTheme="majorEastAsia" w:hAnsiTheme="majorEastAsia" w:eastAsiaTheme="majorEastAsia"/>
                <w:sz w:val="12"/>
                <w:szCs w:val="12"/>
              </w:rPr>
              <w:alias w:val="企业合并及合并财务报表明细"/>
              <w:tag w:val="_GBC_986bfe326d834fea9d2920637e286f21"/>
              <w:id w:val="-150687280"/>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宿迁公司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宿迁</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宿迁</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清洁能源发电</w:t>
                    </w:r>
                  </w:p>
                </w:tc>
                <w:sdt>
                  <w:sdtPr>
                    <w:rPr>
                      <w:rFonts w:asciiTheme="majorEastAsia" w:hAnsiTheme="majorEastAsia" w:eastAsiaTheme="majorEastAsia"/>
                      <w:sz w:val="12"/>
                      <w:szCs w:val="12"/>
                    </w:rPr>
                    <w:alias w:val="注册资本"/>
                    <w:tag w:val="_GBC_cd730102683e4640b85b4a2d0b142be0"/>
                    <w:id w:val="44644035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人民币20,000,000.00</w:t>
                        </w:r>
                      </w:p>
                    </w:tc>
                  </w:sdtContent>
                </w:sdt>
                <w:tc>
                  <w:tcPr>
                    <w:tcW w:w="632" w:type="pct"/>
                  </w:tcPr>
                  <w:p>
                    <w:pPr>
                      <w:rPr>
                        <w:rFonts w:asciiTheme="majorEastAsia" w:hAnsiTheme="majorEastAsia" w:eastAsiaTheme="majorEastAsia"/>
                        <w:sz w:val="12"/>
                        <w:szCs w:val="12"/>
                      </w:rPr>
                    </w:pP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65</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100647983"/>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江苏宜长高速公路有限公司（"宜长公司"）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宜兴、长兴</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宜兴</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56896013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人民币1,591,480,880.00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60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sdt>
            <w:sdtPr>
              <w:rPr>
                <w:rFonts w:asciiTheme="majorEastAsia" w:hAnsiTheme="majorEastAsia" w:eastAsiaTheme="majorEastAsia"/>
                <w:sz w:val="12"/>
                <w:szCs w:val="12"/>
              </w:rPr>
              <w:alias w:val="企业合并及合并财务报表明细"/>
              <w:tag w:val="_GBC_986bfe326d834fea9d2920637e286f21"/>
              <w:id w:val="-2111803012"/>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tcPr>
                  <w:p>
                    <w:pPr>
                      <w:rPr>
                        <w:rFonts w:asciiTheme="majorEastAsia" w:hAnsiTheme="majorEastAsia" w:eastAsiaTheme="majorEastAsia"/>
                        <w:sz w:val="12"/>
                        <w:szCs w:val="12"/>
                      </w:rPr>
                    </w:pPr>
                    <w:r>
                      <w:rPr>
                        <w:rFonts w:asciiTheme="majorEastAsia" w:hAnsiTheme="majorEastAsia" w:eastAsiaTheme="majorEastAsia"/>
                        <w:sz w:val="12"/>
                        <w:szCs w:val="12"/>
                      </w:rPr>
                      <w:t>江苏常宜高速公路有限公司（"常宜公司"）</w:t>
                    </w:r>
                  </w:p>
                </w:tc>
                <w:tc>
                  <w:tcPr>
                    <w:tcW w:w="633" w:type="pct"/>
                  </w:tcPr>
                  <w:p>
                    <w:pPr>
                      <w:rPr>
                        <w:rFonts w:asciiTheme="majorEastAsia" w:hAnsiTheme="majorEastAsia" w:eastAsiaTheme="majorEastAsia"/>
                        <w:sz w:val="12"/>
                        <w:szCs w:val="12"/>
                      </w:rPr>
                    </w:pPr>
                    <w:r>
                      <w:rPr>
                        <w:rFonts w:asciiTheme="majorEastAsia" w:hAnsiTheme="majorEastAsia" w:eastAsiaTheme="majorEastAsia"/>
                        <w:sz w:val="12"/>
                        <w:szCs w:val="12"/>
                      </w:rPr>
                      <w:t>常州、宜兴</w:t>
                    </w:r>
                  </w:p>
                </w:tc>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无锡</w:t>
                    </w:r>
                  </w:p>
                </w:tc>
                <w:tc>
                  <w:tcPr>
                    <w:tcW w:w="640" w:type="pct"/>
                  </w:tcPr>
                  <w:p>
                    <w:pPr>
                      <w:rPr>
                        <w:rFonts w:asciiTheme="majorEastAsia" w:hAnsiTheme="majorEastAsia" w:eastAsiaTheme="majorEastAsia"/>
                        <w:sz w:val="12"/>
                        <w:szCs w:val="12"/>
                      </w:rPr>
                    </w:pPr>
                    <w:r>
                      <w:rPr>
                        <w:rFonts w:asciiTheme="majorEastAsia" w:hAnsiTheme="majorEastAsia" w:eastAsiaTheme="majorEastAsia"/>
                        <w:sz w:val="12"/>
                        <w:szCs w:val="12"/>
                      </w:rPr>
                      <w:t>高速公路运营</w:t>
                    </w:r>
                  </w:p>
                </w:tc>
                <w:sdt>
                  <w:sdtPr>
                    <w:rPr>
                      <w:rFonts w:asciiTheme="majorEastAsia" w:hAnsiTheme="majorEastAsia" w:eastAsiaTheme="majorEastAsia"/>
                      <w:sz w:val="12"/>
                      <w:szCs w:val="12"/>
                    </w:rPr>
                    <w:alias w:val="注册资本"/>
                    <w:tag w:val="_GBC_cd730102683e4640b85b4a2d0b142be0"/>
                    <w:id w:val="578722532"/>
                    <w:lock w:val="sdtLocked"/>
                  </w:sdtPr>
                  <w:sdtEndPr>
                    <w:rPr>
                      <w:rFonts w:asciiTheme="majorEastAsia" w:hAnsiTheme="majorEastAsia" w:eastAsiaTheme="majorEastAsia"/>
                      <w:sz w:val="12"/>
                      <w:szCs w:val="12"/>
                    </w:rPr>
                  </w:sdtEndPr>
                  <w:sdtContent>
                    <w:tc>
                      <w:tcPr>
                        <w:tcW w:w="624" w:type="pct"/>
                      </w:tcPr>
                      <w:p>
                        <w:pPr>
                          <w:rPr>
                            <w:rFonts w:asciiTheme="majorEastAsia" w:hAnsiTheme="majorEastAsia" w:eastAsiaTheme="majorEastAsia"/>
                            <w:sz w:val="12"/>
                            <w:szCs w:val="12"/>
                          </w:rPr>
                        </w:pPr>
                        <w:r>
                          <w:rPr>
                            <w:rFonts w:asciiTheme="majorEastAsia" w:hAnsiTheme="majorEastAsia" w:eastAsiaTheme="majorEastAsia"/>
                            <w:sz w:val="12"/>
                            <w:szCs w:val="12"/>
                          </w:rPr>
                          <w:t>人民币1,519,846,000.00</w:t>
                        </w:r>
                      </w:p>
                    </w:tc>
                  </w:sdtContent>
                </w:sdt>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632" w:type="pct"/>
                  </w:tcPr>
                  <w:p>
                    <w:pPr>
                      <w:rPr>
                        <w:rFonts w:asciiTheme="majorEastAsia" w:hAnsiTheme="majorEastAsia" w:eastAsiaTheme="majorEastAsia"/>
                        <w:sz w:val="12"/>
                        <w:szCs w:val="12"/>
                      </w:rPr>
                    </w:pPr>
                    <w:r>
                      <w:rPr>
                        <w:rFonts w:asciiTheme="majorEastAsia" w:hAnsiTheme="majorEastAsia" w:eastAsiaTheme="majorEastAsia"/>
                        <w:sz w:val="12"/>
                        <w:szCs w:val="12"/>
                      </w:rPr>
                      <w:t>60</w:t>
                    </w:r>
                  </w:p>
                </w:tc>
                <w:tc>
                  <w:tcPr>
                    <w:tcW w:w="631" w:type="pct"/>
                  </w:tcPr>
                  <w:p>
                    <w:pPr>
                      <w:rPr>
                        <w:rFonts w:asciiTheme="majorEastAsia" w:hAnsiTheme="majorEastAsia" w:eastAsiaTheme="majorEastAsia"/>
                        <w:sz w:val="12"/>
                        <w:szCs w:val="12"/>
                      </w:rPr>
                    </w:pPr>
                    <w:r>
                      <w:rPr>
                        <w:rFonts w:asciiTheme="majorEastAsia" w:hAnsiTheme="majorEastAsia" w:eastAsiaTheme="majorEastAsia"/>
                        <w:sz w:val="12"/>
                        <w:szCs w:val="12"/>
                      </w:rPr>
                      <w:t>投资设立</w:t>
                    </w:r>
                  </w:p>
                </w:tc>
              </w:tr>
            </w:sdtContent>
          </w:sdt>
        </w:tbl>
        <w:p>
          <w:pPr>
            <w:rPr>
              <w:rFonts w:cs="Arial"/>
            </w:rPr>
          </w:pPr>
          <w:r>
            <w:rPr>
              <w:rFonts w:hint="eastAsia" w:cs="Arial"/>
            </w:rPr>
            <w:t>在子公司的持股比例不同于表决权比例的说明：</w:t>
          </w:r>
        </w:p>
        <w:p>
          <w:pPr>
            <w:rPr>
              <w:rFonts w:cs="Arial"/>
            </w:rPr>
          </w:pPr>
          <w:sdt>
            <w:sdtPr>
              <w:rPr>
                <w:rFonts w:cs="Arial"/>
              </w:rPr>
              <w:alias w:val="在子公司的持股比例不同于表决权比例的说明"/>
              <w:tag w:val="_GBC_b7be591163dc47e4b00f98006e6fbb0b"/>
              <w:id w:val="-133410843"/>
              <w:lock w:val="sdtLocked"/>
              <w:placeholder>
                <w:docPart w:val="GBC22222222222222222222222222222"/>
              </w:placeholder>
            </w:sdtPr>
            <w:sdtEndPr>
              <w:rPr>
                <w:rFonts w:cs="Arial"/>
              </w:rPr>
            </w:sdtEndPr>
            <w:sdtContent>
              <w:r>
                <w:rPr>
                  <w:rFonts w:hint="eastAsia" w:cs="Arial"/>
                </w:rPr>
                <w:t>无</w:t>
              </w:r>
            </w:sdtContent>
          </w:sdt>
        </w:p>
        <w:p>
          <w:pPr>
            <w:rPr>
              <w:rFonts w:cs="Arial"/>
            </w:rPr>
          </w:pPr>
        </w:p>
        <w:p>
          <w:pPr>
            <w:rPr>
              <w:rFonts w:cs="Arial"/>
            </w:rPr>
          </w:pPr>
          <w:r>
            <w:rPr>
              <w:rFonts w:hint="eastAsia" w:cs="Arial"/>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
            <w:tag w:val="_GBC_e9c6ba07b58c4f8e9e3004170d14542b"/>
            <w:id w:val="1199356993"/>
            <w:lock w:val="sdtLocked"/>
            <w:placeholder>
              <w:docPart w:val="GBC22222222222222222222222222222"/>
            </w:placeholder>
          </w:sdtPr>
          <w:sdtEndPr>
            <w:rPr>
              <w:rFonts w:cs="Arial"/>
            </w:rPr>
          </w:sdtEndPr>
          <w:sdtContent>
            <w:p>
              <w:pPr>
                <w:rPr>
                  <w:rFonts w:cs="Arial"/>
                </w:rPr>
              </w:pPr>
              <w:r>
                <w:rPr>
                  <w:rFonts w:hint="eastAsia" w:cs="Arial"/>
                </w:rPr>
                <w:t>无</w:t>
              </w:r>
            </w:p>
          </w:sdtContent>
        </w:sdt>
        <w:p>
          <w:pPr>
            <w:rPr>
              <w:rFonts w:cs="Arial"/>
            </w:rPr>
          </w:pPr>
        </w:p>
        <w:p>
          <w:pPr>
            <w:rPr>
              <w:rFonts w:cs="Arial"/>
            </w:rPr>
          </w:pPr>
          <w:r>
            <w:rPr>
              <w:rFonts w:hint="eastAsia" w:cs="Arial"/>
            </w:rPr>
            <w:t>对于纳入合并范围的重要的结构化主体，控制的依据：</w:t>
          </w:r>
        </w:p>
        <w:sdt>
          <w:sdtPr>
            <w:rPr>
              <w:rFonts w:hint="eastAsia" w:cs="Arial"/>
            </w:rPr>
            <w:alias w:val="对于纳入合并范围的重要的结构化主体，控制的依据"/>
            <w:tag w:val="_GBC_254d83ec47cd4003902f2d0f6017d432"/>
            <w:id w:val="1599983103"/>
            <w:lock w:val="sdtLocked"/>
            <w:placeholder>
              <w:docPart w:val="GBC22222222222222222222222222222"/>
            </w:placeholder>
          </w:sdtPr>
          <w:sdtEndPr>
            <w:rPr>
              <w:rFonts w:hint="eastAsia" w:cs="Arial"/>
            </w:rPr>
          </w:sdtEndPr>
          <w:sdtContent>
            <w:p>
              <w:pPr>
                <w:rPr>
                  <w:rFonts w:cs="Arial"/>
                </w:rPr>
              </w:pPr>
              <w:r>
                <w:rPr>
                  <w:rFonts w:hint="eastAsia" w:cs="Arial"/>
                </w:rPr>
                <w:t>无</w:t>
              </w:r>
            </w:p>
          </w:sdtContent>
        </w:sdt>
        <w:p>
          <w:pPr>
            <w:rPr>
              <w:rFonts w:cs="Arial"/>
            </w:rPr>
          </w:pPr>
        </w:p>
        <w:p>
          <w:pPr>
            <w:rPr>
              <w:rFonts w:cs="Arial"/>
            </w:rPr>
          </w:pPr>
          <w:r>
            <w:rPr>
              <w:rFonts w:hint="eastAsia" w:cs="Arial"/>
            </w:rPr>
            <w:t>确定公司是代理人还是委托人的依据：</w:t>
          </w:r>
        </w:p>
        <w:sdt>
          <w:sdtPr>
            <w:rPr>
              <w:rFonts w:hint="eastAsia" w:cs="Arial"/>
            </w:rPr>
            <w:alias w:val="确定公司是代理人还是委托人的依据"/>
            <w:tag w:val="_GBC_f515cb0c8a654271b5991b0accabe800"/>
            <w:id w:val="230047162"/>
            <w:lock w:val="sdtLocked"/>
            <w:placeholder>
              <w:docPart w:val="GBC22222222222222222222222222222"/>
            </w:placeholder>
          </w:sdtPr>
          <w:sdtEndPr>
            <w:rPr>
              <w:rFonts w:hint="eastAsia" w:cs="Arial"/>
            </w:rPr>
          </w:sdtEndPr>
          <w:sdtContent>
            <w:p>
              <w:pPr>
                <w:rPr>
                  <w:rFonts w:cs="Arial"/>
                </w:rPr>
              </w:pPr>
              <w:r>
                <w:rPr>
                  <w:rFonts w:hint="eastAsia" w:cs="Arial"/>
                </w:rPr>
                <w:t>无</w:t>
              </w:r>
            </w:p>
          </w:sdtContent>
        </w:sdt>
        <w:p>
          <w:pPr>
            <w:rPr>
              <w:rFonts w:cs="Arial"/>
            </w:rPr>
          </w:pPr>
        </w:p>
        <w:p>
          <w:pPr>
            <w:rPr>
              <w:rFonts w:cs="Arial"/>
            </w:rPr>
          </w:pPr>
          <w:r>
            <w:rPr>
              <w:rFonts w:hint="eastAsia" w:cs="Arial"/>
            </w:rPr>
            <w:t>其他说明：</w:t>
          </w:r>
        </w:p>
        <w:sdt>
          <w:sdtPr>
            <w:rPr>
              <w:rFonts w:cs="Arial"/>
            </w:rPr>
            <w:alias w:val="企业集团的构成的其他需要说明的事项"/>
            <w:tag w:val="_GBC_7dc3099f920f4546b2a983c0eb4c2ce0"/>
            <w:id w:val="1523058395"/>
            <w:lock w:val="sdtLocked"/>
            <w:placeholder>
              <w:docPart w:val="GBC22222222222222222222222222222"/>
            </w:placeholder>
          </w:sdtPr>
          <w:sdtEndPr>
            <w:rPr>
              <w:rFonts w:cs="Arial"/>
            </w:rPr>
          </w:sdtEndPr>
          <w:sdtContent>
            <w:p>
              <w:pPr>
                <w:rPr>
                  <w:rFonts w:cstheme="minorBidi"/>
                </w:rPr>
              </w:pPr>
              <w:r>
                <w:rPr>
                  <w:rFonts w:hint="eastAsia" w:cs="Arial"/>
                </w:rPr>
                <w:t>不适用</w:t>
              </w:r>
            </w:p>
          </w:sdtContent>
        </w:sdt>
      </w:sdtContent>
    </w:sdt>
    <w:p>
      <w:pPr>
        <w:rPr>
          <w:rFonts w:cs="Arial"/>
        </w:rPr>
      </w:pPr>
    </w:p>
    <w:sdt>
      <w:sdtPr>
        <w:rPr>
          <w:rFonts w:hint="eastAsia" w:ascii="宋体" w:hAnsi="宋体" w:cs="Arial"/>
          <w:b w:val="0"/>
          <w:bCs w:val="0"/>
          <w:kern w:val="0"/>
          <w:szCs w:val="21"/>
        </w:rPr>
        <w:alias w:val="模块:重要的非全资子公司"/>
        <w:tag w:val="_GBC_a2ec6e05ebd34d2fa14b1ba6b3ba8eb1"/>
        <w:id w:val="-1203249448"/>
        <w:lock w:val="sdtLocked"/>
        <w:placeholder>
          <w:docPart w:val="GBC22222222222222222222222222222"/>
        </w:placeholder>
      </w:sdtPr>
      <w:sdtEndPr>
        <w:rPr>
          <w:rFonts w:hint="default" w:ascii="宋体" w:hAnsi="宋体" w:cs="Arial"/>
          <w:b w:val="0"/>
          <w:bCs w:val="0"/>
          <w:kern w:val="0"/>
          <w:szCs w:val="21"/>
        </w:rPr>
      </w:sdtEndPr>
      <w:sdtContent>
        <w:p>
          <w:pPr>
            <w:pStyle w:val="118"/>
            <w:numPr>
              <w:ilvl w:val="3"/>
              <w:numId w:val="88"/>
            </w:numPr>
            <w:tabs>
              <w:tab w:val="left" w:pos="644"/>
            </w:tabs>
            <w:rPr>
              <w:rFonts w:ascii="宋体" w:hAnsi="宋体" w:cs="Arial"/>
              <w:szCs w:val="21"/>
            </w:rPr>
          </w:pPr>
          <w:r>
            <w:rPr>
              <w:rFonts w:hint="eastAsia" w:ascii="宋体" w:hAnsi="宋体" w:cs="Arial"/>
              <w:szCs w:val="21"/>
            </w:rPr>
            <w:t>重要的非全资子公司</w:t>
          </w:r>
        </w:p>
        <w:sdt>
          <w:sdtPr>
            <w:alias w:val="是否适用：重要的非全资子公司[双击切换]"/>
            <w:tag w:val="_GBC_b83f349d0d754e2d93b12d2112b4c3ec"/>
            <w:id w:val="7787604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重要的非全资子公司"/>
              <w:tag w:val="_GBC_e5936e9952394755bacf71d437afcd44"/>
              <w:id w:val="12792190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7690453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1796"/>
            <w:gridCol w:w="1919"/>
            <w:gridCol w:w="1925"/>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sdt>
              <w:sdtPr>
                <w:rPr>
                  <w:sz w:val="20"/>
                  <w:szCs w:val="20"/>
                </w:rPr>
                <w:tag w:val="_PLD_214f5d23d0ff4cd08577f444026e3bf2"/>
                <w:id w:val="-1766071158"/>
                <w:lock w:val="sdtLocked"/>
              </w:sdtPr>
              <w:sdtEndPr>
                <w:rPr>
                  <w:sz w:val="20"/>
                  <w:szCs w:val="20"/>
                </w:rPr>
              </w:sdtEndPr>
              <w:sdtContent>
                <w:tc>
                  <w:tcPr>
                    <w:tcW w:w="890" w:type="pct"/>
                    <w:shd w:val="clear" w:color="auto" w:fill="auto"/>
                    <w:vAlign w:val="center"/>
                  </w:tcPr>
                  <w:p>
                    <w:pPr>
                      <w:jc w:val="center"/>
                      <w:rPr>
                        <w:rFonts w:cs="Arial"/>
                        <w:sz w:val="20"/>
                        <w:szCs w:val="20"/>
                      </w:rPr>
                    </w:pPr>
                    <w:r>
                      <w:rPr>
                        <w:rFonts w:hint="eastAsia" w:cs="Arial"/>
                        <w:sz w:val="20"/>
                        <w:szCs w:val="20"/>
                      </w:rPr>
                      <w:t>子公司名称</w:t>
                    </w:r>
                  </w:p>
                </w:tc>
              </w:sdtContent>
            </w:sdt>
            <w:sdt>
              <w:sdtPr>
                <w:rPr>
                  <w:sz w:val="20"/>
                  <w:szCs w:val="20"/>
                </w:rPr>
                <w:tag w:val="_PLD_8f337a5f047e4f5eb2e03caf3b5ce2bb"/>
                <w:id w:val="-470681385"/>
                <w:lock w:val="sdtLocked"/>
              </w:sdtPr>
              <w:sdtEndPr>
                <w:rPr>
                  <w:sz w:val="20"/>
                  <w:szCs w:val="20"/>
                </w:rPr>
              </w:sdtEndPr>
              <w:sdtContent>
                <w:tc>
                  <w:tcPr>
                    <w:tcW w:w="1002" w:type="pct"/>
                    <w:shd w:val="clear" w:color="auto" w:fill="auto"/>
                    <w:vAlign w:val="center"/>
                  </w:tcPr>
                  <w:p>
                    <w:pPr>
                      <w:jc w:val="center"/>
                      <w:rPr>
                        <w:rFonts w:cs="Arial"/>
                        <w:bCs/>
                        <w:sz w:val="20"/>
                        <w:szCs w:val="20"/>
                      </w:rPr>
                    </w:pPr>
                    <w:r>
                      <w:rPr>
                        <w:rFonts w:hint="eastAsia" w:cs="Arial"/>
                        <w:sz w:val="20"/>
                        <w:szCs w:val="20"/>
                      </w:rPr>
                      <w:t>少数股东持股</w:t>
                    </w:r>
                  </w:p>
                  <w:p>
                    <w:pPr>
                      <w:jc w:val="center"/>
                      <w:rPr>
                        <w:rFonts w:cs="Arial"/>
                        <w:sz w:val="20"/>
                        <w:szCs w:val="20"/>
                      </w:rPr>
                    </w:pPr>
                    <w:r>
                      <w:rPr>
                        <w:rFonts w:hint="eastAsia" w:cs="Arial"/>
                        <w:sz w:val="20"/>
                        <w:szCs w:val="20"/>
                      </w:rPr>
                      <w:t>比例</w:t>
                    </w:r>
                    <w:r>
                      <w:rPr>
                        <w:rFonts w:hint="eastAsia"/>
                        <w:sz w:val="20"/>
                        <w:szCs w:val="20"/>
                      </w:rPr>
                      <w:t>（%）</w:t>
                    </w:r>
                  </w:p>
                </w:tc>
              </w:sdtContent>
            </w:sdt>
            <w:sdt>
              <w:sdtPr>
                <w:rPr>
                  <w:sz w:val="20"/>
                  <w:szCs w:val="20"/>
                </w:rPr>
                <w:tag w:val="_PLD_70aca7c8f09a4a579e632e06c25a6ab5"/>
                <w:id w:val="-926115601"/>
                <w:lock w:val="sdtLocked"/>
              </w:sdtPr>
              <w:sdtEndPr>
                <w:rPr>
                  <w:sz w:val="20"/>
                  <w:szCs w:val="20"/>
                </w:rPr>
              </w:sdtEndPr>
              <w:sdtContent>
                <w:tc>
                  <w:tcPr>
                    <w:tcW w:w="1070" w:type="pct"/>
                    <w:shd w:val="clear" w:color="auto" w:fill="auto"/>
                    <w:vAlign w:val="center"/>
                  </w:tcPr>
                  <w:p>
                    <w:pPr>
                      <w:jc w:val="center"/>
                      <w:rPr>
                        <w:rFonts w:cs="Arial"/>
                        <w:sz w:val="20"/>
                        <w:szCs w:val="20"/>
                      </w:rPr>
                    </w:pPr>
                    <w:r>
                      <w:rPr>
                        <w:rFonts w:hint="eastAsia" w:cs="Arial"/>
                        <w:sz w:val="20"/>
                        <w:szCs w:val="20"/>
                      </w:rPr>
                      <w:t>本期归属于少数股东的损益</w:t>
                    </w:r>
                  </w:p>
                </w:tc>
              </w:sdtContent>
            </w:sdt>
            <w:sdt>
              <w:sdtPr>
                <w:rPr>
                  <w:sz w:val="20"/>
                  <w:szCs w:val="20"/>
                </w:rPr>
                <w:tag w:val="_PLD_4154a89239e54416bb4c7ab182b0ae5a"/>
                <w:id w:val="1925762593"/>
                <w:lock w:val="sdtLocked"/>
              </w:sdtPr>
              <w:sdtEndPr>
                <w:rPr>
                  <w:sz w:val="20"/>
                  <w:szCs w:val="20"/>
                </w:rPr>
              </w:sdtEndPr>
              <w:sdtContent>
                <w:tc>
                  <w:tcPr>
                    <w:tcW w:w="1073" w:type="pct"/>
                    <w:shd w:val="clear" w:color="auto" w:fill="auto"/>
                    <w:vAlign w:val="center"/>
                  </w:tcPr>
                  <w:p>
                    <w:pPr>
                      <w:jc w:val="center"/>
                      <w:rPr>
                        <w:rFonts w:cs="Arial"/>
                        <w:sz w:val="20"/>
                        <w:szCs w:val="20"/>
                      </w:rPr>
                    </w:pPr>
                    <w:r>
                      <w:rPr>
                        <w:rFonts w:hint="eastAsia" w:cs="Arial"/>
                        <w:sz w:val="20"/>
                        <w:szCs w:val="20"/>
                      </w:rPr>
                      <w:t>本期向少数股东宣告分派的股利</w:t>
                    </w:r>
                  </w:p>
                </w:tc>
              </w:sdtContent>
            </w:sdt>
            <w:sdt>
              <w:sdtPr>
                <w:rPr>
                  <w:sz w:val="20"/>
                  <w:szCs w:val="20"/>
                </w:rPr>
                <w:tag w:val="_PLD_cea34ef7af164cc8816d90890b528f36"/>
                <w:id w:val="924691360"/>
                <w:lock w:val="sdtLocked"/>
              </w:sdtPr>
              <w:sdtEndPr>
                <w:rPr>
                  <w:sz w:val="20"/>
                  <w:szCs w:val="20"/>
                </w:rPr>
              </w:sdtEndPr>
              <w:sdtContent>
                <w:tc>
                  <w:tcPr>
                    <w:tcW w:w="963" w:type="pct"/>
                    <w:shd w:val="clear" w:color="auto" w:fill="auto"/>
                    <w:vAlign w:val="center"/>
                  </w:tcPr>
                  <w:p>
                    <w:pPr>
                      <w:ind w:right="-16"/>
                      <w:jc w:val="center"/>
                      <w:rPr>
                        <w:rFonts w:cs="Arial"/>
                        <w:bCs/>
                        <w:sz w:val="20"/>
                        <w:szCs w:val="20"/>
                      </w:rPr>
                    </w:pPr>
                    <w:r>
                      <w:rPr>
                        <w:rFonts w:hint="eastAsia" w:cs="Arial"/>
                        <w:sz w:val="20"/>
                        <w:szCs w:val="20"/>
                      </w:rPr>
                      <w:t>期末少数股东权益余额</w:t>
                    </w:r>
                  </w:p>
                </w:tc>
              </w:sdtContent>
            </w:sdt>
          </w:tr>
          <w:sdt>
            <w:sdtPr>
              <w:rPr>
                <w:sz w:val="20"/>
                <w:szCs w:val="20"/>
              </w:rPr>
              <w:alias w:val="重要的非全资子公司明细"/>
              <w:tag w:val="_GBC_786318b12f804986888adc0492796ebd"/>
              <w:id w:val="-2086133815"/>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龙潭大桥</w:t>
                    </w:r>
                  </w:p>
                </w:tc>
                <w:tc>
                  <w:tcPr>
                    <w:tcW w:w="1002" w:type="pct"/>
                  </w:tcPr>
                  <w:p>
                    <w:pPr>
                      <w:jc w:val="right"/>
                      <w:rPr>
                        <w:sz w:val="20"/>
                        <w:szCs w:val="20"/>
                      </w:rPr>
                    </w:pPr>
                    <w:r>
                      <w:rPr>
                        <w:sz w:val="20"/>
                        <w:szCs w:val="20"/>
                      </w:rPr>
                      <w:t>42.70%</w:t>
                    </w:r>
                  </w:p>
                </w:tc>
                <w:tc>
                  <w:tcPr>
                    <w:tcW w:w="1070" w:type="pct"/>
                  </w:tcPr>
                  <w:p>
                    <w:pPr>
                      <w:jc w:val="right"/>
                      <w:rPr>
                        <w:sz w:val="20"/>
                        <w:szCs w:val="20"/>
                      </w:rPr>
                    </w:pPr>
                    <w:r>
                      <w:rPr>
                        <w:sz w:val="20"/>
                        <w:szCs w:val="20"/>
                      </w:rPr>
                      <w:t>24,140.54</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1,761,002,891.12</w:t>
                    </w:r>
                  </w:p>
                </w:tc>
              </w:tr>
            </w:sdtContent>
          </w:sdt>
          <w:sdt>
            <w:sdtPr>
              <w:rPr>
                <w:sz w:val="20"/>
                <w:szCs w:val="20"/>
              </w:rPr>
              <w:alias w:val="重要的非全资子公司明细"/>
              <w:tag w:val="_GBC_786318b12f804986888adc0492796ebd"/>
              <w:id w:val="-1438674706"/>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常宜公司</w:t>
                    </w:r>
                  </w:p>
                </w:tc>
                <w:tc>
                  <w:tcPr>
                    <w:tcW w:w="1002" w:type="pct"/>
                  </w:tcPr>
                  <w:p>
                    <w:pPr>
                      <w:jc w:val="right"/>
                      <w:rPr>
                        <w:sz w:val="20"/>
                        <w:szCs w:val="20"/>
                      </w:rPr>
                    </w:pPr>
                    <w:r>
                      <w:rPr>
                        <w:sz w:val="20"/>
                        <w:szCs w:val="20"/>
                      </w:rPr>
                      <w:t>40.00%</w:t>
                    </w:r>
                  </w:p>
                </w:tc>
                <w:tc>
                  <w:tcPr>
                    <w:tcW w:w="1070" w:type="pct"/>
                  </w:tcPr>
                  <w:p>
                    <w:pPr>
                      <w:jc w:val="right"/>
                      <w:rPr>
                        <w:sz w:val="20"/>
                        <w:szCs w:val="20"/>
                      </w:rPr>
                    </w:pPr>
                    <w:r>
                      <w:rPr>
                        <w:sz w:val="20"/>
                        <w:szCs w:val="20"/>
                      </w:rPr>
                      <w:t>-12,814,815.66</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528,283,466.86</w:t>
                    </w:r>
                  </w:p>
                </w:tc>
              </w:tr>
            </w:sdtContent>
          </w:sdt>
          <w:sdt>
            <w:sdtPr>
              <w:rPr>
                <w:sz w:val="20"/>
                <w:szCs w:val="20"/>
              </w:rPr>
              <w:alias w:val="重要的非全资子公司明细"/>
              <w:tag w:val="_GBC_786318b12f804986888adc0492796ebd"/>
              <w:id w:val="1818919890"/>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宜长公司</w:t>
                    </w:r>
                  </w:p>
                </w:tc>
                <w:tc>
                  <w:tcPr>
                    <w:tcW w:w="1002" w:type="pct"/>
                  </w:tcPr>
                  <w:p>
                    <w:pPr>
                      <w:jc w:val="right"/>
                      <w:rPr>
                        <w:sz w:val="20"/>
                        <w:szCs w:val="20"/>
                      </w:rPr>
                    </w:pPr>
                    <w:r>
                      <w:rPr>
                        <w:sz w:val="20"/>
                        <w:szCs w:val="20"/>
                      </w:rPr>
                      <w:t>40.00%</w:t>
                    </w:r>
                  </w:p>
                </w:tc>
                <w:tc>
                  <w:tcPr>
                    <w:tcW w:w="1070" w:type="pct"/>
                  </w:tcPr>
                  <w:p>
                    <w:pPr>
                      <w:jc w:val="right"/>
                      <w:rPr>
                        <w:sz w:val="20"/>
                        <w:szCs w:val="20"/>
                      </w:rPr>
                    </w:pPr>
                    <w:r>
                      <w:rPr>
                        <w:sz w:val="20"/>
                        <w:szCs w:val="20"/>
                      </w:rPr>
                      <w:t>-8,177,951.10</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574,644,540.58</w:t>
                    </w:r>
                  </w:p>
                </w:tc>
              </w:tr>
            </w:sdtContent>
          </w:sdt>
          <w:sdt>
            <w:sdtPr>
              <w:rPr>
                <w:sz w:val="20"/>
                <w:szCs w:val="20"/>
              </w:rPr>
              <w:alias w:val="重要的非全资子公司明细"/>
              <w:tag w:val="_GBC_786318b12f804986888adc0492796ebd"/>
              <w:id w:val="1583410651"/>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五峰山公司</w:t>
                    </w:r>
                  </w:p>
                </w:tc>
                <w:tc>
                  <w:tcPr>
                    <w:tcW w:w="1002" w:type="pct"/>
                  </w:tcPr>
                  <w:p>
                    <w:pPr>
                      <w:jc w:val="right"/>
                      <w:rPr>
                        <w:sz w:val="20"/>
                        <w:szCs w:val="20"/>
                      </w:rPr>
                    </w:pPr>
                    <w:r>
                      <w:rPr>
                        <w:sz w:val="20"/>
                        <w:szCs w:val="20"/>
                      </w:rPr>
                      <w:t>35.50%</w:t>
                    </w:r>
                  </w:p>
                </w:tc>
                <w:tc>
                  <w:tcPr>
                    <w:tcW w:w="1070" w:type="pct"/>
                  </w:tcPr>
                  <w:p>
                    <w:pPr>
                      <w:jc w:val="right"/>
                      <w:rPr>
                        <w:sz w:val="20"/>
                        <w:szCs w:val="20"/>
                      </w:rPr>
                    </w:pPr>
                    <w:r>
                      <w:rPr>
                        <w:sz w:val="20"/>
                        <w:szCs w:val="20"/>
                      </w:rPr>
                      <w:t>33,325,260.65</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1,643,399,661.20</w:t>
                    </w:r>
                  </w:p>
                </w:tc>
              </w:tr>
            </w:sdtContent>
          </w:sdt>
          <w:sdt>
            <w:sdtPr>
              <w:rPr>
                <w:sz w:val="20"/>
                <w:szCs w:val="20"/>
              </w:rPr>
              <w:alias w:val="重要的非全资子公司明细"/>
              <w:tag w:val="_GBC_786318b12f804986888adc0492796ebd"/>
              <w:id w:val="1449208072"/>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镇丹公司</w:t>
                    </w:r>
                  </w:p>
                </w:tc>
                <w:tc>
                  <w:tcPr>
                    <w:tcW w:w="1002" w:type="pct"/>
                  </w:tcPr>
                  <w:p>
                    <w:pPr>
                      <w:jc w:val="right"/>
                      <w:rPr>
                        <w:sz w:val="20"/>
                        <w:szCs w:val="20"/>
                      </w:rPr>
                    </w:pPr>
                    <w:r>
                      <w:rPr>
                        <w:sz w:val="20"/>
                        <w:szCs w:val="20"/>
                      </w:rPr>
                      <w:t>30.00%</w:t>
                    </w:r>
                  </w:p>
                </w:tc>
                <w:tc>
                  <w:tcPr>
                    <w:tcW w:w="1070" w:type="pct"/>
                  </w:tcPr>
                  <w:p>
                    <w:pPr>
                      <w:jc w:val="right"/>
                      <w:rPr>
                        <w:sz w:val="20"/>
                        <w:szCs w:val="20"/>
                      </w:rPr>
                    </w:pPr>
                    <w:r>
                      <w:rPr>
                        <w:sz w:val="20"/>
                        <w:szCs w:val="20"/>
                      </w:rPr>
                      <w:t>-5,685,793.13</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113,677,920.97</w:t>
                    </w:r>
                  </w:p>
                </w:tc>
              </w:tr>
            </w:sdtContent>
          </w:sdt>
          <w:sdt>
            <w:sdtPr>
              <w:rPr>
                <w:sz w:val="20"/>
                <w:szCs w:val="20"/>
              </w:rPr>
              <w:alias w:val="重要的非全资子公司明细"/>
              <w:tag w:val="_GBC_786318b12f804986888adc0492796ebd"/>
              <w:id w:val="1478111942"/>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丰县再生能源</w:t>
                    </w:r>
                  </w:p>
                </w:tc>
                <w:tc>
                  <w:tcPr>
                    <w:tcW w:w="1002" w:type="pct"/>
                  </w:tcPr>
                  <w:p>
                    <w:pPr>
                      <w:jc w:val="right"/>
                      <w:rPr>
                        <w:sz w:val="20"/>
                        <w:szCs w:val="20"/>
                      </w:rPr>
                    </w:pPr>
                    <w:r>
                      <w:rPr>
                        <w:sz w:val="20"/>
                        <w:szCs w:val="20"/>
                      </w:rPr>
                      <w:t>30.00%</w:t>
                    </w:r>
                  </w:p>
                </w:tc>
                <w:tc>
                  <w:tcPr>
                    <w:tcW w:w="1070" w:type="pct"/>
                  </w:tcPr>
                  <w:p>
                    <w:pPr>
                      <w:jc w:val="right"/>
                      <w:rPr>
                        <w:sz w:val="20"/>
                        <w:szCs w:val="20"/>
                      </w:rPr>
                    </w:pPr>
                    <w:r>
                      <w:rPr>
                        <w:sz w:val="20"/>
                        <w:szCs w:val="20"/>
                      </w:rPr>
                      <w:t>1,469,977.49</w:t>
                    </w:r>
                  </w:p>
                </w:tc>
                <w:tc>
                  <w:tcPr>
                    <w:tcW w:w="1073" w:type="pct"/>
                  </w:tcPr>
                  <w:p>
                    <w:pPr>
                      <w:jc w:val="right"/>
                      <w:rPr>
                        <w:sz w:val="20"/>
                        <w:szCs w:val="20"/>
                      </w:rPr>
                    </w:pPr>
                    <w:r>
                      <w:rPr>
                        <w:sz w:val="20"/>
                        <w:szCs w:val="20"/>
                      </w:rPr>
                      <w:t>6,325,617.56</w:t>
                    </w:r>
                  </w:p>
                </w:tc>
                <w:tc>
                  <w:tcPr>
                    <w:tcW w:w="963" w:type="pct"/>
                  </w:tcPr>
                  <w:p>
                    <w:pPr>
                      <w:jc w:val="right"/>
                      <w:rPr>
                        <w:sz w:val="20"/>
                        <w:szCs w:val="20"/>
                      </w:rPr>
                    </w:pPr>
                    <w:r>
                      <w:rPr>
                        <w:sz w:val="20"/>
                        <w:szCs w:val="20"/>
                      </w:rPr>
                      <w:t>20,717,023.80</w:t>
                    </w:r>
                  </w:p>
                </w:tc>
              </w:tr>
            </w:sdtContent>
          </w:sdt>
          <w:sdt>
            <w:sdtPr>
              <w:rPr>
                <w:sz w:val="20"/>
                <w:szCs w:val="20"/>
              </w:rPr>
              <w:alias w:val="重要的非全资子公司明细"/>
              <w:tag w:val="_GBC_786318b12f804986888adc0492796ebd"/>
              <w:id w:val="901876036"/>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金坛禾一</w:t>
                    </w:r>
                  </w:p>
                </w:tc>
                <w:tc>
                  <w:tcPr>
                    <w:tcW w:w="1002" w:type="pct"/>
                  </w:tcPr>
                  <w:p>
                    <w:pPr>
                      <w:jc w:val="right"/>
                      <w:rPr>
                        <w:sz w:val="20"/>
                        <w:szCs w:val="20"/>
                      </w:rPr>
                    </w:pPr>
                    <w:r>
                      <w:rPr>
                        <w:sz w:val="20"/>
                        <w:szCs w:val="20"/>
                      </w:rPr>
                      <w:t>30.00%</w:t>
                    </w:r>
                  </w:p>
                </w:tc>
                <w:tc>
                  <w:tcPr>
                    <w:tcW w:w="1070" w:type="pct"/>
                  </w:tcPr>
                  <w:p>
                    <w:pPr>
                      <w:jc w:val="right"/>
                      <w:rPr>
                        <w:sz w:val="20"/>
                        <w:szCs w:val="20"/>
                      </w:rPr>
                    </w:pPr>
                    <w:r>
                      <w:rPr>
                        <w:sz w:val="20"/>
                        <w:szCs w:val="20"/>
                      </w:rPr>
                      <w:t>308,820.05</w:t>
                    </w:r>
                  </w:p>
                </w:tc>
                <w:tc>
                  <w:tcPr>
                    <w:tcW w:w="1073" w:type="pct"/>
                  </w:tcPr>
                  <w:p>
                    <w:pPr>
                      <w:jc w:val="right"/>
                      <w:rPr>
                        <w:sz w:val="20"/>
                        <w:szCs w:val="20"/>
                      </w:rPr>
                    </w:pPr>
                    <w:r>
                      <w:rPr>
                        <w:sz w:val="20"/>
                        <w:szCs w:val="20"/>
                      </w:rPr>
                      <w:t>744,743.50</w:t>
                    </w:r>
                  </w:p>
                </w:tc>
                <w:tc>
                  <w:tcPr>
                    <w:tcW w:w="963" w:type="pct"/>
                  </w:tcPr>
                  <w:p>
                    <w:pPr>
                      <w:jc w:val="right"/>
                      <w:rPr>
                        <w:sz w:val="20"/>
                        <w:szCs w:val="20"/>
                      </w:rPr>
                    </w:pPr>
                    <w:r>
                      <w:rPr>
                        <w:sz w:val="20"/>
                        <w:szCs w:val="20"/>
                      </w:rPr>
                      <w:t>5,772,285.49</w:t>
                    </w:r>
                  </w:p>
                </w:tc>
              </w:tr>
            </w:sdtContent>
          </w:sdt>
          <w:sdt>
            <w:sdtPr>
              <w:rPr>
                <w:sz w:val="20"/>
                <w:szCs w:val="20"/>
              </w:rPr>
              <w:alias w:val="重要的非全资子公司明细"/>
              <w:tag w:val="_GBC_786318b12f804986888adc0492796ebd"/>
              <w:id w:val="1158267818"/>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如东公司</w:t>
                    </w:r>
                  </w:p>
                </w:tc>
                <w:tc>
                  <w:tcPr>
                    <w:tcW w:w="1002" w:type="pct"/>
                  </w:tcPr>
                  <w:p>
                    <w:pPr>
                      <w:jc w:val="right"/>
                      <w:rPr>
                        <w:sz w:val="20"/>
                        <w:szCs w:val="20"/>
                      </w:rPr>
                    </w:pPr>
                    <w:r>
                      <w:rPr>
                        <w:sz w:val="20"/>
                        <w:szCs w:val="20"/>
                      </w:rPr>
                      <w:t>28.00%</w:t>
                    </w:r>
                  </w:p>
                </w:tc>
                <w:tc>
                  <w:tcPr>
                    <w:tcW w:w="1070" w:type="pct"/>
                  </w:tcPr>
                  <w:p>
                    <w:pPr>
                      <w:jc w:val="right"/>
                      <w:rPr>
                        <w:sz w:val="20"/>
                        <w:szCs w:val="20"/>
                      </w:rPr>
                    </w:pPr>
                    <w:r>
                      <w:rPr>
                        <w:sz w:val="20"/>
                        <w:szCs w:val="20"/>
                      </w:rPr>
                      <w:t>24,578,366.33</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475,917,576.63</w:t>
                    </w:r>
                  </w:p>
                </w:tc>
              </w:tr>
            </w:sdtContent>
          </w:sdt>
          <w:sdt>
            <w:sdtPr>
              <w:rPr>
                <w:sz w:val="20"/>
                <w:szCs w:val="20"/>
              </w:rPr>
              <w:alias w:val="重要的非全资子公司明细"/>
              <w:tag w:val="_GBC_786318b12f804986888adc0492796ebd"/>
              <w:id w:val="-1109574647"/>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盐城云杉</w:t>
                    </w:r>
                  </w:p>
                </w:tc>
                <w:tc>
                  <w:tcPr>
                    <w:tcW w:w="1002" w:type="pct"/>
                  </w:tcPr>
                  <w:p>
                    <w:pPr>
                      <w:jc w:val="right"/>
                      <w:rPr>
                        <w:sz w:val="20"/>
                        <w:szCs w:val="20"/>
                      </w:rPr>
                    </w:pPr>
                    <w:r>
                      <w:rPr>
                        <w:sz w:val="20"/>
                        <w:szCs w:val="20"/>
                      </w:rPr>
                      <w:t>20.00%</w:t>
                    </w:r>
                  </w:p>
                </w:tc>
                <w:tc>
                  <w:tcPr>
                    <w:tcW w:w="1070" w:type="pct"/>
                  </w:tcPr>
                  <w:p>
                    <w:pPr>
                      <w:jc w:val="right"/>
                      <w:rPr>
                        <w:sz w:val="20"/>
                        <w:szCs w:val="20"/>
                      </w:rPr>
                    </w:pPr>
                    <w:r>
                      <w:rPr>
                        <w:sz w:val="20"/>
                        <w:szCs w:val="20"/>
                      </w:rPr>
                      <w:t>991,625.42</w:t>
                    </w:r>
                  </w:p>
                </w:tc>
                <w:tc>
                  <w:tcPr>
                    <w:tcW w:w="1073" w:type="pct"/>
                  </w:tcPr>
                  <w:p>
                    <w:pPr>
                      <w:jc w:val="right"/>
                      <w:rPr>
                        <w:sz w:val="20"/>
                        <w:szCs w:val="20"/>
                      </w:rPr>
                    </w:pPr>
                    <w:r>
                      <w:rPr>
                        <w:sz w:val="20"/>
                        <w:szCs w:val="20"/>
                      </w:rPr>
                      <w:t>2,645,631.47</w:t>
                    </w:r>
                  </w:p>
                </w:tc>
                <w:tc>
                  <w:tcPr>
                    <w:tcW w:w="963" w:type="pct"/>
                  </w:tcPr>
                  <w:p>
                    <w:pPr>
                      <w:jc w:val="right"/>
                      <w:rPr>
                        <w:sz w:val="20"/>
                        <w:szCs w:val="20"/>
                      </w:rPr>
                    </w:pPr>
                    <w:r>
                      <w:rPr>
                        <w:sz w:val="20"/>
                        <w:szCs w:val="20"/>
                      </w:rPr>
                      <w:t>15,531,561.36</w:t>
                    </w:r>
                  </w:p>
                </w:tc>
              </w:tr>
            </w:sdtContent>
          </w:sdt>
          <w:sdt>
            <w:sdtPr>
              <w:rPr>
                <w:sz w:val="20"/>
                <w:szCs w:val="20"/>
              </w:rPr>
              <w:alias w:val="重要的非全资子公司明细"/>
              <w:tag w:val="_GBC_786318b12f804986888adc0492796ebd"/>
              <w:id w:val="-2010976761"/>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广靖锡澄公司</w:t>
                    </w:r>
                  </w:p>
                </w:tc>
                <w:tc>
                  <w:tcPr>
                    <w:tcW w:w="1002" w:type="pct"/>
                  </w:tcPr>
                  <w:p>
                    <w:pPr>
                      <w:jc w:val="right"/>
                      <w:rPr>
                        <w:sz w:val="20"/>
                        <w:szCs w:val="20"/>
                      </w:rPr>
                    </w:pPr>
                    <w:r>
                      <w:rPr>
                        <w:sz w:val="20"/>
                        <w:szCs w:val="20"/>
                      </w:rPr>
                      <w:t>15.00%</w:t>
                    </w:r>
                  </w:p>
                </w:tc>
                <w:tc>
                  <w:tcPr>
                    <w:tcW w:w="1070" w:type="pct"/>
                  </w:tcPr>
                  <w:p>
                    <w:pPr>
                      <w:jc w:val="right"/>
                      <w:rPr>
                        <w:sz w:val="20"/>
                        <w:szCs w:val="20"/>
                      </w:rPr>
                    </w:pPr>
                    <w:r>
                      <w:rPr>
                        <w:sz w:val="20"/>
                        <w:szCs w:val="20"/>
                      </w:rPr>
                      <w:t>71,689,127.89</w:t>
                    </w:r>
                  </w:p>
                </w:tc>
                <w:tc>
                  <w:tcPr>
                    <w:tcW w:w="1073" w:type="pct"/>
                  </w:tcPr>
                  <w:p>
                    <w:pPr>
                      <w:jc w:val="right"/>
                      <w:rPr>
                        <w:sz w:val="20"/>
                        <w:szCs w:val="20"/>
                      </w:rPr>
                    </w:pPr>
                    <w:r>
                      <w:rPr>
                        <w:sz w:val="20"/>
                        <w:szCs w:val="20"/>
                      </w:rPr>
                      <w:t> -  </w:t>
                    </w:r>
                  </w:p>
                </w:tc>
                <w:tc>
                  <w:tcPr>
                    <w:tcW w:w="963" w:type="pct"/>
                  </w:tcPr>
                  <w:p>
                    <w:pPr>
                      <w:jc w:val="right"/>
                      <w:rPr>
                        <w:sz w:val="20"/>
                        <w:szCs w:val="20"/>
                      </w:rPr>
                    </w:pPr>
                    <w:r>
                      <w:rPr>
                        <w:sz w:val="20"/>
                        <w:szCs w:val="20"/>
                      </w:rPr>
                      <w:t>1,174,740,998.40</w:t>
                    </w:r>
                  </w:p>
                </w:tc>
              </w:tr>
            </w:sdtContent>
          </w:sdt>
          <w:sdt>
            <w:sdtPr>
              <w:rPr>
                <w:sz w:val="20"/>
                <w:szCs w:val="20"/>
              </w:rPr>
              <w:alias w:val="重要的非全资子公司明细"/>
              <w:tag w:val="_GBC_786318b12f804986888adc0492796ebd"/>
              <w:id w:val="-202872171"/>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宿迁公司</w:t>
                    </w:r>
                  </w:p>
                </w:tc>
                <w:tc>
                  <w:tcPr>
                    <w:tcW w:w="1002" w:type="pct"/>
                  </w:tcPr>
                  <w:p>
                    <w:pPr>
                      <w:jc w:val="right"/>
                      <w:rPr>
                        <w:sz w:val="20"/>
                        <w:szCs w:val="20"/>
                      </w:rPr>
                    </w:pPr>
                    <w:r>
                      <w:rPr>
                        <w:sz w:val="20"/>
                        <w:szCs w:val="20"/>
                      </w:rPr>
                      <w:t>35.00%</w:t>
                    </w:r>
                  </w:p>
                </w:tc>
                <w:tc>
                  <w:tcPr>
                    <w:tcW w:w="1070" w:type="pct"/>
                  </w:tcPr>
                  <w:p>
                    <w:pPr>
                      <w:jc w:val="right"/>
                      <w:rPr>
                        <w:sz w:val="20"/>
                        <w:szCs w:val="20"/>
                      </w:rPr>
                    </w:pPr>
                    <w:r>
                      <w:rPr>
                        <w:sz w:val="20"/>
                        <w:szCs w:val="20"/>
                      </w:rPr>
                      <w:t> -  </w:t>
                    </w:r>
                  </w:p>
                </w:tc>
                <w:tc>
                  <w:tcPr>
                    <w:tcW w:w="1073" w:type="pct"/>
                  </w:tcPr>
                  <w:p>
                    <w:pPr>
                      <w:jc w:val="right"/>
                      <w:rPr>
                        <w:sz w:val="20"/>
                        <w:szCs w:val="20"/>
                      </w:rPr>
                    </w:pPr>
                    <w:r>
                      <w:rPr>
                        <w:sz w:val="20"/>
                        <w:szCs w:val="20"/>
                      </w:rPr>
                      <w:t>-</w:t>
                    </w:r>
                  </w:p>
                </w:tc>
                <w:tc>
                  <w:tcPr>
                    <w:tcW w:w="963" w:type="pct"/>
                  </w:tcPr>
                  <w:p>
                    <w:pPr>
                      <w:jc w:val="right"/>
                      <w:rPr>
                        <w:sz w:val="20"/>
                        <w:szCs w:val="20"/>
                      </w:rPr>
                    </w:pPr>
                    <w:r>
                      <w:rPr>
                        <w:sz w:val="20"/>
                        <w:szCs w:val="20"/>
                      </w:rPr>
                      <w:t> -  </w:t>
                    </w:r>
                  </w:p>
                </w:tc>
              </w:tr>
            </w:sdtContent>
          </w:sdt>
          <w:sdt>
            <w:sdtPr>
              <w:rPr>
                <w:sz w:val="20"/>
                <w:szCs w:val="20"/>
              </w:rPr>
              <w:alias w:val="重要的非全资子公司明细"/>
              <w:tag w:val="_GBC_786318b12f804986888adc0492796ebd"/>
              <w:id w:val="718630426"/>
              <w:lock w:val="sdtLocked"/>
            </w:sdtPr>
            <w:sdtEndPr>
              <w:rPr>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tcPr>
                  <w:p>
                    <w:pPr>
                      <w:pStyle w:val="114"/>
                      <w:rPr>
                        <w:sz w:val="20"/>
                        <w:szCs w:val="20"/>
                      </w:rPr>
                    </w:pPr>
                    <w:r>
                      <w:rPr>
                        <w:sz w:val="20"/>
                        <w:szCs w:val="20"/>
                      </w:rPr>
                      <w:t>溧阳优科</w:t>
                    </w:r>
                  </w:p>
                </w:tc>
                <w:tc>
                  <w:tcPr>
                    <w:tcW w:w="1002" w:type="pct"/>
                  </w:tcPr>
                  <w:p>
                    <w:pPr>
                      <w:jc w:val="right"/>
                      <w:rPr>
                        <w:sz w:val="20"/>
                        <w:szCs w:val="20"/>
                      </w:rPr>
                    </w:pPr>
                    <w:r>
                      <w:rPr>
                        <w:sz w:val="20"/>
                        <w:szCs w:val="20"/>
                      </w:rPr>
                      <w:t>10.00%</w:t>
                    </w:r>
                  </w:p>
                </w:tc>
                <w:tc>
                  <w:tcPr>
                    <w:tcW w:w="1070" w:type="pct"/>
                  </w:tcPr>
                  <w:p>
                    <w:pPr>
                      <w:jc w:val="right"/>
                      <w:rPr>
                        <w:sz w:val="20"/>
                        <w:szCs w:val="20"/>
                      </w:rPr>
                    </w:pPr>
                    <w:r>
                      <w:rPr>
                        <w:sz w:val="20"/>
                        <w:szCs w:val="20"/>
                      </w:rPr>
                      <w:t>19,825.26</w:t>
                    </w:r>
                  </w:p>
                </w:tc>
                <w:tc>
                  <w:tcPr>
                    <w:tcW w:w="1073" w:type="pct"/>
                  </w:tcPr>
                  <w:p>
                    <w:pPr>
                      <w:jc w:val="right"/>
                      <w:rPr>
                        <w:sz w:val="20"/>
                        <w:szCs w:val="20"/>
                      </w:rPr>
                    </w:pPr>
                    <w:r>
                      <w:rPr>
                        <w:sz w:val="20"/>
                        <w:szCs w:val="20"/>
                      </w:rPr>
                      <w:t>87,896.09</w:t>
                    </w:r>
                  </w:p>
                </w:tc>
                <w:tc>
                  <w:tcPr>
                    <w:tcW w:w="963" w:type="pct"/>
                  </w:tcPr>
                  <w:p>
                    <w:pPr>
                      <w:jc w:val="right"/>
                      <w:rPr>
                        <w:sz w:val="20"/>
                        <w:szCs w:val="20"/>
                      </w:rPr>
                    </w:pPr>
                    <w:r>
                      <w:rPr>
                        <w:sz w:val="20"/>
                        <w:szCs w:val="20"/>
                      </w:rPr>
                      <w:t>916,132.63</w:t>
                    </w:r>
                  </w:p>
                </w:tc>
              </w:tr>
            </w:sdtContent>
          </w:sdt>
        </w:tbl>
        <w:p>
          <w:pPr>
            <w:rPr>
              <w:rFonts w:cs="Arial"/>
            </w:rPr>
          </w:pPr>
          <w:r>
            <w:rPr>
              <w:rFonts w:hint="eastAsia" w:cs="Arial"/>
            </w:rPr>
            <w:t>子公司少数股东的持股比例不同于表决权比例的说明：</w:t>
          </w:r>
        </w:p>
        <w:sdt>
          <w:sdtPr>
            <w:rPr>
              <w:rFonts w:cs="Arial"/>
            </w:rPr>
            <w:alias w:val="是否适用：子公司少数股东的持股比例不同于表决权比例的说明[双击切换]"/>
            <w:tag w:val="_GBC_8bf91d6e05c644d1b37f5d88e434cb9e"/>
            <w:id w:val="809597753"/>
            <w:lock w:val="sdtLocked"/>
            <w:placeholder>
              <w:docPart w:val="GBC22222222222222222222222222222"/>
            </w:placeholder>
          </w:sdtPr>
          <w:sdtEndPr>
            <w:rPr>
              <w:rFonts w:cs="Arial"/>
            </w:rPr>
          </w:sdtEndPr>
          <w:sdtContent>
            <w:p>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pPr>
            <w:rPr>
              <w:rFonts w:cs="Arial"/>
            </w:rPr>
          </w:pPr>
        </w:p>
        <w:p>
          <w:pPr>
            <w:rPr>
              <w:rFonts w:cs="Arial"/>
            </w:rPr>
          </w:pPr>
          <w:r>
            <w:rPr>
              <w:rFonts w:hint="eastAsia" w:cs="Arial"/>
            </w:rPr>
            <w:t>其他说明：</w:t>
          </w:r>
        </w:p>
        <w:sdt>
          <w:sdtPr>
            <w:rPr>
              <w:rFonts w:cs="Arial"/>
            </w:rPr>
            <w:alias w:val="是否适用：重要的非全资子公司其他说明[双击切换]"/>
            <w:tag w:val="_GBC_c511ac7f8f1f42bfa9130e28b68d1f19"/>
            <w:id w:val="-1699144949"/>
            <w:lock w:val="sdtLocked"/>
            <w:placeholder>
              <w:docPart w:val="GBC22222222222222222222222222222"/>
            </w:placeholder>
          </w:sdtPr>
          <w:sdtEndPr>
            <w:rPr>
              <w:rFonts w:cs="Arial"/>
            </w:rPr>
          </w:sdtEndPr>
          <w:sdtContent>
            <w:p>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sdtContent>
    </w:sdt>
    <w:p>
      <w:pPr>
        <w:rPr>
          <w:rFonts w:cs="Arial"/>
        </w:rPr>
      </w:pPr>
    </w:p>
    <w:sdt>
      <w:sdtPr>
        <w:rPr>
          <w:rFonts w:hint="eastAsia" w:ascii="宋体" w:hAnsi="宋体" w:cs="Arial"/>
          <w:b w:val="0"/>
          <w:bCs w:val="0"/>
          <w:kern w:val="0"/>
          <w:szCs w:val="21"/>
        </w:rPr>
        <w:alias w:val="模块:重要非全资子公司的主要财务信息"/>
        <w:tag w:val="_GBC_501222dd8f884fabbdeaec6fe7e79709"/>
        <w:id w:val="1178081270"/>
        <w:lock w:val="sdtLocked"/>
        <w:placeholder>
          <w:docPart w:val="GBC22222222222222222222222222222"/>
        </w:placeholder>
      </w:sdtPr>
      <w:sdtEndPr>
        <w:rPr>
          <w:rFonts w:hint="default" w:ascii="宋体" w:hAnsi="宋体" w:cs="Arial"/>
          <w:b w:val="0"/>
          <w:bCs w:val="0"/>
          <w:kern w:val="0"/>
          <w:szCs w:val="21"/>
        </w:rPr>
      </w:sdtEndPr>
      <w:sdtContent>
        <w:p>
          <w:pPr>
            <w:pStyle w:val="118"/>
            <w:numPr>
              <w:ilvl w:val="3"/>
              <w:numId w:val="88"/>
            </w:numPr>
            <w:tabs>
              <w:tab w:val="left" w:pos="644"/>
            </w:tabs>
            <w:rPr>
              <w:rFonts w:ascii="宋体" w:hAnsi="宋体" w:cs="Arial"/>
              <w:szCs w:val="21"/>
            </w:rPr>
          </w:pPr>
          <w:r>
            <w:rPr>
              <w:rFonts w:hint="eastAsia" w:ascii="宋体" w:hAnsi="宋体" w:cs="Arial"/>
              <w:szCs w:val="21"/>
            </w:rPr>
            <w:t>重要非全资子公司的主要财务信息</w:t>
          </w:r>
        </w:p>
        <w:sdt>
          <w:sdtPr>
            <w:alias w:val="是否适用：重要非全资子公司的主要财务信息[双击切换]"/>
            <w:tag w:val="_GBC_c10a7c42e39b4ac9a711e2e9d367799e"/>
            <w:id w:val="207360828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重要非全资子公司的主要财务信息"/>
              <w:tag w:val="_GBC_ba918360b15748859fb63cacad1f617d"/>
              <w:id w:val="18661719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794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90"/>
            <w:gridCol w:w="720"/>
            <w:gridCol w:w="752"/>
            <w:gridCol w:w="752"/>
            <w:gridCol w:w="719"/>
            <w:gridCol w:w="719"/>
            <w:gridCol w:w="719"/>
            <w:gridCol w:w="719"/>
            <w:gridCol w:w="751"/>
            <w:gridCol w:w="751"/>
            <w:gridCol w:w="719"/>
            <w:gridCol w:w="719"/>
            <w:gridCol w:w="71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trPr>
            <w:sdt>
              <w:sdtPr>
                <w:rPr>
                  <w:rFonts w:asciiTheme="majorEastAsia" w:hAnsiTheme="majorEastAsia" w:eastAsiaTheme="majorEastAsia"/>
                  <w:sz w:val="14"/>
                  <w:szCs w:val="14"/>
                </w:rPr>
                <w:tag w:val="_PLD_e65ae60c1beb4e5aa4e9c5250ffb188a"/>
                <w:id w:val="982885825"/>
                <w:lock w:val="sdtLocked"/>
              </w:sdtPr>
              <w:sdtEndPr>
                <w:rPr>
                  <w:rFonts w:asciiTheme="majorEastAsia" w:hAnsiTheme="majorEastAsia" w:eastAsiaTheme="majorEastAsia"/>
                  <w:sz w:val="14"/>
                  <w:szCs w:val="14"/>
                </w:rPr>
              </w:sdtEndPr>
              <w:sdtContent>
                <w:tc>
                  <w:tcPr>
                    <w:tcW w:w="318" w:type="pct"/>
                    <w:vMerge w:val="restart"/>
                    <w:tcBorders>
                      <w:top w:val="single" w:color="auto" w:sz="4" w:space="0"/>
                      <w:left w:val="single" w:color="auto" w:sz="4" w:space="0"/>
                      <w:bottom w:val="single" w:color="auto" w:sz="6" w:space="0"/>
                      <w:right w:val="single" w:color="auto" w:sz="6" w:space="0"/>
                    </w:tcBorders>
                    <w:shd w:val="clear" w:color="auto" w:fill="auto"/>
                    <w:vAlign w:val="center"/>
                  </w:tcPr>
                  <w:p>
                    <w:pPr>
                      <w:ind w:right="-16"/>
                      <w:rPr>
                        <w:rFonts w:cs="Arial" w:asciiTheme="majorEastAsia" w:hAnsiTheme="majorEastAsia" w:eastAsiaTheme="majorEastAsia"/>
                        <w:bCs/>
                        <w:sz w:val="14"/>
                        <w:szCs w:val="14"/>
                      </w:rPr>
                    </w:pPr>
                    <w:r>
                      <w:rPr>
                        <w:rFonts w:hint="eastAsia" w:cs="Arial" w:asciiTheme="majorEastAsia" w:hAnsiTheme="majorEastAsia" w:eastAsiaTheme="majorEastAsia"/>
                        <w:sz w:val="14"/>
                        <w:szCs w:val="14"/>
                      </w:rPr>
                      <w:t>子公司名称</w:t>
                    </w:r>
                  </w:p>
                </w:tc>
              </w:sdtContent>
            </w:sdt>
            <w:sdt>
              <w:sdtPr>
                <w:rPr>
                  <w:rFonts w:asciiTheme="majorEastAsia" w:hAnsiTheme="majorEastAsia" w:eastAsiaTheme="majorEastAsia"/>
                  <w:sz w:val="12"/>
                  <w:szCs w:val="12"/>
                </w:rPr>
                <w:tag w:val="_PLD_878e21e6ce5e466eb427e7200cc9e5bb"/>
                <w:id w:val="1204291710"/>
                <w:lock w:val="sdtLocked"/>
              </w:sdtPr>
              <w:sdtEndPr>
                <w:rPr>
                  <w:rFonts w:asciiTheme="majorEastAsia" w:hAnsiTheme="majorEastAsia" w:eastAsiaTheme="majorEastAsia"/>
                  <w:sz w:val="12"/>
                  <w:szCs w:val="12"/>
                </w:rPr>
              </w:sdtEndPr>
              <w:sdtContent>
                <w:tc>
                  <w:tcPr>
                    <w:tcW w:w="2261" w:type="pct"/>
                    <w:gridSpan w:val="6"/>
                    <w:tcBorders>
                      <w:top w:val="single" w:color="auto" w:sz="4" w:space="0"/>
                      <w:left w:val="single" w:color="auto" w:sz="6" w:space="0"/>
                      <w:bottom w:val="single" w:color="auto" w:sz="6" w:space="0"/>
                      <w:right w:val="single" w:color="auto" w:sz="6" w:space="0"/>
                    </w:tcBorders>
                    <w:shd w:val="clear" w:color="auto" w:fill="auto"/>
                    <w:vAlign w:val="center"/>
                  </w:tcPr>
                  <w:p>
                    <w:pPr>
                      <w:ind w:right="-16"/>
                      <w:jc w:val="center"/>
                      <w:rPr>
                        <w:rFonts w:cs="Arial" w:asciiTheme="majorEastAsia" w:hAnsiTheme="majorEastAsia" w:eastAsiaTheme="majorEastAsia"/>
                        <w:bCs/>
                        <w:sz w:val="12"/>
                        <w:szCs w:val="12"/>
                      </w:rPr>
                    </w:pPr>
                    <w:r>
                      <w:rPr>
                        <w:rFonts w:hint="eastAsia" w:cs="Arial" w:asciiTheme="majorEastAsia" w:hAnsiTheme="majorEastAsia" w:eastAsiaTheme="majorEastAsia"/>
                        <w:sz w:val="12"/>
                        <w:szCs w:val="12"/>
                      </w:rPr>
                      <w:t>期末余额</w:t>
                    </w:r>
                  </w:p>
                </w:tc>
              </w:sdtContent>
            </w:sdt>
            <w:sdt>
              <w:sdtPr>
                <w:rPr>
                  <w:rFonts w:asciiTheme="majorEastAsia" w:hAnsiTheme="majorEastAsia" w:eastAsiaTheme="majorEastAsia"/>
                  <w:sz w:val="12"/>
                  <w:szCs w:val="12"/>
                </w:rPr>
                <w:tag w:val="_PLD_86b93e4e78424106874bd84d54fb24df"/>
                <w:id w:val="380065640"/>
                <w:lock w:val="sdtLocked"/>
              </w:sdtPr>
              <w:sdtEndPr>
                <w:rPr>
                  <w:rFonts w:asciiTheme="majorEastAsia" w:hAnsiTheme="majorEastAsia" w:eastAsiaTheme="majorEastAsia"/>
                  <w:sz w:val="12"/>
                  <w:szCs w:val="12"/>
                </w:rPr>
              </w:sdtEndPr>
              <w:sdtContent>
                <w:tc>
                  <w:tcPr>
                    <w:tcW w:w="2421" w:type="pct"/>
                    <w:gridSpan w:val="6"/>
                    <w:tcBorders>
                      <w:top w:val="single" w:color="auto" w:sz="4" w:space="0"/>
                      <w:left w:val="single" w:color="auto" w:sz="6" w:space="0"/>
                      <w:bottom w:val="single" w:color="auto" w:sz="6" w:space="0"/>
                      <w:right w:val="single" w:color="auto" w:sz="4" w:space="0"/>
                    </w:tcBorders>
                    <w:shd w:val="clear" w:color="auto" w:fill="auto"/>
                    <w:vAlign w:val="center"/>
                  </w:tcPr>
                  <w:p>
                    <w:pPr>
                      <w:ind w:right="-16"/>
                      <w:jc w:val="center"/>
                      <w:rPr>
                        <w:rFonts w:cs="Arial" w:asciiTheme="majorEastAsia" w:hAnsiTheme="majorEastAsia" w:eastAsiaTheme="majorEastAsia"/>
                        <w:bCs/>
                        <w:sz w:val="12"/>
                        <w:szCs w:val="12"/>
                      </w:rPr>
                    </w:pPr>
                    <w:r>
                      <w:rPr>
                        <w:rFonts w:hint="eastAsia" w:cs="Arial" w:asciiTheme="majorEastAsia" w:hAnsiTheme="majorEastAsia" w:eastAsiaTheme="majorEastAsia"/>
                        <w:sz w:val="12"/>
                        <w:szCs w:val="12"/>
                      </w:rPr>
                      <w:t>期初余额</w:t>
                    </w:r>
                  </w:p>
                </w:tc>
              </w:sdtContent>
            </w:sdt>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trPr>
            <w:tc>
              <w:tcPr>
                <w:tcW w:w="318" w:type="pct"/>
                <w:vMerge w:val="continue"/>
                <w:tcBorders>
                  <w:top w:val="single" w:color="auto" w:sz="4" w:space="0"/>
                  <w:left w:val="single" w:color="auto" w:sz="4" w:space="0"/>
                  <w:bottom w:val="single" w:color="auto" w:sz="6" w:space="0"/>
                  <w:right w:val="single" w:color="auto" w:sz="6" w:space="0"/>
                </w:tcBorders>
                <w:shd w:val="clear" w:color="auto" w:fill="auto"/>
                <w:vAlign w:val="center"/>
              </w:tcPr>
              <w:p>
                <w:pPr>
                  <w:rPr>
                    <w:rFonts w:cs="Arial" w:asciiTheme="majorEastAsia" w:hAnsiTheme="majorEastAsia" w:eastAsiaTheme="majorEastAsia"/>
                    <w:bCs/>
                    <w:sz w:val="14"/>
                    <w:szCs w:val="14"/>
                  </w:rPr>
                </w:pPr>
              </w:p>
            </w:tc>
            <w:sdt>
              <w:sdtPr>
                <w:rPr>
                  <w:rFonts w:asciiTheme="majorEastAsia" w:hAnsiTheme="majorEastAsia" w:eastAsiaTheme="majorEastAsia"/>
                  <w:sz w:val="12"/>
                  <w:szCs w:val="12"/>
                </w:rPr>
                <w:tag w:val="_PLD_0154d63f3f2c482ebe0cf00460d87fbd"/>
                <w:id w:val="-1984149150"/>
                <w:lock w:val="sdtLocked"/>
              </w:sdtPr>
              <w:sdtEndPr>
                <w:rPr>
                  <w:rFonts w:asciiTheme="majorEastAsia" w:hAnsiTheme="majorEastAsia" w:eastAsiaTheme="majorEastAsia"/>
                  <w:sz w:val="12"/>
                  <w:szCs w:val="12"/>
                </w:rPr>
              </w:sdtEndPr>
              <w:sdtContent>
                <w:tc>
                  <w:tcPr>
                    <w:tcW w:w="237"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流动资产</w:t>
                    </w:r>
                  </w:p>
                </w:tc>
              </w:sdtContent>
            </w:sdt>
            <w:sdt>
              <w:sdtPr>
                <w:rPr>
                  <w:rFonts w:asciiTheme="majorEastAsia" w:hAnsiTheme="majorEastAsia" w:eastAsiaTheme="majorEastAsia"/>
                  <w:sz w:val="12"/>
                  <w:szCs w:val="12"/>
                </w:rPr>
                <w:tag w:val="_PLD_0f817c02730447aca042c6a931d447e8"/>
                <w:id w:val="-1786266148"/>
                <w:lock w:val="sdtLocked"/>
              </w:sdtPr>
              <w:sdtEndPr>
                <w:rPr>
                  <w:rFonts w:asciiTheme="majorEastAsia" w:hAnsiTheme="majorEastAsia" w:eastAsiaTheme="majorEastAsia"/>
                  <w:sz w:val="12"/>
                  <w:szCs w:val="12"/>
                </w:rPr>
              </w:sdtEndPr>
              <w:sdtContent>
                <w:tc>
                  <w:tcPr>
                    <w:tcW w:w="415" w:type="pct"/>
                    <w:tcBorders>
                      <w:top w:val="single" w:color="auto" w:sz="6" w:space="0"/>
                      <w:left w:val="single" w:color="auto" w:sz="6" w:space="0"/>
                      <w:bottom w:val="single" w:color="auto" w:sz="6" w:space="0"/>
                      <w:right w:val="single" w:color="auto" w:sz="6" w:space="0"/>
                    </w:tcBorders>
                    <w:shd w:val="clear" w:color="auto" w:fill="auto"/>
                    <w:vAlign w:val="center"/>
                  </w:tcPr>
                  <w:p>
                    <w:pPr>
                      <w:ind w:left="-40" w:right="-97"/>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非流动资产</w:t>
                    </w:r>
                  </w:p>
                </w:tc>
              </w:sdtContent>
            </w:sdt>
            <w:sdt>
              <w:sdtPr>
                <w:rPr>
                  <w:rFonts w:asciiTheme="majorEastAsia" w:hAnsiTheme="majorEastAsia" w:eastAsiaTheme="majorEastAsia"/>
                  <w:sz w:val="12"/>
                  <w:szCs w:val="12"/>
                </w:rPr>
                <w:tag w:val="_PLD_553e0814e94f491784b88cc5aa7d6adb"/>
                <w:id w:val="227816984"/>
                <w:lock w:val="sdtLocked"/>
              </w:sdtPr>
              <w:sdtEndPr>
                <w:rPr>
                  <w:rFonts w:asciiTheme="majorEastAsia" w:hAnsiTheme="majorEastAsia" w:eastAsiaTheme="majorEastAsia"/>
                  <w:sz w:val="12"/>
                  <w:szCs w:val="12"/>
                </w:rPr>
              </w:sdtEndPr>
              <w:sdtContent>
                <w:tc>
                  <w:tcPr>
                    <w:tcW w:w="415"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资产合计</w:t>
                    </w:r>
                  </w:p>
                </w:tc>
              </w:sdtContent>
            </w:sdt>
            <w:sdt>
              <w:sdtPr>
                <w:rPr>
                  <w:rFonts w:asciiTheme="majorEastAsia" w:hAnsiTheme="majorEastAsia" w:eastAsiaTheme="majorEastAsia"/>
                  <w:sz w:val="12"/>
                  <w:szCs w:val="12"/>
                </w:rPr>
                <w:tag w:val="_PLD_3db84901ffa544afb174531f0384a82f"/>
                <w:id w:val="-2089455210"/>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流动负债</w:t>
                    </w:r>
                  </w:p>
                </w:tc>
              </w:sdtContent>
            </w:sdt>
            <w:sdt>
              <w:sdtPr>
                <w:rPr>
                  <w:rFonts w:asciiTheme="majorEastAsia" w:hAnsiTheme="majorEastAsia" w:eastAsiaTheme="majorEastAsia"/>
                  <w:sz w:val="12"/>
                  <w:szCs w:val="12"/>
                </w:rPr>
                <w:tag w:val="_PLD_50c217cc437b4c3496e1aab622fba053"/>
                <w:id w:val="-423026876"/>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ind w:left="-40" w:right="-97"/>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非流动负债</w:t>
                    </w:r>
                  </w:p>
                </w:tc>
              </w:sdtContent>
            </w:sdt>
            <w:sdt>
              <w:sdtPr>
                <w:rPr>
                  <w:rFonts w:asciiTheme="majorEastAsia" w:hAnsiTheme="majorEastAsia" w:eastAsiaTheme="majorEastAsia"/>
                  <w:sz w:val="12"/>
                  <w:szCs w:val="12"/>
                </w:rPr>
                <w:tag w:val="_PLD_ccd9a8d3652e4485a763cfb37eb6fa37"/>
                <w:id w:val="-1028338133"/>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负债合计</w:t>
                    </w:r>
                  </w:p>
                </w:tc>
              </w:sdtContent>
            </w:sdt>
            <w:sdt>
              <w:sdtPr>
                <w:rPr>
                  <w:rFonts w:asciiTheme="majorEastAsia" w:hAnsiTheme="majorEastAsia" w:eastAsiaTheme="majorEastAsia"/>
                  <w:sz w:val="12"/>
                  <w:szCs w:val="12"/>
                </w:rPr>
                <w:tag w:val="_PLD_ec07cd6513b74d49b586125d4b66dd0a"/>
                <w:id w:val="-1489708152"/>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流动资产</w:t>
                    </w:r>
                  </w:p>
                </w:tc>
              </w:sdtContent>
            </w:sdt>
            <w:sdt>
              <w:sdtPr>
                <w:rPr>
                  <w:rFonts w:asciiTheme="majorEastAsia" w:hAnsiTheme="majorEastAsia" w:eastAsiaTheme="majorEastAsia"/>
                  <w:sz w:val="12"/>
                  <w:szCs w:val="12"/>
                </w:rPr>
                <w:tag w:val="_PLD_fb97ce65ab144768b4fb9978546fce37"/>
                <w:id w:val="1445731852"/>
                <w:lock w:val="sdtLocked"/>
              </w:sdtPr>
              <w:sdtEndPr>
                <w:rPr>
                  <w:rFonts w:asciiTheme="majorEastAsia" w:hAnsiTheme="majorEastAsia" w:eastAsiaTheme="majorEastAsia"/>
                  <w:sz w:val="12"/>
                  <w:szCs w:val="12"/>
                </w:rPr>
              </w:sdtEndPr>
              <w:sdtContent>
                <w:tc>
                  <w:tcPr>
                    <w:tcW w:w="415" w:type="pct"/>
                    <w:tcBorders>
                      <w:top w:val="single" w:color="auto" w:sz="6" w:space="0"/>
                      <w:left w:val="single" w:color="auto" w:sz="6" w:space="0"/>
                      <w:bottom w:val="single" w:color="auto" w:sz="6" w:space="0"/>
                      <w:right w:val="single" w:color="auto" w:sz="6" w:space="0"/>
                    </w:tcBorders>
                    <w:shd w:val="clear" w:color="auto" w:fill="auto"/>
                    <w:vAlign w:val="center"/>
                  </w:tcPr>
                  <w:p>
                    <w:pPr>
                      <w:ind w:left="-40" w:right="-97"/>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非流动资产</w:t>
                    </w:r>
                  </w:p>
                </w:tc>
              </w:sdtContent>
            </w:sdt>
            <w:sdt>
              <w:sdtPr>
                <w:rPr>
                  <w:rFonts w:asciiTheme="majorEastAsia" w:hAnsiTheme="majorEastAsia" w:eastAsiaTheme="majorEastAsia"/>
                  <w:sz w:val="12"/>
                  <w:szCs w:val="12"/>
                </w:rPr>
                <w:tag w:val="_PLD_412845ecfd2e45e8ae03b43cf8ca32f4"/>
                <w:id w:val="134995485"/>
                <w:lock w:val="sdtLocked"/>
              </w:sdtPr>
              <w:sdtEndPr>
                <w:rPr>
                  <w:rFonts w:asciiTheme="majorEastAsia" w:hAnsiTheme="majorEastAsia" w:eastAsiaTheme="majorEastAsia"/>
                  <w:sz w:val="12"/>
                  <w:szCs w:val="12"/>
                </w:rPr>
              </w:sdtEndPr>
              <w:sdtContent>
                <w:tc>
                  <w:tcPr>
                    <w:tcW w:w="415"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资产合计</w:t>
                    </w:r>
                  </w:p>
                </w:tc>
              </w:sdtContent>
            </w:sdt>
            <w:sdt>
              <w:sdtPr>
                <w:rPr>
                  <w:rFonts w:asciiTheme="majorEastAsia" w:hAnsiTheme="majorEastAsia" w:eastAsiaTheme="majorEastAsia"/>
                  <w:sz w:val="12"/>
                  <w:szCs w:val="12"/>
                </w:rPr>
                <w:tag w:val="_PLD_2a24724c66b442e994f401266a55d5df"/>
                <w:id w:val="1934081730"/>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流动负债</w:t>
                    </w:r>
                  </w:p>
                </w:tc>
              </w:sdtContent>
            </w:sdt>
            <w:sdt>
              <w:sdtPr>
                <w:rPr>
                  <w:rFonts w:asciiTheme="majorEastAsia" w:hAnsiTheme="majorEastAsia" w:eastAsiaTheme="majorEastAsia"/>
                  <w:sz w:val="12"/>
                  <w:szCs w:val="12"/>
                </w:rPr>
                <w:tag w:val="_PLD_937f557a5cdb4ea99a0a914e755f781f"/>
                <w:id w:val="-1965496405"/>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6" w:space="0"/>
                    </w:tcBorders>
                    <w:shd w:val="clear" w:color="auto" w:fill="auto"/>
                    <w:vAlign w:val="center"/>
                  </w:tcPr>
                  <w:p>
                    <w:pPr>
                      <w:ind w:left="-40" w:right="-97"/>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非流动负债</w:t>
                    </w:r>
                  </w:p>
                </w:tc>
              </w:sdtContent>
            </w:sdt>
            <w:sdt>
              <w:sdtPr>
                <w:rPr>
                  <w:rFonts w:asciiTheme="majorEastAsia" w:hAnsiTheme="majorEastAsia" w:eastAsiaTheme="majorEastAsia"/>
                  <w:sz w:val="12"/>
                  <w:szCs w:val="12"/>
                </w:rPr>
                <w:tag w:val="_PLD_c4b998a44f394e1eb0924a4f19409ff8"/>
                <w:id w:val="-16542342"/>
                <w:lock w:val="sdtLocked"/>
              </w:sdtPr>
              <w:sdtEndPr>
                <w:rPr>
                  <w:rFonts w:asciiTheme="majorEastAsia" w:hAnsiTheme="majorEastAsia" w:eastAsiaTheme="majorEastAsia"/>
                  <w:sz w:val="12"/>
                  <w:szCs w:val="12"/>
                </w:rPr>
              </w:sdtEndPr>
              <w:sdtContent>
                <w:tc>
                  <w:tcPr>
                    <w:tcW w:w="398" w:type="pct"/>
                    <w:tcBorders>
                      <w:top w:val="single" w:color="auto" w:sz="6" w:space="0"/>
                      <w:left w:val="single" w:color="auto" w:sz="6" w:space="0"/>
                      <w:bottom w:val="single" w:color="auto" w:sz="6" w:space="0"/>
                      <w:right w:val="single" w:color="auto" w:sz="4" w:space="0"/>
                    </w:tcBorders>
                    <w:shd w:val="clear" w:color="auto" w:fill="auto"/>
                    <w:vAlign w:val="center"/>
                  </w:tcPr>
                  <w:p>
                    <w:pPr>
                      <w:jc w:val="center"/>
                      <w:rPr>
                        <w:rFonts w:cs="Arial" w:asciiTheme="majorEastAsia" w:hAnsiTheme="majorEastAsia" w:eastAsiaTheme="majorEastAsia"/>
                        <w:sz w:val="12"/>
                        <w:szCs w:val="12"/>
                      </w:rPr>
                    </w:pPr>
                    <w:r>
                      <w:rPr>
                        <w:rFonts w:hint="eastAsia" w:cs="Arial" w:asciiTheme="majorEastAsia" w:hAnsiTheme="majorEastAsia" w:eastAsiaTheme="majorEastAsia"/>
                        <w:sz w:val="12"/>
                        <w:szCs w:val="12"/>
                      </w:rPr>
                      <w:t>负债合计</w:t>
                    </w:r>
                  </w:p>
                </w:tc>
              </w:sdtContent>
            </w:sdt>
          </w:tr>
          <w:sdt>
            <w:sdtPr>
              <w:rPr>
                <w:rFonts w:asciiTheme="majorEastAsia" w:hAnsiTheme="majorEastAsia" w:eastAsiaTheme="majorEastAsia"/>
                <w:sz w:val="14"/>
                <w:szCs w:val="14"/>
              </w:rPr>
              <w:alias w:val="重要非全资子公司的主要财务信息明细"/>
              <w:tag w:val="_GBC_feef0d2d67a84217a9099e634bb2d3df"/>
              <w:id w:val="-105106592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4"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广靖锡澄公司</w:t>
                    </w:r>
                  </w:p>
                </w:tc>
                <w:tc>
                  <w:tcPr>
                    <w:tcW w:w="237"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319,747,789.16</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15,406,984,137.07</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15,726,731,926.23</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3,092,308,300.12</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3,681,463,731.05</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6,773,772,031.17</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114,829,168.25</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15,185,784,587.47</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15,300,613,755.72</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3,207,195,717.41</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3,650,393,895.75</w:t>
                    </w:r>
                  </w:p>
                </w:tc>
                <w:tc>
                  <w:tcPr>
                    <w:tcW w:w="398" w:type="pct"/>
                    <w:tcBorders>
                      <w:top w:val="single" w:color="auto" w:sz="6" w:space="0"/>
                      <w:left w:val="single" w:color="auto" w:sz="6"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6,857,589,613.16</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1913651054"/>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6"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镇丹公司</w:t>
                    </w:r>
                  </w:p>
                </w:tc>
                <w:tc>
                  <w:tcPr>
                    <w:tcW w:w="237"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17,112,779.53</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1,623,375,271.71</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1,640,488,051.24</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1,261,571,648.02</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1,261,571,648.02</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9,826,090.66</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1,654,287,986.09</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1,664,114,076.75</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1,266,245,029.76</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w:t>
                    </w:r>
                  </w:p>
                </w:tc>
                <w:tc>
                  <w:tcPr>
                    <w:tcW w:w="398" w:type="pct"/>
                    <w:tcBorders>
                      <w:top w:val="single" w:color="auto" w:sz="6" w:space="0"/>
                      <w:left w:val="single" w:color="auto" w:sz="6" w:space="0"/>
                      <w:bottom w:val="single" w:color="auto" w:sz="6"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1,266,245,029.76</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2048825853"/>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6"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五峰山大桥</w:t>
                    </w:r>
                  </w:p>
                </w:tc>
                <w:tc>
                  <w:tcPr>
                    <w:tcW w:w="237"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487,727,199.47</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11,882,205,249.01</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12,369,932,448.48</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532,061,497.21</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7,208,614,945.18</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7,740,676,442.39</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381,439,488.83</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12,008,855,632.76</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12,390,295,121.59</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537,415,198.67</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7,317,495,246.24</w:t>
                    </w:r>
                  </w:p>
                </w:tc>
                <w:tc>
                  <w:tcPr>
                    <w:tcW w:w="398" w:type="pct"/>
                    <w:tcBorders>
                      <w:top w:val="single" w:color="auto" w:sz="6" w:space="0"/>
                      <w:left w:val="single" w:color="auto" w:sz="6" w:space="0"/>
                      <w:bottom w:val="single" w:color="auto" w:sz="6"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7,854,910,444.91</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932044715"/>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6"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常宜公司</w:t>
                    </w:r>
                  </w:p>
                </w:tc>
                <w:tc>
                  <w:tcPr>
                    <w:tcW w:w="237"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32,439,967.32</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3,604,020,824.64</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3,636,460,791.96</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833,504,624.80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1,482,247,500.00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2,315,752,124.80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21,010,050.80</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3,650,803,272.86</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3,671,813,323.66</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822,044,867.34</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1,497,022,750.00</w:t>
                    </w:r>
                  </w:p>
                </w:tc>
                <w:tc>
                  <w:tcPr>
                    <w:tcW w:w="398" w:type="pct"/>
                    <w:tcBorders>
                      <w:top w:val="single" w:color="auto" w:sz="6" w:space="0"/>
                      <w:left w:val="single" w:color="auto" w:sz="6" w:space="0"/>
                      <w:bottom w:val="single" w:color="auto" w:sz="6"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2,319,067,617.34</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1354102150"/>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6"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宜长公司</w:t>
                    </w:r>
                  </w:p>
                </w:tc>
                <w:tc>
                  <w:tcPr>
                    <w:tcW w:w="237"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67,898,967.04</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3,717,850,651.82</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3,785,749,618.86</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837,738,267.41</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1,511,400,000.00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2,349,138,267.41</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38,854,322.95</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3,758,692,967.05</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3,797,547,290.00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822,711,060.81</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1,517,780,000.00</w:t>
                    </w:r>
                  </w:p>
                </w:tc>
                <w:tc>
                  <w:tcPr>
                    <w:tcW w:w="398" w:type="pct"/>
                    <w:tcBorders>
                      <w:top w:val="single" w:color="auto" w:sz="6" w:space="0"/>
                      <w:left w:val="single" w:color="auto" w:sz="6" w:space="0"/>
                      <w:bottom w:val="single" w:color="auto" w:sz="6"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2,340,491,060.81</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1043323577"/>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6"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龙潭大桥</w:t>
                    </w:r>
                  </w:p>
                </w:tc>
                <w:tc>
                  <w:tcPr>
                    <w:tcW w:w="237"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15,665,011.36</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5,597,628,365.78</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5,613,293,377.14</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185,484,532.10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1,729,000,000.00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1,914,484,532.10</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24,451,897.03</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4,839,909,802.40</w:t>
                    </w:r>
                  </w:p>
                </w:tc>
                <w:tc>
                  <w:tcPr>
                    <w:tcW w:w="415"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4,864,361,699.43</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147,603,559.16</w:t>
                    </w:r>
                  </w:p>
                </w:tc>
                <w:tc>
                  <w:tcPr>
                    <w:tcW w:w="398" w:type="pct"/>
                    <w:tcBorders>
                      <w:top w:val="single" w:color="auto" w:sz="6" w:space="0"/>
                      <w:left w:val="single" w:color="auto" w:sz="6" w:space="0"/>
                      <w:bottom w:val="single" w:color="auto" w:sz="6"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1,328,000,000.00</w:t>
                    </w:r>
                  </w:p>
                </w:tc>
                <w:tc>
                  <w:tcPr>
                    <w:tcW w:w="398" w:type="pct"/>
                    <w:tcBorders>
                      <w:top w:val="single" w:color="auto" w:sz="6" w:space="0"/>
                      <w:left w:val="single" w:color="auto" w:sz="6" w:space="0"/>
                      <w:bottom w:val="single" w:color="auto" w:sz="6"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1,475,603,559.16</w:t>
                    </w:r>
                  </w:p>
                </w:tc>
              </w:tr>
            </w:sdtContent>
          </w:sdt>
          <w:sdt>
            <w:sdtPr>
              <w:rPr>
                <w:rFonts w:asciiTheme="majorEastAsia" w:hAnsiTheme="majorEastAsia" w:eastAsiaTheme="majorEastAsia"/>
                <w:sz w:val="14"/>
                <w:szCs w:val="14"/>
              </w:rPr>
              <w:alias w:val="重要非全资子公司的主要财务信息明细"/>
              <w:tag w:val="_GBC_feef0d2d67a84217a9099e634bb2d3df"/>
              <w:id w:val="1355533576"/>
              <w:lock w:val="sdtLocked"/>
            </w:sdtPr>
            <w:sdtEndPr>
              <w:rPr>
                <w:rFonts w:asciiTheme="majorEastAsia" w:hAnsiTheme="majorEastAsia" w:eastAsiaTheme="majorEastAsia"/>
                <w:sz w:val="12"/>
                <w:szCs w:val="12"/>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318" w:type="pct"/>
                    <w:tcBorders>
                      <w:top w:val="single" w:color="auto" w:sz="6" w:space="0"/>
                      <w:left w:val="single" w:color="auto" w:sz="4" w:space="0"/>
                      <w:bottom w:val="single" w:color="auto" w:sz="4" w:space="0"/>
                      <w:right w:val="single" w:color="auto" w:sz="6" w:space="0"/>
                    </w:tcBorders>
                  </w:tcPr>
                  <w:p>
                    <w:pPr>
                      <w:rPr>
                        <w:rFonts w:asciiTheme="majorEastAsia" w:hAnsiTheme="majorEastAsia" w:eastAsiaTheme="majorEastAsia"/>
                        <w:sz w:val="14"/>
                        <w:szCs w:val="14"/>
                      </w:rPr>
                    </w:pPr>
                    <w:r>
                      <w:rPr>
                        <w:rFonts w:hint="eastAsia" w:asciiTheme="majorEastAsia" w:hAnsiTheme="majorEastAsia" w:eastAsiaTheme="majorEastAsia"/>
                        <w:sz w:val="14"/>
                        <w:szCs w:val="14"/>
                      </w:rPr>
                      <w:t>如东公司</w:t>
                    </w:r>
                  </w:p>
                </w:tc>
                <w:tc>
                  <w:tcPr>
                    <w:tcW w:w="237"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1,210,808,519.93</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4,183,335,429.30</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5,394,143,949.23</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691,551,034.22</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3,002,887,284.18</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3,694,438,318.40</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1,142,224,081.24</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4,310,327,914.56</w:t>
                    </w:r>
                  </w:p>
                </w:tc>
                <w:tc>
                  <w:tcPr>
                    <w:tcW w:w="415"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5,452,551,995.80</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838,333,418.24</w:t>
                    </w:r>
                  </w:p>
                </w:tc>
                <w:tc>
                  <w:tcPr>
                    <w:tcW w:w="398" w:type="pct"/>
                    <w:tcBorders>
                      <w:top w:val="single" w:color="auto" w:sz="6" w:space="0"/>
                      <w:left w:val="single" w:color="auto" w:sz="6" w:space="0"/>
                      <w:bottom w:val="single" w:color="auto" w:sz="4" w:space="0"/>
                      <w:right w:val="single" w:color="auto" w:sz="6"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3,003,044,573.66</w:t>
                    </w:r>
                  </w:p>
                </w:tc>
                <w:tc>
                  <w:tcPr>
                    <w:tcW w:w="398" w:type="pct"/>
                    <w:tcBorders>
                      <w:top w:val="single" w:color="auto" w:sz="6" w:space="0"/>
                      <w:left w:val="single" w:color="auto" w:sz="6" w:space="0"/>
                      <w:bottom w:val="single" w:color="auto" w:sz="4" w:space="0"/>
                      <w:right w:val="single" w:color="auto" w:sz="4" w:space="0"/>
                    </w:tcBorders>
                    <w:vAlign w:val="center"/>
                  </w:tcPr>
                  <w:p>
                    <w:pPr>
                      <w:jc w:val="center"/>
                      <w:rPr>
                        <w:rFonts w:asciiTheme="majorEastAsia" w:hAnsiTheme="majorEastAsia" w:eastAsiaTheme="majorEastAsia"/>
                        <w:sz w:val="12"/>
                        <w:szCs w:val="12"/>
                      </w:rPr>
                    </w:pPr>
                    <w:r>
                      <w:rPr>
                        <w:rFonts w:asciiTheme="majorEastAsia" w:hAnsiTheme="majorEastAsia" w:eastAsiaTheme="majorEastAsia"/>
                        <w:sz w:val="12"/>
                        <w:szCs w:val="12"/>
                      </w:rPr>
                      <w:t>3,841,377,991.90</w:t>
                    </w:r>
                  </w:p>
                </w:tc>
              </w:tr>
            </w:sdtContent>
          </w:sdt>
        </w:tbl>
        <w:p>
          <w:pPr>
            <w:rPr>
              <w:rFonts w:cs="Arial"/>
            </w:rPr>
          </w:pPr>
        </w:p>
        <w:p>
          <w:pPr>
            <w:rPr>
              <w:rFonts w:cs="Arial"/>
            </w:rPr>
          </w:pPr>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338"/>
            <w:gridCol w:w="1195"/>
            <w:gridCol w:w="1073"/>
            <w:gridCol w:w="1073"/>
            <w:gridCol w:w="1074"/>
            <w:gridCol w:w="1074"/>
            <w:gridCol w:w="1074"/>
            <w:gridCol w:w="1074"/>
            <w:gridCol w:w="107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trPr>
            <w:sdt>
              <w:sdtPr>
                <w:rPr>
                  <w:sz w:val="16"/>
                  <w:szCs w:val="16"/>
                </w:rPr>
                <w:tag w:val="_PLD_87ab97227e5642b988e110c5a28abb39"/>
                <w:id w:val="496689205"/>
                <w:lock w:val="sdtLocked"/>
              </w:sdtPr>
              <w:sdtEndPr>
                <w:rPr>
                  <w:sz w:val="16"/>
                  <w:szCs w:val="16"/>
                </w:rPr>
              </w:sdtEndPr>
              <w:sdtContent>
                <w:tc>
                  <w:tcPr>
                    <w:tcW w:w="187" w:type="pct"/>
                    <w:vMerge w:val="restart"/>
                    <w:tcBorders>
                      <w:top w:val="single" w:color="auto" w:sz="4" w:space="0"/>
                      <w:left w:val="single" w:color="auto" w:sz="4" w:space="0"/>
                      <w:bottom w:val="single" w:color="auto" w:sz="6" w:space="0"/>
                      <w:right w:val="single" w:color="auto" w:sz="6" w:space="0"/>
                    </w:tcBorders>
                    <w:shd w:val="clear" w:color="auto" w:fill="auto"/>
                    <w:vAlign w:val="center"/>
                  </w:tcPr>
                  <w:p>
                    <w:pPr>
                      <w:spacing w:line="276" w:lineRule="auto"/>
                      <w:ind w:right="-16"/>
                      <w:jc w:val="center"/>
                      <w:rPr>
                        <w:rFonts w:cs="Arial"/>
                        <w:bCs/>
                        <w:sz w:val="16"/>
                        <w:szCs w:val="16"/>
                      </w:rPr>
                    </w:pPr>
                    <w:r>
                      <w:rPr>
                        <w:rFonts w:hint="eastAsia" w:cs="Arial"/>
                        <w:sz w:val="16"/>
                        <w:szCs w:val="16"/>
                      </w:rPr>
                      <w:t>子公司名称</w:t>
                    </w:r>
                  </w:p>
                </w:tc>
              </w:sdtContent>
            </w:sdt>
            <w:sdt>
              <w:sdtPr>
                <w:rPr>
                  <w:sz w:val="16"/>
                  <w:szCs w:val="16"/>
                </w:rPr>
                <w:tag w:val="_PLD_85f8737cebf641b2aa266052f4118ba8"/>
                <w:id w:val="-1316796118"/>
                <w:lock w:val="sdtLocked"/>
              </w:sdtPr>
              <w:sdtEndPr>
                <w:rPr>
                  <w:sz w:val="16"/>
                  <w:szCs w:val="16"/>
                </w:rPr>
              </w:sdtEndPr>
              <w:sdtContent>
                <w:tc>
                  <w:tcPr>
                    <w:tcW w:w="2439" w:type="pct"/>
                    <w:gridSpan w:val="4"/>
                    <w:tcBorders>
                      <w:top w:val="single" w:color="auto" w:sz="4" w:space="0"/>
                      <w:left w:val="single" w:color="auto" w:sz="6" w:space="0"/>
                      <w:bottom w:val="single" w:color="auto" w:sz="6" w:space="0"/>
                      <w:right w:val="single" w:color="auto" w:sz="6" w:space="0"/>
                    </w:tcBorders>
                    <w:shd w:val="clear" w:color="auto" w:fill="auto"/>
                    <w:vAlign w:val="center"/>
                  </w:tcPr>
                  <w:p>
                    <w:pPr>
                      <w:spacing w:line="276" w:lineRule="auto"/>
                      <w:ind w:right="-16"/>
                      <w:jc w:val="center"/>
                      <w:rPr>
                        <w:rFonts w:cs="Arial"/>
                        <w:bCs/>
                        <w:sz w:val="16"/>
                        <w:szCs w:val="16"/>
                      </w:rPr>
                    </w:pPr>
                    <w:r>
                      <w:rPr>
                        <w:rFonts w:hint="eastAsia" w:cs="Arial"/>
                        <w:sz w:val="16"/>
                        <w:szCs w:val="16"/>
                      </w:rPr>
                      <w:t>本期发生额</w:t>
                    </w:r>
                  </w:p>
                </w:tc>
              </w:sdtContent>
            </w:sdt>
            <w:sdt>
              <w:sdtPr>
                <w:rPr>
                  <w:sz w:val="16"/>
                  <w:szCs w:val="16"/>
                </w:rPr>
                <w:tag w:val="_PLD_32dac50c80854f268b3afdebef20332e"/>
                <w:id w:val="359796772"/>
                <w:lock w:val="sdtLocked"/>
              </w:sdtPr>
              <w:sdtEndPr>
                <w:rPr>
                  <w:sz w:val="16"/>
                  <w:szCs w:val="16"/>
                </w:rPr>
              </w:sdtEndPr>
              <w:sdtContent>
                <w:tc>
                  <w:tcPr>
                    <w:tcW w:w="2374" w:type="pct"/>
                    <w:gridSpan w:val="4"/>
                    <w:tcBorders>
                      <w:top w:val="single" w:color="auto" w:sz="4" w:space="0"/>
                      <w:left w:val="single" w:color="auto" w:sz="6" w:space="0"/>
                      <w:bottom w:val="single" w:color="auto" w:sz="6" w:space="0"/>
                      <w:right w:val="single" w:color="auto" w:sz="4" w:space="0"/>
                    </w:tcBorders>
                    <w:shd w:val="clear" w:color="auto" w:fill="auto"/>
                    <w:vAlign w:val="center"/>
                  </w:tcPr>
                  <w:p>
                    <w:pPr>
                      <w:spacing w:line="276" w:lineRule="auto"/>
                      <w:ind w:right="-16"/>
                      <w:jc w:val="center"/>
                      <w:rPr>
                        <w:rFonts w:cs="Arial"/>
                        <w:bCs/>
                        <w:sz w:val="16"/>
                        <w:szCs w:val="16"/>
                      </w:rPr>
                    </w:pPr>
                    <w:r>
                      <w:rPr>
                        <w:rFonts w:hint="eastAsia" w:cs="Arial"/>
                        <w:sz w:val="16"/>
                        <w:szCs w:val="16"/>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trPr>
            <w:tc>
              <w:tcPr>
                <w:tcW w:w="187" w:type="pct"/>
                <w:vMerge w:val="continue"/>
                <w:tcBorders>
                  <w:top w:val="single" w:color="auto" w:sz="4" w:space="0"/>
                  <w:left w:val="single" w:color="auto" w:sz="4" w:space="0"/>
                  <w:bottom w:val="single" w:color="auto" w:sz="6" w:space="0"/>
                  <w:right w:val="single" w:color="auto" w:sz="6" w:space="0"/>
                </w:tcBorders>
                <w:shd w:val="clear" w:color="auto" w:fill="auto"/>
                <w:vAlign w:val="center"/>
              </w:tcPr>
              <w:p>
                <w:pPr>
                  <w:jc w:val="center"/>
                  <w:rPr>
                    <w:rFonts w:cs="Arial"/>
                    <w:bCs/>
                    <w:sz w:val="16"/>
                    <w:szCs w:val="16"/>
                  </w:rPr>
                </w:pPr>
              </w:p>
            </w:tc>
            <w:sdt>
              <w:sdtPr>
                <w:rPr>
                  <w:sz w:val="16"/>
                  <w:szCs w:val="16"/>
                </w:rPr>
                <w:tag w:val="_PLD_29407a86c6924579a6442f5b24e6decd"/>
                <w:id w:val="1849055068"/>
                <w:lock w:val="sdtLocked"/>
              </w:sdtPr>
              <w:sdtEndPr>
                <w:rPr>
                  <w:sz w:val="16"/>
                  <w:szCs w:val="16"/>
                </w:rPr>
              </w:sdtEndPr>
              <w:sdtContent>
                <w:tc>
                  <w:tcPr>
                    <w:tcW w:w="660"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营业收入</w:t>
                    </w:r>
                  </w:p>
                </w:tc>
              </w:sdtContent>
            </w:sdt>
            <w:sdt>
              <w:sdtPr>
                <w:rPr>
                  <w:sz w:val="16"/>
                  <w:szCs w:val="16"/>
                </w:rPr>
                <w:tag w:val="_PLD_bc59f1076f2243f8984efa8df921ad2c"/>
                <w:id w:val="-1239392219"/>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净利润</w:t>
                    </w:r>
                  </w:p>
                </w:tc>
              </w:sdtContent>
            </w:sdt>
            <w:sdt>
              <w:sdtPr>
                <w:rPr>
                  <w:sz w:val="16"/>
                  <w:szCs w:val="16"/>
                </w:rPr>
                <w:tag w:val="_PLD_90f87c27e3fb4843892cceb85599a3b1"/>
                <w:id w:val="-1137723177"/>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综合收益总额</w:t>
                    </w:r>
                  </w:p>
                </w:tc>
              </w:sdtContent>
            </w:sdt>
            <w:sdt>
              <w:sdtPr>
                <w:rPr>
                  <w:sz w:val="16"/>
                  <w:szCs w:val="16"/>
                </w:rPr>
                <w:tag w:val="_PLD_3126fb1798f346de95a39458603c4301"/>
                <w:id w:val="1643304391"/>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经营活动现金流量</w:t>
                    </w:r>
                  </w:p>
                </w:tc>
              </w:sdtContent>
            </w:sdt>
            <w:sdt>
              <w:sdtPr>
                <w:rPr>
                  <w:sz w:val="16"/>
                  <w:szCs w:val="16"/>
                </w:rPr>
                <w:tag w:val="_PLD_44ccfb27fc6943ac84654ba7c7bef20e"/>
                <w:id w:val="-1369062194"/>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营业收入</w:t>
                    </w:r>
                  </w:p>
                </w:tc>
              </w:sdtContent>
            </w:sdt>
            <w:sdt>
              <w:sdtPr>
                <w:rPr>
                  <w:sz w:val="16"/>
                  <w:szCs w:val="16"/>
                </w:rPr>
                <w:tag w:val="_PLD_c08aebbf24fa4b1aa2c4f79232c7c630"/>
                <w:id w:val="-2064550592"/>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净利润</w:t>
                    </w:r>
                  </w:p>
                </w:tc>
              </w:sdtContent>
            </w:sdt>
            <w:sdt>
              <w:sdtPr>
                <w:rPr>
                  <w:sz w:val="16"/>
                  <w:szCs w:val="16"/>
                </w:rPr>
                <w:tag w:val="_PLD_0a377a03553f4d909179190a153a31b7"/>
                <w:id w:val="-2072955424"/>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6" w:space="0"/>
                    </w:tcBorders>
                    <w:shd w:val="clear" w:color="auto" w:fill="auto"/>
                    <w:vAlign w:val="center"/>
                  </w:tcPr>
                  <w:p>
                    <w:pPr>
                      <w:spacing w:line="276" w:lineRule="auto"/>
                      <w:jc w:val="center"/>
                      <w:rPr>
                        <w:rFonts w:cs="Arial"/>
                        <w:sz w:val="16"/>
                        <w:szCs w:val="16"/>
                      </w:rPr>
                    </w:pPr>
                    <w:r>
                      <w:rPr>
                        <w:rFonts w:hint="eastAsia" w:cs="Arial"/>
                        <w:sz w:val="16"/>
                        <w:szCs w:val="16"/>
                      </w:rPr>
                      <w:t>综合收益总额</w:t>
                    </w:r>
                  </w:p>
                </w:tc>
              </w:sdtContent>
            </w:sdt>
            <w:sdt>
              <w:sdtPr>
                <w:rPr>
                  <w:sz w:val="16"/>
                  <w:szCs w:val="16"/>
                </w:rPr>
                <w:tag w:val="_PLD_400ec1e5e2cf42e5a9eea23ddbdbd572"/>
                <w:id w:val="673999723"/>
                <w:lock w:val="sdtLocked"/>
              </w:sdtPr>
              <w:sdtEndPr>
                <w:rPr>
                  <w:sz w:val="16"/>
                  <w:szCs w:val="16"/>
                </w:rPr>
              </w:sdtEndPr>
              <w:sdtContent>
                <w:tc>
                  <w:tcPr>
                    <w:tcW w:w="593" w:type="pct"/>
                    <w:tcBorders>
                      <w:top w:val="single" w:color="auto" w:sz="6" w:space="0"/>
                      <w:left w:val="single" w:color="auto" w:sz="6" w:space="0"/>
                      <w:bottom w:val="single" w:color="auto" w:sz="6" w:space="0"/>
                      <w:right w:val="single" w:color="auto" w:sz="4" w:space="0"/>
                    </w:tcBorders>
                    <w:shd w:val="clear" w:color="auto" w:fill="auto"/>
                    <w:vAlign w:val="center"/>
                  </w:tcPr>
                  <w:p>
                    <w:pPr>
                      <w:spacing w:line="276" w:lineRule="auto"/>
                      <w:jc w:val="center"/>
                      <w:rPr>
                        <w:rFonts w:cs="Arial"/>
                        <w:sz w:val="16"/>
                        <w:szCs w:val="16"/>
                      </w:rPr>
                    </w:pPr>
                    <w:r>
                      <w:rPr>
                        <w:rFonts w:hint="eastAsia" w:cs="Arial"/>
                        <w:sz w:val="16"/>
                        <w:szCs w:val="16"/>
                      </w:rPr>
                      <w:t>经营活动现金流量</w:t>
                    </w:r>
                  </w:p>
                </w:tc>
              </w:sdtContent>
            </w:sdt>
          </w:tr>
          <w:sdt>
            <w:sdtPr>
              <w:rPr>
                <w:sz w:val="16"/>
                <w:szCs w:val="16"/>
              </w:rPr>
              <w:alias w:val="重要非全资子公司的主要财务信息明细"/>
              <w:tag w:val="_GBC_330f4405d49345f7b8f69770f6eb8b4a"/>
              <w:id w:val="1011260021"/>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广靖锡澄公司</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1,122,596,552.66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477,927,519.26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rFonts w:hint="eastAsia"/>
                        <w:sz w:val="16"/>
                        <w:szCs w:val="16"/>
                      </w:rPr>
                      <w:t>522,978,369.26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604,159,534.67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649,648,115.79</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285,117,277.76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rFonts w:hint="eastAsia"/>
                        <w:sz w:val="16"/>
                        <w:szCs w:val="16"/>
                      </w:rPr>
                      <w:t>291,084,277.76</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411,687,558.37</w:t>
                    </w:r>
                  </w:p>
                </w:tc>
              </w:tr>
            </w:sdtContent>
          </w:sdt>
          <w:sdt>
            <w:sdtPr>
              <w:rPr>
                <w:sz w:val="16"/>
                <w:szCs w:val="16"/>
              </w:rPr>
              <w:alias w:val="重要非全资子公司的主要财务信息明细"/>
              <w:tag w:val="_GBC_330f4405d49345f7b8f69770f6eb8b4a"/>
              <w:id w:val="-547836022"/>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镇丹公司</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46,041,821.22</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-18,952,643.77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-18,952,643.77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39,786,235.46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37,492,005.35</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-17,952,987.83</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-17,952,987.83</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30,821,994.15</w:t>
                    </w:r>
                  </w:p>
                </w:tc>
              </w:tr>
            </w:sdtContent>
          </w:sdt>
          <w:sdt>
            <w:sdtPr>
              <w:rPr>
                <w:sz w:val="16"/>
                <w:szCs w:val="16"/>
              </w:rPr>
              <w:alias w:val="重要非全资子公司的主要财务信息明细"/>
              <w:tag w:val="_GBC_330f4405d49345f7b8f69770f6eb8b4a"/>
              <w:id w:val="-1798208703"/>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五峰山大桥</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384,760,697.68</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93,871,329.41</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93,871,329.41</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354,214,477.39</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179,365,949.06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-94,274,693.80</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-94,274,693.80</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602,757,142.02</w:t>
                    </w:r>
                  </w:p>
                </w:tc>
              </w:tr>
            </w:sdtContent>
          </w:sdt>
          <w:sdt>
            <w:sdtPr>
              <w:rPr>
                <w:sz w:val="16"/>
                <w:szCs w:val="16"/>
              </w:rPr>
              <w:alias w:val="重要非全资子公司的主要财务信息明细"/>
              <w:tag w:val="_GBC_330f4405d49345f7b8f69770f6eb8b4a"/>
              <w:id w:val="-1145034226"/>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常宜公司</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62,422,260.18</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-32,037,039.16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-32,037,039.16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49,089,836.43</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50,362,037.58</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-44,027,441.72</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-44,027,441.72</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89,398,340.38</w:t>
                    </w:r>
                  </w:p>
                </w:tc>
              </w:tr>
            </w:sdtContent>
          </w:sdt>
          <w:sdt>
            <w:sdtPr>
              <w:rPr>
                <w:sz w:val="16"/>
                <w:szCs w:val="16"/>
              </w:rPr>
              <w:alias w:val="重要非全资子公司的主要财务信息明细"/>
              <w:tag w:val="_GBC_330f4405d49345f7b8f69770f6eb8b4a"/>
              <w:id w:val="-1239472187"/>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宜长公司</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66,839,740.96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-20,444,877.74</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-20,444,877.74</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56,999,111.15</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68,600,385.37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-39,279,609.67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-39,279,609.67</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83,643,710.33</w:t>
                    </w:r>
                  </w:p>
                </w:tc>
              </w:tr>
            </w:sdtContent>
          </w:sdt>
          <w:sdt>
            <w:sdtPr>
              <w:rPr>
                <w:sz w:val="16"/>
                <w:szCs w:val="16"/>
              </w:rPr>
              <w:alias w:val="重要非全资子公司的主要财务信息明细"/>
              <w:tag w:val="_GBC_330f4405d49345f7b8f69770f6eb8b4a"/>
              <w:id w:val="-198398643"/>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龙潭大桥</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745,854,596.29</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50,704.77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50,704.77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76,745,894.46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425,821,793.86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793,576.53</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793,576.53</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43,935,558.99</w:t>
                    </w:r>
                  </w:p>
                </w:tc>
              </w:tr>
            </w:sdtContent>
          </w:sdt>
          <w:sdt>
            <w:sdtPr>
              <w:rPr>
                <w:sz w:val="16"/>
                <w:szCs w:val="16"/>
              </w:rPr>
              <w:alias w:val="重要非全资子公司的主要财务信息明细"/>
              <w:tag w:val="_GBC_330f4405d49345f7b8f69770f6eb8b4a"/>
              <w:id w:val="-1214661865"/>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187" w:type="pct"/>
                    <w:tcBorders>
                      <w:top w:val="single" w:color="auto" w:sz="6" w:space="0"/>
                      <w:left w:val="single" w:color="auto" w:sz="4" w:space="0"/>
                      <w:bottom w:val="single" w:color="auto" w:sz="4" w:space="0"/>
                      <w:right w:val="single" w:color="auto" w:sz="6" w:space="0"/>
                    </w:tcBorders>
                    <w:vAlign w:val="center"/>
                  </w:tcPr>
                  <w:p>
                    <w:pPr>
                      <w:spacing w:line="276" w:lineRule="auto"/>
                      <w:jc w:val="center"/>
                      <w:rPr>
                        <w:sz w:val="16"/>
                        <w:szCs w:val="16"/>
                      </w:rPr>
                    </w:pPr>
                    <w:r>
                      <w:rPr>
                        <w:sz w:val="16"/>
                        <w:szCs w:val="16"/>
                      </w:rPr>
                      <w:t>如东公司</w:t>
                    </w:r>
                  </w:p>
                </w:tc>
                <w:tc>
                  <w:tcPr>
                    <w:tcW w:w="660"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294,027,844.07</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87,779,879.76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87,779,879.76</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105,292,006.92</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261,193,284.33</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63,553,031.10</w:t>
                    </w:r>
                  </w:p>
                </w:tc>
                <w:tc>
                  <w:tcPr>
                    <w:tcW w:w="593" w:type="pct"/>
                    <w:tcBorders>
                      <w:top w:val="single" w:color="auto" w:sz="6" w:space="0"/>
                      <w:left w:val="single" w:color="auto" w:sz="6" w:space="0"/>
                      <w:bottom w:val="single" w:color="auto" w:sz="4" w:space="0"/>
                      <w:right w:val="single" w:color="auto" w:sz="6" w:space="0"/>
                    </w:tcBorders>
                    <w:vAlign w:val="center"/>
                  </w:tcPr>
                  <w:p>
                    <w:pPr>
                      <w:spacing w:line="276" w:lineRule="auto"/>
                      <w:jc w:val="center"/>
                      <w:rPr>
                        <w:sz w:val="16"/>
                        <w:szCs w:val="16"/>
                      </w:rPr>
                    </w:pPr>
                    <w:r>
                      <w:rPr>
                        <w:sz w:val="16"/>
                        <w:szCs w:val="16"/>
                      </w:rPr>
                      <w:t>63,553,031.10</w:t>
                    </w:r>
                  </w:p>
                </w:tc>
                <w:tc>
                  <w:tcPr>
                    <w:tcW w:w="593" w:type="pct"/>
                    <w:tcBorders>
                      <w:top w:val="single" w:color="auto" w:sz="6" w:space="0"/>
                      <w:left w:val="single" w:color="auto" w:sz="6" w:space="0"/>
                      <w:bottom w:val="single" w:color="auto" w:sz="4" w:space="0"/>
                      <w:right w:val="single" w:color="auto" w:sz="4" w:space="0"/>
                    </w:tcBorders>
                    <w:vAlign w:val="center"/>
                  </w:tcPr>
                  <w:p>
                    <w:pPr>
                      <w:spacing w:line="276" w:lineRule="auto"/>
                      <w:jc w:val="center"/>
                      <w:rPr>
                        <w:sz w:val="16"/>
                        <w:szCs w:val="16"/>
                      </w:rPr>
                    </w:pPr>
                    <w:r>
                      <w:rPr>
                        <w:sz w:val="16"/>
                        <w:szCs w:val="16"/>
                      </w:rPr>
                      <w:t>118,657,015.19</w:t>
                    </w:r>
                  </w:p>
                </w:tc>
              </w:tr>
            </w:sdtContent>
          </w:sdt>
        </w:tbl>
        <w:p>
          <w:pPr>
            <w:rPr>
              <w:rFonts w:cs="Arial"/>
            </w:rPr>
          </w:pPr>
          <w:r>
            <w:rPr>
              <w:rFonts w:hint="eastAsia" w:cs="Arial"/>
            </w:rPr>
            <w:t>其他说明：</w:t>
          </w:r>
        </w:p>
        <w:sdt>
          <w:sdtPr>
            <w:rPr>
              <w:rFonts w:cs="Arial"/>
            </w:rPr>
            <w:alias w:val="重要非全资子公司的主要财务信息的其他说明"/>
            <w:tag w:val="_GBC_c6413d961dad488aae6fcf0fda2bf33a"/>
            <w:id w:val="-1097396750"/>
            <w:lock w:val="sdtLocked"/>
            <w:placeholder>
              <w:docPart w:val="GBC22222222222222222222222222222"/>
            </w:placeholder>
          </w:sdtPr>
          <w:sdtEndPr>
            <w:rPr>
              <w:rFonts w:cs="Arial"/>
            </w:rPr>
          </w:sdtEndPr>
          <w:sdtContent>
            <w:p>
              <w:pPr>
                <w:rPr>
                  <w:rFonts w:cs="Arial"/>
                </w:rPr>
              </w:pPr>
              <w:r>
                <w:rPr>
                  <w:rFonts w:hint="eastAsia" w:cs="Arial"/>
                </w:rPr>
                <w:t>本公司第十届董事会第八次会议同意本公司向龙潭大桥公司增资人民币</w:t>
              </w:r>
              <w:r>
                <w:rPr>
                  <w:rFonts w:cs="Arial"/>
                </w:rPr>
                <w:t>209,537.62万元, 本公司与龙潭大桥公司及其其他现有股东于2022年7月8日签署了增资协议书，增资后本公司持股比例变为57.33%，截至2023年6月30日实缴比例为52.39%。</w:t>
              </w:r>
            </w:p>
          </w:sdtContent>
        </w:sdt>
      </w:sdtContent>
    </w:sdt>
    <w:p>
      <w:pPr>
        <w:rPr>
          <w:rFonts w:cs="Arial"/>
        </w:rPr>
      </w:pPr>
    </w:p>
    <w:sdt>
      <w:sdtPr>
        <w:rPr>
          <w:rFonts w:hint="eastAsia" w:ascii="宋体" w:hAnsi="宋体" w:cs="Arial"/>
          <w:b w:val="0"/>
          <w:bCs w:val="0"/>
          <w:kern w:val="0"/>
          <w:szCs w:val="21"/>
        </w:rPr>
        <w:alias w:val="模块:使用企业集团资产和清偿企业集团债务的重大限制"/>
        <w:tag w:val="_GBC_573fe5c9daf0401da00d8fc5198daf66"/>
        <w:id w:val="299119803"/>
        <w:lock w:val="sdtLocked"/>
        <w:placeholder>
          <w:docPart w:val="GBC22222222222222222222222222222"/>
        </w:placeholder>
      </w:sdtPr>
      <w:sdtEndPr>
        <w:rPr>
          <w:rFonts w:hint="eastAsia" w:ascii="宋体" w:hAnsi="宋体" w:cs="Arial"/>
          <w:b/>
          <w:bCs w:val="0"/>
          <w:kern w:val="0"/>
          <w:szCs w:val="21"/>
        </w:rPr>
      </w:sdtEndPr>
      <w:sdtContent>
        <w:p>
          <w:pPr>
            <w:pStyle w:val="118"/>
            <w:numPr>
              <w:ilvl w:val="3"/>
              <w:numId w:val="88"/>
            </w:numPr>
            <w:tabs>
              <w:tab w:val="left" w:pos="644"/>
            </w:tabs>
            <w:rPr>
              <w:rFonts w:ascii="宋体" w:hAnsi="宋体" w:cs="Arial"/>
              <w:szCs w:val="21"/>
            </w:rPr>
          </w:pPr>
          <w:r>
            <w:rPr>
              <w:rFonts w:hint="eastAsia" w:ascii="宋体" w:hAnsi="宋体" w:cs="Arial"/>
              <w:szCs w:val="21"/>
            </w:rPr>
            <w:t>使用企业集团资产和清偿企业集团债务的重大限制：</w:t>
          </w:r>
        </w:p>
        <w:sdt>
          <w:sdtPr>
            <w:alias w:val="是否适用：使用企业集团资产和清偿企业集团债务的重大限制[双击切换]"/>
            <w:tag w:val="_GBC_d4aaeca51c634ffea892b86812441771"/>
            <w:id w:val="-2097542802"/>
            <w:lock w:val="sdtLocked"/>
            <w:placeholder>
              <w:docPart w:val="GBC22222222222222222222222222222"/>
            </w:placeholder>
          </w:sdtPr>
          <w:sdtContent>
            <w:p>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rFonts w:cs="Arial"/>
        </w:rPr>
      </w:pPr>
    </w:p>
    <w:sdt>
      <w:sdtPr>
        <w:rPr>
          <w:rFonts w:hint="eastAsia" w:ascii="宋体" w:hAnsi="宋体" w:cs="Arial"/>
          <w:b w:val="0"/>
          <w:bCs w:val="0"/>
          <w:kern w:val="0"/>
          <w:szCs w:val="21"/>
        </w:rPr>
        <w:alias w:val="模块:向纳入合并财务报表范围的结构化主体提供的财务支持或其他支持"/>
        <w:tag w:val="_GBC_114877d69a2e4b56b15fb618155127e3"/>
        <w:id w:val="821007775"/>
        <w:lock w:val="sdtLocked"/>
        <w:placeholder>
          <w:docPart w:val="GBC22222222222222222222222222222"/>
        </w:placeholder>
      </w:sdtPr>
      <w:sdtEndPr>
        <w:rPr>
          <w:rFonts w:hint="eastAsia" w:ascii="宋体" w:hAnsi="宋体" w:cs="Arial"/>
          <w:b w:val="0"/>
          <w:bCs w:val="0"/>
          <w:kern w:val="0"/>
          <w:szCs w:val="21"/>
        </w:rPr>
      </w:sdtEndPr>
      <w:sdtContent>
        <w:p>
          <w:pPr>
            <w:pStyle w:val="118"/>
            <w:numPr>
              <w:ilvl w:val="3"/>
              <w:numId w:val="88"/>
            </w:numPr>
            <w:tabs>
              <w:tab w:val="left" w:pos="644"/>
            </w:tabs>
            <w:rPr>
              <w:rFonts w:ascii="宋体" w:hAnsi="宋体" w:cs="Arial"/>
              <w:szCs w:val="21"/>
            </w:rPr>
          </w:pPr>
          <w:r>
            <w:rPr>
              <w:rFonts w:hint="eastAsia" w:ascii="宋体" w:hAnsi="宋体" w:cs="Arial"/>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269977747"/>
            <w:lock w:val="sdtLocked"/>
            <w:placeholder>
              <w:docPart w:val="GBC22222222222222222222222222222"/>
            </w:placeholder>
          </w:sdtPr>
          <w:sdtContent>
            <w:p>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rFonts w:cs="Arial"/>
          <w:b/>
        </w:rPr>
      </w:pPr>
    </w:p>
    <w:sdt>
      <w:sdtPr>
        <w:alias w:val="模块:在子公司中的权益其他说明"/>
        <w:tag w:val="_GBC_a0f68dc0a3a24efaa431a8c8d768eb0f"/>
        <w:id w:val="602532400"/>
        <w:lock w:val="sdtLocked"/>
        <w:placeholder>
          <w:docPart w:val="GBC22222222222222222222222222222"/>
        </w:placeholder>
      </w:sdtPr>
      <w:sdtContent>
        <w:p>
          <w:pPr>
            <w:pStyle w:val="114"/>
          </w:pPr>
          <w:r>
            <w:rPr>
              <w:rFonts w:hint="eastAsia"/>
            </w:rPr>
            <w:t>其他说明：</w:t>
          </w:r>
        </w:p>
        <w:sdt>
          <w:sdtPr>
            <w:alias w:val="是否适用：在子公司中的权益其他说明[双击切换]"/>
            <w:tag w:val="_GBC_e4c33fb40d7a42bc88681a9facbf5ba5"/>
            <w:id w:val="132300888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117"/>
        <w:numPr>
          <w:ilvl w:val="2"/>
          <w:numId w:val="87"/>
        </w:numPr>
        <w:rPr>
          <w:rFonts w:ascii="宋体" w:hAnsi="宋体" w:cs="Arial"/>
          <w:szCs w:val="21"/>
        </w:rPr>
      </w:pPr>
      <w:r>
        <w:rPr>
          <w:rFonts w:hint="eastAsia" w:ascii="宋体" w:hAnsi="宋体" w:cs="Arial"/>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55361091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7"/>
        <w:numPr>
          <w:ilvl w:val="2"/>
          <w:numId w:val="87"/>
        </w:numPr>
        <w:rPr>
          <w:rFonts w:ascii="宋体" w:hAnsi="宋体" w:cs="Arial"/>
          <w:szCs w:val="21"/>
        </w:rPr>
      </w:pPr>
      <w:r>
        <w:rPr>
          <w:rFonts w:hint="eastAsia" w:ascii="宋体" w:hAnsi="宋体" w:cs="Arial"/>
          <w:szCs w:val="21"/>
        </w:rPr>
        <w:t>在合营企业或联营企业中的权益</w:t>
      </w:r>
    </w:p>
    <w:sdt>
      <w:sdtPr>
        <w:alias w:val="是否适用：在合营企业或联营企业中的权益[双击切换]"/>
        <w:tag w:val="_GBC_31c0fe2068fd4a898e4269df4925aa76"/>
        <w:id w:val="-142965100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b w:val="0"/>
          <w:bCs w:val="0"/>
          <w:kern w:val="0"/>
          <w:szCs w:val="24"/>
        </w:rPr>
        <w:alias w:val="模块:重要的合营企业或联营企业"/>
        <w:tag w:val="_GBC_49e4a749316a464e89485cda5774fc07"/>
        <w:id w:val="2118716293"/>
        <w:lock w:val="sdtLocked"/>
        <w:placeholder>
          <w:docPart w:val="GBC22222222222222222222222222222"/>
        </w:placeholder>
      </w:sdtPr>
      <w:sdtEndPr>
        <w:rPr>
          <w:rFonts w:hint="default" w:ascii="宋体" w:hAnsi="宋体" w:cstheme="minorBidi"/>
          <w:b w:val="0"/>
          <w:bCs w:val="0"/>
          <w:kern w:val="0"/>
          <w:szCs w:val="21"/>
        </w:rPr>
      </w:sdtEndPr>
      <w:sdtContent>
        <w:p>
          <w:pPr>
            <w:pStyle w:val="118"/>
            <w:numPr>
              <w:ilvl w:val="3"/>
              <w:numId w:val="89"/>
            </w:numPr>
            <w:tabs>
              <w:tab w:val="left" w:pos="630"/>
            </w:tabs>
            <w:rPr>
              <w:rFonts w:ascii="宋体" w:hAnsi="宋体"/>
            </w:rPr>
          </w:pPr>
          <w:r>
            <w:rPr>
              <w:rFonts w:hint="eastAsia" w:ascii="宋体" w:hAnsi="宋体"/>
            </w:rPr>
            <w:t>重要的联营企业</w:t>
          </w:r>
        </w:p>
        <w:sdt>
          <w:sdtPr>
            <w:alias w:val="是否适用：重要的合营企业或联营企业[双击切换]"/>
            <w:tag w:val="_GBC_9973f58b324442d5879a5d16db0cd410"/>
            <w:id w:val="-85842952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重要的合营企业或联营企业"/>
              <w:tag w:val="_GBC_fc95ad35f9984b0c84fb2b12ebeb41db"/>
              <w:id w:val="-7824148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2611727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
            <w:gridCol w:w="1086"/>
            <w:gridCol w:w="851"/>
            <w:gridCol w:w="1211"/>
            <w:gridCol w:w="856"/>
            <w:gridCol w:w="849"/>
            <w:gridCol w:w="1010"/>
            <w:gridCol w:w="1466"/>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sdt>
              <w:sdtPr>
                <w:rPr>
                  <w:sz w:val="16"/>
                  <w:szCs w:val="16"/>
                </w:rPr>
                <w:tag w:val="_PLD_bb6c91c88e754a5da79068d0b040e152"/>
                <w:id w:val="1607077387"/>
                <w:lock w:val="sdtLocked"/>
              </w:sdtPr>
              <w:sdtEndPr>
                <w:rPr>
                  <w:sz w:val="16"/>
                  <w:szCs w:val="16"/>
                </w:rPr>
              </w:sdtEndPr>
              <w:sdtContent>
                <w:tc>
                  <w:tcPr>
                    <w:tcW w:w="533" w:type="pct"/>
                    <w:vMerge w:val="restart"/>
                    <w:shd w:val="clear" w:color="auto" w:fill="auto"/>
                    <w:vAlign w:val="center"/>
                  </w:tcPr>
                  <w:p>
                    <w:pPr>
                      <w:jc w:val="center"/>
                      <w:rPr>
                        <w:rFonts w:cs="Arial"/>
                        <w:sz w:val="16"/>
                        <w:szCs w:val="16"/>
                      </w:rPr>
                    </w:pPr>
                    <w:r>
                      <w:rPr>
                        <w:rFonts w:hint="eastAsia" w:cs="Arial"/>
                        <w:sz w:val="16"/>
                        <w:szCs w:val="16"/>
                      </w:rPr>
                      <w:t>联营企业名称</w:t>
                    </w:r>
                  </w:p>
                </w:tc>
              </w:sdtContent>
            </w:sdt>
            <w:sdt>
              <w:sdtPr>
                <w:rPr>
                  <w:sz w:val="16"/>
                  <w:szCs w:val="16"/>
                </w:rPr>
                <w:tag w:val="_PLD_4c91d89257574ee1a96260d900b3fdde"/>
                <w:id w:val="60230815"/>
                <w:lock w:val="sdtLocked"/>
              </w:sdtPr>
              <w:sdtEndPr>
                <w:rPr>
                  <w:sz w:val="16"/>
                  <w:szCs w:val="16"/>
                </w:rPr>
              </w:sdtEndPr>
              <w:sdtContent>
                <w:tc>
                  <w:tcPr>
                    <w:tcW w:w="600" w:type="pct"/>
                    <w:vMerge w:val="restart"/>
                    <w:shd w:val="clear" w:color="auto" w:fill="auto"/>
                    <w:vAlign w:val="center"/>
                  </w:tcPr>
                  <w:p>
                    <w:pPr>
                      <w:jc w:val="center"/>
                      <w:rPr>
                        <w:rFonts w:cs="Arial"/>
                        <w:sz w:val="16"/>
                        <w:szCs w:val="16"/>
                      </w:rPr>
                    </w:pPr>
                    <w:r>
                      <w:rPr>
                        <w:rFonts w:hint="eastAsia" w:cs="Arial"/>
                        <w:sz w:val="16"/>
                        <w:szCs w:val="16"/>
                      </w:rPr>
                      <w:t>主要经营地</w:t>
                    </w:r>
                  </w:p>
                </w:tc>
              </w:sdtContent>
            </w:sdt>
            <w:sdt>
              <w:sdtPr>
                <w:rPr>
                  <w:sz w:val="16"/>
                  <w:szCs w:val="16"/>
                </w:rPr>
                <w:tag w:val="_PLD_4a3c73442b1947fdae2c0b554e7271a4"/>
                <w:id w:val="1766340805"/>
                <w:lock w:val="sdtLocked"/>
              </w:sdtPr>
              <w:sdtEndPr>
                <w:rPr>
                  <w:sz w:val="16"/>
                  <w:szCs w:val="16"/>
                </w:rPr>
              </w:sdtEndPr>
              <w:sdtContent>
                <w:tc>
                  <w:tcPr>
                    <w:tcW w:w="470" w:type="pct"/>
                    <w:vMerge w:val="restart"/>
                    <w:shd w:val="clear" w:color="auto" w:fill="auto"/>
                    <w:vAlign w:val="center"/>
                  </w:tcPr>
                  <w:p>
                    <w:pPr>
                      <w:jc w:val="center"/>
                      <w:rPr>
                        <w:rFonts w:cs="Arial"/>
                        <w:sz w:val="16"/>
                        <w:szCs w:val="16"/>
                      </w:rPr>
                    </w:pPr>
                    <w:r>
                      <w:rPr>
                        <w:rFonts w:hint="eastAsia" w:cs="Arial"/>
                        <w:sz w:val="16"/>
                        <w:szCs w:val="16"/>
                      </w:rPr>
                      <w:t>注册地</w:t>
                    </w:r>
                  </w:p>
                </w:tc>
              </w:sdtContent>
            </w:sdt>
            <w:sdt>
              <w:sdtPr>
                <w:rPr>
                  <w:sz w:val="16"/>
                  <w:szCs w:val="16"/>
                </w:rPr>
                <w:tag w:val="_PLD_07a3d19678c44b0db85c15fb74bf76d2"/>
                <w:id w:val="993911150"/>
                <w:lock w:val="sdtLocked"/>
              </w:sdtPr>
              <w:sdtEndPr>
                <w:rPr>
                  <w:sz w:val="16"/>
                  <w:szCs w:val="16"/>
                </w:rPr>
              </w:sdtEndPr>
              <w:sdtContent>
                <w:tc>
                  <w:tcPr>
                    <w:tcW w:w="669" w:type="pct"/>
                    <w:vMerge w:val="restart"/>
                    <w:shd w:val="clear" w:color="auto" w:fill="auto"/>
                    <w:vAlign w:val="center"/>
                  </w:tcPr>
                  <w:p>
                    <w:pPr>
                      <w:jc w:val="center"/>
                      <w:rPr>
                        <w:rFonts w:cs="Arial"/>
                        <w:sz w:val="16"/>
                        <w:szCs w:val="16"/>
                      </w:rPr>
                    </w:pPr>
                    <w:r>
                      <w:rPr>
                        <w:rFonts w:hint="eastAsia" w:cs="Arial"/>
                        <w:sz w:val="16"/>
                        <w:szCs w:val="16"/>
                      </w:rPr>
                      <w:t>业务性质</w:t>
                    </w:r>
                  </w:p>
                </w:tc>
              </w:sdtContent>
            </w:sdt>
            <w:sdt>
              <w:sdtPr>
                <w:rPr>
                  <w:sz w:val="16"/>
                  <w:szCs w:val="16"/>
                </w:rPr>
                <w:tag w:val="_PLD_cb67afe7283245a29754ca96c69b89fc"/>
                <w:id w:val="-1671783577"/>
                <w:lock w:val="sdtLocked"/>
              </w:sdtPr>
              <w:sdtEndPr>
                <w:rPr>
                  <w:sz w:val="16"/>
                  <w:szCs w:val="16"/>
                </w:rPr>
              </w:sdtEndPr>
              <w:sdtContent>
                <w:tc>
                  <w:tcPr>
                    <w:tcW w:w="942" w:type="pct"/>
                    <w:gridSpan w:val="2"/>
                    <w:shd w:val="clear" w:color="auto" w:fill="auto"/>
                    <w:vAlign w:val="center"/>
                  </w:tcPr>
                  <w:p>
                    <w:pPr>
                      <w:jc w:val="center"/>
                      <w:rPr>
                        <w:rFonts w:cs="Arial"/>
                        <w:sz w:val="16"/>
                        <w:szCs w:val="16"/>
                      </w:rPr>
                    </w:pPr>
                    <w:r>
                      <w:rPr>
                        <w:rFonts w:hint="eastAsia" w:cs="Arial"/>
                        <w:sz w:val="16"/>
                        <w:szCs w:val="16"/>
                      </w:rPr>
                      <w:t>持股比例</w:t>
                    </w:r>
                    <w:r>
                      <w:rPr>
                        <w:rFonts w:cs="Arial"/>
                        <w:sz w:val="16"/>
                        <w:szCs w:val="16"/>
                      </w:rPr>
                      <w:t>(%)</w:t>
                    </w:r>
                  </w:p>
                </w:tc>
              </w:sdtContent>
            </w:sdt>
            <w:sdt>
              <w:sdtPr>
                <w:rPr>
                  <w:sz w:val="16"/>
                  <w:szCs w:val="16"/>
                </w:rPr>
                <w:tag w:val="_PLD_0fddec4e9b2a4b3aa0f9a08859cf498e"/>
                <w:id w:val="569707328"/>
                <w:lock w:val="sdtLocked"/>
              </w:sdtPr>
              <w:sdtEndPr>
                <w:rPr>
                  <w:sz w:val="16"/>
                  <w:szCs w:val="16"/>
                </w:rPr>
              </w:sdtEndPr>
              <w:sdtContent>
                <w:tc>
                  <w:tcPr>
                    <w:tcW w:w="558" w:type="pct"/>
                    <w:vMerge w:val="restart"/>
                    <w:shd w:val="clear" w:color="auto" w:fill="auto"/>
                    <w:vAlign w:val="center"/>
                  </w:tcPr>
                  <w:p>
                    <w:pPr>
                      <w:jc w:val="center"/>
                      <w:rPr>
                        <w:rFonts w:cs="Arial"/>
                        <w:sz w:val="16"/>
                        <w:szCs w:val="16"/>
                      </w:rPr>
                    </w:pPr>
                    <w:r>
                      <w:rPr>
                        <w:rFonts w:hint="eastAsia"/>
                        <w:sz w:val="16"/>
                        <w:szCs w:val="16"/>
                      </w:rPr>
                      <w:t>对</w:t>
                    </w:r>
                    <w:r>
                      <w:rPr>
                        <w:rFonts w:hint="eastAsia" w:cs="Arial"/>
                        <w:sz w:val="16"/>
                        <w:szCs w:val="16"/>
                      </w:rPr>
                      <w:t>联营企业投资的会计处理方法</w:t>
                    </w:r>
                  </w:p>
                </w:tc>
              </w:sdtContent>
            </w:sdt>
            <w:tc>
              <w:tcPr>
                <w:tcW w:w="810" w:type="pct"/>
                <w:shd w:val="clear" w:color="auto" w:fill="auto"/>
                <w:vAlign w:val="center"/>
              </w:tcPr>
              <w:p>
                <w:pPr>
                  <w:jc w:val="center"/>
                  <w:rPr>
                    <w:rFonts w:cs="Arial"/>
                    <w:sz w:val="16"/>
                    <w:szCs w:val="16"/>
                  </w:rPr>
                </w:pPr>
                <w:r>
                  <w:rPr>
                    <w:rFonts w:hint="eastAsia"/>
                    <w:sz w:val="16"/>
                    <w:szCs w:val="16"/>
                  </w:rPr>
                  <w:t>注册资本</w:t>
                </w:r>
              </w:p>
            </w:tc>
            <w:tc>
              <w:tcPr>
                <w:tcW w:w="417" w:type="pct"/>
                <w:shd w:val="clear" w:color="auto" w:fill="auto"/>
                <w:vAlign w:val="center"/>
              </w:tcPr>
              <w:p>
                <w:pPr>
                  <w:jc w:val="center"/>
                  <w:rPr>
                    <w:rFonts w:cs="Arial"/>
                    <w:sz w:val="16"/>
                    <w:szCs w:val="16"/>
                  </w:rPr>
                </w:pPr>
                <w:r>
                  <w:rPr>
                    <w:rFonts w:hint="eastAsia"/>
                    <w:sz w:val="16"/>
                    <w:szCs w:val="16"/>
                  </w:rPr>
                  <w:t>对本集团活动是否具有战略性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533" w:type="pct"/>
                <w:vMerge w:val="continue"/>
                <w:shd w:val="clear" w:color="auto" w:fill="auto"/>
                <w:vAlign w:val="center"/>
              </w:tcPr>
              <w:p>
                <w:pPr>
                  <w:rPr>
                    <w:rFonts w:cs="Arial"/>
                    <w:sz w:val="16"/>
                    <w:szCs w:val="16"/>
                  </w:rPr>
                </w:pPr>
              </w:p>
            </w:tc>
            <w:tc>
              <w:tcPr>
                <w:tcW w:w="600" w:type="pct"/>
                <w:vMerge w:val="continue"/>
                <w:shd w:val="clear" w:color="auto" w:fill="auto"/>
                <w:vAlign w:val="center"/>
              </w:tcPr>
              <w:p>
                <w:pPr>
                  <w:rPr>
                    <w:rFonts w:cs="Arial"/>
                    <w:sz w:val="16"/>
                    <w:szCs w:val="16"/>
                  </w:rPr>
                </w:pPr>
              </w:p>
            </w:tc>
            <w:tc>
              <w:tcPr>
                <w:tcW w:w="470" w:type="pct"/>
                <w:vMerge w:val="continue"/>
                <w:shd w:val="clear" w:color="auto" w:fill="auto"/>
                <w:vAlign w:val="center"/>
              </w:tcPr>
              <w:p>
                <w:pPr>
                  <w:rPr>
                    <w:rFonts w:cs="Arial"/>
                    <w:sz w:val="16"/>
                    <w:szCs w:val="16"/>
                  </w:rPr>
                </w:pPr>
              </w:p>
            </w:tc>
            <w:tc>
              <w:tcPr>
                <w:tcW w:w="669" w:type="pct"/>
                <w:vMerge w:val="continue"/>
                <w:shd w:val="clear" w:color="auto" w:fill="auto"/>
                <w:vAlign w:val="center"/>
              </w:tcPr>
              <w:p>
                <w:pPr>
                  <w:rPr>
                    <w:rFonts w:cs="Arial"/>
                    <w:sz w:val="16"/>
                    <w:szCs w:val="16"/>
                  </w:rPr>
                </w:pPr>
              </w:p>
            </w:tc>
            <w:sdt>
              <w:sdtPr>
                <w:rPr>
                  <w:sz w:val="16"/>
                  <w:szCs w:val="16"/>
                </w:rPr>
                <w:tag w:val="_PLD_42f14f52720a4c87819c9bd5211ded18"/>
                <w:id w:val="-411549549"/>
                <w:lock w:val="sdtLocked"/>
              </w:sdtPr>
              <w:sdtEndPr>
                <w:rPr>
                  <w:sz w:val="16"/>
                  <w:szCs w:val="16"/>
                </w:rPr>
              </w:sdtEndPr>
              <w:sdtContent>
                <w:tc>
                  <w:tcPr>
                    <w:tcW w:w="473" w:type="pct"/>
                    <w:shd w:val="clear" w:color="auto" w:fill="auto"/>
                    <w:vAlign w:val="center"/>
                  </w:tcPr>
                  <w:p>
                    <w:pPr>
                      <w:jc w:val="center"/>
                      <w:rPr>
                        <w:rFonts w:cs="Arial"/>
                        <w:sz w:val="16"/>
                        <w:szCs w:val="16"/>
                      </w:rPr>
                    </w:pPr>
                    <w:r>
                      <w:rPr>
                        <w:rFonts w:hint="eastAsia" w:cs="Arial"/>
                        <w:sz w:val="16"/>
                        <w:szCs w:val="16"/>
                      </w:rPr>
                      <w:t>直接</w:t>
                    </w:r>
                  </w:p>
                </w:tc>
              </w:sdtContent>
            </w:sdt>
            <w:sdt>
              <w:sdtPr>
                <w:rPr>
                  <w:sz w:val="16"/>
                  <w:szCs w:val="16"/>
                </w:rPr>
                <w:tag w:val="_PLD_e87318e11f6c4411aa17083e3a10cd90"/>
                <w:id w:val="-1544519605"/>
                <w:lock w:val="sdtLocked"/>
              </w:sdtPr>
              <w:sdtEndPr>
                <w:rPr>
                  <w:sz w:val="16"/>
                  <w:szCs w:val="16"/>
                </w:rPr>
              </w:sdtEndPr>
              <w:sdtContent>
                <w:tc>
                  <w:tcPr>
                    <w:tcW w:w="469" w:type="pct"/>
                    <w:shd w:val="clear" w:color="auto" w:fill="auto"/>
                    <w:vAlign w:val="center"/>
                  </w:tcPr>
                  <w:p>
                    <w:pPr>
                      <w:jc w:val="center"/>
                      <w:rPr>
                        <w:rFonts w:cs="Arial"/>
                        <w:sz w:val="16"/>
                        <w:szCs w:val="16"/>
                      </w:rPr>
                    </w:pPr>
                    <w:r>
                      <w:rPr>
                        <w:rFonts w:hint="eastAsia" w:cs="Arial"/>
                        <w:sz w:val="16"/>
                        <w:szCs w:val="16"/>
                      </w:rPr>
                      <w:t>间接</w:t>
                    </w:r>
                  </w:p>
                </w:tc>
              </w:sdtContent>
            </w:sdt>
            <w:tc>
              <w:tcPr>
                <w:tcW w:w="558" w:type="pct"/>
                <w:vMerge w:val="continue"/>
                <w:vAlign w:val="center"/>
              </w:tcPr>
              <w:p>
                <w:pPr>
                  <w:rPr>
                    <w:rFonts w:cs="Arial"/>
                    <w:sz w:val="16"/>
                    <w:szCs w:val="16"/>
                  </w:rPr>
                </w:pPr>
              </w:p>
            </w:tc>
            <w:tc>
              <w:tcPr>
                <w:tcW w:w="810" w:type="pct"/>
                <w:vAlign w:val="center"/>
              </w:tcPr>
              <w:p>
                <w:pPr>
                  <w:rPr>
                    <w:rFonts w:cs="Arial"/>
                    <w:sz w:val="16"/>
                    <w:szCs w:val="16"/>
                  </w:rPr>
                </w:pPr>
              </w:p>
            </w:tc>
            <w:tc>
              <w:tcPr>
                <w:tcW w:w="417" w:type="pct"/>
                <w:vAlign w:val="center"/>
              </w:tcPr>
              <w:p>
                <w:pPr>
                  <w:rPr>
                    <w:rFonts w:cs="Arial"/>
                    <w:sz w:val="16"/>
                    <w:szCs w:val="16"/>
                  </w:rPr>
                </w:pPr>
              </w:p>
            </w:tc>
          </w:tr>
          <w:sdt>
            <w:sdtPr>
              <w:rPr>
                <w:sz w:val="16"/>
                <w:szCs w:val="16"/>
              </w:rPr>
              <w:alias w:val="重要的合营企业或联营企业明细"/>
              <w:tag w:val="_GBC_a1baed559822472c8c78b05cadceb35a"/>
              <w:id w:val="1298344421"/>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pct"/>
                  </w:tcPr>
                  <w:p>
                    <w:pPr>
                      <w:pStyle w:val="114"/>
                      <w:rPr>
                        <w:sz w:val="16"/>
                        <w:szCs w:val="16"/>
                      </w:rPr>
                    </w:pPr>
                    <w:r>
                      <w:rPr>
                        <w:sz w:val="16"/>
                        <w:szCs w:val="16"/>
                      </w:rPr>
                      <w:t>扬子大桥公司</w:t>
                    </w:r>
                  </w:p>
                </w:tc>
                <w:tc>
                  <w:tcPr>
                    <w:tcW w:w="600" w:type="pct"/>
                  </w:tcPr>
                  <w:p>
                    <w:pPr>
                      <w:pStyle w:val="114"/>
                      <w:rPr>
                        <w:sz w:val="16"/>
                        <w:szCs w:val="16"/>
                      </w:rPr>
                    </w:pPr>
                    <w:r>
                      <w:rPr>
                        <w:sz w:val="16"/>
                        <w:szCs w:val="16"/>
                      </w:rPr>
                      <w:t>南京</w:t>
                    </w:r>
                  </w:p>
                </w:tc>
                <w:tc>
                  <w:tcPr>
                    <w:tcW w:w="470" w:type="pct"/>
                  </w:tcPr>
                  <w:p>
                    <w:pPr>
                      <w:pStyle w:val="114"/>
                      <w:rPr>
                        <w:sz w:val="16"/>
                        <w:szCs w:val="16"/>
                      </w:rPr>
                    </w:pPr>
                    <w:r>
                      <w:rPr>
                        <w:sz w:val="16"/>
                        <w:szCs w:val="16"/>
                      </w:rPr>
                      <w:t>南京</w:t>
                    </w:r>
                  </w:p>
                </w:tc>
                <w:tc>
                  <w:tcPr>
                    <w:tcW w:w="669" w:type="pct"/>
                  </w:tcPr>
                  <w:p>
                    <w:pPr>
                      <w:pStyle w:val="114"/>
                      <w:rPr>
                        <w:sz w:val="16"/>
                        <w:szCs w:val="16"/>
                      </w:rPr>
                    </w:pPr>
                    <w:r>
                      <w:rPr>
                        <w:sz w:val="16"/>
                        <w:szCs w:val="16"/>
                      </w:rPr>
                      <w:t>高速公路运营</w:t>
                    </w:r>
                  </w:p>
                </w:tc>
                <w:tc>
                  <w:tcPr>
                    <w:tcW w:w="473" w:type="pct"/>
                  </w:tcPr>
                  <w:p>
                    <w:pPr>
                      <w:jc w:val="right"/>
                      <w:rPr>
                        <w:sz w:val="16"/>
                        <w:szCs w:val="16"/>
                      </w:rPr>
                    </w:pPr>
                    <w:r>
                      <w:rPr>
                        <w:sz w:val="16"/>
                        <w:szCs w:val="16"/>
                      </w:rPr>
                      <w:t>26.66</w:t>
                    </w:r>
                  </w:p>
                </w:tc>
                <w:tc>
                  <w:tcPr>
                    <w:tcW w:w="469" w:type="pct"/>
                  </w:tcPr>
                  <w:p>
                    <w:pPr>
                      <w:jc w:val="right"/>
                      <w:rPr>
                        <w:sz w:val="16"/>
                        <w:szCs w:val="16"/>
                      </w:rPr>
                    </w:pPr>
                    <w:r>
                      <w:rPr>
                        <w:sz w:val="16"/>
                        <w:szCs w:val="16"/>
                      </w:rPr>
                      <w:t>-</w:t>
                    </w:r>
                  </w:p>
                </w:tc>
                <w:tc>
                  <w:tcPr>
                    <w:tcW w:w="558" w:type="pct"/>
                  </w:tcPr>
                  <w:p>
                    <w:pPr>
                      <w:pStyle w:val="114"/>
                      <w:rPr>
                        <w:sz w:val="16"/>
                        <w:szCs w:val="16"/>
                      </w:rPr>
                    </w:pPr>
                    <w:r>
                      <w:rPr>
                        <w:sz w:val="16"/>
                        <w:szCs w:val="16"/>
                      </w:rPr>
                      <w:t>权益法</w:t>
                    </w:r>
                  </w:p>
                </w:tc>
                <w:sdt>
                  <w:sdtPr>
                    <w:rPr>
                      <w:sz w:val="16"/>
                      <w:szCs w:val="16"/>
                    </w:rPr>
                    <w:alias w:val="注册资本"/>
                    <w:tag w:val="_GBC_8ebfe7a90e404f4dab506881a7757d48"/>
                    <w:id w:val="687334519"/>
                    <w:lock w:val="sdtLocked"/>
                  </w:sdtPr>
                  <w:sdtEndPr>
                    <w:rPr>
                      <w:sz w:val="16"/>
                      <w:szCs w:val="16"/>
                    </w:rPr>
                  </w:sdtEndPr>
                  <w:sdtContent>
                    <w:tc>
                      <w:tcPr>
                        <w:tcW w:w="810" w:type="pct"/>
                      </w:tcPr>
                      <w:p>
                        <w:pPr>
                          <w:pStyle w:val="114"/>
                          <w:rPr>
                            <w:sz w:val="16"/>
                            <w:szCs w:val="16"/>
                          </w:rPr>
                        </w:pPr>
                        <w:r>
                          <w:rPr>
                            <w:sz w:val="16"/>
                            <w:szCs w:val="16"/>
                          </w:rPr>
                          <w:t>213,724.80万</w:t>
                        </w:r>
                      </w:p>
                    </w:tc>
                  </w:sdtContent>
                </w:sdt>
                <w:sdt>
                  <w:sdtPr>
                    <w:rPr>
                      <w:sz w:val="16"/>
                      <w:szCs w:val="16"/>
                    </w:rPr>
                    <w:alias w:val="对本集团活动是否具有战略性"/>
                    <w:tag w:val="_GBC_56967bb5e377403e8956aa70c83433e9"/>
                    <w:id w:val="517512901"/>
                    <w:lock w:val="sdtLocked"/>
                  </w:sdtPr>
                  <w:sdtEndPr>
                    <w:rPr>
                      <w:sz w:val="16"/>
                      <w:szCs w:val="16"/>
                    </w:rPr>
                  </w:sdtEndPr>
                  <w:sdtContent>
                    <w:tc>
                      <w:tcPr>
                        <w:tcW w:w="417" w:type="pct"/>
                      </w:tcPr>
                      <w:p>
                        <w:pPr>
                          <w:pStyle w:val="114"/>
                          <w:rPr>
                            <w:sz w:val="16"/>
                            <w:szCs w:val="16"/>
                          </w:rPr>
                        </w:pPr>
                        <w:r>
                          <w:rPr>
                            <w:sz w:val="16"/>
                            <w:szCs w:val="16"/>
                          </w:rPr>
                          <w:t>是</w:t>
                        </w:r>
                      </w:p>
                    </w:tc>
                  </w:sdtContent>
                </w:sdt>
              </w:tr>
            </w:sdtContent>
          </w:sdt>
          <w:sdt>
            <w:sdtPr>
              <w:rPr>
                <w:sz w:val="16"/>
                <w:szCs w:val="16"/>
              </w:rPr>
              <w:alias w:val="重要的合营企业或联营企业明细"/>
              <w:tag w:val="_GBC_a1baed559822472c8c78b05cadceb35a"/>
              <w:id w:val="-1302999747"/>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pct"/>
                  </w:tcPr>
                  <w:p>
                    <w:pPr>
                      <w:pStyle w:val="114"/>
                      <w:rPr>
                        <w:sz w:val="16"/>
                        <w:szCs w:val="16"/>
                      </w:rPr>
                    </w:pPr>
                    <w:r>
                      <w:rPr>
                        <w:sz w:val="16"/>
                        <w:szCs w:val="16"/>
                      </w:rPr>
                      <w:t>苏州高速管理</w:t>
                    </w:r>
                  </w:p>
                </w:tc>
                <w:tc>
                  <w:tcPr>
                    <w:tcW w:w="600" w:type="pct"/>
                  </w:tcPr>
                  <w:p>
                    <w:pPr>
                      <w:pStyle w:val="114"/>
                      <w:rPr>
                        <w:sz w:val="16"/>
                        <w:szCs w:val="16"/>
                      </w:rPr>
                    </w:pPr>
                    <w:r>
                      <w:rPr>
                        <w:sz w:val="16"/>
                        <w:szCs w:val="16"/>
                      </w:rPr>
                      <w:t>苏州</w:t>
                    </w:r>
                  </w:p>
                </w:tc>
                <w:tc>
                  <w:tcPr>
                    <w:tcW w:w="470" w:type="pct"/>
                  </w:tcPr>
                  <w:p>
                    <w:pPr>
                      <w:pStyle w:val="114"/>
                      <w:rPr>
                        <w:sz w:val="16"/>
                        <w:szCs w:val="16"/>
                      </w:rPr>
                    </w:pPr>
                    <w:r>
                      <w:rPr>
                        <w:sz w:val="16"/>
                        <w:szCs w:val="16"/>
                      </w:rPr>
                      <w:t>苏州</w:t>
                    </w:r>
                  </w:p>
                </w:tc>
                <w:tc>
                  <w:tcPr>
                    <w:tcW w:w="669" w:type="pct"/>
                  </w:tcPr>
                  <w:p>
                    <w:pPr>
                      <w:pStyle w:val="114"/>
                      <w:rPr>
                        <w:sz w:val="16"/>
                        <w:szCs w:val="16"/>
                      </w:rPr>
                    </w:pPr>
                    <w:r>
                      <w:rPr>
                        <w:sz w:val="16"/>
                        <w:szCs w:val="16"/>
                      </w:rPr>
                      <w:t>高速公路运营</w:t>
                    </w:r>
                  </w:p>
                </w:tc>
                <w:tc>
                  <w:tcPr>
                    <w:tcW w:w="473" w:type="pct"/>
                  </w:tcPr>
                  <w:p>
                    <w:pPr>
                      <w:jc w:val="right"/>
                      <w:rPr>
                        <w:sz w:val="16"/>
                        <w:szCs w:val="16"/>
                      </w:rPr>
                    </w:pPr>
                    <w:r>
                      <w:rPr>
                        <w:sz w:val="16"/>
                        <w:szCs w:val="16"/>
                      </w:rPr>
                      <w:t>23.86</w:t>
                    </w:r>
                  </w:p>
                </w:tc>
                <w:tc>
                  <w:tcPr>
                    <w:tcW w:w="469" w:type="pct"/>
                  </w:tcPr>
                  <w:p>
                    <w:pPr>
                      <w:jc w:val="right"/>
                      <w:rPr>
                        <w:sz w:val="16"/>
                        <w:szCs w:val="16"/>
                      </w:rPr>
                    </w:pPr>
                    <w:r>
                      <w:rPr>
                        <w:sz w:val="16"/>
                        <w:szCs w:val="16"/>
                      </w:rPr>
                      <w:t>-</w:t>
                    </w:r>
                  </w:p>
                </w:tc>
                <w:tc>
                  <w:tcPr>
                    <w:tcW w:w="558" w:type="pct"/>
                  </w:tcPr>
                  <w:p>
                    <w:pPr>
                      <w:pStyle w:val="114"/>
                      <w:rPr>
                        <w:sz w:val="16"/>
                        <w:szCs w:val="16"/>
                      </w:rPr>
                    </w:pPr>
                    <w:r>
                      <w:rPr>
                        <w:sz w:val="16"/>
                        <w:szCs w:val="16"/>
                      </w:rPr>
                      <w:t>权益法</w:t>
                    </w:r>
                  </w:p>
                </w:tc>
                <w:sdt>
                  <w:sdtPr>
                    <w:rPr>
                      <w:sz w:val="16"/>
                      <w:szCs w:val="16"/>
                    </w:rPr>
                    <w:alias w:val="注册资本"/>
                    <w:tag w:val="_GBC_8ebfe7a90e404f4dab506881a7757d48"/>
                    <w:id w:val="-1847939334"/>
                    <w:lock w:val="sdtLocked"/>
                  </w:sdtPr>
                  <w:sdtEndPr>
                    <w:rPr>
                      <w:sz w:val="16"/>
                      <w:szCs w:val="16"/>
                    </w:rPr>
                  </w:sdtEndPr>
                  <w:sdtContent>
                    <w:tc>
                      <w:tcPr>
                        <w:tcW w:w="810" w:type="pct"/>
                      </w:tcPr>
                      <w:p>
                        <w:pPr>
                          <w:pStyle w:val="114"/>
                          <w:rPr>
                            <w:sz w:val="16"/>
                            <w:szCs w:val="16"/>
                          </w:rPr>
                        </w:pPr>
                        <w:r>
                          <w:rPr>
                            <w:sz w:val="16"/>
                            <w:szCs w:val="16"/>
                          </w:rPr>
                          <w:t>254,339.29万</w:t>
                        </w:r>
                      </w:p>
                    </w:tc>
                  </w:sdtContent>
                </w:sdt>
                <w:sdt>
                  <w:sdtPr>
                    <w:rPr>
                      <w:sz w:val="16"/>
                      <w:szCs w:val="16"/>
                    </w:rPr>
                    <w:alias w:val="对本集团活动是否具有战略性"/>
                    <w:tag w:val="_GBC_56967bb5e377403e8956aa70c83433e9"/>
                    <w:id w:val="516422667"/>
                    <w:lock w:val="sdtLocked"/>
                  </w:sdtPr>
                  <w:sdtEndPr>
                    <w:rPr>
                      <w:sz w:val="16"/>
                      <w:szCs w:val="16"/>
                    </w:rPr>
                  </w:sdtEndPr>
                  <w:sdtContent>
                    <w:tc>
                      <w:tcPr>
                        <w:tcW w:w="417" w:type="pct"/>
                      </w:tcPr>
                      <w:p>
                        <w:pPr>
                          <w:pStyle w:val="114"/>
                          <w:rPr>
                            <w:sz w:val="16"/>
                            <w:szCs w:val="16"/>
                          </w:rPr>
                        </w:pPr>
                        <w:r>
                          <w:rPr>
                            <w:sz w:val="16"/>
                            <w:szCs w:val="16"/>
                          </w:rPr>
                          <w:t>是</w:t>
                        </w:r>
                      </w:p>
                    </w:tc>
                  </w:sdtContent>
                </w:sdt>
              </w:tr>
            </w:sdtContent>
          </w:sdt>
          <w:sdt>
            <w:sdtPr>
              <w:rPr>
                <w:sz w:val="16"/>
                <w:szCs w:val="16"/>
              </w:rPr>
              <w:alias w:val="重要的合营企业或联营企业明细"/>
              <w:tag w:val="_GBC_a1baed559822472c8c78b05cadceb35a"/>
              <w:id w:val="113649097"/>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pct"/>
                  </w:tcPr>
                  <w:p>
                    <w:pPr>
                      <w:pStyle w:val="114"/>
                      <w:rPr>
                        <w:sz w:val="16"/>
                        <w:szCs w:val="16"/>
                      </w:rPr>
                    </w:pPr>
                    <w:r>
                      <w:rPr>
                        <w:sz w:val="16"/>
                        <w:szCs w:val="16"/>
                      </w:rPr>
                      <w:t>紫金信托</w:t>
                    </w:r>
                  </w:p>
                </w:tc>
                <w:tc>
                  <w:tcPr>
                    <w:tcW w:w="600" w:type="pct"/>
                  </w:tcPr>
                  <w:p>
                    <w:pPr>
                      <w:pStyle w:val="114"/>
                      <w:rPr>
                        <w:sz w:val="16"/>
                        <w:szCs w:val="16"/>
                      </w:rPr>
                    </w:pPr>
                    <w:r>
                      <w:rPr>
                        <w:sz w:val="16"/>
                        <w:szCs w:val="16"/>
                      </w:rPr>
                      <w:t>南京</w:t>
                    </w:r>
                  </w:p>
                </w:tc>
                <w:tc>
                  <w:tcPr>
                    <w:tcW w:w="470" w:type="pct"/>
                  </w:tcPr>
                  <w:p>
                    <w:pPr>
                      <w:pStyle w:val="114"/>
                      <w:rPr>
                        <w:sz w:val="16"/>
                        <w:szCs w:val="16"/>
                      </w:rPr>
                    </w:pPr>
                    <w:r>
                      <w:rPr>
                        <w:sz w:val="16"/>
                        <w:szCs w:val="16"/>
                      </w:rPr>
                      <w:t>南京</w:t>
                    </w:r>
                  </w:p>
                </w:tc>
                <w:tc>
                  <w:tcPr>
                    <w:tcW w:w="669" w:type="pct"/>
                  </w:tcPr>
                  <w:p>
                    <w:pPr>
                      <w:pStyle w:val="114"/>
                      <w:rPr>
                        <w:sz w:val="16"/>
                        <w:szCs w:val="16"/>
                      </w:rPr>
                    </w:pPr>
                    <w:r>
                      <w:rPr>
                        <w:sz w:val="16"/>
                        <w:szCs w:val="16"/>
                      </w:rPr>
                      <w:t>信托</w:t>
                    </w:r>
                  </w:p>
                </w:tc>
                <w:tc>
                  <w:tcPr>
                    <w:tcW w:w="473" w:type="pct"/>
                  </w:tcPr>
                  <w:p>
                    <w:pPr>
                      <w:jc w:val="right"/>
                      <w:rPr>
                        <w:sz w:val="16"/>
                        <w:szCs w:val="16"/>
                      </w:rPr>
                    </w:pPr>
                    <w:r>
                      <w:rPr>
                        <w:sz w:val="16"/>
                        <w:szCs w:val="16"/>
                      </w:rPr>
                      <w:t>20.00</w:t>
                    </w:r>
                  </w:p>
                </w:tc>
                <w:tc>
                  <w:tcPr>
                    <w:tcW w:w="469" w:type="pct"/>
                  </w:tcPr>
                  <w:p>
                    <w:pPr>
                      <w:jc w:val="right"/>
                      <w:rPr>
                        <w:sz w:val="16"/>
                        <w:szCs w:val="16"/>
                      </w:rPr>
                    </w:pPr>
                    <w:r>
                      <w:rPr>
                        <w:sz w:val="16"/>
                        <w:szCs w:val="16"/>
                      </w:rPr>
                      <w:t>-</w:t>
                    </w:r>
                  </w:p>
                </w:tc>
                <w:tc>
                  <w:tcPr>
                    <w:tcW w:w="558" w:type="pct"/>
                  </w:tcPr>
                  <w:p>
                    <w:pPr>
                      <w:pStyle w:val="114"/>
                      <w:rPr>
                        <w:sz w:val="16"/>
                        <w:szCs w:val="16"/>
                      </w:rPr>
                    </w:pPr>
                    <w:r>
                      <w:rPr>
                        <w:sz w:val="16"/>
                        <w:szCs w:val="16"/>
                      </w:rPr>
                      <w:t>权益法</w:t>
                    </w:r>
                  </w:p>
                </w:tc>
                <w:sdt>
                  <w:sdtPr>
                    <w:rPr>
                      <w:sz w:val="16"/>
                      <w:szCs w:val="16"/>
                    </w:rPr>
                    <w:alias w:val="注册资本"/>
                    <w:tag w:val="_GBC_8ebfe7a90e404f4dab506881a7757d48"/>
                    <w:id w:val="208772165"/>
                    <w:lock w:val="sdtLocked"/>
                  </w:sdtPr>
                  <w:sdtEndPr>
                    <w:rPr>
                      <w:sz w:val="16"/>
                      <w:szCs w:val="16"/>
                    </w:rPr>
                  </w:sdtEndPr>
                  <w:sdtContent>
                    <w:tc>
                      <w:tcPr>
                        <w:tcW w:w="810" w:type="pct"/>
                      </w:tcPr>
                      <w:p>
                        <w:pPr>
                          <w:pStyle w:val="114"/>
                          <w:rPr>
                            <w:sz w:val="16"/>
                            <w:szCs w:val="16"/>
                          </w:rPr>
                        </w:pPr>
                        <w:r>
                          <w:rPr>
                            <w:sz w:val="16"/>
                            <w:szCs w:val="16"/>
                          </w:rPr>
                          <w:t>327,107.55万</w:t>
                        </w:r>
                      </w:p>
                    </w:tc>
                  </w:sdtContent>
                </w:sdt>
                <w:sdt>
                  <w:sdtPr>
                    <w:rPr>
                      <w:sz w:val="16"/>
                      <w:szCs w:val="16"/>
                    </w:rPr>
                    <w:alias w:val="对本集团活动是否具有战略性"/>
                    <w:tag w:val="_GBC_56967bb5e377403e8956aa70c83433e9"/>
                    <w:id w:val="1690333845"/>
                    <w:lock w:val="sdtLocked"/>
                  </w:sdtPr>
                  <w:sdtEndPr>
                    <w:rPr>
                      <w:sz w:val="16"/>
                      <w:szCs w:val="16"/>
                    </w:rPr>
                  </w:sdtEndPr>
                  <w:sdtContent>
                    <w:tc>
                      <w:tcPr>
                        <w:tcW w:w="417" w:type="pct"/>
                      </w:tcPr>
                      <w:p>
                        <w:pPr>
                          <w:pStyle w:val="114"/>
                          <w:rPr>
                            <w:sz w:val="16"/>
                            <w:szCs w:val="16"/>
                          </w:rPr>
                        </w:pPr>
                        <w:r>
                          <w:rPr>
                            <w:sz w:val="16"/>
                            <w:szCs w:val="16"/>
                          </w:rPr>
                          <w:t>是</w:t>
                        </w:r>
                      </w:p>
                    </w:tc>
                  </w:sdtContent>
                </w:sdt>
              </w:tr>
            </w:sdtContent>
          </w:sdt>
          <w:sdt>
            <w:sdtPr>
              <w:rPr>
                <w:sz w:val="16"/>
                <w:szCs w:val="16"/>
              </w:rPr>
              <w:alias w:val="重要的合营企业或联营企业明细"/>
              <w:tag w:val="_GBC_a1baed559822472c8c78b05cadceb35a"/>
              <w:id w:val="-833673931"/>
              <w:lock w:val="sdtLocked"/>
            </w:sdtPr>
            <w:sdtEndPr>
              <w:rPr>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pct"/>
                  </w:tcPr>
                  <w:p>
                    <w:pPr>
                      <w:pStyle w:val="114"/>
                      <w:rPr>
                        <w:sz w:val="16"/>
                        <w:szCs w:val="16"/>
                      </w:rPr>
                    </w:pPr>
                    <w:r>
                      <w:rPr>
                        <w:sz w:val="16"/>
                        <w:szCs w:val="16"/>
                      </w:rPr>
                      <w:t>沿江公司</w:t>
                    </w:r>
                  </w:p>
                </w:tc>
                <w:tc>
                  <w:tcPr>
                    <w:tcW w:w="600" w:type="pct"/>
                  </w:tcPr>
                  <w:p>
                    <w:pPr>
                      <w:pStyle w:val="114"/>
                      <w:rPr>
                        <w:sz w:val="16"/>
                        <w:szCs w:val="16"/>
                      </w:rPr>
                    </w:pPr>
                    <w:r>
                      <w:rPr>
                        <w:sz w:val="16"/>
                        <w:szCs w:val="16"/>
                      </w:rPr>
                      <w:t>南京</w:t>
                    </w:r>
                  </w:p>
                </w:tc>
                <w:tc>
                  <w:tcPr>
                    <w:tcW w:w="470" w:type="pct"/>
                  </w:tcPr>
                  <w:p>
                    <w:pPr>
                      <w:pStyle w:val="114"/>
                      <w:rPr>
                        <w:sz w:val="16"/>
                        <w:szCs w:val="16"/>
                      </w:rPr>
                    </w:pPr>
                    <w:r>
                      <w:rPr>
                        <w:sz w:val="16"/>
                        <w:szCs w:val="16"/>
                      </w:rPr>
                      <w:t>南京</w:t>
                    </w:r>
                  </w:p>
                </w:tc>
                <w:tc>
                  <w:tcPr>
                    <w:tcW w:w="669" w:type="pct"/>
                  </w:tcPr>
                  <w:p>
                    <w:pPr>
                      <w:pStyle w:val="114"/>
                      <w:rPr>
                        <w:sz w:val="16"/>
                        <w:szCs w:val="16"/>
                      </w:rPr>
                    </w:pPr>
                    <w:r>
                      <w:rPr>
                        <w:sz w:val="16"/>
                        <w:szCs w:val="16"/>
                      </w:rPr>
                      <w:t>高速公路运营</w:t>
                    </w:r>
                  </w:p>
                </w:tc>
                <w:tc>
                  <w:tcPr>
                    <w:tcW w:w="473" w:type="pct"/>
                  </w:tcPr>
                  <w:p>
                    <w:pPr>
                      <w:jc w:val="right"/>
                      <w:rPr>
                        <w:sz w:val="16"/>
                        <w:szCs w:val="16"/>
                      </w:rPr>
                    </w:pPr>
                    <w:r>
                      <w:rPr>
                        <w:sz w:val="16"/>
                        <w:szCs w:val="16"/>
                      </w:rPr>
                      <w:t>-</w:t>
                    </w:r>
                  </w:p>
                </w:tc>
                <w:tc>
                  <w:tcPr>
                    <w:tcW w:w="469" w:type="pct"/>
                  </w:tcPr>
                  <w:p>
                    <w:pPr>
                      <w:jc w:val="right"/>
                      <w:rPr>
                        <w:sz w:val="16"/>
                        <w:szCs w:val="16"/>
                      </w:rPr>
                    </w:pPr>
                    <w:r>
                      <w:rPr>
                        <w:sz w:val="16"/>
                        <w:szCs w:val="16"/>
                      </w:rPr>
                      <w:t>25.15</w:t>
                    </w:r>
                  </w:p>
                </w:tc>
                <w:tc>
                  <w:tcPr>
                    <w:tcW w:w="558" w:type="pct"/>
                  </w:tcPr>
                  <w:p>
                    <w:pPr>
                      <w:pStyle w:val="114"/>
                      <w:rPr>
                        <w:sz w:val="16"/>
                        <w:szCs w:val="16"/>
                      </w:rPr>
                    </w:pPr>
                    <w:r>
                      <w:rPr>
                        <w:sz w:val="16"/>
                        <w:szCs w:val="16"/>
                      </w:rPr>
                      <w:t>权益法</w:t>
                    </w:r>
                  </w:p>
                </w:tc>
                <w:sdt>
                  <w:sdtPr>
                    <w:rPr>
                      <w:sz w:val="16"/>
                      <w:szCs w:val="16"/>
                    </w:rPr>
                    <w:alias w:val="注册资本"/>
                    <w:tag w:val="_GBC_8ebfe7a90e404f4dab506881a7757d48"/>
                    <w:id w:val="-844162249"/>
                    <w:lock w:val="sdtLocked"/>
                  </w:sdtPr>
                  <w:sdtEndPr>
                    <w:rPr>
                      <w:sz w:val="16"/>
                      <w:szCs w:val="16"/>
                    </w:rPr>
                  </w:sdtEndPr>
                  <w:sdtContent>
                    <w:tc>
                      <w:tcPr>
                        <w:tcW w:w="810" w:type="pct"/>
                      </w:tcPr>
                      <w:p>
                        <w:pPr>
                          <w:pStyle w:val="114"/>
                          <w:rPr>
                            <w:sz w:val="16"/>
                            <w:szCs w:val="16"/>
                          </w:rPr>
                        </w:pPr>
                        <w:r>
                          <w:rPr>
                            <w:sz w:val="16"/>
                            <w:szCs w:val="16"/>
                          </w:rPr>
                          <w:t>397,645.34万</w:t>
                        </w:r>
                      </w:p>
                    </w:tc>
                  </w:sdtContent>
                </w:sdt>
                <w:sdt>
                  <w:sdtPr>
                    <w:rPr>
                      <w:sz w:val="16"/>
                      <w:szCs w:val="16"/>
                    </w:rPr>
                    <w:alias w:val="对本集团活动是否具有战略性"/>
                    <w:tag w:val="_GBC_56967bb5e377403e8956aa70c83433e9"/>
                    <w:id w:val="1238060305"/>
                    <w:lock w:val="sdtLocked"/>
                  </w:sdtPr>
                  <w:sdtEndPr>
                    <w:rPr>
                      <w:sz w:val="16"/>
                      <w:szCs w:val="16"/>
                    </w:rPr>
                  </w:sdtEndPr>
                  <w:sdtContent>
                    <w:tc>
                      <w:tcPr>
                        <w:tcW w:w="417" w:type="pct"/>
                      </w:tcPr>
                      <w:p>
                        <w:pPr>
                          <w:pStyle w:val="114"/>
                          <w:rPr>
                            <w:sz w:val="16"/>
                            <w:szCs w:val="16"/>
                          </w:rPr>
                        </w:pPr>
                        <w:r>
                          <w:rPr>
                            <w:sz w:val="16"/>
                            <w:szCs w:val="16"/>
                          </w:rPr>
                          <w:t>是</w:t>
                        </w:r>
                      </w:p>
                    </w:tc>
                  </w:sdtContent>
                </w:sdt>
              </w:tr>
            </w:sdtContent>
          </w:sdt>
        </w:tbl>
        <w:p>
          <w:pPr>
            <w:rPr>
              <w:rFonts w:cs="Arial"/>
            </w:rPr>
          </w:pPr>
          <w:r>
            <w:rPr>
              <w:rFonts w:hint="eastAsia" w:cs="Arial"/>
            </w:rPr>
            <w:t>在合营企业或联营企业的持股比例不同于表决权比例的说明：</w:t>
          </w:r>
        </w:p>
        <w:p>
          <w:pPr>
            <w:rPr>
              <w:rFonts w:cs="Arial"/>
            </w:rPr>
          </w:pPr>
          <w:sdt>
            <w:sdtPr>
              <w:rPr>
                <w:rFonts w:cs="Arial"/>
              </w:rPr>
              <w:alias w:val="在合营企业或联营企业的持股比例不同于表决权比例的说明"/>
              <w:tag w:val="_GBC_b18385c11aff4424b360bd0cb4f81376"/>
              <w:id w:val="-1134710137"/>
              <w:lock w:val="sdtLocked"/>
              <w:placeholder>
                <w:docPart w:val="GBC22222222222222222222222222222"/>
              </w:placeholder>
            </w:sdtPr>
            <w:sdtEndPr>
              <w:rPr>
                <w:rFonts w:cs="Arial"/>
              </w:rPr>
            </w:sdtEndPr>
            <w:sdtContent>
              <w:r>
                <w:rPr>
                  <w:rFonts w:hint="eastAsia" w:cs="Arial"/>
                </w:rPr>
                <w:t>无</w:t>
              </w:r>
            </w:sdtContent>
          </w:sdt>
        </w:p>
        <w:p>
          <w:pPr>
            <w:rPr>
              <w:rFonts w:cs="Arial"/>
            </w:rPr>
          </w:pPr>
        </w:p>
        <w:p>
          <w:pPr>
            <w:rPr>
              <w:rFonts w:cs="Arial"/>
            </w:rPr>
          </w:pPr>
          <w:r>
            <w:rPr>
              <w:rFonts w:hint="eastAsia" w:cs="Arial"/>
            </w:rPr>
            <w:t>持有</w:t>
          </w:r>
          <w:r>
            <w:rPr>
              <w:rFonts w:cs="Arial"/>
            </w:rPr>
            <w:t>20%以下表决权但具有重大影响，或者持有20%或以上表决权但不具有重大影响的依据：</w:t>
          </w:r>
        </w:p>
        <w:p>
          <w:pPr>
            <w:rPr>
              <w:rFonts w:cs="Arial"/>
            </w:rPr>
          </w:pPr>
          <w:sdt>
            <w:sdtPr>
              <w:rPr>
                <w:rFonts w:cs="Arial"/>
              </w:rPr>
              <w:alias w:val="持有20%以下表决权但具有重大影响，或者持有20%或以上表决权但不具有重大影响的依据"/>
              <w:tag w:val="_GBC_08a71a8c491f4c758da0748f7570fb28"/>
              <w:id w:val="1319460485"/>
              <w:lock w:val="sdtLocked"/>
              <w:placeholder>
                <w:docPart w:val="GBC22222222222222222222222222222"/>
              </w:placeholder>
            </w:sdtPr>
            <w:sdtEndPr>
              <w:rPr>
                <w:rFonts w:cs="Arial"/>
              </w:rPr>
            </w:sdtEndPr>
            <w:sdtContent>
              <w:r>
                <w:rPr>
                  <w:rFonts w:hint="eastAsia" w:cs="Arial"/>
                </w:rPr>
                <w:t>无</w:t>
              </w:r>
            </w:sdtContent>
          </w:sdt>
        </w:p>
        <w:p>
          <w:pPr>
            <w:rPr>
              <w:rFonts w:cstheme="minorBidi"/>
            </w:rPr>
          </w:pPr>
        </w:p>
      </w:sdtContent>
    </w:sdt>
    <w:p>
      <w:pPr>
        <w:pStyle w:val="118"/>
        <w:numPr>
          <w:ilvl w:val="3"/>
          <w:numId w:val="89"/>
        </w:numPr>
        <w:tabs>
          <w:tab w:val="left" w:pos="630"/>
        </w:tabs>
        <w:rPr>
          <w:rFonts w:ascii="宋体" w:hAnsi="宋体" w:cs="Arial"/>
          <w:szCs w:val="21"/>
        </w:rPr>
      </w:pPr>
      <w:r>
        <w:rPr>
          <w:rFonts w:hint="eastAsia" w:ascii="宋体" w:hAnsi="宋体" w:cs="Arial"/>
          <w:szCs w:val="21"/>
        </w:rPr>
        <w:t>重要合营企业的主要财务信息</w:t>
      </w:r>
    </w:p>
    <w:p>
      <w:pPr>
        <w:rPr>
          <w:rFonts w:cstheme="minorBidi"/>
        </w:rPr>
      </w:pPr>
      <w:sdt>
        <w:sdtPr>
          <w:rPr>
            <w:rFonts w:hint="eastAsia"/>
            <w:b/>
          </w:rPr>
          <w:alias w:val="是否适用：重要合营企业的主要财务信息[双击切换]"/>
          <w:tag w:val="_GBC_6241cde567c342139ae6186afeea9fb4"/>
          <w:id w:val="800036814"/>
          <w:lock w:val="sdtLocked"/>
          <w:placeholder>
            <w:docPart w:val="GBC22222222222222222222222222222"/>
          </w:placeholder>
        </w:sdtPr>
        <w:sdtEndPr>
          <w:rPr>
            <w:rFonts w:hint="eastAsia"/>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pPr>
        <w:rPr>
          <w:rFonts w:cstheme="minorBidi"/>
        </w:rPr>
      </w:pPr>
    </w:p>
    <w:p>
      <w:pPr>
        <w:pStyle w:val="118"/>
        <w:numPr>
          <w:ilvl w:val="3"/>
          <w:numId w:val="89"/>
        </w:numPr>
        <w:tabs>
          <w:tab w:val="left" w:pos="630"/>
        </w:tabs>
        <w:rPr>
          <w:rFonts w:ascii="宋体" w:hAnsi="宋体" w:cs="Arial"/>
          <w:szCs w:val="21"/>
        </w:rPr>
      </w:pPr>
      <w:r>
        <w:rPr>
          <w:rFonts w:hint="eastAsia" w:ascii="宋体" w:hAnsi="宋体" w:cs="Arial"/>
          <w:szCs w:val="21"/>
        </w:rPr>
        <w:t>重要联营企业的主要财务信息</w:t>
      </w:r>
    </w:p>
    <w:p>
      <w:pPr>
        <w:pStyle w:val="114"/>
      </w:pPr>
      <w:sdt>
        <w:sdtPr>
          <w:rPr>
            <w:rFonts w:hint="eastAsia"/>
            <w:b/>
          </w:rPr>
          <w:alias w:val="是否适用：重要联营企业的主要财务信息[双击切换]"/>
          <w:tag w:val="_GBC_e304b69adb6f449495c3916754024763"/>
          <w:id w:val="631368234"/>
          <w:lock w:val="sdtContentLocked"/>
          <w:placeholder>
            <w:docPart w:val="GBC22222222222222222222222222222"/>
          </w:placeholder>
        </w:sdtPr>
        <w:sdtEndPr>
          <w:rPr>
            <w:rFonts w:hint="eastAsia"/>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pPr>
        <w:jc w:val="right"/>
      </w:pPr>
      <w:r>
        <w:rPr>
          <w:rFonts w:hint="eastAsia"/>
        </w:rPr>
        <w:t>单位：</w:t>
      </w:r>
      <w:sdt>
        <w:sdtPr>
          <w:rPr>
            <w:rFonts w:hint="eastAsia"/>
          </w:rPr>
          <w:alias w:val="单位：财务附注：重要联营企业的主要财务信息"/>
          <w:tag w:val="_GBC_0306b30be35040cd86d2b964142011d4"/>
          <w:id w:val="-1373846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407617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sdt>
      <w:sdtPr>
        <w:rPr>
          <w:sz w:val="12"/>
          <w:szCs w:val="12"/>
        </w:rPr>
        <w:alias w:val="模块:重要联营企业的主要财务信息"/>
        <w:tag w:val="_GBC_ac3eed998bbd4658ab651a88daefefb1"/>
        <w:id w:val="2095428728"/>
        <w:lock w:val="sdtLocked"/>
        <w:placeholder>
          <w:docPart w:val="GBC22222222222222222222222222222"/>
        </w:placeholder>
      </w:sdtPr>
      <w:sdtEndPr>
        <w:rPr>
          <w:sz w:val="21"/>
          <w:szCs w:val="21"/>
        </w:rPr>
      </w:sdtEndPr>
      <w:sdtContent>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319"/>
            <w:gridCol w:w="1097"/>
            <w:gridCol w:w="1097"/>
            <w:gridCol w:w="1098"/>
            <w:gridCol w:w="1098"/>
            <w:gridCol w:w="1098"/>
            <w:gridCol w:w="1098"/>
            <w:gridCol w:w="1046"/>
            <w:gridCol w:w="109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319" w:type="pct"/>
                <w:vMerge w:val="restart"/>
                <w:tcBorders>
                  <w:top w:val="single" w:color="auto" w:sz="4" w:space="0"/>
                  <w:left w:val="single" w:color="auto" w:sz="4" w:space="0"/>
                  <w:bottom w:val="single" w:color="auto" w:sz="6" w:space="0"/>
                  <w:right w:val="single" w:color="auto" w:sz="6" w:space="0"/>
                </w:tcBorders>
                <w:shd w:val="clear" w:color="auto" w:fill="auto"/>
              </w:tcPr>
              <w:p>
                <w:pPr>
                  <w:jc w:val="center"/>
                  <w:rPr>
                    <w:rFonts w:cs="Arial"/>
                    <w:sz w:val="12"/>
                    <w:szCs w:val="12"/>
                  </w:rPr>
                </w:pPr>
              </w:p>
            </w:tc>
            <w:sdt>
              <w:sdtPr>
                <w:rPr>
                  <w:rFonts w:hint="eastAsia" w:cs="Arial"/>
                  <w:sz w:val="12"/>
                  <w:szCs w:val="12"/>
                </w:rPr>
                <w:alias w:val="重要联营企业的主要财务信息-发生期间"/>
                <w:tag w:val="_GBC_3985273c74d84e5d9e0004348ff54fc3"/>
                <w:id w:val="-1385557062"/>
                <w:lock w:val="sdtLocked"/>
              </w:sdtPr>
              <w:sdtEndPr>
                <w:rPr>
                  <w:rFonts w:hint="eastAsia" w:cs="Arial"/>
                  <w:sz w:val="12"/>
                  <w:szCs w:val="12"/>
                </w:rPr>
              </w:sdtEndPr>
              <w:sdtContent>
                <w:tc>
                  <w:tcPr>
                    <w:tcW w:w="2286" w:type="pct"/>
                    <w:gridSpan w:val="4"/>
                    <w:tcBorders>
                      <w:top w:val="single" w:color="auto" w:sz="4" w:space="0"/>
                      <w:left w:val="single" w:color="auto" w:sz="6" w:space="0"/>
                      <w:bottom w:val="single" w:color="auto" w:sz="6" w:space="0"/>
                      <w:right w:val="single" w:color="auto" w:sz="6" w:space="0"/>
                    </w:tcBorders>
                    <w:shd w:val="clear" w:color="auto" w:fill="auto"/>
                    <w:vAlign w:val="center"/>
                  </w:tcPr>
                  <w:p>
                    <w:pPr>
                      <w:jc w:val="center"/>
                      <w:rPr>
                        <w:rFonts w:cs="Arial"/>
                        <w:sz w:val="12"/>
                        <w:szCs w:val="12"/>
                      </w:rPr>
                    </w:pPr>
                    <w:r>
                      <w:rPr>
                        <w:rFonts w:hint="eastAsia" w:cs="Arial"/>
                        <w:sz w:val="12"/>
                        <w:szCs w:val="12"/>
                      </w:rPr>
                      <w:t>期末余额</w:t>
                    </w:r>
                    <w:r>
                      <w:rPr>
                        <w:rFonts w:cs="Arial"/>
                        <w:sz w:val="12"/>
                        <w:szCs w:val="12"/>
                      </w:rPr>
                      <w:t xml:space="preserve">/ </w:t>
                    </w:r>
                    <w:r>
                      <w:rPr>
                        <w:rFonts w:hint="eastAsia" w:cs="Arial"/>
                        <w:sz w:val="12"/>
                        <w:szCs w:val="12"/>
                      </w:rPr>
                      <w:t>本期发生额</w:t>
                    </w:r>
                  </w:p>
                </w:tc>
              </w:sdtContent>
            </w:sdt>
            <w:sdt>
              <w:sdtPr>
                <w:rPr>
                  <w:rFonts w:hint="eastAsia" w:cs="Arial"/>
                  <w:sz w:val="12"/>
                  <w:szCs w:val="12"/>
                </w:rPr>
                <w:alias w:val="重要联营企业的主要财务信息-发生期间"/>
                <w:tag w:val="_GBC_c59f213bf9cc43468db35ae8e45286d0"/>
                <w:id w:val="2107190"/>
                <w:lock w:val="sdtLocked"/>
              </w:sdtPr>
              <w:sdtEndPr>
                <w:rPr>
                  <w:rFonts w:hint="eastAsia" w:cs="Arial"/>
                  <w:sz w:val="12"/>
                  <w:szCs w:val="12"/>
                </w:rPr>
              </w:sdtEndPr>
              <w:sdtContent>
                <w:tc>
                  <w:tcPr>
                    <w:tcW w:w="2396" w:type="pct"/>
                    <w:gridSpan w:val="4"/>
                    <w:tcBorders>
                      <w:top w:val="single" w:color="auto" w:sz="4" w:space="0"/>
                      <w:left w:val="single" w:color="auto" w:sz="6" w:space="0"/>
                      <w:bottom w:val="single" w:color="auto" w:sz="6" w:space="0"/>
                      <w:right w:val="single" w:color="auto" w:sz="6" w:space="0"/>
                    </w:tcBorders>
                    <w:shd w:val="clear" w:color="auto" w:fill="auto"/>
                    <w:vAlign w:val="center"/>
                  </w:tcPr>
                  <w:p>
                    <w:pPr>
                      <w:jc w:val="center"/>
                      <w:rPr>
                        <w:rFonts w:cs="Arial"/>
                        <w:sz w:val="12"/>
                        <w:szCs w:val="12"/>
                      </w:rPr>
                    </w:pPr>
                    <w:r>
                      <w:rPr>
                        <w:rFonts w:hint="eastAsia" w:cs="Arial"/>
                        <w:sz w:val="12"/>
                        <w:szCs w:val="12"/>
                      </w:rPr>
                      <w:t>期初余额</w:t>
                    </w:r>
                    <w:r>
                      <w:rPr>
                        <w:rFonts w:cs="Arial"/>
                        <w:sz w:val="12"/>
                        <w:szCs w:val="12"/>
                      </w:rPr>
                      <w:t xml:space="preserve">/ </w:t>
                    </w:r>
                    <w:r>
                      <w:rPr>
                        <w:rFonts w:hint="eastAsia" w:cs="Arial"/>
                        <w:sz w:val="12"/>
                        <w:szCs w:val="12"/>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319" w:type="pct"/>
                <w:vMerge w:val="continue"/>
                <w:tcBorders>
                  <w:top w:val="single" w:color="auto" w:sz="4" w:space="0"/>
                  <w:left w:val="single" w:color="auto" w:sz="4" w:space="0"/>
                  <w:bottom w:val="single" w:color="auto" w:sz="6" w:space="0"/>
                  <w:right w:val="single" w:color="auto" w:sz="6" w:space="0"/>
                </w:tcBorders>
                <w:shd w:val="clear" w:color="auto" w:fill="auto"/>
                <w:vAlign w:val="center"/>
              </w:tcPr>
              <w:p>
                <w:pPr>
                  <w:rPr>
                    <w:rFonts w:cs="Arial"/>
                    <w:sz w:val="12"/>
                    <w:szCs w:val="12"/>
                  </w:rPr>
                </w:pPr>
              </w:p>
            </w:tc>
            <w:sdt>
              <w:sdtPr>
                <w:rPr>
                  <w:rFonts w:hint="eastAsia"/>
                  <w:sz w:val="12"/>
                  <w:szCs w:val="12"/>
                </w:rPr>
                <w:alias w:val="重要联营企业的主要财务信息明细-企业名称"/>
                <w:tag w:val="_GBC_0cae03adb6fc417da51f1e06cc077a6b"/>
                <w:id w:val="-1780944985"/>
                <w:lock w:val="sdtLocked"/>
              </w:sdtPr>
              <w:sdtEndPr>
                <w:rPr>
                  <w:rFonts w:hint="eastAsia"/>
                  <w:sz w:val="12"/>
                  <w:szCs w:val="12"/>
                </w:rPr>
              </w:sdtEndPr>
              <w:sdtContent>
                <w:tc>
                  <w:tcPr>
                    <w:tcW w:w="468" w:type="pct"/>
                    <w:tcBorders>
                      <w:top w:val="single" w:color="auto" w:sz="6" w:space="0"/>
                      <w:left w:val="single" w:color="auto" w:sz="6" w:space="0"/>
                      <w:right w:val="single" w:color="auto" w:sz="6" w:space="0"/>
                    </w:tcBorders>
                    <w:shd w:val="clear" w:color="auto" w:fill="auto"/>
                  </w:tcPr>
                  <w:p>
                    <w:pPr>
                      <w:jc w:val="center"/>
                      <w:rPr>
                        <w:sz w:val="12"/>
                        <w:szCs w:val="12"/>
                      </w:rPr>
                    </w:pPr>
                    <w:r>
                      <w:rPr>
                        <w:rFonts w:hint="eastAsia"/>
                        <w:sz w:val="12"/>
                        <w:szCs w:val="12"/>
                      </w:rPr>
                      <w:t>扬子大桥公司</w:t>
                    </w:r>
                  </w:p>
                </w:tc>
              </w:sdtContent>
            </w:sdt>
            <w:sdt>
              <w:sdtPr>
                <w:rPr>
                  <w:rFonts w:hint="eastAsia"/>
                  <w:sz w:val="12"/>
                  <w:szCs w:val="12"/>
                </w:rPr>
                <w:alias w:val="重要联营企业的主要财务信息明细-企业名称"/>
                <w:tag w:val="_GBC_0cae03adb6fc417da51f1e06cc077a6b"/>
                <w:id w:val="1035625942"/>
                <w:lock w:val="sdtLocked"/>
              </w:sdtPr>
              <w:sdtEndPr>
                <w:rPr>
                  <w:rFonts w:hint="eastAsia"/>
                  <w:sz w:val="12"/>
                  <w:szCs w:val="12"/>
                </w:rPr>
              </w:sdtEndPr>
              <w:sdtContent>
                <w:tc>
                  <w:tcPr>
                    <w:tcW w:w="606" w:type="pct"/>
                    <w:tcBorders>
                      <w:top w:val="single" w:color="auto" w:sz="6" w:space="0"/>
                      <w:left w:val="single" w:color="auto" w:sz="6" w:space="0"/>
                      <w:right w:val="single" w:color="auto" w:sz="6" w:space="0"/>
                    </w:tcBorders>
                    <w:shd w:val="clear" w:color="auto" w:fill="auto"/>
                  </w:tcPr>
                  <w:p>
                    <w:pPr>
                      <w:jc w:val="center"/>
                      <w:rPr>
                        <w:sz w:val="12"/>
                        <w:szCs w:val="12"/>
                      </w:rPr>
                    </w:pPr>
                    <w:r>
                      <w:rPr>
                        <w:rFonts w:hint="eastAsia"/>
                        <w:sz w:val="12"/>
                        <w:szCs w:val="12"/>
                      </w:rPr>
                      <w:t>苏州高速管理</w:t>
                    </w:r>
                  </w:p>
                </w:tc>
              </w:sdtContent>
            </w:sdt>
            <w:sdt>
              <w:sdtPr>
                <w:rPr>
                  <w:rFonts w:hint="eastAsia"/>
                  <w:sz w:val="12"/>
                  <w:szCs w:val="12"/>
                </w:rPr>
                <w:alias w:val="重要联营企业的主要财务信息明细-企业名称"/>
                <w:tag w:val="_GBC_0cae03adb6fc417da51f1e06cc077a6b"/>
                <w:id w:val="445508373"/>
                <w:lock w:val="sdtLocked"/>
              </w:sdtPr>
              <w:sdtEndPr>
                <w:rPr>
                  <w:rFonts w:hint="eastAsia"/>
                  <w:sz w:val="12"/>
                  <w:szCs w:val="12"/>
                </w:rPr>
              </w:sdtEndPr>
              <w:sdtContent>
                <w:tc>
                  <w:tcPr>
                    <w:tcW w:w="606" w:type="pct"/>
                    <w:tcBorders>
                      <w:top w:val="single" w:color="auto" w:sz="6" w:space="0"/>
                      <w:left w:val="single" w:color="auto" w:sz="6" w:space="0"/>
                      <w:right w:val="single" w:color="auto" w:sz="6" w:space="0"/>
                    </w:tcBorders>
                    <w:shd w:val="clear" w:color="auto" w:fill="auto"/>
                  </w:tcPr>
                  <w:p>
                    <w:pPr>
                      <w:jc w:val="center"/>
                      <w:rPr>
                        <w:sz w:val="12"/>
                        <w:szCs w:val="12"/>
                      </w:rPr>
                    </w:pPr>
                    <w:r>
                      <w:rPr>
                        <w:rFonts w:hint="eastAsia"/>
                        <w:sz w:val="12"/>
                        <w:szCs w:val="12"/>
                      </w:rPr>
                      <w:t>紫金信托</w:t>
                    </w:r>
                  </w:p>
                </w:tc>
              </w:sdtContent>
            </w:sdt>
            <w:sdt>
              <w:sdtPr>
                <w:rPr>
                  <w:rFonts w:hint="eastAsia"/>
                  <w:sz w:val="12"/>
                  <w:szCs w:val="12"/>
                </w:rPr>
                <w:alias w:val="重要联营企业的主要财务信息明细-企业名称"/>
                <w:tag w:val="_GBC_0cae03adb6fc417da51f1e06cc077a6b"/>
                <w:id w:val="-297689669"/>
                <w:lock w:val="sdtLocked"/>
              </w:sdtPr>
              <w:sdtEndPr>
                <w:rPr>
                  <w:rFonts w:hint="eastAsia"/>
                  <w:sz w:val="12"/>
                  <w:szCs w:val="12"/>
                </w:rPr>
              </w:sdtEndPr>
              <w:sdtContent>
                <w:tc>
                  <w:tcPr>
                    <w:tcW w:w="606" w:type="pct"/>
                    <w:tcBorders>
                      <w:top w:val="single" w:color="auto" w:sz="6" w:space="0"/>
                      <w:left w:val="single" w:color="auto" w:sz="6" w:space="0"/>
                      <w:right w:val="single" w:color="auto" w:sz="6" w:space="0"/>
                    </w:tcBorders>
                    <w:shd w:val="clear" w:color="auto" w:fill="auto"/>
                  </w:tcPr>
                  <w:p>
                    <w:pPr>
                      <w:jc w:val="center"/>
                      <w:rPr>
                        <w:sz w:val="12"/>
                        <w:szCs w:val="12"/>
                      </w:rPr>
                    </w:pPr>
                    <w:r>
                      <w:rPr>
                        <w:rFonts w:hint="eastAsia"/>
                        <w:sz w:val="12"/>
                        <w:szCs w:val="12"/>
                      </w:rPr>
                      <w:t>沿江公司</w:t>
                    </w:r>
                  </w:p>
                </w:tc>
              </w:sdtContent>
            </w:sdt>
            <w:sdt>
              <w:sdtPr>
                <w:rPr>
                  <w:rFonts w:hint="eastAsia"/>
                  <w:sz w:val="12"/>
                  <w:szCs w:val="12"/>
                </w:rPr>
                <w:alias w:val="重要联营企业的主要财务信息明细-企业名称"/>
                <w:tag w:val="_GBC_dabfa87f0eff42149952cca99a0db3a2"/>
                <w:id w:val="1645546351"/>
                <w:lock w:val="sdtLocked"/>
              </w:sdtPr>
              <w:sdtEndPr>
                <w:rPr>
                  <w:rFonts w:hint="eastAsia"/>
                  <w:sz w:val="12"/>
                  <w:szCs w:val="12"/>
                </w:rPr>
              </w:sdtEndPr>
              <w:sdtContent>
                <w:tc>
                  <w:tcPr>
                    <w:tcW w:w="606" w:type="pct"/>
                    <w:tcBorders>
                      <w:top w:val="single" w:color="auto" w:sz="6" w:space="0"/>
                      <w:left w:val="single" w:color="auto" w:sz="6" w:space="0"/>
                      <w:bottom w:val="single" w:color="auto" w:sz="6" w:space="0"/>
                      <w:right w:val="single" w:color="auto" w:sz="6" w:space="0"/>
                    </w:tcBorders>
                    <w:shd w:val="clear" w:color="auto" w:fill="auto"/>
                  </w:tcPr>
                  <w:p>
                    <w:pPr>
                      <w:jc w:val="center"/>
                      <w:rPr>
                        <w:sz w:val="12"/>
                        <w:szCs w:val="12"/>
                      </w:rPr>
                    </w:pPr>
                    <w:r>
                      <w:rPr>
                        <w:rFonts w:hint="eastAsia"/>
                        <w:sz w:val="12"/>
                        <w:szCs w:val="12"/>
                      </w:rPr>
                      <w:t>扬子大桥公司</w:t>
                    </w:r>
                  </w:p>
                </w:tc>
              </w:sdtContent>
            </w:sdt>
            <w:sdt>
              <w:sdtPr>
                <w:rPr>
                  <w:rFonts w:hint="eastAsia"/>
                  <w:sz w:val="12"/>
                  <w:szCs w:val="12"/>
                </w:rPr>
                <w:alias w:val="重要联营企业的主要财务信息明细-企业名称"/>
                <w:tag w:val="_GBC_dabfa87f0eff42149952cca99a0db3a2"/>
                <w:id w:val="1822998525"/>
                <w:lock w:val="sdtLocked"/>
              </w:sdtPr>
              <w:sdtEndPr>
                <w:rPr>
                  <w:rFonts w:hint="eastAsia"/>
                  <w:sz w:val="12"/>
                  <w:szCs w:val="12"/>
                </w:rPr>
              </w:sdtEndPr>
              <w:sdtContent>
                <w:tc>
                  <w:tcPr>
                    <w:tcW w:w="606" w:type="pct"/>
                    <w:tcBorders>
                      <w:top w:val="single" w:color="auto" w:sz="6" w:space="0"/>
                      <w:left w:val="single" w:color="auto" w:sz="6" w:space="0"/>
                      <w:bottom w:val="single" w:color="auto" w:sz="6" w:space="0"/>
                      <w:right w:val="single" w:color="auto" w:sz="6" w:space="0"/>
                    </w:tcBorders>
                    <w:shd w:val="clear" w:color="auto" w:fill="auto"/>
                  </w:tcPr>
                  <w:p>
                    <w:pPr>
                      <w:jc w:val="center"/>
                      <w:rPr>
                        <w:sz w:val="12"/>
                        <w:szCs w:val="12"/>
                      </w:rPr>
                    </w:pPr>
                    <w:r>
                      <w:rPr>
                        <w:rFonts w:hint="eastAsia"/>
                        <w:sz w:val="12"/>
                        <w:szCs w:val="12"/>
                      </w:rPr>
                      <w:t>苏州高速管理</w:t>
                    </w:r>
                  </w:p>
                </w:tc>
              </w:sdtContent>
            </w:sdt>
            <w:sdt>
              <w:sdtPr>
                <w:rPr>
                  <w:rFonts w:hint="eastAsia"/>
                  <w:sz w:val="12"/>
                  <w:szCs w:val="12"/>
                </w:rPr>
                <w:alias w:val="重要联营企业的主要财务信息明细-企业名称"/>
                <w:tag w:val="_GBC_dabfa87f0eff42149952cca99a0db3a2"/>
                <w:id w:val="-978451035"/>
                <w:lock w:val="sdtLocked"/>
              </w:sdtPr>
              <w:sdtEndPr>
                <w:rPr>
                  <w:rFonts w:hint="eastAsia"/>
                  <w:sz w:val="12"/>
                  <w:szCs w:val="12"/>
                </w:rPr>
              </w:sdtEndPr>
              <w:sdtContent>
                <w:tc>
                  <w:tcPr>
                    <w:tcW w:w="578" w:type="pct"/>
                    <w:tcBorders>
                      <w:top w:val="single" w:color="auto" w:sz="6" w:space="0"/>
                      <w:left w:val="single" w:color="auto" w:sz="6" w:space="0"/>
                      <w:bottom w:val="single" w:color="auto" w:sz="6" w:space="0"/>
                      <w:right w:val="single" w:color="auto" w:sz="6" w:space="0"/>
                    </w:tcBorders>
                    <w:shd w:val="clear" w:color="auto" w:fill="auto"/>
                  </w:tcPr>
                  <w:p>
                    <w:pPr>
                      <w:jc w:val="center"/>
                      <w:rPr>
                        <w:sz w:val="12"/>
                        <w:szCs w:val="12"/>
                      </w:rPr>
                    </w:pPr>
                    <w:r>
                      <w:rPr>
                        <w:rFonts w:hint="eastAsia"/>
                        <w:sz w:val="12"/>
                        <w:szCs w:val="12"/>
                      </w:rPr>
                      <w:t>紫金信托</w:t>
                    </w:r>
                  </w:p>
                </w:tc>
              </w:sdtContent>
            </w:sdt>
            <w:sdt>
              <w:sdtPr>
                <w:rPr>
                  <w:rFonts w:hint="eastAsia"/>
                  <w:sz w:val="12"/>
                  <w:szCs w:val="12"/>
                </w:rPr>
                <w:alias w:val="重要联营企业的主要财务信息明细-企业名称"/>
                <w:tag w:val="_GBC_dabfa87f0eff42149952cca99a0db3a2"/>
                <w:id w:val="-918477708"/>
                <w:lock w:val="sdtLocked"/>
              </w:sdtPr>
              <w:sdtEndPr>
                <w:rPr>
                  <w:rFonts w:hint="eastAsia"/>
                  <w:sz w:val="12"/>
                  <w:szCs w:val="12"/>
                </w:rPr>
              </w:sdtEndPr>
              <w:sdtContent>
                <w:tc>
                  <w:tcPr>
                    <w:tcW w:w="606" w:type="pct"/>
                    <w:tcBorders>
                      <w:top w:val="single" w:color="auto" w:sz="6" w:space="0"/>
                      <w:left w:val="single" w:color="auto" w:sz="6" w:space="0"/>
                      <w:bottom w:val="single" w:color="auto" w:sz="6" w:space="0"/>
                      <w:right w:val="single" w:color="auto" w:sz="6" w:space="0"/>
                    </w:tcBorders>
                    <w:shd w:val="clear" w:color="auto" w:fill="auto"/>
                  </w:tcPr>
                  <w:p>
                    <w:pPr>
                      <w:jc w:val="center"/>
                      <w:rPr>
                        <w:sz w:val="12"/>
                        <w:szCs w:val="12"/>
                      </w:rPr>
                    </w:pPr>
                    <w:r>
                      <w:rPr>
                        <w:rFonts w:hint="eastAsia"/>
                        <w:sz w:val="12"/>
                        <w:szCs w:val="12"/>
                      </w:rPr>
                      <w:t>沿江公司</w:t>
                    </w:r>
                  </w:p>
                </w:tc>
              </w:sdtContent>
            </w:sdt>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fef15ffbfdea4cb5a3d708c5ea8068c9"/>
                <w:id w:val="-1266379663"/>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流动资产</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1,266,263,456.16</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2,449,830,289.78</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1,052,964,526.50</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9,244,211,608.20</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707,114,884.59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1,476,465,048.04</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362,789,396.91</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8,748,986,272.98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f31bdbdda3c24ef0ad64c4480cfaf1eb"/>
                <w:id w:val="292873187"/>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非流动资产</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32,166,106,344.71</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10,031,540,051.62</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10,588,614,487.72</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7,296,384,936.35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29,763,834,864.59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9,081,458,924.59</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8,914,299,689.07</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7,519,342,115.51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d1755220e8944b638b853a5090d054ac"/>
                <w:id w:val="-670255529"/>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资产合计</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33,432,369,800.87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12,481,370,341.40</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11,641,579,014.22</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16,540,596,544.55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30,470,949,749.18</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10,557,923,972.63</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9,277,089,085.98</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16,268,328,388.49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8"/>
              <w:wAfter w:w="4681" w:type="pct"/>
            </w:trPr>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jc w:val="right"/>
                  <w:rPr>
                    <w:sz w:val="12"/>
                    <w:szCs w:val="12"/>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da177c33d2a4452285f3e4329499be2b"/>
                <w:id w:val="-1756352804"/>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流动负债</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1,745,551,160.55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605,411,303.68</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1,619,441,930.50</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713,971,847.86</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1,598,105,308.30</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741,094,724.49</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818,155,118.21</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717,859,016.47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69db2a7507214ff988c587702b84292a"/>
                <w:id w:val="-146444381"/>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非流动负债</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15,673,617,873.26</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2,668,277,374.99</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1,477,147,756.17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5,300,633,955.39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15,009,485,477.89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2,655,380,575.11</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109,171,632.06</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5,383,177,664.28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93196651961549cc968f034a6735b70d"/>
                <w:id w:val="462469570"/>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负债合计</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17,419,169,033.81</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3,273,688,678.67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3,096,589,686.67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6,014,605,803.25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16,607,590,786.19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3,396,475,299.60</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927,326,750.27</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6,101,036,680.75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8"/>
              <w:wAfter w:w="4681" w:type="pct"/>
            </w:trPr>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jc w:val="right"/>
                  <w:rPr>
                    <w:sz w:val="12"/>
                    <w:szCs w:val="12"/>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f8ce7c22e39a4e18a87552ab1793dbb8"/>
                <w:id w:val="-1283808135"/>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少数股东权益</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7,334,218,104.16</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17,860,614.99</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34,207,730.87</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17,860,614.99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20,601,211.95</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55,133,702.86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5a7b4c15f9cc46f796db15ddf6bdcb12"/>
                <w:id w:val="338198948"/>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归属于母公司股东权益</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8,678,982,662.90</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9,189,821,047.74</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8,544,989,327.55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10,491,783,010.43</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8,032,878,275.51</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7,140,847,461.08</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8,349,762,335.71</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10,112,158,004.88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8"/>
              <w:wAfter w:w="4681" w:type="pct"/>
            </w:trPr>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jc w:val="right"/>
                  <w:rPr>
                    <w:sz w:val="12"/>
                    <w:szCs w:val="12"/>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8582e33fffa94878a3ba47a9591f38b8"/>
                <w:id w:val="-547138736"/>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按持股比例计算的净资产份额</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2,313,816,777.93</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2,192,691,301.99</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1,708,997,865.51</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2,895,732,110.88</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2,141,565,348.25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2,127,727,679.98</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1,683,240,702.52</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2,790,955,609.35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bac24ebdbd9b48db9964fa3d371a3d1a"/>
                <w:id w:val="1758090465"/>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cs="Arial"/>
                        <w:color w:val="000000"/>
                        <w:sz w:val="12"/>
                        <w:szCs w:val="12"/>
                      </w:rPr>
                      <w:t>--</w:t>
                    </w:r>
                    <w:r>
                      <w:rPr>
                        <w:rFonts w:hint="eastAsia" w:cs="Arial"/>
                        <w:color w:val="000000"/>
                        <w:sz w:val="12"/>
                        <w:szCs w:val="12"/>
                      </w:rPr>
                      <w:t>商誉</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53,174,434.00</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27,211,243.38</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412,912,323.97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13,173,081.00</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53,174,434.00</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27,211,243.38</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412,912,323.97</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13,173,081.00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2be4185c2e6a44dfb7339347b64720df"/>
                <w:id w:val="-1537800357"/>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对联营企业权益投资的账面价值</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2,366,991,211.93</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2,219,902,545.37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2,121,910,189.48</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2,908,905,191.88</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2,194,739,782.25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2,154,938,923.36</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2,096,153,026.49</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2,804,128,690.35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3dda32d2f0f749c2b0d95dc4c3753c29"/>
                <w:id w:val="-2141802425"/>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营业收入</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3,253,725,182.93</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910,725,258.75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460,158,423.36</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1,044,234,924.37</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842,398,036.58</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741,641,666.96</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365,105,648.76</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876,011,960.73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2700e40e30734ccda4fc19f6731bfd23"/>
                <w:id w:val="115334908"/>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sz w:val="12"/>
                        <w:szCs w:val="12"/>
                      </w:rPr>
                      <w:t>归属母公司的</w:t>
                    </w:r>
                    <w:r>
                      <w:rPr>
                        <w:rFonts w:hint="eastAsia" w:cs="Arial"/>
                        <w:color w:val="000000"/>
                        <w:sz w:val="12"/>
                        <w:szCs w:val="12"/>
                      </w:rPr>
                      <w:t>净利润</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689,999,999.97</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272,270,000.05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128,785,814.95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379,625,005.54</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383,348,196.96</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205,430,000.00</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221,621,467.95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307,199,092.75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45e6a45abde34643910c58dce10e37dd"/>
                <w:id w:val="-828362220"/>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其他综合收益</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84,349,472.17</w:t>
                </w:r>
              </w:p>
            </w:tc>
            <w:tc>
              <w:tcPr>
                <w:tcW w:w="606" w:type="pct"/>
                <w:tcBorders>
                  <w:left w:val="single" w:color="auto" w:sz="6" w:space="0"/>
                  <w:right w:val="single" w:color="auto" w:sz="6" w:space="0"/>
                </w:tcBorders>
                <w:shd w:val="clear" w:color="auto" w:fill="auto"/>
                <w:vAlign w:val="center"/>
              </w:tcPr>
              <w:p>
                <w:pPr>
                  <w:jc w:val="right"/>
                  <w:rPr>
                    <w:sz w:val="12"/>
                    <w:szCs w:val="12"/>
                  </w:rPr>
                </w:pPr>
              </w:p>
            </w:tc>
            <w:tc>
              <w:tcPr>
                <w:tcW w:w="606" w:type="pct"/>
                <w:tcBorders>
                  <w:left w:val="single" w:color="auto" w:sz="6" w:space="0"/>
                  <w:right w:val="single" w:color="auto" w:sz="6" w:space="0"/>
                </w:tcBorders>
                <w:shd w:val="clear" w:color="auto" w:fill="auto"/>
                <w:vAlign w:val="center"/>
              </w:tcPr>
              <w:p>
                <w:pPr>
                  <w:jc w:val="right"/>
                  <w:rPr>
                    <w:sz w:val="12"/>
                    <w:szCs w:val="12"/>
                  </w:rPr>
                </w:pPr>
              </w:p>
            </w:tc>
            <w:tc>
              <w:tcPr>
                <w:tcW w:w="606" w:type="pct"/>
                <w:tcBorders>
                  <w:left w:val="single" w:color="auto" w:sz="6" w:space="0"/>
                  <w:right w:val="single" w:color="auto" w:sz="6" w:space="0"/>
                </w:tcBorders>
                <w:shd w:val="clear" w:color="auto" w:fill="auto"/>
                <w:vAlign w:val="center"/>
              </w:tcPr>
              <w:p>
                <w:pPr>
                  <w:jc w:val="right"/>
                  <w:rPr>
                    <w:sz w:val="12"/>
                    <w:szCs w:val="12"/>
                  </w:rPr>
                </w:pP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-66,322,684.43</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46271de88b51495b853f579968062473"/>
                <w:id w:val="1879121375"/>
                <w:lock w:val="sdtLocked"/>
              </w:sdtPr>
              <w:sdtEndPr>
                <w:rPr>
                  <w:sz w:val="12"/>
                  <w:szCs w:val="12"/>
                </w:rPr>
              </w:sdtEndPr>
              <w:sdtContent>
                <w:tc>
                  <w:tcPr>
                    <w:tcW w:w="319" w:type="pct"/>
                    <w:tcBorders>
                      <w:top w:val="single" w:color="auto" w:sz="6" w:space="0"/>
                      <w:left w:val="single" w:color="auto" w:sz="4" w:space="0"/>
                      <w:bottom w:val="single" w:color="auto" w:sz="6"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综合收益总额</w:t>
                    </w:r>
                  </w:p>
                </w:tc>
              </w:sdtContent>
            </w:sdt>
            <w:tc>
              <w:tcPr>
                <w:tcW w:w="468" w:type="pct"/>
                <w:tcBorders>
                  <w:left w:val="single" w:color="auto" w:sz="6" w:space="0"/>
                  <w:right w:val="single" w:color="auto" w:sz="6" w:space="0"/>
                </w:tcBorders>
                <w:shd w:val="clear" w:color="auto" w:fill="auto"/>
                <w:vAlign w:val="center"/>
              </w:tcPr>
              <w:p>
                <w:pPr>
                  <w:jc w:val="right"/>
                  <w:rPr>
                    <w:sz w:val="12"/>
                    <w:szCs w:val="12"/>
                  </w:rPr>
                </w:pPr>
                <w:r>
                  <w:rPr>
                    <w:sz w:val="12"/>
                    <w:szCs w:val="12"/>
                  </w:rPr>
                  <w:t>774,349,472.14</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272,270,000.05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128,785,814.95</w:t>
                </w:r>
              </w:p>
            </w:tc>
            <w:tc>
              <w:tcPr>
                <w:tcW w:w="606" w:type="pct"/>
                <w:tcBorders>
                  <w:left w:val="single" w:color="auto" w:sz="6" w:space="0"/>
                  <w:right w:val="single" w:color="auto" w:sz="6" w:space="0"/>
                </w:tcBorders>
                <w:shd w:val="clear" w:color="auto" w:fill="auto"/>
                <w:vAlign w:val="center"/>
              </w:tcPr>
              <w:p>
                <w:pPr>
                  <w:jc w:val="right"/>
                  <w:rPr>
                    <w:sz w:val="12"/>
                    <w:szCs w:val="12"/>
                  </w:rPr>
                </w:pPr>
                <w:r>
                  <w:rPr>
                    <w:sz w:val="12"/>
                    <w:szCs w:val="12"/>
                  </w:rPr>
                  <w:t>379,625,005.54</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317,025,512.53</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205,430,000.00</w:t>
                </w:r>
              </w:p>
            </w:tc>
            <w:tc>
              <w:tcPr>
                <w:tcW w:w="578"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221,621,467.95</w:t>
                </w:r>
              </w:p>
            </w:tc>
            <w:tc>
              <w:tcPr>
                <w:tcW w:w="606" w:type="pct"/>
                <w:tcBorders>
                  <w:top w:val="single" w:color="auto" w:sz="6" w:space="0"/>
                  <w:left w:val="single" w:color="auto" w:sz="6" w:space="0"/>
                  <w:bottom w:val="single" w:color="auto" w:sz="6" w:space="0"/>
                  <w:right w:val="single" w:color="auto" w:sz="6" w:space="0"/>
                </w:tcBorders>
                <w:vAlign w:val="center"/>
              </w:tcPr>
              <w:p>
                <w:pPr>
                  <w:jc w:val="right"/>
                  <w:rPr>
                    <w:sz w:val="12"/>
                    <w:szCs w:val="12"/>
                  </w:rPr>
                </w:pPr>
                <w:r>
                  <w:rPr>
                    <w:sz w:val="12"/>
                    <w:szCs w:val="12"/>
                  </w:rPr>
                  <w:t>307,199,092.75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sdt>
              <w:sdtPr>
                <w:rPr>
                  <w:sz w:val="12"/>
                  <w:szCs w:val="12"/>
                </w:rPr>
                <w:tag w:val="_PLD_45708a7f3d4a4100b1e84bcc428b4104"/>
                <w:id w:val="1143235356"/>
                <w:lock w:val="sdtLocked"/>
              </w:sdtPr>
              <w:sdtEndPr>
                <w:rPr>
                  <w:sz w:val="12"/>
                  <w:szCs w:val="12"/>
                </w:rPr>
              </w:sdtEndPr>
              <w:sdtContent>
                <w:tc>
                  <w:tcPr>
                    <w:tcW w:w="319" w:type="pct"/>
                    <w:tcBorders>
                      <w:top w:val="single" w:color="auto" w:sz="6" w:space="0"/>
                      <w:left w:val="single" w:color="auto" w:sz="4" w:space="0"/>
                      <w:bottom w:val="single" w:color="auto" w:sz="4" w:space="0"/>
                      <w:right w:val="single" w:color="auto" w:sz="6" w:space="0"/>
                    </w:tcBorders>
                    <w:shd w:val="clear" w:color="auto" w:fill="auto"/>
                    <w:vAlign w:val="bottom"/>
                  </w:tcPr>
                  <w:p>
                    <w:pPr>
                      <w:rPr>
                        <w:rFonts w:cs="Arial"/>
                        <w:color w:val="000000"/>
                        <w:sz w:val="12"/>
                        <w:szCs w:val="12"/>
                      </w:rPr>
                    </w:pPr>
                    <w:r>
                      <w:rPr>
                        <w:rFonts w:hint="eastAsia" w:cs="Arial"/>
                        <w:color w:val="000000"/>
                        <w:sz w:val="12"/>
                        <w:szCs w:val="12"/>
                      </w:rPr>
                      <w:t>本年度收到的来自联营企业的股利</w:t>
                    </w:r>
                  </w:p>
                </w:tc>
              </w:sdtContent>
            </w:sdt>
            <w:tc>
              <w:tcPr>
                <w:tcW w:w="468" w:type="pct"/>
                <w:tcBorders>
                  <w:left w:val="single" w:color="auto" w:sz="6" w:space="0"/>
                  <w:bottom w:val="single" w:color="auto" w:sz="4" w:space="0"/>
                  <w:right w:val="single" w:color="auto" w:sz="6" w:space="0"/>
                </w:tcBorders>
                <w:shd w:val="clear" w:color="auto" w:fill="auto"/>
                <w:vAlign w:val="center"/>
              </w:tcPr>
              <w:p>
                <w:pPr>
                  <w:pStyle w:val="114"/>
                  <w:rPr>
                    <w:sz w:val="12"/>
                    <w:szCs w:val="12"/>
                  </w:rPr>
                </w:pPr>
                <w:r>
                  <w:rPr>
                    <w:sz w:val="12"/>
                    <w:szCs w:val="12"/>
                  </w:rPr>
                  <w:t>34,190,139.60</w:t>
                </w:r>
              </w:p>
            </w:tc>
            <w:tc>
              <w:tcPr>
                <w:tcW w:w="606" w:type="pct"/>
                <w:tcBorders>
                  <w:left w:val="single" w:color="auto" w:sz="6" w:space="0"/>
                  <w:bottom w:val="single" w:color="auto" w:sz="4" w:space="0"/>
                  <w:right w:val="single" w:color="auto" w:sz="6" w:space="0"/>
                </w:tcBorders>
                <w:shd w:val="clear" w:color="auto" w:fill="auto"/>
              </w:tcPr>
              <w:p>
                <w:pPr>
                  <w:pStyle w:val="114"/>
                  <w:rPr>
                    <w:sz w:val="12"/>
                    <w:szCs w:val="12"/>
                  </w:rPr>
                </w:pPr>
              </w:p>
            </w:tc>
            <w:tc>
              <w:tcPr>
                <w:tcW w:w="606" w:type="pct"/>
                <w:tcBorders>
                  <w:left w:val="single" w:color="auto" w:sz="6" w:space="0"/>
                  <w:bottom w:val="single" w:color="auto" w:sz="4" w:space="0"/>
                  <w:right w:val="single" w:color="auto" w:sz="6" w:space="0"/>
                </w:tcBorders>
                <w:shd w:val="clear" w:color="auto" w:fill="auto"/>
              </w:tcPr>
              <w:p>
                <w:pPr>
                  <w:pStyle w:val="114"/>
                  <w:rPr>
                    <w:sz w:val="12"/>
                    <w:szCs w:val="12"/>
                  </w:rPr>
                </w:pPr>
              </w:p>
            </w:tc>
            <w:tc>
              <w:tcPr>
                <w:tcW w:w="606" w:type="pct"/>
                <w:tcBorders>
                  <w:left w:val="single" w:color="auto" w:sz="6" w:space="0"/>
                  <w:bottom w:val="single" w:color="auto" w:sz="4" w:space="0"/>
                  <w:right w:val="single" w:color="auto" w:sz="6" w:space="0"/>
                </w:tcBorders>
                <w:shd w:val="clear" w:color="auto" w:fill="auto"/>
              </w:tcPr>
              <w:p>
                <w:pPr>
                  <w:pStyle w:val="114"/>
                  <w:rPr>
                    <w:sz w:val="12"/>
                    <w:szCs w:val="12"/>
                  </w:rPr>
                </w:pPr>
              </w:p>
            </w:tc>
            <w:tc>
              <w:tcPr>
                <w:tcW w:w="606" w:type="pct"/>
                <w:tcBorders>
                  <w:top w:val="single" w:color="auto" w:sz="6" w:space="0"/>
                  <w:left w:val="single" w:color="auto" w:sz="6" w:space="0"/>
                  <w:bottom w:val="single" w:color="auto" w:sz="4" w:space="0"/>
                  <w:right w:val="single" w:color="auto" w:sz="6" w:space="0"/>
                </w:tcBorders>
                <w:vAlign w:val="center"/>
              </w:tcPr>
              <w:p>
                <w:pPr>
                  <w:pStyle w:val="114"/>
                  <w:rPr>
                    <w:sz w:val="12"/>
                    <w:szCs w:val="12"/>
                  </w:rPr>
                </w:pPr>
                <w:r>
                  <w:rPr>
                    <w:sz w:val="12"/>
                    <w:szCs w:val="12"/>
                  </w:rPr>
                  <w:t>34,190,139.60</w:t>
                </w:r>
              </w:p>
            </w:tc>
            <w:tc>
              <w:tcPr>
                <w:tcW w:w="606" w:type="pct"/>
                <w:tcBorders>
                  <w:top w:val="single" w:color="auto" w:sz="6" w:space="0"/>
                  <w:left w:val="single" w:color="auto" w:sz="6" w:space="0"/>
                  <w:bottom w:val="single" w:color="auto" w:sz="4" w:space="0"/>
                  <w:right w:val="single" w:color="auto" w:sz="6" w:space="0"/>
                </w:tcBorders>
              </w:tcPr>
              <w:p>
                <w:pPr>
                  <w:pStyle w:val="114"/>
                  <w:rPr>
                    <w:sz w:val="12"/>
                    <w:szCs w:val="12"/>
                  </w:rPr>
                </w:pPr>
              </w:p>
            </w:tc>
            <w:tc>
              <w:tcPr>
                <w:tcW w:w="578" w:type="pct"/>
                <w:tcBorders>
                  <w:top w:val="single" w:color="auto" w:sz="6" w:space="0"/>
                  <w:left w:val="single" w:color="auto" w:sz="6" w:space="0"/>
                  <w:bottom w:val="single" w:color="auto" w:sz="4" w:space="0"/>
                  <w:right w:val="single" w:color="auto" w:sz="6" w:space="0"/>
                </w:tcBorders>
              </w:tcPr>
              <w:p>
                <w:pPr>
                  <w:pStyle w:val="114"/>
                  <w:rPr>
                    <w:sz w:val="12"/>
                    <w:szCs w:val="12"/>
                  </w:rPr>
                </w:pPr>
              </w:p>
            </w:tc>
            <w:tc>
              <w:tcPr>
                <w:tcW w:w="606" w:type="pct"/>
                <w:tcBorders>
                  <w:top w:val="single" w:color="auto" w:sz="6" w:space="0"/>
                  <w:left w:val="single" w:color="auto" w:sz="6" w:space="0"/>
                  <w:bottom w:val="single" w:color="auto" w:sz="4" w:space="0"/>
                  <w:right w:val="single" w:color="auto" w:sz="6" w:space="0"/>
                </w:tcBorders>
              </w:tcPr>
              <w:p>
                <w:pPr>
                  <w:pStyle w:val="114"/>
                  <w:rPr>
                    <w:sz w:val="12"/>
                    <w:szCs w:val="12"/>
                  </w:rPr>
                </w:pPr>
              </w:p>
            </w:tc>
          </w:tr>
        </w:tbl>
        <w:p>
          <w:pPr>
            <w:pStyle w:val="114"/>
          </w:pPr>
        </w:p>
      </w:sdtContent>
    </w:sdt>
    <w:sdt>
      <w:sdtPr>
        <w:rPr>
          <w:rFonts w:cs="Arial"/>
        </w:rPr>
        <w:alias w:val="模块:重要联营企业的主要财务信息其他说明的方法"/>
        <w:tag w:val="_SEC_3191928276884aa0be18ac148aa436b7"/>
        <w:id w:val="-262381469"/>
        <w:lock w:val="sdtLocked"/>
        <w:placeholder>
          <w:docPart w:val="GBC22222222222222222222222222222"/>
        </w:placeholder>
      </w:sdtPr>
      <w:sdtEndPr>
        <w:rPr>
          <w:rFonts w:cs="Arial"/>
        </w:rPr>
      </w:sdtEndPr>
      <w:sdtContent>
        <w:p>
          <w:pPr>
            <w:pStyle w:val="114"/>
          </w:pPr>
        </w:p>
        <w:sdt>
          <w:sdtPr>
            <w:rPr>
              <w:rFonts w:hint="eastAsia" w:cs="Arial"/>
            </w:rPr>
            <w:alias w:val="重要联营企业的主要财务信息其他说明的方法"/>
            <w:tag w:val="_GBC_49602fee37fb4c848eee594868d16caa"/>
            <w:id w:val="-1294049375"/>
            <w:lock w:val="sdtLocked"/>
            <w:placeholder>
              <w:docPart w:val="GBC22222222222222222222222222222"/>
            </w:placeholder>
          </w:sdtPr>
          <w:sdtEndPr>
            <w:rPr>
              <w:rFonts w:hint="eastAsia" w:cs="Arial"/>
            </w:rPr>
          </w:sdtEndPr>
          <w:sdtContent>
            <w:p>
              <w:r>
                <w:rPr>
                  <w:rFonts w:hint="eastAsia"/>
                </w:rPr>
                <w:t>沿江公司按照扣除张家港市直属公有资产经营有限公司享有的张家港疏港高速公路项目的</w:t>
              </w:r>
              <w:r>
                <w:t>40%</w:t>
              </w:r>
              <w:r>
                <w:rPr>
                  <w:rFonts w:hint="eastAsia"/>
                </w:rPr>
                <w:t>股东权益和净利润，以及扣除苏州太仓港疏港高速公路有限公司享有的太仓疏港高速公路项目的</w:t>
              </w:r>
              <w:r>
                <w:t>30%</w:t>
              </w:r>
              <w:r>
                <w:rPr>
                  <w:rFonts w:hint="eastAsia"/>
                </w:rPr>
                <w:t>股东权益和净利润列示归属于沿江高速母公司的股东权益和净利润，本集团按照</w:t>
              </w:r>
              <w:r>
                <w:t>27.6%</w:t>
              </w:r>
              <w:r>
                <w:rPr>
                  <w:rFonts w:hint="eastAsia"/>
                </w:rPr>
                <w:t>的比例享有相关的股东权益。</w:t>
              </w:r>
            </w:p>
          </w:sdtContent>
        </w:sdt>
        <w:p>
          <w:pPr>
            <w:rPr>
              <w:rFonts w:cs="Arial"/>
            </w:rPr>
          </w:pPr>
        </w:p>
      </w:sdtContent>
    </w:sdt>
    <w:sdt>
      <w:sdtPr>
        <w:rPr>
          <w:rFonts w:hint="eastAsia" w:ascii="宋体" w:hAnsi="宋体" w:cs="Arial"/>
          <w:b w:val="0"/>
          <w:bCs w:val="0"/>
          <w:kern w:val="0"/>
          <w:szCs w:val="21"/>
        </w:rPr>
        <w:alias w:val="模块:不重要的合营企业和联营企业的汇总财务信息"/>
        <w:tag w:val="_GBC_7592afe8201c4b36a34fa177ca124037"/>
        <w:id w:val="633446421"/>
        <w:lock w:val="sdtLocked"/>
        <w:placeholder>
          <w:docPart w:val="GBC22222222222222222222222222222"/>
        </w:placeholder>
      </w:sdtPr>
      <w:sdtEndPr>
        <w:rPr>
          <w:rFonts w:hint="default" w:ascii="宋体" w:hAnsi="宋体" w:cs="Arial"/>
          <w:b w:val="0"/>
          <w:bCs w:val="0"/>
          <w:kern w:val="0"/>
          <w:szCs w:val="21"/>
        </w:rPr>
      </w:sdtEndPr>
      <w:sdtContent>
        <w:p>
          <w:pPr>
            <w:pStyle w:val="118"/>
            <w:numPr>
              <w:ilvl w:val="3"/>
              <w:numId w:val="89"/>
            </w:numPr>
            <w:tabs>
              <w:tab w:val="left" w:pos="630"/>
            </w:tabs>
            <w:rPr>
              <w:rFonts w:ascii="宋体" w:hAnsi="宋体" w:cs="Arial"/>
              <w:szCs w:val="21"/>
            </w:rPr>
          </w:pPr>
          <w:r>
            <w:rPr>
              <w:rFonts w:hint="eastAsia" w:ascii="宋体" w:hAnsi="宋体" w:cs="Arial"/>
              <w:szCs w:val="21"/>
            </w:rPr>
            <w:t>不重要的合营企业和联营企业的汇总财务信息</w:t>
          </w:r>
        </w:p>
        <w:sdt>
          <w:sdtPr>
            <w:alias w:val="是否适用：不重要的合营企业和联营企业的汇总财务信息[双击切换]"/>
            <w:tag w:val="_GBC_eb809f81680b42f794ba04df499e52dc"/>
            <w:id w:val="-4445441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不重要的合营企业和联营企业的汇总财务信息"/>
              <w:tag w:val="_GBC_d02efd9c85904b029b5a51b02d9519e8"/>
              <w:id w:val="-20141432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1102003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3"/>
            <w:gridCol w:w="3071"/>
            <w:gridCol w:w="3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604" w:type="pct"/>
                <w:shd w:val="clear" w:color="auto" w:fill="auto"/>
              </w:tcPr>
              <w:p>
                <w:pPr>
                  <w:jc w:val="center"/>
                  <w:rPr>
                    <w:rFonts w:cs="Arial"/>
                    <w:sz w:val="20"/>
                    <w:szCs w:val="20"/>
                  </w:rPr>
                </w:pPr>
              </w:p>
            </w:tc>
            <w:sdt>
              <w:sdtPr>
                <w:rPr>
                  <w:sz w:val="20"/>
                  <w:szCs w:val="20"/>
                </w:rPr>
                <w:tag w:val="_PLD_7dc69fc7f68243e6b4f46db3a94dd47f"/>
                <w:id w:val="-340777562"/>
                <w:lock w:val="sdtLocked"/>
              </w:sdtPr>
              <w:sdtEndPr>
                <w:rPr>
                  <w:sz w:val="20"/>
                  <w:szCs w:val="20"/>
                </w:rPr>
              </w:sdtEndPr>
              <w:sdtContent>
                <w:tc>
                  <w:tcPr>
                    <w:tcW w:w="1697" w:type="pct"/>
                    <w:shd w:val="clear" w:color="auto" w:fill="auto"/>
                  </w:tcPr>
                  <w:p>
                    <w:pPr>
                      <w:jc w:val="center"/>
                      <w:rPr>
                        <w:rFonts w:cs="Arial"/>
                        <w:sz w:val="20"/>
                        <w:szCs w:val="20"/>
                      </w:rPr>
                    </w:pPr>
                    <w:r>
                      <w:rPr>
                        <w:rFonts w:hint="eastAsia" w:cs="Arial"/>
                        <w:sz w:val="20"/>
                        <w:szCs w:val="20"/>
                        <w:lang w:val="en-GB"/>
                      </w:rPr>
                      <w:t>期末余额</w:t>
                    </w:r>
                    <w:r>
                      <w:rPr>
                        <w:rFonts w:cs="Arial"/>
                        <w:sz w:val="20"/>
                        <w:szCs w:val="20"/>
                      </w:rPr>
                      <w:t xml:space="preserve">/ </w:t>
                    </w:r>
                    <w:r>
                      <w:rPr>
                        <w:rFonts w:hint="eastAsia" w:cs="Arial"/>
                        <w:sz w:val="20"/>
                        <w:szCs w:val="20"/>
                        <w:lang w:val="en-GB"/>
                      </w:rPr>
                      <w:t>本期发生额</w:t>
                    </w:r>
                  </w:p>
                </w:tc>
              </w:sdtContent>
            </w:sdt>
            <w:sdt>
              <w:sdtPr>
                <w:rPr>
                  <w:sz w:val="20"/>
                  <w:szCs w:val="20"/>
                </w:rPr>
                <w:tag w:val="_PLD_ffe9f9922ada461388adfb92ed1e3072"/>
                <w:id w:val="-1891262391"/>
                <w:lock w:val="sdtLocked"/>
              </w:sdtPr>
              <w:sdtEndPr>
                <w:rPr>
                  <w:sz w:val="20"/>
                  <w:szCs w:val="20"/>
                </w:rPr>
              </w:sdtEndPr>
              <w:sdtContent>
                <w:tc>
                  <w:tcPr>
                    <w:tcW w:w="1699" w:type="pct"/>
                    <w:shd w:val="clear" w:color="auto" w:fill="auto"/>
                  </w:tcPr>
                  <w:p>
                    <w:pPr>
                      <w:jc w:val="center"/>
                      <w:rPr>
                        <w:rFonts w:cs="Arial"/>
                        <w:sz w:val="20"/>
                        <w:szCs w:val="20"/>
                      </w:rPr>
                    </w:pPr>
                    <w:r>
                      <w:rPr>
                        <w:rFonts w:hint="eastAsia" w:cs="Arial"/>
                        <w:sz w:val="20"/>
                        <w:szCs w:val="20"/>
                        <w:lang w:val="en-GB"/>
                      </w:rPr>
                      <w:t>期初余额</w:t>
                    </w:r>
                    <w:r>
                      <w:rPr>
                        <w:rFonts w:cs="Arial"/>
                        <w:sz w:val="20"/>
                        <w:szCs w:val="20"/>
                      </w:rPr>
                      <w:t xml:space="preserve">/ </w:t>
                    </w:r>
                    <w:r>
                      <w:rPr>
                        <w:rFonts w:hint="eastAsia" w:cs="Arial"/>
                        <w:sz w:val="20"/>
                        <w:szCs w:val="20"/>
                        <w:lang w:val="en-GB"/>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01c0860c93244a3f94a1c91bec25150e"/>
                <w:id w:val="2054964184"/>
                <w:lock w:val="sdtLocked"/>
              </w:sdtPr>
              <w:sdtEndPr>
                <w:rPr>
                  <w:sz w:val="20"/>
                  <w:szCs w:val="20"/>
                </w:rPr>
              </w:sdtEndPr>
              <w:sdtContent>
                <w:tc>
                  <w:tcPr>
                    <w:tcW w:w="5000" w:type="pct"/>
                    <w:gridSpan w:val="3"/>
                    <w:shd w:val="clear" w:color="auto" w:fill="auto"/>
                  </w:tcPr>
                  <w:p>
                    <w:pPr>
                      <w:pStyle w:val="114"/>
                      <w:rPr>
                        <w:sz w:val="20"/>
                        <w:szCs w:val="20"/>
                      </w:rPr>
                    </w:pPr>
                    <w:r>
                      <w:rPr>
                        <w:rFonts w:hint="eastAsia" w:cs="Arial"/>
                        <w:sz w:val="20"/>
                        <w:szCs w:val="20"/>
                        <w:lang w:val="en-GB"/>
                      </w:rPr>
                      <w:t>合营企业：</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01912ad1144f412393cdaeb8d4f1f35b"/>
                <w:id w:val="265360230"/>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hint="eastAsia" w:cs="Arial"/>
                        <w:color w:val="000000"/>
                        <w:sz w:val="20"/>
                        <w:szCs w:val="20"/>
                        <w:lang w:val="en-GB"/>
                      </w:rPr>
                      <w:t>投资账面价值合计</w:t>
                    </w:r>
                  </w:p>
                </w:tc>
              </w:sdtContent>
            </w:sdt>
            <w:tc>
              <w:tcPr>
                <w:tcW w:w="1697" w:type="pct"/>
                <w:vAlign w:val="center"/>
              </w:tcPr>
              <w:p>
                <w:pPr>
                  <w:jc w:val="right"/>
                  <w:rPr>
                    <w:sz w:val="20"/>
                    <w:szCs w:val="20"/>
                  </w:rPr>
                </w:pPr>
                <w:r>
                  <w:rPr>
                    <w:sz w:val="20"/>
                    <w:szCs w:val="20"/>
                  </w:rPr>
                  <w:t>10,627,223.62</w:t>
                </w:r>
              </w:p>
            </w:tc>
            <w:tc>
              <w:tcPr>
                <w:tcW w:w="1699" w:type="pct"/>
                <w:vAlign w:val="center"/>
              </w:tcPr>
              <w:p>
                <w:pPr>
                  <w:jc w:val="right"/>
                  <w:rPr>
                    <w:sz w:val="20"/>
                    <w:szCs w:val="20"/>
                  </w:rPr>
                </w:pPr>
                <w:r>
                  <w:rPr>
                    <w:sz w:val="20"/>
                    <w:szCs w:val="20"/>
                  </w:rPr>
                  <w:t>9,921,731.43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d574603998c340988b76ed4abbb39d0f"/>
                <w:id w:val="2112079610"/>
                <w:lock w:val="sdtLocked"/>
              </w:sdtPr>
              <w:sdtEndPr>
                <w:rPr>
                  <w:sz w:val="20"/>
                  <w:szCs w:val="20"/>
                </w:rPr>
              </w:sdtEndPr>
              <w:sdtContent>
                <w:tc>
                  <w:tcPr>
                    <w:tcW w:w="5000" w:type="pct"/>
                    <w:gridSpan w:val="3"/>
                    <w:shd w:val="clear" w:color="auto" w:fill="auto"/>
                    <w:vAlign w:val="center"/>
                  </w:tcPr>
                  <w:p>
                    <w:pPr>
                      <w:pStyle w:val="114"/>
                      <w:rPr>
                        <w:sz w:val="20"/>
                        <w:szCs w:val="20"/>
                      </w:rPr>
                    </w:pPr>
                    <w:r>
                      <w:rPr>
                        <w:rFonts w:hint="eastAsia" w:cs="Arial"/>
                        <w:color w:val="000000"/>
                        <w:sz w:val="20"/>
                        <w:szCs w:val="20"/>
                        <w:lang w:val="en-GB"/>
                      </w:rPr>
                      <w:t>下列各项按持股比例计算的合计数</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6a9719a93a5947a99f4faab9ddfeb484"/>
                <w:id w:val="-594713369"/>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净利润</w:t>
                    </w:r>
                  </w:p>
                </w:tc>
              </w:sdtContent>
            </w:sdt>
            <w:tc>
              <w:tcPr>
                <w:tcW w:w="1697" w:type="pct"/>
                <w:vAlign w:val="center"/>
              </w:tcPr>
              <w:p>
                <w:pPr>
                  <w:jc w:val="right"/>
                  <w:rPr>
                    <w:sz w:val="20"/>
                    <w:szCs w:val="20"/>
                  </w:rPr>
                </w:pPr>
                <w:r>
                  <w:rPr>
                    <w:sz w:val="20"/>
                    <w:szCs w:val="20"/>
                  </w:rPr>
                  <w:t>705,492.19</w:t>
                </w:r>
              </w:p>
            </w:tc>
            <w:tc>
              <w:tcPr>
                <w:tcW w:w="1699" w:type="pct"/>
                <w:vAlign w:val="center"/>
              </w:tcPr>
              <w:p>
                <w:pPr>
                  <w:jc w:val="right"/>
                  <w:rPr>
                    <w:sz w:val="20"/>
                    <w:szCs w:val="20"/>
                  </w:rPr>
                </w:pPr>
                <w:r>
                  <w:rPr>
                    <w:sz w:val="20"/>
                    <w:szCs w:val="20"/>
                  </w:rPr>
                  <w:t>569,885.00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cee08c7e01b746408c5d373112665e6e"/>
                <w:id w:val="1487208535"/>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其他综合收益</w:t>
                    </w:r>
                  </w:p>
                </w:tc>
              </w:sdtContent>
            </w:sdt>
            <w:tc>
              <w:tcPr>
                <w:tcW w:w="1697" w:type="pct"/>
                <w:vAlign w:val="center"/>
              </w:tcPr>
              <w:p>
                <w:pPr>
                  <w:jc w:val="right"/>
                  <w:rPr>
                    <w:sz w:val="20"/>
                    <w:szCs w:val="20"/>
                  </w:rPr>
                </w:pPr>
                <w:r>
                  <w:rPr>
                    <w:sz w:val="20"/>
                    <w:szCs w:val="20"/>
                  </w:rPr>
                  <w:t>-</w:t>
                </w:r>
              </w:p>
            </w:tc>
            <w:tc>
              <w:tcPr>
                <w:tcW w:w="1699" w:type="pct"/>
                <w:vAlign w:val="center"/>
              </w:tcPr>
              <w:p>
                <w:pPr>
                  <w:jc w:val="right"/>
                  <w:rPr>
                    <w:sz w:val="20"/>
                    <w:szCs w:val="20"/>
                  </w:rPr>
                </w:pPr>
                <w:r>
                  <w:rPr>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f3f65d3b731f4b4ca71b1e3491b1154d"/>
                <w:id w:val="1675609221"/>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综合收益总额</w:t>
                    </w:r>
                  </w:p>
                </w:tc>
              </w:sdtContent>
            </w:sdt>
            <w:tc>
              <w:tcPr>
                <w:tcW w:w="1697" w:type="pct"/>
                <w:vAlign w:val="center"/>
              </w:tcPr>
              <w:p>
                <w:pPr>
                  <w:jc w:val="right"/>
                  <w:rPr>
                    <w:sz w:val="20"/>
                    <w:szCs w:val="20"/>
                  </w:rPr>
                </w:pPr>
                <w:r>
                  <w:rPr>
                    <w:sz w:val="20"/>
                    <w:szCs w:val="20"/>
                  </w:rPr>
                  <w:t>705,492.19</w:t>
                </w:r>
              </w:p>
            </w:tc>
            <w:tc>
              <w:tcPr>
                <w:tcW w:w="1699" w:type="pct"/>
                <w:vAlign w:val="center"/>
              </w:tcPr>
              <w:p>
                <w:pPr>
                  <w:jc w:val="right"/>
                  <w:rPr>
                    <w:sz w:val="20"/>
                    <w:szCs w:val="20"/>
                  </w:rPr>
                </w:pPr>
                <w:r>
                  <w:rPr>
                    <w:sz w:val="20"/>
                    <w:szCs w:val="20"/>
                  </w:rPr>
                  <w:t>569,885.00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pct"/>
                <w:shd w:val="clear" w:color="auto" w:fill="auto"/>
              </w:tcPr>
              <w:p>
                <w:pPr>
                  <w:rPr>
                    <w:rFonts w:cs="Arial"/>
                    <w:sz w:val="20"/>
                    <w:szCs w:val="20"/>
                    <w:lang w:val="en-GB"/>
                  </w:rPr>
                </w:pPr>
              </w:p>
            </w:tc>
            <w:tc>
              <w:tcPr>
                <w:tcW w:w="1697" w:type="pct"/>
              </w:tcPr>
              <w:p>
                <w:pPr>
                  <w:jc w:val="right"/>
                  <w:rPr>
                    <w:sz w:val="20"/>
                    <w:szCs w:val="20"/>
                  </w:rPr>
                </w:pPr>
              </w:p>
            </w:tc>
            <w:tc>
              <w:tcPr>
                <w:tcW w:w="1699" w:type="pct"/>
              </w:tcPr>
              <w:p>
                <w:pPr>
                  <w:jc w:val="right"/>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1bd24e2b6e8f4bddad27bea53e1b1b0a"/>
                <w:id w:val="-1869976630"/>
                <w:lock w:val="sdtLocked"/>
              </w:sdtPr>
              <w:sdtEndPr>
                <w:rPr>
                  <w:sz w:val="20"/>
                  <w:szCs w:val="20"/>
                </w:rPr>
              </w:sdtEndPr>
              <w:sdtContent>
                <w:tc>
                  <w:tcPr>
                    <w:tcW w:w="5000" w:type="pct"/>
                    <w:gridSpan w:val="3"/>
                    <w:shd w:val="clear" w:color="auto" w:fill="auto"/>
                  </w:tcPr>
                  <w:p>
                    <w:pPr>
                      <w:pStyle w:val="114"/>
                      <w:rPr>
                        <w:sz w:val="20"/>
                        <w:szCs w:val="20"/>
                      </w:rPr>
                    </w:pPr>
                    <w:r>
                      <w:rPr>
                        <w:rFonts w:hint="eastAsia" w:cs="Arial"/>
                        <w:sz w:val="20"/>
                        <w:szCs w:val="20"/>
                        <w:lang w:val="en-GB"/>
                      </w:rPr>
                      <w:t>联营企业：</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96f92a97765344699f3fe74a7c29502b"/>
                <w:id w:val="-1907137519"/>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hint="eastAsia" w:cs="Arial"/>
                        <w:color w:val="000000"/>
                        <w:sz w:val="20"/>
                        <w:szCs w:val="20"/>
                        <w:lang w:val="en-GB"/>
                      </w:rPr>
                      <w:t>投资账面价值合计</w:t>
                    </w:r>
                  </w:p>
                </w:tc>
              </w:sdtContent>
            </w:sdt>
            <w:tc>
              <w:tcPr>
                <w:tcW w:w="1697" w:type="pct"/>
                <w:vAlign w:val="center"/>
              </w:tcPr>
              <w:p>
                <w:pPr>
                  <w:jc w:val="right"/>
                  <w:rPr>
                    <w:sz w:val="20"/>
                    <w:szCs w:val="20"/>
                  </w:rPr>
                </w:pPr>
                <w:r>
                  <w:rPr>
                    <w:sz w:val="20"/>
                    <w:szCs w:val="20"/>
                  </w:rPr>
                  <w:t>1,899,182,843.73</w:t>
                </w:r>
              </w:p>
            </w:tc>
            <w:tc>
              <w:tcPr>
                <w:tcW w:w="1699" w:type="pct"/>
                <w:vAlign w:val="center"/>
              </w:tcPr>
              <w:p>
                <w:pPr>
                  <w:jc w:val="right"/>
                  <w:rPr>
                    <w:sz w:val="20"/>
                    <w:szCs w:val="20"/>
                  </w:rPr>
                </w:pPr>
                <w:r>
                  <w:rPr>
                    <w:sz w:val="20"/>
                    <w:szCs w:val="20"/>
                  </w:rPr>
                  <w:t>1,830,107,817.94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31587dee61f14709a752f002668255e6"/>
                <w:id w:val="1178619264"/>
                <w:lock w:val="sdtLocked"/>
              </w:sdtPr>
              <w:sdtEndPr>
                <w:rPr>
                  <w:sz w:val="20"/>
                  <w:szCs w:val="20"/>
                </w:rPr>
              </w:sdtEndPr>
              <w:sdtContent>
                <w:tc>
                  <w:tcPr>
                    <w:tcW w:w="5000" w:type="pct"/>
                    <w:gridSpan w:val="3"/>
                    <w:shd w:val="clear" w:color="auto" w:fill="auto"/>
                    <w:vAlign w:val="center"/>
                  </w:tcPr>
                  <w:p>
                    <w:pPr>
                      <w:pStyle w:val="114"/>
                      <w:rPr>
                        <w:sz w:val="20"/>
                        <w:szCs w:val="20"/>
                      </w:rPr>
                    </w:pPr>
                    <w:r>
                      <w:rPr>
                        <w:rFonts w:hint="eastAsia" w:cs="Arial"/>
                        <w:color w:val="000000"/>
                        <w:sz w:val="20"/>
                        <w:szCs w:val="20"/>
                        <w:lang w:val="en-GB"/>
                      </w:rPr>
                      <w:t>下列各项按持股比例计算的合计数</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4bb9c04db78d44db8ec834da9e330d51"/>
                <w:id w:val="1866867104"/>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净利润</w:t>
                    </w:r>
                  </w:p>
                </w:tc>
              </w:sdtContent>
            </w:sdt>
            <w:tc>
              <w:tcPr>
                <w:tcW w:w="1697" w:type="pct"/>
                <w:vAlign w:val="center"/>
              </w:tcPr>
              <w:p>
                <w:pPr>
                  <w:jc w:val="right"/>
                  <w:rPr>
                    <w:sz w:val="20"/>
                    <w:szCs w:val="20"/>
                  </w:rPr>
                </w:pPr>
                <w:r>
                  <w:rPr>
                    <w:sz w:val="20"/>
                    <w:szCs w:val="20"/>
                  </w:rPr>
                  <w:t>81,575,025.79</w:t>
                </w:r>
              </w:p>
            </w:tc>
            <w:tc>
              <w:tcPr>
                <w:tcW w:w="1699" w:type="pct"/>
                <w:vAlign w:val="center"/>
              </w:tcPr>
              <w:p>
                <w:pPr>
                  <w:jc w:val="right"/>
                  <w:rPr>
                    <w:sz w:val="20"/>
                    <w:szCs w:val="20"/>
                  </w:rPr>
                </w:pPr>
                <w:r>
                  <w:rPr>
                    <w:sz w:val="20"/>
                    <w:szCs w:val="20"/>
                  </w:rPr>
                  <w:t>60,469,525.66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861ee8b21c034bf6a2fe80950a41eead"/>
                <w:id w:val="1469237220"/>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其他综合收益</w:t>
                    </w:r>
                  </w:p>
                </w:tc>
              </w:sdtContent>
            </w:sdt>
            <w:tc>
              <w:tcPr>
                <w:tcW w:w="1697" w:type="pct"/>
                <w:vAlign w:val="center"/>
              </w:tcPr>
              <w:p>
                <w:pPr>
                  <w:jc w:val="right"/>
                  <w:rPr>
                    <w:sz w:val="20"/>
                    <w:szCs w:val="20"/>
                  </w:rPr>
                </w:pPr>
                <w:r>
                  <w:rPr>
                    <w:sz w:val="20"/>
                    <w:szCs w:val="20"/>
                  </w:rPr>
                  <w:t>-</w:t>
                </w:r>
              </w:p>
            </w:tc>
            <w:tc>
              <w:tcPr>
                <w:tcW w:w="1699" w:type="pct"/>
                <w:vAlign w:val="center"/>
              </w:tcPr>
              <w:p>
                <w:pPr>
                  <w:jc w:val="right"/>
                  <w:rPr>
                    <w:sz w:val="20"/>
                    <w:szCs w:val="20"/>
                  </w:rPr>
                </w:pPr>
                <w:r>
                  <w:rPr>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sz w:val="20"/>
                  <w:szCs w:val="20"/>
                </w:rPr>
                <w:tag w:val="_PLD_53750ad8db9448d19b3096748652d9bc"/>
                <w:id w:val="-472289282"/>
                <w:lock w:val="sdtLocked"/>
              </w:sdtPr>
              <w:sdtEndPr>
                <w:rPr>
                  <w:sz w:val="20"/>
                  <w:szCs w:val="20"/>
                </w:rPr>
              </w:sdtEndPr>
              <w:sdtContent>
                <w:tc>
                  <w:tcPr>
                    <w:tcW w:w="1604" w:type="pct"/>
                    <w:shd w:val="clear" w:color="auto" w:fill="auto"/>
                    <w:vAlign w:val="center"/>
                  </w:tcPr>
                  <w:p>
                    <w:pPr>
                      <w:rPr>
                        <w:rFonts w:cs="Arial"/>
                        <w:color w:val="000000"/>
                        <w:sz w:val="20"/>
                        <w:szCs w:val="20"/>
                      </w:rPr>
                    </w:pPr>
                    <w:r>
                      <w:rPr>
                        <w:rFonts w:cs="Arial"/>
                        <w:color w:val="000000"/>
                        <w:sz w:val="20"/>
                        <w:szCs w:val="20"/>
                      </w:rPr>
                      <w:t>--</w:t>
                    </w:r>
                    <w:r>
                      <w:rPr>
                        <w:rFonts w:hint="eastAsia" w:cs="Arial"/>
                        <w:color w:val="000000"/>
                        <w:sz w:val="20"/>
                        <w:szCs w:val="20"/>
                        <w:lang w:val="en-GB"/>
                      </w:rPr>
                      <w:t>综合收益总额</w:t>
                    </w:r>
                  </w:p>
                </w:tc>
              </w:sdtContent>
            </w:sdt>
            <w:tc>
              <w:tcPr>
                <w:tcW w:w="1697" w:type="pct"/>
                <w:vAlign w:val="center"/>
              </w:tcPr>
              <w:p>
                <w:pPr>
                  <w:jc w:val="right"/>
                  <w:rPr>
                    <w:sz w:val="20"/>
                    <w:szCs w:val="20"/>
                  </w:rPr>
                </w:pPr>
                <w:r>
                  <w:rPr>
                    <w:sz w:val="20"/>
                    <w:szCs w:val="20"/>
                  </w:rPr>
                  <w:t>81,575,025.79</w:t>
                </w:r>
              </w:p>
            </w:tc>
            <w:tc>
              <w:tcPr>
                <w:tcW w:w="1699" w:type="pct"/>
                <w:vAlign w:val="center"/>
              </w:tcPr>
              <w:p>
                <w:pPr>
                  <w:jc w:val="right"/>
                  <w:rPr>
                    <w:sz w:val="20"/>
                    <w:szCs w:val="20"/>
                  </w:rPr>
                </w:pPr>
                <w:r>
                  <w:rPr>
                    <w:sz w:val="20"/>
                    <w:szCs w:val="20"/>
                  </w:rPr>
                  <w:t>60,469,525.66</w:t>
                </w:r>
              </w:p>
            </w:tc>
          </w:tr>
        </w:tbl>
        <w:p>
          <w:pPr>
            <w:rPr>
              <w:rFonts w:cs="Arial"/>
            </w:rPr>
          </w:pPr>
          <w:r>
            <w:rPr>
              <w:rFonts w:hint="eastAsia" w:cs="Arial"/>
            </w:rPr>
            <w:t>其他说明</w:t>
          </w:r>
        </w:p>
        <w:p>
          <w:pPr>
            <w:rPr>
              <w:rFonts w:cs="Arial"/>
            </w:rPr>
          </w:pPr>
          <w:sdt>
            <w:sdtPr>
              <w:alias w:val="不重要的合营企业和联营企业的汇总财务信息其他说明"/>
              <w:tag w:val="_GBC_78096995ca9848409e6780ab5f1386f8"/>
              <w:id w:val="-878250727"/>
              <w:lock w:val="sdtLocked"/>
              <w:placeholder>
                <w:docPart w:val="GBC22222222222222222222222222222"/>
              </w:placeholder>
            </w:sdtPr>
            <w:sdtContent>
              <w:r>
                <w:rPr>
                  <w:rFonts w:hint="eastAsia"/>
                </w:rPr>
                <w:t>不适用</w:t>
              </w:r>
            </w:sdtContent>
          </w:sdt>
        </w:p>
      </w:sdtContent>
    </w:sdt>
    <w:p>
      <w:pPr>
        <w:rPr>
          <w:rFonts w:cs="Arial"/>
        </w:rPr>
      </w:pPr>
    </w:p>
    <w:sdt>
      <w:sdtPr>
        <w:rPr>
          <w:rFonts w:hint="eastAsia" w:ascii="宋体" w:hAnsi="宋体" w:cs="Arial"/>
          <w:b w:val="0"/>
          <w:bCs w:val="0"/>
          <w:kern w:val="0"/>
          <w:szCs w:val="21"/>
        </w:rPr>
        <w:alias w:val="模块:合营企业或联营企业向公司转移资金的能力存在重大限制的说明"/>
        <w:tag w:val="_GBC_2874973c28b34357bf81a60947721baa"/>
        <w:id w:val="-955333178"/>
        <w:lock w:val="sdtLocked"/>
        <w:placeholder>
          <w:docPart w:val="GBC22222222222222222222222222222"/>
        </w:placeholder>
      </w:sdtPr>
      <w:sdtEndPr>
        <w:rPr>
          <w:rFonts w:hint="eastAsia" w:ascii="宋体" w:hAnsi="宋体" w:cs="Arial"/>
          <w:b w:val="0"/>
          <w:bCs w:val="0"/>
          <w:kern w:val="0"/>
          <w:szCs w:val="21"/>
        </w:rPr>
      </w:sdtEndPr>
      <w:sdtContent>
        <w:p>
          <w:pPr>
            <w:pStyle w:val="118"/>
            <w:numPr>
              <w:ilvl w:val="3"/>
              <w:numId w:val="89"/>
            </w:numPr>
            <w:tabs>
              <w:tab w:val="left" w:pos="630"/>
            </w:tabs>
            <w:rPr>
              <w:rFonts w:ascii="宋体" w:hAnsi="宋体" w:cs="Arial"/>
              <w:szCs w:val="21"/>
            </w:rPr>
          </w:pPr>
          <w:r>
            <w:rPr>
              <w:rFonts w:hint="eastAsia" w:ascii="宋体" w:hAnsi="宋体" w:cs="Arial"/>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59076616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rPr>
          </w:pPr>
        </w:p>
      </w:sdtContent>
    </w:sdt>
    <w:sdt>
      <w:sdtPr>
        <w:rPr>
          <w:rFonts w:hint="eastAsia" w:ascii="宋体" w:hAnsi="宋体" w:cs="Arial"/>
          <w:b w:val="0"/>
          <w:bCs w:val="0"/>
          <w:kern w:val="0"/>
          <w:szCs w:val="21"/>
        </w:rPr>
        <w:alias w:val="模块:合营企业或联营企业发生的超额亏损"/>
        <w:tag w:val="_GBC_a9980062c82d44acae24fae7368ea42f"/>
        <w:id w:val="-541750503"/>
        <w:lock w:val="sdtLocked"/>
        <w:placeholder>
          <w:docPart w:val="GBC22222222222222222222222222222"/>
        </w:placeholder>
      </w:sdtPr>
      <w:sdtEndPr>
        <w:rPr>
          <w:rFonts w:hint="default" w:ascii="宋体" w:hAnsi="宋体" w:cstheme="minorBidi"/>
          <w:b w:val="0"/>
          <w:bCs w:val="0"/>
          <w:kern w:val="0"/>
          <w:szCs w:val="21"/>
        </w:rPr>
      </w:sdtEndPr>
      <w:sdtContent>
        <w:p>
          <w:pPr>
            <w:pStyle w:val="118"/>
            <w:numPr>
              <w:ilvl w:val="3"/>
              <w:numId w:val="89"/>
            </w:numPr>
            <w:tabs>
              <w:tab w:val="left" w:pos="630"/>
            </w:tabs>
            <w:rPr>
              <w:rFonts w:ascii="宋体" w:hAnsi="宋体" w:cs="Arial"/>
              <w:szCs w:val="21"/>
            </w:rPr>
          </w:pPr>
          <w:r>
            <w:rPr>
              <w:rFonts w:hint="eastAsia" w:ascii="宋体" w:hAnsi="宋体" w:cs="Arial"/>
              <w:szCs w:val="21"/>
            </w:rPr>
            <w:t>合营企业或联营企业发生的超额亏损</w:t>
          </w:r>
        </w:p>
        <w:sdt>
          <w:sdtPr>
            <w:alias w:val="是否适用：合营企业或联营企业发生的超额亏损[双击切换]"/>
            <w:tag w:val="_GBC_c30af0beca864d788c2fe12f47f13428"/>
            <w:id w:val="-141816826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rPr>
          </w:pPr>
        </w:p>
      </w:sdtContent>
    </w:sdt>
    <w:p>
      <w:pPr>
        <w:rPr>
          <w:rFonts w:cs="Arial"/>
        </w:rPr>
      </w:pPr>
    </w:p>
    <w:sdt>
      <w:sdtPr>
        <w:rPr>
          <w:rFonts w:hint="eastAsia" w:ascii="宋体" w:hAnsi="宋体" w:cs="Arial"/>
          <w:b w:val="0"/>
          <w:bCs w:val="0"/>
          <w:kern w:val="0"/>
          <w:szCs w:val="21"/>
        </w:rPr>
        <w:alias w:val="模块:与合营企业投资相关的未确认承诺"/>
        <w:tag w:val="_GBC_da055842bf8c4e9598b87bd760d969ec"/>
        <w:id w:val="1402877560"/>
        <w:lock w:val="sdtLocked"/>
        <w:placeholder>
          <w:docPart w:val="GBC22222222222222222222222222222"/>
        </w:placeholder>
      </w:sdtPr>
      <w:sdtEndPr>
        <w:rPr>
          <w:rFonts w:hint="eastAsia" w:ascii="宋体" w:hAnsi="宋体" w:cs="Arial"/>
          <w:b w:val="0"/>
          <w:bCs w:val="0"/>
          <w:kern w:val="0"/>
          <w:szCs w:val="21"/>
        </w:rPr>
      </w:sdtEndPr>
      <w:sdtContent>
        <w:p>
          <w:pPr>
            <w:pStyle w:val="118"/>
            <w:numPr>
              <w:ilvl w:val="3"/>
              <w:numId w:val="89"/>
            </w:numPr>
            <w:tabs>
              <w:tab w:val="left" w:pos="630"/>
            </w:tabs>
            <w:rPr>
              <w:rFonts w:ascii="宋体" w:hAnsi="宋体" w:cs="Arial"/>
              <w:szCs w:val="21"/>
            </w:rPr>
          </w:pPr>
          <w:r>
            <w:rPr>
              <w:rFonts w:hint="eastAsia" w:ascii="宋体" w:hAnsi="宋体" w:cs="Arial"/>
              <w:szCs w:val="21"/>
            </w:rPr>
            <w:t>与合营企业投资相关的未确认承诺</w:t>
          </w:r>
        </w:p>
        <w:sdt>
          <w:sdtPr>
            <w:alias w:val="是否适用：与合营企业投资相关的未确认承诺[双击切换]"/>
            <w:tag w:val="_GBC_9d014d8b476148b59476808a5cda81d8"/>
            <w:id w:val="-1578039562"/>
            <w:lock w:val="sdtLocked"/>
            <w:placeholder>
              <w:docPart w:val="GBC22222222222222222222222222222"/>
            </w:placeholder>
          </w:sdtPr>
          <w:sdtContent>
            <w:p>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rFonts w:cs="Arial"/>
        </w:rPr>
      </w:pPr>
    </w:p>
    <w:sdt>
      <w:sdtPr>
        <w:rPr>
          <w:rFonts w:hint="eastAsia" w:ascii="宋体" w:hAnsi="宋体" w:cs="Arial"/>
          <w:b w:val="0"/>
          <w:bCs w:val="0"/>
          <w:kern w:val="0"/>
          <w:szCs w:val="21"/>
        </w:rPr>
        <w:alias w:val="模块:与合营企业或联营企业投资相关的或有负债"/>
        <w:tag w:val="_GBC_1f803def681a42ba91cdde709a067b3f"/>
        <w:id w:val="2077617459"/>
        <w:lock w:val="sdtLocked"/>
        <w:placeholder>
          <w:docPart w:val="GBC22222222222222222222222222222"/>
        </w:placeholder>
      </w:sdtPr>
      <w:sdtEndPr>
        <w:rPr>
          <w:rFonts w:hint="eastAsia" w:ascii="宋体" w:hAnsi="宋体" w:cs="Arial"/>
          <w:b w:val="0"/>
          <w:bCs w:val="0"/>
          <w:kern w:val="0"/>
          <w:szCs w:val="21"/>
        </w:rPr>
      </w:sdtEndPr>
      <w:sdtContent>
        <w:p>
          <w:pPr>
            <w:pStyle w:val="118"/>
            <w:numPr>
              <w:ilvl w:val="3"/>
              <w:numId w:val="89"/>
            </w:numPr>
            <w:tabs>
              <w:tab w:val="left" w:pos="630"/>
            </w:tabs>
            <w:rPr>
              <w:rFonts w:ascii="宋体" w:hAnsi="宋体" w:cs="Arial"/>
              <w:szCs w:val="21"/>
            </w:rPr>
          </w:pPr>
          <w:r>
            <w:rPr>
              <w:rFonts w:hint="eastAsia" w:ascii="宋体" w:hAnsi="宋体" w:cs="Arial"/>
              <w:szCs w:val="21"/>
            </w:rPr>
            <w:t>与合营企业或联营企业投资相关的或有负债</w:t>
          </w:r>
        </w:p>
        <w:sdt>
          <w:sdtPr>
            <w:alias w:val="是否适用：与合营企业或联营企业投资相关的或有负债[双击切换]"/>
            <w:tag w:val="_GBC_caba618be81b4cb1acf89073549a456a"/>
            <w:id w:val="-312864178"/>
            <w:lock w:val="sdtLocked"/>
            <w:placeholder>
              <w:docPart w:val="GBC22222222222222222222222222222"/>
            </w:placeholder>
          </w:sdtPr>
          <w:sdtContent>
            <w:p>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rPr>
          <w:rFonts w:cs="Arial"/>
        </w:rPr>
      </w:pPr>
    </w:p>
    <w:sdt>
      <w:sdtPr>
        <w:rPr>
          <w:rFonts w:hint="eastAsia" w:ascii="宋体" w:hAnsi="宋体" w:cs="Arial"/>
          <w:b w:val="0"/>
          <w:bCs w:val="0"/>
          <w:kern w:val="0"/>
          <w:szCs w:val="21"/>
        </w:rPr>
        <w:alias w:val="模块:重要的共同经营"/>
        <w:tag w:val="_GBC_90d44eb1222944759107483908112493"/>
        <w:id w:val="442498396"/>
        <w:lock w:val="sdtLocked"/>
        <w:placeholder>
          <w:docPart w:val="GBC22222222222222222222222222222"/>
        </w:placeholder>
      </w:sdtPr>
      <w:sdtEndPr>
        <w:rPr>
          <w:rFonts w:hint="default" w:ascii="宋体" w:hAnsi="宋体" w:cstheme="minorBidi"/>
          <w:b w:val="0"/>
          <w:bCs w:val="0"/>
          <w:kern w:val="0"/>
          <w:szCs w:val="21"/>
        </w:rPr>
      </w:sdtEndPr>
      <w:sdtContent>
        <w:p>
          <w:pPr>
            <w:pStyle w:val="117"/>
            <w:numPr>
              <w:ilvl w:val="2"/>
              <w:numId w:val="87"/>
            </w:numPr>
            <w:rPr>
              <w:rFonts w:ascii="宋体" w:hAnsi="宋体" w:cs="Arial"/>
              <w:szCs w:val="21"/>
            </w:rPr>
          </w:pPr>
          <w:r>
            <w:rPr>
              <w:rFonts w:hint="eastAsia" w:ascii="宋体" w:hAnsi="宋体" w:cs="Arial"/>
              <w:szCs w:val="21"/>
            </w:rPr>
            <w:t>重要的共同经营</w:t>
          </w:r>
        </w:p>
        <w:sdt>
          <w:sdtPr>
            <w:alias w:val="是否适用：重要的共同经营[双击切换]"/>
            <w:tag w:val="_GBC_7911b1c8195d4c20b2800b1c5ac94a93"/>
            <w:id w:val="5680856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rPr>
          </w:pPr>
        </w:p>
      </w:sdtContent>
    </w:sdt>
    <w:p>
      <w:pPr>
        <w:rPr>
          <w:rFonts w:cs="Arial"/>
        </w:rPr>
      </w:pPr>
    </w:p>
    <w:sdt>
      <w:sdtPr>
        <w:rPr>
          <w:rFonts w:hint="eastAsia" w:ascii="宋体" w:hAnsi="宋体" w:cs="Arial"/>
          <w:b w:val="0"/>
          <w:bCs w:val="0"/>
          <w:kern w:val="0"/>
          <w:szCs w:val="21"/>
        </w:rPr>
        <w:alias w:val="模块:在未纳入合并财务报表范围的结构化主体中的权益"/>
        <w:tag w:val="_GBC_5cfea65e45c44f1b9fdec762be35880d"/>
        <w:id w:val="-341939126"/>
        <w:lock w:val="sdtLocked"/>
        <w:placeholder>
          <w:docPart w:val="GBC22222222222222222222222222222"/>
        </w:placeholder>
      </w:sdtPr>
      <w:sdtEndPr>
        <w:rPr>
          <w:rFonts w:hint="eastAsia" w:ascii="宋体" w:hAnsi="宋体" w:cs="Arial"/>
          <w:b w:val="0"/>
          <w:bCs w:val="0"/>
          <w:kern w:val="0"/>
          <w:szCs w:val="21"/>
        </w:rPr>
      </w:sdtEndPr>
      <w:sdtContent>
        <w:p>
          <w:pPr>
            <w:pStyle w:val="117"/>
            <w:numPr>
              <w:ilvl w:val="2"/>
              <w:numId w:val="87"/>
            </w:numPr>
            <w:rPr>
              <w:rFonts w:ascii="宋体" w:hAnsi="宋体" w:cs="Arial"/>
              <w:szCs w:val="21"/>
            </w:rPr>
          </w:pPr>
          <w:r>
            <w:rPr>
              <w:rFonts w:hint="eastAsia" w:ascii="宋体" w:hAnsi="宋体" w:cs="Arial"/>
              <w:szCs w:val="21"/>
            </w:rPr>
            <w:t>在未纳入合并财务报表范围的结构化主体中的权益</w:t>
          </w:r>
        </w:p>
        <w:p>
          <w:pPr>
            <w:rPr>
              <w:rFonts w:cs="Arial"/>
            </w:rPr>
          </w:pPr>
          <w:r>
            <w:rPr>
              <w:rFonts w:hint="eastAsia" w:cs="Arial"/>
            </w:rPr>
            <w:t>未纳入合并财务报表范围的结构化主体的相关说明：</w:t>
          </w:r>
        </w:p>
        <w:sdt>
          <w:sdtPr>
            <w:rPr>
              <w:rFonts w:cs="Arial"/>
            </w:rPr>
            <w:alias w:val="是否适用：未纳入合并财务报表范围的结构化主体的相关说明[双击切换]"/>
            <w:tag w:val="_GBC_48eb6d215e5341c694f98d18f5889902"/>
            <w:id w:val="789555711"/>
            <w:lock w:val="sdtLocked"/>
            <w:placeholder>
              <w:docPart w:val="GBC22222222222222222222222222222"/>
            </w:placeholder>
          </w:sdtPr>
          <w:sdtEndPr>
            <w:rPr>
              <w:rFonts w:cs="Arial"/>
            </w:rPr>
          </w:sdtEndPr>
          <w:sdtContent>
            <w:p>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pPr>
            <w:rPr>
              <w:rFonts w:cs="Arial"/>
            </w:rPr>
          </w:pPr>
        </w:p>
      </w:sdtContent>
    </w:sdt>
    <w:sdt>
      <w:sdtPr>
        <w:rPr>
          <w:rFonts w:hint="eastAsia" w:ascii="宋体" w:hAnsi="宋体" w:cs="Arial"/>
          <w:b w:val="0"/>
          <w:bCs w:val="0"/>
          <w:kern w:val="0"/>
          <w:szCs w:val="21"/>
        </w:rPr>
        <w:alias w:val="模块:在其他主体中的权益其他需要说明的事项"/>
        <w:tag w:val="_GBC_b24eb633f5244c748225389f3b3cedd1"/>
        <w:id w:val="-1521997565"/>
        <w:lock w:val="sdtLocked"/>
        <w:placeholder>
          <w:docPart w:val="GBC22222222222222222222222222222"/>
        </w:placeholder>
      </w:sdtPr>
      <w:sdtEndPr>
        <w:rPr>
          <w:rFonts w:hint="eastAsia" w:ascii="宋体" w:hAnsi="宋体" w:cs="Arial"/>
          <w:b w:val="0"/>
          <w:bCs w:val="0"/>
          <w:kern w:val="0"/>
          <w:szCs w:val="21"/>
        </w:rPr>
      </w:sdtEndPr>
      <w:sdtContent>
        <w:p>
          <w:pPr>
            <w:pStyle w:val="117"/>
            <w:numPr>
              <w:ilvl w:val="2"/>
              <w:numId w:val="87"/>
            </w:numPr>
            <w:rPr>
              <w:rFonts w:ascii="宋体" w:hAnsi="宋体" w:cs="Arial"/>
              <w:szCs w:val="21"/>
            </w:rPr>
          </w:pPr>
          <w:r>
            <w:rPr>
              <w:rFonts w:hint="eastAsia" w:ascii="宋体" w:hAnsi="宋体" w:cs="Arial"/>
              <w:szCs w:val="21"/>
            </w:rPr>
            <w:t>其他</w:t>
          </w:r>
        </w:p>
        <w:sdt>
          <w:sdtPr>
            <w:alias w:val="是否适用：在其他主体中的权益其他需要说明的事项[双击切换]"/>
            <w:tag w:val="_GBC_ad8b7a7df0724efaa681a931c91befff"/>
            <w:id w:val="-143265470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与金融工具相关的风险"/>
        <w:tag w:val="_GBC_815d628fea814e7191d23a3fcbe2783c"/>
        <w:id w:val="-164934485"/>
        <w:lock w:val="sdtLocked"/>
        <w:placeholder>
          <w:docPart w:val="GBC22222222222222222222222222222"/>
        </w:placeholder>
      </w:sdtPr>
      <w:sdtEndPr>
        <w:rPr>
          <w:rFonts w:hint="eastAsia" w:ascii="宋体" w:hAnsi="宋体" w:cs="宋体"/>
          <w:b w:val="0"/>
          <w:bCs w:val="0"/>
          <w:kern w:val="0"/>
          <w:szCs w:val="21"/>
        </w:rPr>
      </w:sdtEndPr>
      <w:sdtContent>
        <w:p>
          <w:pPr>
            <w:pStyle w:val="3"/>
            <w:numPr>
              <w:ilvl w:val="0"/>
              <w:numId w:val="38"/>
            </w:numPr>
            <w:ind w:left="420" w:hanging="420"/>
            <w:rPr>
              <w:rFonts w:ascii="宋体" w:hAnsi="宋体"/>
            </w:rPr>
          </w:pPr>
          <w:r>
            <w:rPr>
              <w:rFonts w:hint="eastAsia" w:ascii="宋体" w:hAnsi="宋体"/>
            </w:rPr>
            <w:t>与金融工具相关的风险</w:t>
          </w:r>
        </w:p>
        <w:sdt>
          <w:sdtPr>
            <w:alias w:val="是否适用：与金融工具相关的风险[双击切换]"/>
            <w:tag w:val="_GBC_c64d1e82474c4f20aebea3bef4cc2f0f"/>
            <w:id w:val="-170547848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1"/>
            </w:rPr>
            <w:alias w:val="与金融工具相关的风险"/>
            <w:tag w:val="_GBC_f6714dfdbb554edeb7e7fde71c65346d"/>
            <w:id w:val="-127397529"/>
            <w:lock w:val="sdtLocked"/>
            <w:placeholder>
              <w:docPart w:val="GBC22222222222222222222222222222"/>
            </w:placeholder>
          </w:sdtPr>
          <w:sdtEndPr>
            <w:rPr>
              <w:b/>
              <w:sz w:val="21"/>
            </w:rPr>
          </w:sdtEndPr>
          <w:sdtContent>
            <w:p>
              <w:pPr>
                <w:pStyle w:val="178"/>
                <w:rPr>
                  <w:rFonts w:cs="Times New Roman" w:asciiTheme="minorEastAsia" w:hAnsiTheme="minorEastAsia" w:eastAsiaTheme="minorEastAsia"/>
                  <w:sz w:val="21"/>
                  <w:lang w:val="en-GB"/>
                </w:rPr>
              </w:pPr>
              <w:r>
                <w:rPr>
                  <w:rFonts w:ascii="Times New Roman" w:hAnsi="Times New Roman" w:eastAsia="Times New Roman" w:cs="Times New Roman"/>
                  <w:szCs w:val="24"/>
                  <w:lang w:val="en-GB"/>
                </w:rPr>
                <w:t> </w:t>
              </w:r>
              <w:r>
                <w:rPr>
                  <w:rFonts w:hint="eastAsia" w:cs="PMingLiU" w:asciiTheme="minorEastAsia" w:hAnsiTheme="minorEastAsia" w:eastAsiaTheme="minorEastAsia"/>
                  <w:sz w:val="21"/>
                  <w:lang w:val="en-GB"/>
                </w:rPr>
                <w:t>本集</w:t>
              </w:r>
              <w:r>
                <w:rPr>
                  <w:rFonts w:hint="eastAsia" w:asciiTheme="minorEastAsia" w:hAnsiTheme="minorEastAsia" w:eastAsiaTheme="minorEastAsia"/>
                  <w:sz w:val="21"/>
                  <w:lang w:val="en-GB"/>
                </w:rPr>
                <w:t>团在日常活动中面临各种金融工具的风险，主要包括</w:t>
              </w:r>
              <w:r>
                <w:rPr>
                  <w:rFonts w:cs="PMingLiU" w:asciiTheme="minorEastAsia" w:hAnsiTheme="minorEastAsia" w:eastAsiaTheme="minorEastAsia"/>
                  <w:sz w:val="21"/>
                  <w:lang w:val="en-GB"/>
                </w:rPr>
                <w:t>：</w:t>
              </w:r>
            </w:p>
            <w:p>
              <w:pPr>
                <w:spacing w:before="100" w:beforeAutospacing="1" w:after="240"/>
                <w:ind w:left="283"/>
                <w:rPr>
                  <w:rFonts w:cs="Times New Roman" w:asciiTheme="minorEastAsia" w:hAnsiTheme="minorEastAsia" w:eastAsiaTheme="minorEastAsia"/>
                  <w:lang w:val="en-GB"/>
                </w:rPr>
              </w:pPr>
              <w:r>
                <w:rPr>
                  <w:rFonts w:cs="Times New Roman" w:asciiTheme="minorEastAsia" w:hAnsiTheme="minorEastAsia" w:eastAsiaTheme="minorEastAsia"/>
                  <w:lang w:val="en-GB"/>
                </w:rPr>
                <w:t>- </w:t>
              </w:r>
              <w:r>
                <w:rPr>
                  <w:rFonts w:hint="eastAsia" w:cs="PMingLiU" w:asciiTheme="minorEastAsia" w:hAnsiTheme="minorEastAsia" w:eastAsiaTheme="minorEastAsia"/>
                  <w:lang w:val="en-GB"/>
                </w:rPr>
                <w:t>信用</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ind w:left="283"/>
                <w:rPr>
                  <w:rFonts w:cs="Times New Roman" w:asciiTheme="minorEastAsia" w:hAnsiTheme="minorEastAsia" w:eastAsiaTheme="minorEastAsia"/>
                  <w:lang w:val="en-GB"/>
                </w:rPr>
              </w:pPr>
              <w:r>
                <w:rPr>
                  <w:rFonts w:cs="Times New Roman" w:asciiTheme="minorEastAsia" w:hAnsiTheme="minorEastAsia" w:eastAsiaTheme="minorEastAsia"/>
                  <w:lang w:val="en-GB"/>
                </w:rPr>
                <w:t>- </w:t>
              </w:r>
              <w:r>
                <w:rPr>
                  <w:rFonts w:hint="eastAsia" w:cs="PMingLiU" w:asciiTheme="minorEastAsia" w:hAnsiTheme="minorEastAsia" w:eastAsiaTheme="minorEastAsia"/>
                  <w:lang w:val="en-GB"/>
                </w:rPr>
                <w:t>流</w:t>
              </w:r>
              <w:r>
                <w:rPr>
                  <w:rFonts w:hint="eastAsia" w:asciiTheme="minorEastAsia" w:hAnsiTheme="minorEastAsia" w:eastAsiaTheme="minorEastAsia"/>
                  <w:lang w:val="en-GB"/>
                </w:rPr>
                <w:t>动性风</w:t>
              </w:r>
              <w:r>
                <w:rPr>
                  <w:rFonts w:asciiTheme="minorEastAsia" w:hAnsiTheme="minorEastAsia" w:eastAsiaTheme="minorEastAsia"/>
                  <w:lang w:val="en-GB"/>
                </w:rPr>
                <w:t>险</w:t>
              </w:r>
            </w:p>
            <w:p>
              <w:pPr>
                <w:spacing w:before="100" w:beforeAutospacing="1" w:after="240"/>
                <w:ind w:left="283"/>
                <w:rPr>
                  <w:rFonts w:cs="Times New Roman" w:asciiTheme="minorEastAsia" w:hAnsiTheme="minorEastAsia" w:eastAsiaTheme="minorEastAsia"/>
                  <w:lang w:val="en-GB"/>
                </w:rPr>
              </w:pPr>
              <w:r>
                <w:rPr>
                  <w:rFonts w:cs="Times New Roman" w:asciiTheme="minorEastAsia" w:hAnsiTheme="minorEastAsia" w:eastAsiaTheme="minorEastAsia"/>
                  <w:lang w:val="en-GB"/>
                </w:rPr>
                <w:t>- </w:t>
              </w:r>
              <w:r>
                <w:rPr>
                  <w:rFonts w:hint="eastAsia" w:cs="PMingLiU" w:asciiTheme="minorEastAsia" w:hAnsiTheme="minorEastAsia" w:eastAsiaTheme="minorEastAsia"/>
                  <w:lang w:val="en-GB"/>
                </w:rPr>
                <w:t>利率</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ind w:left="283"/>
                <w:rPr>
                  <w:rFonts w:cs="Times New Roman" w:asciiTheme="minorEastAsia" w:hAnsiTheme="minorEastAsia" w:eastAsiaTheme="minorEastAsia"/>
                  <w:lang w:val="en-GB"/>
                </w:rPr>
              </w:pPr>
              <w:r>
                <w:rPr>
                  <w:rFonts w:cs="Times New Roman" w:asciiTheme="minorEastAsia" w:hAnsiTheme="minorEastAsia" w:eastAsiaTheme="minorEastAsia"/>
                  <w:lang w:val="en-GB"/>
                </w:rPr>
                <w:t>- </w:t>
              </w:r>
              <w:r>
                <w:rPr>
                  <w:rFonts w:hint="eastAsia" w:cs="PMingLiU" w:asciiTheme="minorEastAsia" w:hAnsiTheme="minorEastAsia" w:eastAsiaTheme="minorEastAsia"/>
                  <w:lang w:val="en-GB"/>
                </w:rPr>
                <w:t>其他价格</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下文主要</w:t>
              </w:r>
              <w:r>
                <w:rPr>
                  <w:rFonts w:hint="eastAsia" w:asciiTheme="minorEastAsia" w:hAnsiTheme="minorEastAsia" w:eastAsiaTheme="minorEastAsia"/>
                  <w:lang w:val="en-GB"/>
                </w:rPr>
                <w:t>论述上述风险敞口及其形成原因以及在本期发生的变化、风险管理目标、政策和程序以及计量风险的方法及其在本期发生的变化等</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从事风险管理的目标是在风险和收益之间取得适当的平衡，力求降低金融风险对本集团财务业绩的不利影响。基于该风险管理目标，本集团已制定风险管理政策以辨别和分析本集团所面临的风险，设定适当的风险可接受水平并设计相应的内部控制程序，以监控本集团的风险水</w:t>
              </w:r>
              <w:r>
                <w:rPr>
                  <w:rFonts w:hint="eastAsia" w:cs="PMingLiU" w:asciiTheme="minorEastAsia" w:hAnsiTheme="minorEastAsia" w:eastAsiaTheme="minorEastAsia"/>
                  <w:lang w:val="en-GB"/>
                </w:rPr>
                <w:t>平。本集</w:t>
              </w:r>
              <w:r>
                <w:rPr>
                  <w:rFonts w:hint="eastAsia" w:asciiTheme="minorEastAsia" w:hAnsiTheme="minorEastAsia" w:eastAsiaTheme="minorEastAsia"/>
                  <w:lang w:val="en-GB"/>
                </w:rPr>
                <w:t>团会定期审阅这些风险管理政策及有关内部控制系统，以适应市场情况或本集团经营活动的改变</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Times New Roman" w:asciiTheme="minorEastAsia" w:hAnsiTheme="minorEastAsia" w:eastAsiaTheme="minorEastAsia"/>
                  <w:lang w:val="en-GB"/>
                </w:rPr>
                <w:t>1、</w:t>
              </w:r>
              <w:r>
                <w:rPr>
                  <w:rFonts w:hint="eastAsia" w:cs="PMingLiU" w:asciiTheme="minorEastAsia" w:hAnsiTheme="minorEastAsia" w:eastAsiaTheme="minorEastAsia"/>
                  <w:lang w:val="en-GB"/>
                </w:rPr>
                <w:t>信用</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信用</w:t>
              </w:r>
              <w:r>
                <w:rPr>
                  <w:rFonts w:hint="eastAsia" w:asciiTheme="minorEastAsia" w:hAnsiTheme="minorEastAsia" w:eastAsiaTheme="minorEastAsia"/>
                  <w:lang w:val="en-GB"/>
                </w:rPr>
                <w:t>风险，是指金融工具的一方不能履行义务，造成另一方发生财务损失的风险。本集团的信用风险主要来自附注七、</w:t>
              </w:r>
              <w:r>
                <w:rPr>
                  <w:rFonts w:cs="Times New Roman" w:asciiTheme="minorEastAsia" w:hAnsiTheme="minorEastAsia" w:eastAsiaTheme="minorEastAsia"/>
                  <w:lang w:val="en-GB"/>
                </w:rPr>
                <w:t>1</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4</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5</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8</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13</w:t>
              </w:r>
              <w:r>
                <w:rPr>
                  <w:rFonts w:hint="eastAsia" w:cs="PMingLiU" w:asciiTheme="minorEastAsia" w:hAnsiTheme="minorEastAsia" w:eastAsiaTheme="minorEastAsia"/>
                  <w:lang w:val="en-GB"/>
                </w:rPr>
                <w:t>及</w:t>
              </w:r>
              <w:r>
                <w:rPr>
                  <w:rFonts w:cs="Times New Roman" w:asciiTheme="minorEastAsia" w:hAnsiTheme="minorEastAsia" w:eastAsiaTheme="minorEastAsia"/>
                  <w:lang w:val="en-GB"/>
                </w:rPr>
                <w:t>16</w:t>
              </w:r>
              <w:r>
                <w:rPr>
                  <w:rFonts w:hint="eastAsia" w:cs="PMingLiU" w:asciiTheme="minorEastAsia" w:hAnsiTheme="minorEastAsia" w:eastAsiaTheme="minorEastAsia"/>
                  <w:lang w:val="en-GB"/>
                </w:rPr>
                <w:t>中披露的</w:t>
              </w:r>
              <w:r>
                <w:rPr>
                  <w:rFonts w:hint="eastAsia" w:asciiTheme="minorEastAsia" w:hAnsiTheme="minorEastAsia" w:eastAsiaTheme="minorEastAsia"/>
                  <w:lang w:val="en-GB"/>
                </w:rPr>
                <w:t>货币资金、应收票据、应收账款、其他应收款、应收保理款、长期应收款以及附注十四</w:t>
              </w:r>
              <w:r>
                <w:rPr>
                  <w:rFonts w:cs="Times New Roman" w:asciiTheme="minorEastAsia" w:hAnsiTheme="minorEastAsia" w:eastAsiaTheme="minorEastAsia"/>
                  <w:lang w:val="en-GB"/>
                </w:rPr>
                <w:t>“</w:t>
              </w:r>
              <w:r>
                <w:rPr>
                  <w:rFonts w:hint="eastAsia" w:cs="PMingLiU" w:asciiTheme="minorEastAsia" w:hAnsiTheme="minorEastAsia" w:eastAsiaTheme="minorEastAsia"/>
                  <w:lang w:val="en-GB"/>
                </w:rPr>
                <w:t>或有事</w:t>
              </w:r>
              <w:r>
                <w:rPr>
                  <w:rFonts w:hint="eastAsia" w:asciiTheme="minorEastAsia" w:hAnsiTheme="minorEastAsia" w:eastAsiaTheme="minorEastAsia"/>
                  <w:lang w:val="en-GB"/>
                </w:rPr>
                <w:t>项</w:t>
              </w:r>
              <w:r>
                <w:rPr>
                  <w:rFonts w:cs="Times New Roman" w:asciiTheme="minorEastAsia" w:hAnsiTheme="minorEastAsia" w:eastAsiaTheme="minorEastAsia"/>
                  <w:lang w:val="en-GB"/>
                </w:rPr>
                <w:t>”</w:t>
              </w:r>
              <w:r>
                <w:rPr>
                  <w:rFonts w:hint="eastAsia" w:cs="PMingLiU" w:asciiTheme="minorEastAsia" w:hAnsiTheme="minorEastAsia" w:eastAsiaTheme="minorEastAsia"/>
                  <w:lang w:val="en-GB"/>
                </w:rPr>
                <w:t>中披露的房地</w:t>
              </w:r>
              <w:r>
                <w:rPr>
                  <w:rFonts w:hint="eastAsia" w:asciiTheme="minorEastAsia" w:hAnsiTheme="minorEastAsia" w:eastAsiaTheme="minorEastAsia"/>
                  <w:lang w:val="en-GB"/>
                </w:rPr>
                <w:t>产销售相关的担保合同金额。管理层会持续监控这些信用风险的敞口</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团除现金以外的货币资金主要存放于信用良好的金融机构，管理层认为其不存在重大的信用风险，预期不会因为对方违约而给本集团造成损失</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团所承受的最大信用风险敞口为资产负债表中每项金融资产的账面金额。除附</w:t>
              </w:r>
              <w:r>
                <w:rPr>
                  <w:rFonts w:hint="eastAsia" w:cs="PMingLiU" w:asciiTheme="minorEastAsia" w:hAnsiTheme="minorEastAsia" w:eastAsiaTheme="minorEastAsia"/>
                  <w:lang w:val="en-GB"/>
                </w:rPr>
                <w:t>注十四所</w:t>
              </w:r>
              <w:r>
                <w:rPr>
                  <w:rFonts w:hint="eastAsia" w:asciiTheme="minorEastAsia" w:hAnsiTheme="minorEastAsia" w:eastAsiaTheme="minorEastAsia"/>
                  <w:lang w:val="en-GB"/>
                </w:rPr>
                <w:t>载本集团作出的财务担保外，本集团没有提供任何其他可能令本集团承受信用风险的担保。于资产负债表日就上述财务担保承受的最大信用风险敞口已在附注十四披露</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信用风险主要是受每个客户自身特性的影响，而不是客户所在的行业或国家和地区。因此重大信用风险集中的情况主要源自本集团存在对个别客户的重大应收账款。于资产负债表日，本集团的前五大客户的应收账款占本集团应收账款总额的</w:t>
              </w:r>
              <w:r>
                <w:rPr>
                  <w:rFonts w:cs="Times New Roman" w:asciiTheme="minorEastAsia" w:hAnsiTheme="minorEastAsia" w:eastAsiaTheme="minorEastAsia"/>
                  <w:lang w:val="en-GB"/>
                </w:rPr>
                <w:t>80.31% (2022</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89.10%) </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有</w:t>
              </w:r>
              <w:r>
                <w:rPr>
                  <w:rFonts w:hint="eastAsia" w:asciiTheme="minorEastAsia" w:hAnsiTheme="minorEastAsia" w:eastAsiaTheme="minorEastAsia"/>
                  <w:lang w:val="en-GB"/>
                </w:rPr>
                <w:t>关应收账款的具体信息，请参见附注七、</w:t>
              </w:r>
              <w:r>
                <w:rPr>
                  <w:rFonts w:cs="Times New Roman" w:asciiTheme="minorEastAsia" w:hAnsiTheme="minorEastAsia" w:eastAsiaTheme="minorEastAsia"/>
                  <w:lang w:val="en-GB"/>
                </w:rPr>
                <w:t>5</w:t>
              </w:r>
              <w:r>
                <w:rPr>
                  <w:rFonts w:hint="eastAsia" w:cs="PMingLiU" w:asciiTheme="minorEastAsia" w:hAnsiTheme="minorEastAsia" w:eastAsiaTheme="minorEastAsia"/>
                  <w:lang w:val="en-GB"/>
                </w:rPr>
                <w:t>的相</w:t>
              </w:r>
              <w:r>
                <w:rPr>
                  <w:rFonts w:hint="eastAsia" w:asciiTheme="minorEastAsia" w:hAnsiTheme="minorEastAsia" w:eastAsiaTheme="minorEastAsia"/>
                  <w:lang w:val="en-GB"/>
                </w:rPr>
                <w:t>关披露</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Times New Roman" w:asciiTheme="minorEastAsia" w:hAnsiTheme="minorEastAsia" w:eastAsiaTheme="minorEastAsia"/>
                  <w:lang w:val="en-GB"/>
                </w:rPr>
                <w:t>2、</w:t>
              </w:r>
              <w:r>
                <w:rPr>
                  <w:rFonts w:hint="eastAsia" w:cs="PMingLiU" w:asciiTheme="minorEastAsia" w:hAnsiTheme="minorEastAsia" w:eastAsiaTheme="minorEastAsia"/>
                  <w:lang w:val="en-GB"/>
                </w:rPr>
                <w:t>流</w:t>
              </w:r>
              <w:r>
                <w:rPr>
                  <w:rFonts w:hint="eastAsia" w:asciiTheme="minorEastAsia" w:hAnsiTheme="minorEastAsia" w:eastAsiaTheme="minorEastAsia"/>
                  <w:lang w:val="en-GB"/>
                </w:rPr>
                <w:t>动性风</w:t>
              </w:r>
              <w:r>
                <w:rPr>
                  <w:rFonts w:asciiTheme="minorEastAsia" w:hAnsiTheme="minorEastAsia" w:eastAsiaTheme="minorEastAsia"/>
                  <w:lang w:val="en-GB"/>
                </w:rPr>
                <w:t>险</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流</w:t>
              </w:r>
              <w:r>
                <w:rPr>
                  <w:rFonts w:hint="eastAsia" w:asciiTheme="minorEastAsia" w:hAnsiTheme="minorEastAsia" w:eastAsiaTheme="minorEastAsia"/>
                  <w:lang w:val="en-GB"/>
                </w:rPr>
                <w:t>动性风险，是指企业在履行以交付现金或其他金融资产的方式结算的义务时发生资金短缺的风险。本公司及各子公司负责自身的现金管理工作，包括现金盈余的短期投资和筹措贷款以应付预计现金需求</w:t>
              </w:r>
              <w:r>
                <w:rPr>
                  <w:rFonts w:cs="Times New Roman" w:asciiTheme="minorEastAsia" w:hAnsiTheme="minorEastAsia" w:eastAsiaTheme="minorEastAsia"/>
                  <w:lang w:val="en-GB"/>
                </w:rPr>
                <w:t xml:space="preserve"> (</w:t>
              </w:r>
              <w:r>
                <w:rPr>
                  <w:rFonts w:hint="eastAsia" w:cs="PMingLiU" w:asciiTheme="minorEastAsia" w:hAnsiTheme="minorEastAsia" w:eastAsiaTheme="minorEastAsia"/>
                  <w:lang w:val="en-GB"/>
                </w:rPr>
                <w:t>如果借款</w:t>
              </w:r>
              <w:r>
                <w:rPr>
                  <w:rFonts w:hint="eastAsia" w:asciiTheme="minorEastAsia" w:hAnsiTheme="minorEastAsia" w:eastAsiaTheme="minorEastAsia"/>
                  <w:lang w:val="en-GB"/>
                </w:rPr>
                <w:t>额超过某些预设授权上限，便需获得本公司董事会的批准</w:t>
              </w:r>
              <w:r>
                <w:rPr>
                  <w:rFonts w:cs="Times New Roman" w:asciiTheme="minorEastAsia" w:hAnsiTheme="minorEastAsia" w:eastAsiaTheme="minorEastAsia"/>
                  <w:lang w:val="en-GB"/>
                </w:rPr>
                <w:t>) </w:t>
              </w: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的政策是定期监控短期和长期的流动资金需求，以及是否符合借款协议的规定，以确保维持充裕的现金储备和可供随时变现的有价证券，同时获得主要金融机构承诺提供足够的备用资金，以满足短期和较长期的流动资金需求</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Times New Roman" w:asciiTheme="minorEastAsia" w:hAnsiTheme="minorEastAsia" w:eastAsiaTheme="minorEastAsia"/>
                  <w:lang w:val="en-GB"/>
                </w:rPr>
                <w:t>3、</w:t>
              </w:r>
              <w:r>
                <w:rPr>
                  <w:rFonts w:hint="eastAsia" w:cs="PMingLiU" w:asciiTheme="minorEastAsia" w:hAnsiTheme="minorEastAsia" w:eastAsiaTheme="minorEastAsia"/>
                  <w:lang w:val="en-GB"/>
                </w:rPr>
                <w:t>利率</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固定利率和浮</w:t>
              </w:r>
              <w:r>
                <w:rPr>
                  <w:rFonts w:hint="eastAsia" w:asciiTheme="minorEastAsia" w:hAnsiTheme="minorEastAsia" w:eastAsiaTheme="minorEastAsia"/>
                  <w:lang w:val="en-GB"/>
                </w:rPr>
                <w:t>动利率的带息金融工具分别使本集团面临公允价值利率风险及现金流量利率风险。本集团根据市场环境来决定固定利率与浮动利率工具的比例，并通过定期审阅与监察维持适当的固定和浮动利率工具组合</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Times New Roman" w:asciiTheme="minorEastAsia" w:hAnsiTheme="minorEastAsia" w:eastAsiaTheme="minorEastAsia"/>
                  <w:lang w:val="en-GB"/>
                </w:rPr>
                <w:t>4、</w:t>
              </w:r>
              <w:r>
                <w:rPr>
                  <w:rFonts w:hint="eastAsia" w:cs="PMingLiU" w:asciiTheme="minorEastAsia" w:hAnsiTheme="minorEastAsia" w:eastAsiaTheme="minorEastAsia"/>
                  <w:lang w:val="en-GB"/>
                </w:rPr>
                <w:t>其他价格</w:t>
              </w:r>
              <w:r>
                <w:rPr>
                  <w:rFonts w:hint="eastAsia" w:asciiTheme="minorEastAsia" w:hAnsiTheme="minorEastAsia" w:eastAsiaTheme="minorEastAsia"/>
                  <w:lang w:val="en-GB"/>
                </w:rPr>
                <w:t>风</w:t>
              </w:r>
              <w:r>
                <w:rPr>
                  <w:rFonts w:asciiTheme="minorEastAsia" w:hAnsiTheme="minorEastAsia" w:eastAsiaTheme="minorEastAsia"/>
                  <w:lang w:val="en-GB"/>
                </w:rPr>
                <w:t>险</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其他价格</w:t>
              </w:r>
              <w:r>
                <w:rPr>
                  <w:rFonts w:hint="eastAsia" w:asciiTheme="minorEastAsia" w:hAnsiTheme="minorEastAsia" w:eastAsiaTheme="minorEastAsia"/>
                  <w:lang w:val="en-GB"/>
                </w:rPr>
                <w:t>风险包括资产价格风险、商品价格风险等</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为规避股权投资风险，根据本公司董事会的授权利用存量资金通过证券市场对国内部分具有一定规模和竞争优势、发展潜力的上市公司进行投资。同时，合理控制投资规模，并根据股票市场和目标企业管理的情况，集体研究具体投资</w:t>
              </w:r>
              <w:r>
                <w:rPr>
                  <w:rFonts w:hint="eastAsia" w:cs="PMingLiU" w:asciiTheme="minorEastAsia" w:hAnsiTheme="minorEastAsia" w:eastAsiaTheme="minorEastAsia"/>
                  <w:lang w:val="en-GB"/>
                </w:rPr>
                <w:t>策略。另一方面，本集</w:t>
              </w:r>
              <w:r>
                <w:rPr>
                  <w:rFonts w:hint="eastAsia" w:asciiTheme="minorEastAsia" w:hAnsiTheme="minorEastAsia" w:eastAsiaTheme="minorEastAsia"/>
                  <w:lang w:val="en-GB"/>
                </w:rPr>
                <w:t>团严格根据国家法律法规，结合本集团投资安排，将股票投资划分为其他权益工具投资，并进行有针对性的跟踪管理。对划分为其他权益工具的股票投资，关注标的公司的经营发展，通过参加其股东大会，了解标的公司的经营管理情况</w:t>
              </w:r>
              <w:r>
                <w:rPr>
                  <w:rFonts w:cs="PMingLiU" w:asciiTheme="minorEastAsia" w:hAnsiTheme="minorEastAsia" w:eastAsiaTheme="minorEastAsia"/>
                  <w:lang w:val="en-GB"/>
                </w:rPr>
                <w:t>。</w:t>
              </w:r>
            </w:p>
          </w:sdtContent>
        </w:sdt>
        <w:p>
          <w:pPr>
            <w:rPr>
              <w:color w:val="808080"/>
            </w:rPr>
          </w:pPr>
        </w:p>
      </w:sdtContent>
    </w:sdt>
    <w:p>
      <w:pPr>
        <w:pStyle w:val="3"/>
        <w:numPr>
          <w:ilvl w:val="0"/>
          <w:numId w:val="38"/>
        </w:numPr>
        <w:ind w:left="422" w:hanging="422"/>
        <w:rPr>
          <w:rFonts w:ascii="宋体" w:hAnsi="宋体"/>
        </w:rPr>
      </w:pPr>
      <w:r>
        <w:rPr>
          <w:rFonts w:hint="eastAsia" w:ascii="宋体" w:hAnsi="宋体"/>
        </w:rPr>
        <w:t>公允价值的披露</w:t>
      </w:r>
    </w:p>
    <w:sdt>
      <w:sdtPr>
        <w:rPr>
          <w:rFonts w:hint="eastAsia" w:ascii="宋体" w:hAnsi="宋体" w:cs="宋体"/>
          <w:b w:val="0"/>
          <w:bCs w:val="0"/>
          <w:kern w:val="0"/>
          <w:szCs w:val="24"/>
        </w:rPr>
        <w:alias w:val="模块:以公允价值计量的资产和负债的期末公允价值"/>
        <w:tag w:val="_GBC_b5067cea5bbf475388ac2623e2c669d7"/>
        <w:id w:val="1406717484"/>
        <w:lock w:val="sdtLocked"/>
        <w:placeholder>
          <w:docPart w:val="GBC22222222222222222222222222222"/>
        </w:placeholder>
      </w:sdtPr>
      <w:sdtEndPr>
        <w:rPr>
          <w:rFonts w:hint="eastAsia" w:ascii="宋体" w:hAnsi="宋体" w:cstheme="minorBidi"/>
          <w:b w:val="0"/>
          <w:bCs w:val="0"/>
          <w:kern w:val="0"/>
          <w:szCs w:val="21"/>
        </w:rPr>
      </w:sdtEndPr>
      <w:sdtContent>
        <w:p>
          <w:pPr>
            <w:pStyle w:val="117"/>
            <w:numPr>
              <w:ilvl w:val="0"/>
              <w:numId w:val="90"/>
            </w:numPr>
            <w:rPr>
              <w:rFonts w:ascii="宋体" w:hAnsi="宋体"/>
            </w:rPr>
          </w:pPr>
          <w:r>
            <w:rPr>
              <w:rFonts w:hint="eastAsia" w:ascii="宋体" w:hAnsi="宋体"/>
            </w:rPr>
            <w:t>以公允价值计量的资产和负债的期末公允价值</w:t>
          </w:r>
        </w:p>
        <w:sdt>
          <w:sdtPr>
            <w:alias w:val="是否适用：以公允价值计量的资产和负债的期末公允价值[双击切换]"/>
            <w:tag w:val="_GBC_291486261b6a4e8092eea55d961b7664"/>
            <w:id w:val="-1992162785"/>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以公允价值计量的资产和负债的期末公允价值"/>
              <w:tag w:val="_GBC_4b785696cde44d3f8a4a7d28ab963e38"/>
              <w:id w:val="-1496415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44381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835"/>
            <w:gridCol w:w="1735"/>
            <w:gridCol w:w="1735"/>
            <w:gridCol w:w="1735"/>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5" w:hRule="atLeast"/>
            </w:trPr>
            <w:sdt>
              <w:sdtPr>
                <w:rPr>
                  <w:sz w:val="16"/>
                  <w:szCs w:val="16"/>
                </w:rPr>
                <w:tag w:val="_PLD_25e2bb7801744f08a089c0e6a2b31b9b"/>
                <w:id w:val="-1834133456"/>
                <w:lock w:val="sdtLocked"/>
              </w:sdtPr>
              <w:sdtEndPr>
                <w:rPr>
                  <w:sz w:val="16"/>
                  <w:szCs w:val="16"/>
                </w:rPr>
              </w:sdtEndPr>
              <w:sdtContent>
                <w:tc>
                  <w:tcPr>
                    <w:tcW w:w="1032" w:type="pct"/>
                    <w:vMerge w:val="restart"/>
                    <w:tcBorders>
                      <w:top w:val="single" w:color="auto" w:sz="4" w:space="0"/>
                      <w:left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项目</w:t>
                    </w:r>
                  </w:p>
                </w:tc>
              </w:sdtContent>
            </w:sdt>
            <w:sdt>
              <w:sdtPr>
                <w:rPr>
                  <w:sz w:val="16"/>
                  <w:szCs w:val="16"/>
                </w:rPr>
                <w:tag w:val="_PLD_ad919f08ba5040a28e31328eb66da0bf"/>
                <w:id w:val="1902401436"/>
                <w:lock w:val="sdtLocked"/>
              </w:sdtPr>
              <w:sdtEndPr>
                <w:rPr>
                  <w:sz w:val="16"/>
                  <w:szCs w:val="16"/>
                </w:rPr>
              </w:sdtEndPr>
              <w:sdtContent>
                <w:tc>
                  <w:tcPr>
                    <w:tcW w:w="396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期末公允价值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5" w:hRule="atLeast"/>
            </w:trPr>
            <w:tc>
              <w:tcPr>
                <w:tcW w:w="1032" w:type="pct"/>
                <w:vMerge w:val="continue"/>
                <w:tcBorders>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p>
            </w:tc>
            <w:sdt>
              <w:sdtPr>
                <w:rPr>
                  <w:sz w:val="16"/>
                  <w:szCs w:val="16"/>
                </w:rPr>
                <w:tag w:val="_PLD_4bb34c3d92bf450fb80f7c0c95977a2b"/>
                <w:id w:val="1375190649"/>
                <w:lock w:val="sdtLocked"/>
              </w:sdtPr>
              <w:sdtEndPr>
                <w:rPr>
                  <w:sz w:val="16"/>
                  <w:szCs w:val="16"/>
                </w:rPr>
              </w:sdtEndPr>
              <w:sdtContent>
                <w:tc>
                  <w:tcPr>
                    <w:tcW w:w="97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第一层次公允价值计量</w:t>
                    </w:r>
                  </w:p>
                </w:tc>
              </w:sdtContent>
            </w:sdt>
            <w:sdt>
              <w:sdtPr>
                <w:rPr>
                  <w:sz w:val="16"/>
                  <w:szCs w:val="16"/>
                </w:rPr>
                <w:tag w:val="_PLD_08753059c9e04a10af2918fbc1559bed"/>
                <w:id w:val="-1922330674"/>
                <w:lock w:val="sdtLocked"/>
              </w:sdtPr>
              <w:sdtEndPr>
                <w:rPr>
                  <w:sz w:val="16"/>
                  <w:szCs w:val="16"/>
                </w:rPr>
              </w:sdtEndPr>
              <w:sdtContent>
                <w:tc>
                  <w:tcPr>
                    <w:tcW w:w="97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第二层次公允价值计量</w:t>
                    </w:r>
                  </w:p>
                </w:tc>
              </w:sdtContent>
            </w:sdt>
            <w:sdt>
              <w:sdtPr>
                <w:rPr>
                  <w:sz w:val="16"/>
                  <w:szCs w:val="16"/>
                </w:rPr>
                <w:tag w:val="_PLD_b263de838c9c4afa9fddb6dee6409a62"/>
                <w:id w:val="574860643"/>
                <w:lock w:val="sdtLocked"/>
              </w:sdtPr>
              <w:sdtEndPr>
                <w:rPr>
                  <w:sz w:val="16"/>
                  <w:szCs w:val="16"/>
                </w:rPr>
              </w:sdtEndPr>
              <w:sdtContent>
                <w:tc>
                  <w:tcPr>
                    <w:tcW w:w="97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第三层次公允价值计量</w:t>
                    </w:r>
                  </w:p>
                </w:tc>
              </w:sdtContent>
            </w:sdt>
            <w:sdt>
              <w:sdtPr>
                <w:rPr>
                  <w:sz w:val="16"/>
                  <w:szCs w:val="16"/>
                </w:rPr>
                <w:tag w:val="_PLD_50eba344a451417c8072228a7a4959c5"/>
                <w:id w:val="121439818"/>
                <w:lock w:val="sdtLocked"/>
              </w:sdtPr>
              <w:sdtEndPr>
                <w:rPr>
                  <w:sz w:val="16"/>
                  <w:szCs w:val="16"/>
                </w:rPr>
              </w:sdtEndPr>
              <w:sdtContent>
                <w:tc>
                  <w:tcPr>
                    <w:tcW w:w="103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outlineLvl w:val="2"/>
                      <w:rPr>
                        <w:rFonts w:cs="Cambria"/>
                        <w:sz w:val="16"/>
                        <w:szCs w:val="16"/>
                      </w:rPr>
                    </w:pPr>
                    <w:r>
                      <w:rPr>
                        <w:rFonts w:hint="eastAsia" w:cs="Cambria"/>
                        <w:sz w:val="16"/>
                        <w:szCs w:val="16"/>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trPr>
            <w:sdt>
              <w:sdtPr>
                <w:rPr>
                  <w:sz w:val="16"/>
                  <w:szCs w:val="16"/>
                </w:rPr>
                <w:tag w:val="_PLD_0df07aa5429843d5898a68994e53f99c"/>
                <w:id w:val="-2081822468"/>
                <w:lock w:val="sdtLocked"/>
              </w:sdtPr>
              <w:sdtEndPr>
                <w:rPr>
                  <w:sz w:val="16"/>
                  <w:szCs w:val="16"/>
                </w:rPr>
              </w:sdtEndPr>
              <w:sdtContent>
                <w:tc>
                  <w:tcPr>
                    <w:tcW w:w="1032" w:type="pct"/>
                    <w:tcBorders>
                      <w:top w:val="single" w:color="auto" w:sz="4" w:space="0"/>
                      <w:left w:val="single" w:color="auto" w:sz="4" w:space="0"/>
                      <w:bottom w:val="single" w:color="auto" w:sz="4" w:space="0"/>
                      <w:right w:val="single" w:color="auto" w:sz="4" w:space="0"/>
                    </w:tcBorders>
                    <w:shd w:val="clear" w:color="auto" w:fill="auto"/>
                  </w:tcPr>
                  <w:p>
                    <w:pPr>
                      <w:outlineLvl w:val="2"/>
                      <w:rPr>
                        <w:rFonts w:cs="Cambria"/>
                        <w:b/>
                        <w:sz w:val="16"/>
                        <w:szCs w:val="16"/>
                      </w:rPr>
                    </w:pPr>
                    <w:r>
                      <w:rPr>
                        <w:rFonts w:hint="eastAsia" w:cs="Cambria"/>
                        <w:b/>
                        <w:sz w:val="16"/>
                        <w:szCs w:val="16"/>
                      </w:rPr>
                      <w:t>一、持续的公允价值计量</w:t>
                    </w:r>
                  </w:p>
                </w:tc>
              </w:sdtContent>
            </w:sdt>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sz w:val="16"/>
                    <w:szCs w:val="16"/>
                  </w:rPr>
                  <w:tag w:val="_PLD_8e41e2365fb54f2a8e82acb6d5327c25"/>
                  <w:id w:val="1816518377"/>
                  <w:lock w:val="sdtLocked"/>
                </w:sdtPr>
                <w:sdtEndPr>
                  <w:rPr>
                    <w:rFonts w:hint="eastAsia"/>
                    <w:sz w:val="16"/>
                    <w:szCs w:val="16"/>
                    <w:shd w:val="solid" w:color="FFFFFF" w:fill="auto"/>
                  </w:rPr>
                </w:sdtEndPr>
                <w:sdtContent>
                  <w:p>
                    <w:pPr>
                      <w:outlineLvl w:val="2"/>
                      <w:rPr>
                        <w:sz w:val="16"/>
                        <w:szCs w:val="16"/>
                      </w:rPr>
                    </w:pPr>
                    <w:r>
                      <w:rPr>
                        <w:rFonts w:hint="eastAsia"/>
                        <w:sz w:val="16"/>
                        <w:szCs w:val="16"/>
                      </w:rPr>
                      <w:t>（一）</w:t>
                    </w:r>
                    <w:r>
                      <w:rPr>
                        <w:rFonts w:hint="eastAsia"/>
                        <w:sz w:val="16"/>
                        <w:szCs w:val="16"/>
                        <w:shd w:val="solid" w:color="FFFFFF" w:fill="auto"/>
                      </w:rPr>
                      <w:t>交易性金融资产</w:t>
                    </w:r>
                  </w:p>
                </w:sdtContent>
              </w:sdt>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31,944,083.24</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4,725,000,000.00</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4,756,944,083.24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sdt>
                <w:sdtPr>
                  <w:rPr>
                    <w:sz w:val="16"/>
                    <w:szCs w:val="16"/>
                  </w:rPr>
                  <w:tag w:val="_PLD_ec78ce9b24c54617a7a100b54d80834e"/>
                  <w:id w:val="109405264"/>
                  <w:lock w:val="sdtLocked"/>
                </w:sdtPr>
                <w:sdtEndPr>
                  <w:rPr>
                    <w:sz w:val="16"/>
                    <w:szCs w:val="16"/>
                  </w:rPr>
                </w:sdtEndPr>
                <w:sdtContent>
                  <w:p>
                    <w:pPr>
                      <w:outlineLvl w:val="2"/>
                      <w:rPr>
                        <w:sz w:val="16"/>
                        <w:szCs w:val="16"/>
                      </w:rPr>
                    </w:pPr>
                    <w:r>
                      <w:rPr>
                        <w:sz w:val="16"/>
                        <w:szCs w:val="16"/>
                      </w:rPr>
                      <w:t>1.以公允价值计量且变动计入当期损益的金融资产</w:t>
                    </w:r>
                  </w:p>
                </w:sdtContent>
              </w:sdt>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31,944,083.24</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4,725,000,000.00</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4,756,944,083.24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9"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sdt>
                <w:sdtPr>
                  <w:rPr>
                    <w:rFonts w:cs="Cambria"/>
                    <w:sz w:val="16"/>
                    <w:szCs w:val="16"/>
                  </w:rPr>
                  <w:tag w:val="_PLD_8f2dd6e8cd7d4b6f8a25ea84b5be71b1"/>
                  <w:id w:val="-1337296382"/>
                  <w:lock w:val="sdtLocked"/>
                </w:sdtPr>
                <w:sdtEndPr>
                  <w:rPr>
                    <w:rFonts w:hint="eastAsia" w:cs="Cambria"/>
                    <w:sz w:val="16"/>
                    <w:szCs w:val="16"/>
                  </w:rPr>
                </w:sdtEndPr>
                <w:sdtContent>
                  <w:p>
                    <w:pPr>
                      <w:outlineLvl w:val="2"/>
                      <w:rPr>
                        <w:rFonts w:cs="Cambria"/>
                        <w:sz w:val="16"/>
                        <w:szCs w:val="16"/>
                      </w:rPr>
                    </w:pPr>
                    <w:r>
                      <w:rPr>
                        <w:rFonts w:cs="Cambria"/>
                        <w:sz w:val="16"/>
                        <w:szCs w:val="16"/>
                      </w:rPr>
                      <w:t xml:space="preserve">2. </w:t>
                    </w:r>
                    <w:r>
                      <w:rPr>
                        <w:rFonts w:hint="eastAsia" w:cs="Cambria"/>
                        <w:sz w:val="16"/>
                        <w:szCs w:val="16"/>
                      </w:rPr>
                      <w:t>指定以公允价值计量且其变动计入当期损益的金融资产</w:t>
                    </w:r>
                  </w:p>
                </w:sdtContent>
              </w:sdt>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sz w:val="16"/>
                    <w:szCs w:val="16"/>
                  </w:rPr>
                  <w:tag w:val="_PLD_26c080e935a648bda25a9c513fb13567"/>
                  <w:id w:val="-318110730"/>
                  <w:lock w:val="sdtLocked"/>
                </w:sdtPr>
                <w:sdtEndPr>
                  <w:rPr>
                    <w:rFonts w:hint="eastAsia"/>
                    <w:sz w:val="16"/>
                    <w:szCs w:val="16"/>
                    <w:shd w:val="solid" w:color="FFFFFF" w:fill="auto"/>
                  </w:rPr>
                </w:sdtEndPr>
                <w:sdtContent>
                  <w:p>
                    <w:pPr>
                      <w:outlineLvl w:val="2"/>
                      <w:rPr>
                        <w:sz w:val="16"/>
                        <w:szCs w:val="16"/>
                      </w:rPr>
                    </w:pPr>
                    <w:r>
                      <w:rPr>
                        <w:rFonts w:hint="eastAsia"/>
                        <w:sz w:val="16"/>
                        <w:szCs w:val="16"/>
                      </w:rPr>
                      <w:t>（二）</w:t>
                    </w:r>
                    <w:r>
                      <w:rPr>
                        <w:rFonts w:hint="eastAsia"/>
                        <w:sz w:val="16"/>
                        <w:szCs w:val="16"/>
                        <w:shd w:val="solid" w:color="FFFFFF" w:fill="auto"/>
                      </w:rPr>
                      <w:t>其他权益工具投资</w:t>
                    </w:r>
                  </w:p>
                </w:sdtContent>
              </w:sdt>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7,107,088,380.00</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 xml:space="preserve"> -   </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 xml:space="preserve"> -   </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 xml:space="preserve">7,107,088,380.00 </w:t>
                </w:r>
              </w:p>
            </w:tc>
          </w:tr>
          <w:sdt>
            <w:sdtPr>
              <w:rPr>
                <w:rFonts w:cs="Cambria"/>
                <w:sz w:val="16"/>
                <w:szCs w:val="16"/>
              </w:rPr>
              <w:alias w:val="持续以公允价值计量的资产总额明细"/>
              <w:tag w:val="_TUP_e78f47dfe89a44bda0f59b05bd53aa70"/>
              <w:id w:val="784624826"/>
              <w:lock w:val="sdtLocked"/>
            </w:sdtPr>
            <w:sdtEndPr>
              <w:rPr>
                <w:rFonts w:cs="Cambr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5"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p>
                    <w:pPr>
                      <w:outlineLvl w:val="2"/>
                      <w:rPr>
                        <w:rFonts w:cs="Cambria"/>
                        <w:sz w:val="16"/>
                        <w:szCs w:val="16"/>
                      </w:rPr>
                    </w:pPr>
                    <w:r>
                      <w:rPr>
                        <w:rFonts w:hint="eastAsia" w:cs="Cambria"/>
                        <w:sz w:val="16"/>
                        <w:szCs w:val="16"/>
                      </w:rPr>
                      <w:t>（三）其他非流动金融资产</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504,581,131.08</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hint="eastAsia" w:cs="Cambria"/>
                        <w:sz w:val="16"/>
                        <w:szCs w:val="16"/>
                      </w:rPr>
                      <w:t>-</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2,428,006,063.17</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rFonts w:cs="Cambria"/>
                        <w:sz w:val="16"/>
                        <w:szCs w:val="16"/>
                      </w:rPr>
                      <w:t>2,932,587,194.25</w:t>
                    </w:r>
                  </w:p>
                </w:tc>
              </w:tr>
            </w:sdtContent>
          </w:sdt>
          <w:sdt>
            <w:sdtPr>
              <w:rPr>
                <w:rFonts w:cs="Cambria"/>
                <w:sz w:val="16"/>
                <w:szCs w:val="16"/>
              </w:rPr>
              <w:alias w:val="持续以公允价值计量的资产总额明细"/>
              <w:tag w:val="_TUP_e78f47dfe89a44bda0f59b05bd53aa70"/>
              <w:id w:val="2095591516"/>
              <w:lock w:val="sdtLocked"/>
            </w:sdtPr>
            <w:sdtEndPr>
              <w:rPr>
                <w:rFonts w:cs="Cambr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5" w:hRule="atLeast"/>
                </w:trPr>
                <w:tc>
                  <w:tcPr>
                    <w:tcW w:w="1032" w:type="pct"/>
                    <w:tcBorders>
                      <w:top w:val="single" w:color="auto" w:sz="4" w:space="0"/>
                      <w:left w:val="single" w:color="auto" w:sz="4" w:space="0"/>
                      <w:bottom w:val="single" w:color="auto" w:sz="4" w:space="0"/>
                      <w:right w:val="single" w:color="auto" w:sz="4" w:space="0"/>
                    </w:tcBorders>
                    <w:shd w:val="clear" w:color="auto" w:fill="auto"/>
                  </w:tcPr>
                  <w:p>
                    <w:pPr>
                      <w:outlineLvl w:val="2"/>
                      <w:rPr>
                        <w:rFonts w:cs="Cambria"/>
                        <w:sz w:val="16"/>
                        <w:szCs w:val="16"/>
                      </w:rPr>
                    </w:pP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8" w:hRule="atLeast"/>
            </w:trPr>
            <w:sdt>
              <w:sdtPr>
                <w:rPr>
                  <w:sz w:val="16"/>
                  <w:szCs w:val="16"/>
                </w:rPr>
                <w:tag w:val="_PLD_5f085d8452914c828c6cb5c210cfc97c"/>
                <w:id w:val="-1927791721"/>
                <w:lock w:val="sdtLocked"/>
              </w:sdtPr>
              <w:sdtEndPr>
                <w:rPr>
                  <w:sz w:val="16"/>
                  <w:szCs w:val="16"/>
                </w:rPr>
              </w:sdtEndPr>
              <w:sdtContent>
                <w:tc>
                  <w:tcPr>
                    <w:tcW w:w="1032" w:type="pct"/>
                    <w:tcBorders>
                      <w:top w:val="single" w:color="auto" w:sz="4" w:space="0"/>
                      <w:left w:val="single" w:color="auto" w:sz="4" w:space="0"/>
                      <w:bottom w:val="single" w:color="auto" w:sz="4" w:space="0"/>
                      <w:right w:val="single" w:color="auto" w:sz="4" w:space="0"/>
                    </w:tcBorders>
                    <w:shd w:val="clear" w:color="auto" w:fill="auto"/>
                  </w:tcPr>
                  <w:p>
                    <w:pPr>
                      <w:outlineLvl w:val="2"/>
                      <w:rPr>
                        <w:rFonts w:cs="Cambria"/>
                        <w:b/>
                        <w:sz w:val="16"/>
                        <w:szCs w:val="16"/>
                      </w:rPr>
                    </w:pPr>
                    <w:r>
                      <w:rPr>
                        <w:rFonts w:hint="eastAsia" w:cs="Cambria"/>
                        <w:b/>
                        <w:sz w:val="16"/>
                        <w:szCs w:val="16"/>
                      </w:rPr>
                      <w:t>持续以公允价值计量的资产总额</w:t>
                    </w:r>
                  </w:p>
                </w:tc>
              </w:sdtContent>
            </w:sdt>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7,643,613,594.32</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 xml:space="preserve">4,725,000,000.00 </w:t>
                </w:r>
              </w:p>
            </w:tc>
            <w:tc>
              <w:tcPr>
                <w:tcW w:w="976"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2,428,006,063.17</w:t>
                </w:r>
              </w:p>
            </w:tc>
            <w:tc>
              <w:tcPr>
                <w:tcW w:w="1038" w:type="pct"/>
                <w:tcBorders>
                  <w:top w:val="single" w:color="auto" w:sz="4" w:space="0"/>
                  <w:left w:val="single" w:color="auto" w:sz="4" w:space="0"/>
                  <w:bottom w:val="single" w:color="auto" w:sz="4" w:space="0"/>
                  <w:right w:val="single" w:color="auto" w:sz="4" w:space="0"/>
                </w:tcBorders>
                <w:vAlign w:val="center"/>
              </w:tcPr>
              <w:p>
                <w:pPr>
                  <w:jc w:val="right"/>
                  <w:outlineLvl w:val="2"/>
                  <w:rPr>
                    <w:rFonts w:cs="Cambria"/>
                    <w:sz w:val="16"/>
                    <w:szCs w:val="16"/>
                  </w:rPr>
                </w:pPr>
                <w:r>
                  <w:rPr>
                    <w:sz w:val="16"/>
                    <w:szCs w:val="16"/>
                  </w:rPr>
                  <w:t xml:space="preserve">14,796,619,657.49  </w:t>
                </w:r>
              </w:p>
            </w:tc>
          </w:tr>
        </w:tbl>
        <w:p>
          <w:pPr>
            <w:tabs>
              <w:tab w:val="left" w:pos="1134"/>
            </w:tabs>
            <w:rPr>
              <w:rFonts w:cs="Cambria"/>
              <w:b/>
            </w:rPr>
          </w:pPr>
        </w:p>
      </w:sdtContent>
    </w:sdt>
    <w:sdt>
      <w:sdtPr>
        <w:rPr>
          <w:rFonts w:hint="eastAsia" w:ascii="宋体" w:hAnsi="宋体" w:cs="Arial"/>
          <w:b w:val="0"/>
          <w:bCs w:val="0"/>
          <w:kern w:val="0"/>
          <w:szCs w:val="21"/>
        </w:rPr>
        <w:alias w:val="模块:持续和非持续第一层次公允价值计量项目市价的确定依据"/>
        <w:tag w:val="_GBC_9cf59ced96b14247921100dffef5784f"/>
        <w:id w:val="-2032860109"/>
        <w:lock w:val="sdtLocked"/>
        <w:placeholder>
          <w:docPart w:val="GBC22222222222222222222222222222"/>
        </w:placeholder>
      </w:sdtPr>
      <w:sdtEndPr>
        <w:rPr>
          <w:rFonts w:hint="eastAsia" w:ascii="宋体" w:hAnsi="宋体" w:cs="Cambria"/>
          <w:b/>
          <w:bCs w:val="0"/>
          <w:kern w:val="0"/>
          <w:szCs w:val="21"/>
        </w:rPr>
      </w:sdtEndPr>
      <w:sdtContent>
        <w:p>
          <w:pPr>
            <w:pStyle w:val="117"/>
            <w:numPr>
              <w:ilvl w:val="0"/>
              <w:numId w:val="90"/>
            </w:numPr>
            <w:rPr>
              <w:rFonts w:ascii="宋体" w:hAnsi="宋体" w:cs="Arial"/>
              <w:szCs w:val="21"/>
            </w:rPr>
          </w:pPr>
          <w:r>
            <w:rPr>
              <w:rFonts w:hint="eastAsia" w:ascii="宋体" w:hAnsi="宋体" w:cs="Arial"/>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75343800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Arial" w:asciiTheme="minorEastAsia" w:hAnsiTheme="minorEastAsia" w:eastAsiaTheme="minorEastAsia"/>
            </w:rPr>
          </w:pPr>
          <w:sdt>
            <w:sdtPr>
              <w:rPr>
                <w:rFonts w:hint="eastAsia" w:cs="Arial"/>
              </w:rPr>
              <w:alias w:val="持续和非持续第一层次公允价值计量项目市价的确定依据"/>
              <w:tag w:val="_GBC_8db65a2ca59047da919942f97cfc594e"/>
              <w:id w:val="832188641"/>
              <w:lock w:val="sdtLocked"/>
              <w:placeholder>
                <w:docPart w:val="GBC22222222222222222222222222222"/>
              </w:placeholder>
            </w:sdtPr>
            <w:sdtEndPr>
              <w:rPr>
                <w:rFonts w:hint="eastAsia" w:cs="Arial" w:asciiTheme="minorEastAsia" w:hAnsiTheme="minorEastAsia" w:eastAsiaTheme="minorEastAsia"/>
              </w:rPr>
            </w:sdtEndPr>
            <w:sdtContent>
              <w:r>
                <w:rPr>
                  <w:rFonts w:hint="eastAsia" w:cs="Arial" w:asciiTheme="minorEastAsia" w:hAnsiTheme="minorEastAsia" w:eastAsiaTheme="minorEastAsia"/>
                  <w:color w:val="000000" w:themeColor="text1"/>
                  <w14:textFill>
                    <w14:solidFill>
                      <w14:schemeClr w14:val="tx1"/>
                    </w14:solidFill>
                  </w14:textFill>
                </w:rPr>
                <w:t>持续以第一层次公允价值计量的项目为交易性金融资产</w:t>
              </w:r>
              <w:r>
                <w:rPr>
                  <w:rFonts w:cs="Arial" w:asciiTheme="minorEastAsia" w:hAnsiTheme="minorEastAsia" w:eastAsiaTheme="minorEastAsia"/>
                  <w:color w:val="000000" w:themeColor="text1"/>
                  <w14:textFill>
                    <w14:solidFill>
                      <w14:schemeClr w14:val="tx1"/>
                    </w14:solidFill>
                  </w14:textFill>
                </w:rPr>
                <w:t>-</w:t>
              </w:r>
              <w:r>
                <w:rPr>
                  <w:rFonts w:hint="eastAsia" w:cs="Arial" w:asciiTheme="minorEastAsia" w:hAnsiTheme="minorEastAsia" w:eastAsiaTheme="minorEastAsia"/>
                  <w:color w:val="000000" w:themeColor="text1"/>
                  <w14:textFill>
                    <w14:solidFill>
                      <w14:schemeClr w14:val="tx1"/>
                    </w14:solidFill>
                  </w14:textFill>
                </w:rPr>
                <w:t>基金投资及股票投资和部分其他权益工具，其公允价值为同类项目期末在活跃市场中的报价。</w:t>
              </w:r>
            </w:sdtContent>
          </w:sdt>
        </w:p>
        <w:p>
          <w:pPr>
            <w:tabs>
              <w:tab w:val="left" w:pos="1134"/>
            </w:tabs>
            <w:rPr>
              <w:rFonts w:cs="Cambria"/>
              <w:b/>
            </w:rPr>
          </w:pPr>
        </w:p>
      </w:sdtContent>
    </w:sdt>
    <w:sdt>
      <w:sdtPr>
        <w:rPr>
          <w:rFonts w:hint="eastAsia" w:ascii="宋体" w:hAnsi="宋体" w:cs="Arial"/>
          <w:b w:val="0"/>
          <w:bCs w:val="0"/>
          <w:kern w:val="0"/>
          <w:szCs w:val="21"/>
        </w:rPr>
        <w:alias w:val="模块:持续和非持续第二层次公允价值计量项目，采用的估值技术和重要参数的定性及定量信息"/>
        <w:tag w:val="_GBC_8e00be36ed6245f895b032b3059a4854"/>
        <w:id w:val="1718395500"/>
        <w:lock w:val="sdtLocked"/>
        <w:placeholder>
          <w:docPart w:val="GBC22222222222222222222222222222"/>
        </w:placeholder>
      </w:sdtPr>
      <w:sdtEndPr>
        <w:rPr>
          <w:rFonts w:hint="default" w:ascii="宋体" w:hAnsi="宋体" w:cs="Cambria"/>
          <w:b w:val="0"/>
          <w:bCs w:val="0"/>
          <w:kern w:val="0"/>
          <w:szCs w:val="21"/>
        </w:rPr>
      </w:sdtEndPr>
      <w:sdtContent>
        <w:p>
          <w:pPr>
            <w:pStyle w:val="117"/>
            <w:numPr>
              <w:ilvl w:val="0"/>
              <w:numId w:val="90"/>
            </w:numPr>
            <w:rPr>
              <w:rFonts w:ascii="宋体" w:hAnsi="宋体"/>
            </w:rPr>
          </w:pPr>
          <w:r>
            <w:rPr>
              <w:rFonts w:hint="eastAsia" w:ascii="宋体" w:hAnsi="宋体" w:cs="Arial"/>
              <w:szCs w:val="21"/>
            </w:rPr>
            <w:t>持续和非持续第二层次公允价值计量项目，采用的估值技术和重要参数的定性及定量信息</w:t>
          </w:r>
        </w:p>
        <w:sdt>
          <w:sdtPr>
            <w:rPr>
              <w:rFonts w:hint="eastAsia" w:cs="Cambria"/>
            </w:rPr>
            <w:alias w:val="是否适用：持续和非持续第二层次公允价值计量项目，采用的估值技术和重要参数的定性及定量信息[双击切换]"/>
            <w:tag w:val="_GBC_8bee9b1c9bf241d5ae1f2c4578fc3b6c"/>
            <w:id w:val="1646774147"/>
            <w:lock w:val="sdtLocked"/>
            <w:placeholder>
              <w:docPart w:val="GBC22222222222222222222222222222"/>
            </w:placeholder>
          </w:sdtPr>
          <w:sdtEndPr>
            <w:rPr>
              <w:rFonts w:hint="eastAsia" w:cs="Cambria"/>
            </w:rPr>
          </w:sdtEndPr>
          <w:sdtContent>
            <w:p>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持续和非持续第二层次公允价值计量项目，采用的估值技术和重要参数的定性及定量信息"/>
            <w:tag w:val="_GBC_406ac04d46a9411bb4890572e539e6ca"/>
            <w:id w:val="1254862255"/>
            <w:lock w:val="sdtLocked"/>
            <w:placeholder>
              <w:docPart w:val="GBC22222222222222222222222222222"/>
            </w:placeholder>
          </w:sdtPr>
          <w:sdtEndPr>
            <w:rPr>
              <w:rFonts w:cs="Cambria"/>
            </w:rPr>
          </w:sdtEndPr>
          <w:sdtContent>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以公允价值计量且其变动计入当期损益的金融资产中的理财产品，其公允价值是依据折现现金流量的方法计算来确定。</w:t>
              </w:r>
            </w:p>
            <w:p>
              <w:pPr>
                <w:tabs>
                  <w:tab w:val="left" w:pos="1134"/>
                </w:tabs>
                <w:rPr>
                  <w:rFonts w:cs="Cambria"/>
                </w:rPr>
              </w:pPr>
            </w:p>
          </w:sdtContent>
        </w:sdt>
      </w:sdtContent>
    </w:sdt>
    <w:p>
      <w:pPr>
        <w:pStyle w:val="114"/>
      </w:pPr>
    </w:p>
    <w:sdt>
      <w:sdtPr>
        <w:rPr>
          <w:rFonts w:hint="eastAsia" w:ascii="宋体" w:hAnsi="宋体" w:cs="Arial"/>
          <w:b w:val="0"/>
          <w:bCs w:val="0"/>
          <w:kern w:val="0"/>
          <w:szCs w:val="21"/>
        </w:rPr>
        <w:alias w:val="模块:持续和非持续第三层次公允价值计量项目，采用的估值技术和重要参数的定性及定量信息"/>
        <w:tag w:val="_GBC_5d389bac3ad747a292eb45fd87ce5896"/>
        <w:id w:val="-387417758"/>
        <w:lock w:val="sdtLocked"/>
        <w:placeholder>
          <w:docPart w:val="GBC22222222222222222222222222222"/>
        </w:placeholder>
      </w:sdtPr>
      <w:sdtEndPr>
        <w:rPr>
          <w:rFonts w:hint="eastAsia" w:ascii="宋体" w:hAnsi="宋体" w:cs="Cambria"/>
          <w:b w:val="0"/>
          <w:bCs w:val="0"/>
          <w:color w:val="808080"/>
          <w:kern w:val="0"/>
          <w:szCs w:val="21"/>
        </w:rPr>
      </w:sdtEndPr>
      <w:sdtContent>
        <w:p>
          <w:pPr>
            <w:pStyle w:val="117"/>
            <w:numPr>
              <w:ilvl w:val="0"/>
              <w:numId w:val="90"/>
            </w:numPr>
            <w:rPr>
              <w:rFonts w:ascii="宋体" w:hAnsi="宋体"/>
            </w:rPr>
          </w:pPr>
          <w:r>
            <w:rPr>
              <w:rFonts w:hint="eastAsia" w:ascii="宋体" w:hAnsi="宋体" w:cs="Arial"/>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1482810732"/>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938446629"/>
            <w:lock w:val="sdtLocked"/>
            <w:placeholder>
              <w:docPart w:val="GBC22222222222222222222222222222"/>
            </w:placeholder>
          </w:sdtPr>
          <w:sdtEndPr>
            <w:rPr>
              <w:rFonts w:hint="eastAsia"/>
            </w:rPr>
          </w:sdtEndPr>
          <w:sdtContent>
            <w:p>
              <w:pPr>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持续第三层次公允价值计量的其他非流动金融资产主要为本集团持有的私募基金份额。本集团采用估值技术进行了公允价值计量，主要采用了市场法计算确认。</w:t>
              </w:r>
            </w:p>
            <w:p>
              <w:pPr>
                <w:pStyle w:val="114"/>
              </w:pPr>
            </w:p>
          </w:sdtContent>
        </w:sdt>
        <w:p>
          <w:pPr>
            <w:tabs>
              <w:tab w:val="left" w:pos="1134"/>
            </w:tabs>
            <w:rPr>
              <w:rFonts w:cs="Cambria"/>
              <w:b/>
            </w:rPr>
          </w:pPr>
        </w:p>
      </w:sdtContent>
    </w:sdt>
    <w:sdt>
      <w:sdtPr>
        <w:rPr>
          <w:rFonts w:hint="eastAsia" w:ascii="宋体" w:hAnsi="宋体" w:cs="宋体"/>
          <w:b w:val="0"/>
          <w:bCs w:val="0"/>
          <w:kern w:val="0"/>
          <w:szCs w:val="24"/>
        </w:rPr>
        <w:alias w:val="模块:持续的第三层次公允价值计量的项目期初与期末账面价值之间的调节信息及不可观察参数的敏感性分析"/>
        <w:tag w:val="_GBC_353ab3e0cb19455ab2c2c2a397421afe"/>
        <w:id w:val="-436996401"/>
        <w:lock w:val="sdtLocked"/>
        <w:placeholder>
          <w:docPart w:val="GBC22222222222222222222222222222"/>
        </w:placeholder>
      </w:sdtPr>
      <w:sdtEndPr>
        <w:rPr>
          <w:rFonts w:hint="eastAsia" w:ascii="宋体" w:hAnsi="宋体" w:cs="Cambria"/>
          <w:b w:val="0"/>
          <w:bCs w:val="0"/>
          <w:color w:val="808080"/>
          <w:kern w:val="0"/>
          <w:szCs w:val="21"/>
        </w:rPr>
      </w:sdtEndPr>
      <w:sdtContent>
        <w:p>
          <w:pPr>
            <w:pStyle w:val="117"/>
            <w:numPr>
              <w:ilvl w:val="0"/>
              <w:numId w:val="90"/>
            </w:numPr>
            <w:rPr>
              <w:rFonts w:ascii="宋体" w:hAnsi="宋体"/>
            </w:rPr>
          </w:pPr>
          <w:r>
            <w:rPr>
              <w:rFonts w:hint="eastAsia" w:ascii="宋体" w:hAnsi="宋体"/>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261265136"/>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tabs>
              <w:tab w:val="left" w:pos="1134"/>
            </w:tabs>
            <w:rPr>
              <w:rFonts w:cs="Cambria"/>
              <w:b/>
            </w:rPr>
          </w:pPr>
        </w:p>
      </w:sdtContent>
    </w:sdt>
    <w:sdt>
      <w:sdtPr>
        <w:rPr>
          <w:rFonts w:hint="eastAsia" w:ascii="宋体" w:hAnsi="宋体" w:cs="宋体"/>
          <w:b w:val="0"/>
          <w:bCs w:val="0"/>
          <w:kern w:val="0"/>
          <w:szCs w:val="24"/>
        </w:rPr>
        <w:alias w:val="模块:持续的公允价值计量项目，本期内发生各层级之间转换的，转换的原因及确定转换时点的政策"/>
        <w:tag w:val="_GBC_a9200ec73b8d485e80b76f1a9ee34c49"/>
        <w:id w:val="-1237469131"/>
        <w:lock w:val="sdtLocked"/>
        <w:placeholder>
          <w:docPart w:val="GBC22222222222222222222222222222"/>
        </w:placeholder>
      </w:sdtPr>
      <w:sdtEndPr>
        <w:rPr>
          <w:rFonts w:hint="eastAsia" w:ascii="宋体" w:hAnsi="宋体" w:cs="Cambria"/>
          <w:b w:val="0"/>
          <w:bCs w:val="0"/>
          <w:kern w:val="0"/>
          <w:szCs w:val="21"/>
        </w:rPr>
      </w:sdtEndPr>
      <w:sdtContent>
        <w:p>
          <w:pPr>
            <w:pStyle w:val="117"/>
            <w:numPr>
              <w:ilvl w:val="0"/>
              <w:numId w:val="90"/>
            </w:numPr>
            <w:rPr>
              <w:rFonts w:ascii="宋体" w:hAnsi="宋体"/>
            </w:rPr>
          </w:pPr>
          <w:r>
            <w:rPr>
              <w:rFonts w:hint="eastAsia" w:ascii="宋体" w:hAnsi="宋体"/>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90568699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tabs>
              <w:tab w:val="left" w:pos="1134"/>
            </w:tabs>
            <w:rPr>
              <w:rFonts w:cs="Cambria"/>
              <w:b/>
            </w:rPr>
          </w:pPr>
        </w:p>
      </w:sdtContent>
    </w:sdt>
    <w:sdt>
      <w:sdtPr>
        <w:rPr>
          <w:rFonts w:hint="eastAsia" w:ascii="宋体" w:hAnsi="宋体" w:cs="宋体"/>
          <w:b w:val="0"/>
          <w:bCs w:val="0"/>
          <w:kern w:val="0"/>
          <w:szCs w:val="24"/>
        </w:rPr>
        <w:alias w:val="模块:本期内发生的估值技术变更及变更原因"/>
        <w:tag w:val="_GBC_8e563310a4b84a5d9dfe74fdbc178926"/>
        <w:id w:val="-1934192425"/>
        <w:lock w:val="sdtLocked"/>
        <w:placeholder>
          <w:docPart w:val="GBC22222222222222222222222222222"/>
        </w:placeholder>
      </w:sdtPr>
      <w:sdtEndPr>
        <w:rPr>
          <w:rFonts w:hint="eastAsia" w:ascii="宋体" w:hAnsi="宋体" w:cstheme="minorBidi"/>
          <w:b w:val="0"/>
          <w:bCs w:val="0"/>
          <w:kern w:val="0"/>
          <w:szCs w:val="21"/>
        </w:rPr>
      </w:sdtEndPr>
      <w:sdtContent>
        <w:p>
          <w:pPr>
            <w:pStyle w:val="117"/>
            <w:numPr>
              <w:ilvl w:val="0"/>
              <w:numId w:val="90"/>
            </w:numPr>
            <w:rPr>
              <w:rFonts w:ascii="宋体" w:hAnsi="宋体"/>
            </w:rPr>
          </w:pPr>
          <w:r>
            <w:rPr>
              <w:rFonts w:hint="eastAsia" w:ascii="宋体" w:hAnsi="宋体"/>
            </w:rPr>
            <w:t>本期内发生的估值技术变更及变更原因</w:t>
          </w:r>
        </w:p>
        <w:sdt>
          <w:sdtPr>
            <w:alias w:val="是否适用：本期内发生的估值技术变更及变更原因[双击切换]"/>
            <w:tag w:val="_GBC_b070160060a9485c87417fe5a8b5e02f"/>
            <w:id w:val="939717408"/>
            <w:lock w:val="sdtLocked"/>
            <w:placeholder>
              <w:docPart w:val="GBC22222222222222222222222222222"/>
            </w:placeholder>
          </w:sdtPr>
          <w:sdtContent>
            <w:p>
              <w:pPr>
                <w:pStyle w:val="114"/>
                <w:rPr>
                  <w:rFonts w:cs="Arial" w:asciiTheme="minorEastAsia" w:hAnsiTheme="minorEastAsia" w:eastAsiaTheme="minorEastAsia"/>
                  <w:color w:val="000000" w:themeColor="text1"/>
                  <w:kern w:val="2"/>
                  <w14:textFill>
                    <w14:solidFill>
                      <w14:schemeClr w14:val="tx1"/>
                    </w14:solidFill>
                  </w14:textFil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rPr>
          </w:pPr>
        </w:p>
      </w:sdtContent>
    </w:sdt>
    <w:sdt>
      <w:sdtPr>
        <w:rPr>
          <w:rFonts w:hint="eastAsia" w:ascii="宋体" w:hAnsi="宋体" w:cstheme="minorBidi"/>
          <w:b w:val="0"/>
          <w:bCs w:val="0"/>
          <w:kern w:val="0"/>
          <w:szCs w:val="21"/>
        </w:rPr>
        <w:alias w:val="模块:不以公允价值计量的金融资产和金融负债的公允价值情况"/>
        <w:tag w:val="_GBC_e354e1f41f824854b8f3345d52a9cfab"/>
        <w:id w:val="235675003"/>
        <w:lock w:val="sdtLocked"/>
        <w:placeholder>
          <w:docPart w:val="GBC22222222222222222222222222222"/>
        </w:placeholder>
      </w:sdtPr>
      <w:sdtEndPr>
        <w:rPr>
          <w:rFonts w:hint="eastAsia" w:ascii="宋体" w:hAnsi="宋体" w:cstheme="minorBidi"/>
          <w:b w:val="0"/>
          <w:bCs w:val="0"/>
          <w:kern w:val="0"/>
          <w:szCs w:val="21"/>
        </w:rPr>
      </w:sdtEndPr>
      <w:sdtContent>
        <w:p>
          <w:pPr>
            <w:pStyle w:val="117"/>
            <w:numPr>
              <w:ilvl w:val="0"/>
              <w:numId w:val="90"/>
            </w:numPr>
            <w:rPr>
              <w:rFonts w:ascii="宋体" w:hAnsi="宋体" w:cstheme="minorBidi"/>
              <w:szCs w:val="21"/>
            </w:rPr>
          </w:pPr>
          <w:r>
            <w:rPr>
              <w:rFonts w:hint="eastAsia" w:ascii="宋体" w:hAnsi="宋体" w:cstheme="minorBidi"/>
              <w:szCs w:val="21"/>
            </w:rPr>
            <w:t>不以公允价值计量的</w:t>
          </w:r>
          <w:r>
            <w:rPr>
              <w:rFonts w:hint="eastAsia" w:ascii="宋体" w:hAnsi="宋体"/>
            </w:rPr>
            <w:t>金融资产</w:t>
          </w:r>
          <w:r>
            <w:rPr>
              <w:rFonts w:hint="eastAsia" w:ascii="宋体" w:hAnsi="宋体" w:cstheme="minorBidi"/>
              <w:szCs w:val="21"/>
            </w:rPr>
            <w:t>和金融负债的公允价值情况</w:t>
          </w:r>
        </w:p>
        <w:sdt>
          <w:sdtPr>
            <w:rPr>
              <w:rFonts w:hint="eastAsia" w:cstheme="minorBidi"/>
            </w:rPr>
            <w:alias w:val="是否适用：不以公允价值计量的金融资产和金融负债的公允价值情况[双击切换]"/>
            <w:tag w:val="_GBC_848a058035fb408c922e66294e86defb"/>
            <w:id w:val="-648899011"/>
            <w:lock w:val="sdtLocked"/>
            <w:placeholder>
              <w:docPart w:val="GBC22222222222222222222222222222"/>
            </w:placeholder>
          </w:sdtPr>
          <w:sdtEndPr>
            <w:rPr>
              <w:rFonts w:hint="eastAsia" w:cstheme="minorBidi"/>
            </w:rPr>
          </w:sdtEndPr>
          <w:sdtContent>
            <w:p>
              <w:pPr>
                <w:rPr>
                  <w:rFonts w:cstheme="minorBidi"/>
                </w:rPr>
              </w:pPr>
              <w:r>
                <w:rPr>
                  <w:rFonts w:cstheme="minorBidi"/>
                </w:rPr>
                <w:fldChar w:fldCharType="begin"/>
              </w:r>
              <w:r>
                <w:rPr>
                  <w:rFonts w:cstheme="minorBidi"/>
                </w:rPr>
                <w:instrText xml:space="preserve"> MACROBUTTON  SnrToggleCheckbox □适用 </w:instrText>
              </w:r>
              <w:r>
                <w:rPr>
                  <w:rFonts w:cstheme="minorBidi"/>
                </w:rPr>
                <w:fldChar w:fldCharType="end"/>
              </w:r>
              <w:r>
                <w:rPr>
                  <w:rFonts w:cstheme="minorBidi"/>
                </w:rPr>
                <w:fldChar w:fldCharType="begin"/>
              </w:r>
              <w:r>
                <w:rPr>
                  <w:rFonts w:cstheme="minorBidi"/>
                </w:rPr>
                <w:instrText xml:space="preserve"> MACROBUTTON  SnrToggleCheckbox √不适用 </w:instrText>
              </w:r>
              <w:r>
                <w:rPr>
                  <w:rFonts w:cstheme="minorBidi"/>
                </w:rPr>
                <w:fldChar w:fldCharType="end"/>
              </w:r>
            </w:p>
          </w:sdtContent>
        </w:sdt>
      </w:sdtContent>
    </w:sdt>
    <w:p>
      <w:pPr>
        <w:rPr>
          <w:rFonts w:cstheme="minorBidi"/>
        </w:rPr>
      </w:pPr>
    </w:p>
    <w:sdt>
      <w:sdtPr>
        <w:rPr>
          <w:rFonts w:ascii="宋体" w:hAnsi="宋体" w:cs="宋体"/>
          <w:b w:val="0"/>
          <w:bCs w:val="0"/>
          <w:kern w:val="0"/>
          <w:szCs w:val="21"/>
        </w:rPr>
        <w:alias w:val="模块:公允价值其他需要披露的事项"/>
        <w:tag w:val="_GBC_1551c1b4fedc4ac0ae859b67b4b79904"/>
        <w:id w:val="-452406723"/>
        <w:lock w:val="sdtLocked"/>
        <w:placeholder>
          <w:docPart w:val="GBC22222222222222222222222222222"/>
        </w:placeholder>
      </w:sdtPr>
      <w:sdtEndPr>
        <w:rPr>
          <w:rFonts w:ascii="宋体" w:hAnsi="宋体" w:cs="宋体"/>
          <w:b w:val="0"/>
          <w:bCs w:val="0"/>
          <w:kern w:val="0"/>
          <w:szCs w:val="21"/>
        </w:rPr>
      </w:sdtEndPr>
      <w:sdtContent>
        <w:p>
          <w:pPr>
            <w:pStyle w:val="117"/>
            <w:numPr>
              <w:ilvl w:val="0"/>
              <w:numId w:val="90"/>
            </w:numPr>
            <w:rPr>
              <w:rFonts w:ascii="宋体" w:hAnsi="宋体"/>
              <w:szCs w:val="21"/>
            </w:rPr>
          </w:pPr>
          <w:r>
            <w:rPr>
              <w:rFonts w:hint="eastAsia" w:ascii="宋体" w:hAnsi="宋体"/>
              <w:szCs w:val="21"/>
            </w:rPr>
            <w:t>其他</w:t>
          </w:r>
        </w:p>
        <w:sdt>
          <w:sdtPr>
            <w:rPr>
              <w:rFonts w:hint="eastAsia"/>
            </w:rPr>
            <w:alias w:val="是否适用：公允价值其他需要披露的事项[双击切换]"/>
            <w:tag w:val="_GBC_9174a0e7dec04e80924ee384dabe783a"/>
            <w:id w:val="94218748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3"/>
        <w:numPr>
          <w:ilvl w:val="0"/>
          <w:numId w:val="38"/>
        </w:numPr>
        <w:ind w:left="422" w:hanging="422"/>
        <w:rPr>
          <w:rFonts w:ascii="宋体" w:hAnsi="宋体"/>
        </w:rPr>
      </w:pPr>
      <w:r>
        <w:rPr>
          <w:rFonts w:hint="eastAsia" w:ascii="宋体" w:hAnsi="宋体"/>
        </w:rPr>
        <w:t>关联方及关联交易</w:t>
      </w:r>
    </w:p>
    <w:sdt>
      <w:sdtPr>
        <w:rPr>
          <w:rFonts w:hint="eastAsia" w:ascii="宋体" w:hAnsi="宋体" w:cs="宋体"/>
          <w:b w:val="0"/>
          <w:bCs w:val="0"/>
          <w:kern w:val="0"/>
          <w:szCs w:val="24"/>
        </w:rPr>
        <w:alias w:val="模块:本企业的母公司情况"/>
        <w:tag w:val="_GBC_29e1f7491caa4c3e96eef8c84532de84"/>
        <w:id w:val="1065230196"/>
        <w:lock w:val="sdtLocked"/>
        <w:placeholder>
          <w:docPart w:val="GBC22222222222222222222222222222"/>
        </w:placeholder>
      </w:sdtPr>
      <w:sdtEndPr>
        <w:rPr>
          <w:rFonts w:hint="eastAsia" w:ascii="宋体" w:hAnsi="宋体" w:cs="Cambria"/>
          <w:b w:val="0"/>
          <w:bCs w:val="0"/>
          <w:kern w:val="0"/>
          <w:szCs w:val="21"/>
        </w:rPr>
      </w:sdtEndPr>
      <w:sdtContent>
        <w:p>
          <w:pPr>
            <w:pStyle w:val="117"/>
            <w:numPr>
              <w:ilvl w:val="0"/>
              <w:numId w:val="91"/>
            </w:numPr>
            <w:rPr>
              <w:rFonts w:ascii="宋体" w:hAnsi="宋体"/>
            </w:rPr>
          </w:pPr>
          <w:r>
            <w:rPr>
              <w:rFonts w:hint="eastAsia" w:ascii="宋体" w:hAnsi="宋体"/>
            </w:rPr>
            <w:t>本企业的母公司情况</w:t>
          </w:r>
        </w:p>
        <w:sdt>
          <w:sdtPr>
            <w:alias w:val="是否适用：本企业的母公司情况[双击切换]"/>
            <w:tag w:val="_GBC_ead7e4ec9cc847adb62aa8efd8005802"/>
            <w:id w:val="-79367442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本企业的母公司情况"/>
              <w:tag w:val="_GBC_6deea75122314a599b3383585a0f5cfe"/>
              <w:id w:val="14801863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2646873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232"/>
            <w:gridCol w:w="1462"/>
            <w:gridCol w:w="1476"/>
            <w:gridCol w:w="1681"/>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sdt>
              <w:sdtPr>
                <w:tag w:val="_PLD_19f86fac20c44d648212d3b573ca4c90"/>
                <w:id w:val="1193721733"/>
                <w:lock w:val="sdtLocked"/>
              </w:sdtPr>
              <w:sdtContent>
                <w:tc>
                  <w:tcPr>
                    <w:tcW w:w="76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bookmarkStart w:id="248" w:name="_Hlk142593958"/>
                    <w:r>
                      <w:rPr>
                        <w:rFonts w:hint="eastAsia" w:cs="Cambria"/>
                      </w:rPr>
                      <w:t>母公司名称</w:t>
                    </w:r>
                  </w:p>
                </w:tc>
              </w:sdtContent>
            </w:sdt>
            <w:sdt>
              <w:sdtPr>
                <w:tag w:val="_PLD_d0e9e84346084d4db76e60afa87cf85a"/>
                <w:id w:val="-1186899851"/>
                <w:lock w:val="sdtLocked"/>
              </w:sdtPr>
              <w:sdtContent>
                <w:tc>
                  <w:tcPr>
                    <w:tcW w:w="68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注册地</w:t>
                    </w:r>
                  </w:p>
                </w:tc>
              </w:sdtContent>
            </w:sdt>
            <w:sdt>
              <w:sdtPr>
                <w:tag w:val="_PLD_862851f8ff08431ea28c3420f555e42d"/>
                <w:id w:val="-143116808"/>
                <w:lock w:val="sdtLocked"/>
              </w:sdtPr>
              <w:sdtContent>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业务性质</w:t>
                    </w:r>
                  </w:p>
                </w:tc>
              </w:sdtContent>
            </w:sdt>
            <w:sdt>
              <w:sdtPr>
                <w:tag w:val="_PLD_77ed8bc59084448aa6eced74a15c106f"/>
                <w:id w:val="-956552646"/>
                <w:lock w:val="sdtLocked"/>
              </w:sdtPr>
              <w:sdtContent>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注册资本</w:t>
                    </w:r>
                  </w:p>
                </w:tc>
              </w:sdtContent>
            </w:sdt>
            <w:sdt>
              <w:sdtPr>
                <w:tag w:val="_PLD_360f61c4c6c14f0abe6480ef7f30e958"/>
                <w:id w:val="981425402"/>
                <w:lock w:val="sdtLocked"/>
              </w:sdtPr>
              <w:sdtContent>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母公司对本企业的持股比例</w:t>
                    </w:r>
                    <w:r>
                      <w:rPr>
                        <w:rFonts w:cs="Cambria"/>
                      </w:rPr>
                      <w:t>(%)</w:t>
                    </w:r>
                  </w:p>
                </w:tc>
              </w:sdtContent>
            </w:sdt>
            <w:sdt>
              <w:sdtPr>
                <w:tag w:val="_PLD_3ef945e24ca64fc394d2e6b861604fcf"/>
                <w:id w:val="973790076"/>
                <w:lock w:val="sdtLocked"/>
              </w:sdtPr>
              <w:sdtContent>
                <w:tc>
                  <w:tcPr>
                    <w:tcW w:w="100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母公司对本企业的表决权比例</w:t>
                    </w:r>
                    <w:r>
                      <w:rPr>
                        <w:rFonts w:cs="Cambria"/>
                      </w:rPr>
                      <w:t>(%)</w:t>
                    </w:r>
                  </w:p>
                </w:tc>
              </w:sdtContent>
            </w:sdt>
          </w:tr>
          <w:sdt>
            <w:sdtPr>
              <w:rPr>
                <w:rFonts w:cs="Cambria"/>
              </w:rPr>
              <w:alias w:val="本企业的母公司情况明细"/>
              <w:tag w:val="_GBC_e3a0ec4880544cc4ad472a056e28a2a2"/>
              <w:id w:val="-1592769245"/>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765"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Cambria"/>
                      </w:rPr>
                    </w:pPr>
                    <w:r>
                      <w:t>交通控股</w:t>
                    </w:r>
                  </w:p>
                </w:tc>
                <w:tc>
                  <w:tcPr>
                    <w:tcW w:w="681" w:type="pct"/>
                    <w:tcBorders>
                      <w:top w:val="single" w:color="auto" w:sz="4" w:space="0"/>
                      <w:left w:val="single" w:color="auto" w:sz="4" w:space="0"/>
                      <w:bottom w:val="single" w:color="auto" w:sz="4" w:space="0"/>
                      <w:right w:val="single" w:color="auto" w:sz="4" w:space="0"/>
                    </w:tcBorders>
                    <w:shd w:val="clear" w:color="auto" w:fill="auto"/>
                  </w:tcPr>
                  <w:p>
                    <w:pPr>
                      <w:rPr>
                        <w:rFonts w:cs="Cambria"/>
                      </w:rPr>
                    </w:pPr>
                    <w:r>
                      <w:t>江苏省南京市</w:t>
                    </w:r>
                  </w:p>
                </w:tc>
                <w:tc>
                  <w:tcPr>
                    <w:tcW w:w="808" w:type="pct"/>
                    <w:tcBorders>
                      <w:top w:val="single" w:color="auto" w:sz="4" w:space="0"/>
                      <w:left w:val="single" w:color="auto" w:sz="4" w:space="0"/>
                      <w:bottom w:val="single" w:color="auto" w:sz="4" w:space="0"/>
                      <w:right w:val="single" w:color="auto" w:sz="4" w:space="0"/>
                    </w:tcBorders>
                    <w:shd w:val="clear" w:color="auto" w:fill="auto"/>
                  </w:tcPr>
                  <w:p>
                    <w:pPr>
                      <w:rPr>
                        <w:rFonts w:cs="Cambria"/>
                      </w:rPr>
                    </w:pPr>
                    <w:r>
                      <w:t>有关交通基础设施、交通运输及相关产业的投资建设经营和管理</w:t>
                    </w:r>
                  </w:p>
                </w:tc>
                <w:tc>
                  <w:tcPr>
                    <w:tcW w:w="808"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rPr>
                    </w:pPr>
                    <w:r>
                      <w:t>1,680,000.00</w:t>
                    </w:r>
                  </w:p>
                </w:tc>
                <w:tc>
                  <w:tcPr>
                    <w:tcW w:w="929"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rPr>
                    </w:pPr>
                    <w:r>
                      <w:t>54.44</w:t>
                    </w:r>
                  </w:p>
                </w:tc>
                <w:tc>
                  <w:tcPr>
                    <w:tcW w:w="1003"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rPr>
                    </w:pPr>
                    <w:r>
                      <w:t>54.44</w:t>
                    </w:r>
                  </w:p>
                </w:tc>
              </w:tr>
            </w:sdtContent>
          </w:sdt>
          <w:bookmarkEnd w:id="248"/>
        </w:tbl>
        <w:p>
          <w:pPr>
            <w:tabs>
              <w:tab w:val="left" w:pos="1134"/>
            </w:tabs>
            <w:rPr>
              <w:rFonts w:cs="Cambria"/>
            </w:rPr>
          </w:pPr>
          <w:r>
            <w:rPr>
              <w:rFonts w:hint="eastAsia" w:cs="Cambria"/>
            </w:rPr>
            <w:t>本企业的母公司情况的说明</w:t>
          </w:r>
        </w:p>
        <w:sdt>
          <w:sdtPr>
            <w:rPr>
              <w:rFonts w:cs="Cambria"/>
            </w:rPr>
            <w:alias w:val="本企业的母公司情况的说明"/>
            <w:tag w:val="_GBC_23f67537c1df4d9d9ede9fbc78ad06a4"/>
            <w:id w:val="-1716730634"/>
            <w:lock w:val="sdtLocked"/>
            <w:placeholder>
              <w:docPart w:val="GBC22222222222222222222222222222"/>
            </w:placeholder>
          </w:sdtPr>
          <w:sdtEndPr>
            <w:rPr>
              <w:rFonts w:cs="Cambria"/>
            </w:rPr>
          </w:sdtEndPr>
          <w:sdtContent>
            <w:p>
              <w:pPr>
                <w:tabs>
                  <w:tab w:val="left" w:pos="1134"/>
                </w:tabs>
                <w:rPr>
                  <w:rFonts w:cs="Cambria"/>
                </w:rPr>
              </w:pPr>
              <w:r>
                <w:rPr>
                  <w:rFonts w:hint="eastAsia" w:cs="Cambria"/>
                </w:rPr>
                <w:t>无</w:t>
              </w:r>
            </w:p>
          </w:sdtContent>
        </w:sdt>
        <w:p>
          <w:pPr>
            <w:pStyle w:val="114"/>
          </w:pPr>
          <w:r>
            <w:rPr>
              <w:rFonts w:hint="eastAsia"/>
            </w:rPr>
            <w:t>本企业最终控制方是</w:t>
          </w:r>
          <w:sdt>
            <w:sdtPr>
              <w:rPr>
                <w:rFonts w:hint="eastAsia"/>
              </w:rPr>
              <w:alias w:val="本企业最终控制方"/>
              <w:tag w:val="_GBC_951a676520994ab7a3822c5f58c20b7d"/>
              <w:id w:val="1797636195"/>
              <w:lock w:val="sdtLocked"/>
              <w:placeholder>
                <w:docPart w:val="GBC22222222222222222222222222222"/>
              </w:placeholder>
            </w:sdtPr>
            <w:sdtEndPr>
              <w:rPr>
                <w:rFonts w:hint="eastAsia"/>
              </w:rPr>
            </w:sdtEndPr>
            <w:sdtContent>
              <w:r>
                <w:rPr>
                  <w:rFonts w:hint="eastAsia"/>
                </w:rPr>
                <w:t>本公司的母公司</w:t>
              </w:r>
            </w:sdtContent>
          </w:sdt>
        </w:p>
        <w:p>
          <w:pPr>
            <w:pStyle w:val="114"/>
          </w:pPr>
          <w:r>
            <w:rPr>
              <w:rFonts w:hint="eastAsia"/>
            </w:rPr>
            <w:t>其他说明：</w:t>
          </w:r>
        </w:p>
        <w:sdt>
          <w:sdtPr>
            <w:alias w:val="本企业的母公司情况的其他说明"/>
            <w:tag w:val="_GBC_72b4ca7a02944263a74be4174baff4cf"/>
            <w:id w:val="-209886164"/>
            <w:lock w:val="sdtLocked"/>
            <w:placeholder>
              <w:docPart w:val="GBC22222222222222222222222222222"/>
            </w:placeholder>
          </w:sdtPr>
          <w:sdtContent>
            <w:p>
              <w:pPr>
                <w:pStyle w:val="114"/>
              </w:pPr>
              <w:r>
                <w:rPr>
                  <w:rFonts w:hint="eastAsia"/>
                </w:rPr>
                <w:t>不适用</w:t>
              </w:r>
            </w:p>
          </w:sdtContent>
        </w:sdt>
        <w:p>
          <w:pPr>
            <w:pStyle w:val="114"/>
          </w:pPr>
        </w:p>
      </w:sdtContent>
    </w:sdt>
    <w:sdt>
      <w:sdtPr>
        <w:rPr>
          <w:rFonts w:hint="eastAsia" w:ascii="宋体" w:hAnsi="宋体" w:cs="Arial"/>
          <w:b w:val="0"/>
          <w:bCs w:val="0"/>
          <w:kern w:val="0"/>
          <w:szCs w:val="21"/>
        </w:rPr>
        <w:alias w:val="模块:本企业的子公司情况"/>
        <w:tag w:val="_GBC_244a434a920446c1838410fee0ac8ba8"/>
        <w:id w:val="-1750718367"/>
        <w:lock w:val="sdtLocked"/>
        <w:placeholder>
          <w:docPart w:val="GBC22222222222222222222222222222"/>
        </w:placeholder>
      </w:sdtPr>
      <w:sdtEndPr>
        <w:rPr>
          <w:rFonts w:hint="eastAsia" w:ascii="宋体" w:hAnsi="宋体" w:cs="Cambria"/>
          <w:b w:val="0"/>
          <w:bCs w:val="0"/>
          <w:kern w:val="0"/>
          <w:szCs w:val="21"/>
        </w:rPr>
      </w:sdtEndPr>
      <w:sdtContent>
        <w:p>
          <w:pPr>
            <w:pStyle w:val="117"/>
            <w:numPr>
              <w:ilvl w:val="0"/>
              <w:numId w:val="91"/>
            </w:numPr>
            <w:rPr>
              <w:rFonts w:ascii="宋体" w:hAnsi="宋体" w:cs="Arial"/>
              <w:szCs w:val="21"/>
            </w:rPr>
          </w:pPr>
          <w:r>
            <w:rPr>
              <w:rFonts w:hint="eastAsia" w:ascii="宋体" w:hAnsi="宋体" w:cs="Arial"/>
              <w:szCs w:val="21"/>
            </w:rPr>
            <w:t>本企业的子公司情况</w:t>
          </w:r>
        </w:p>
        <w:p>
          <w:pPr>
            <w:pStyle w:val="114"/>
          </w:pPr>
          <w:r>
            <w:rPr>
              <w:rFonts w:hint="eastAsia"/>
            </w:rPr>
            <w:t>本企业子公司的情况详见附注七、1</w:t>
          </w:r>
        </w:p>
        <w:sdt>
          <w:sdtPr>
            <w:alias w:val="是否适用：本公司的子公司情况详见附注[双击切换]"/>
            <w:tag w:val="_GBC_a8d551b9f62149d3bf9322adae2c671f"/>
            <w:id w:val="-11005712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公司的子公司情况详见附注"/>
            <w:tag w:val="_GBC_bb3e2669c3cc45d0a6637b1809087708"/>
            <w:id w:val="526609562"/>
            <w:lock w:val="sdtLocked"/>
            <w:placeholder>
              <w:docPart w:val="GBC22222222222222222222222222222"/>
            </w:placeholder>
          </w:sdtPr>
          <w:sdtEndPr>
            <w:rPr>
              <w:rFonts w:hint="eastAsia"/>
            </w:rPr>
          </w:sdtEndPr>
          <w:sdtContent>
            <w:p>
              <w:pPr>
                <w:pStyle w:val="114"/>
              </w:pPr>
              <w:r>
                <w:rPr>
                  <w:rFonts w:hint="eastAsia"/>
                </w:rPr>
                <w:t>无</w:t>
              </w:r>
            </w:p>
          </w:sdtContent>
        </w:sdt>
        <w:p>
          <w:pPr>
            <w:tabs>
              <w:tab w:val="left" w:pos="1134"/>
            </w:tabs>
            <w:rPr>
              <w:rFonts w:cs="Cambria"/>
            </w:rPr>
          </w:pPr>
        </w:p>
      </w:sdtContent>
    </w:sdt>
    <w:sdt>
      <w:sdtPr>
        <w:rPr>
          <w:rFonts w:hint="eastAsia" w:ascii="宋体" w:hAnsi="宋体" w:cs="宋体"/>
          <w:b w:val="0"/>
          <w:bCs w:val="0"/>
          <w:kern w:val="0"/>
          <w:szCs w:val="24"/>
        </w:rPr>
        <w:alias w:val="模块:存在关联方交易或余额的合营和联营企业情况"/>
        <w:tag w:val="_GBC_a5638b7fd6a848a19564209060b6909a"/>
        <w:id w:val="1570998597"/>
        <w:lock w:val="sdtLocked"/>
        <w:placeholder>
          <w:docPart w:val="GBC22222222222222222222222222222"/>
        </w:placeholder>
      </w:sdtPr>
      <w:sdtEndPr>
        <w:rPr>
          <w:rFonts w:hint="eastAsia" w:ascii="宋体" w:hAnsi="宋体" w:cs="Cambria"/>
          <w:b w:val="0"/>
          <w:bCs w:val="0"/>
          <w:kern w:val="0"/>
          <w:szCs w:val="21"/>
        </w:rPr>
      </w:sdtEndPr>
      <w:sdtContent>
        <w:p>
          <w:pPr>
            <w:pStyle w:val="117"/>
            <w:numPr>
              <w:ilvl w:val="0"/>
              <w:numId w:val="91"/>
            </w:numPr>
            <w:rPr>
              <w:rFonts w:ascii="宋体" w:hAnsi="宋体"/>
            </w:rPr>
          </w:pPr>
          <w:r>
            <w:rPr>
              <w:rFonts w:hint="eastAsia" w:ascii="宋体" w:hAnsi="宋体"/>
            </w:rPr>
            <w:t>本企业合营和联营企业情况</w:t>
          </w:r>
        </w:p>
        <w:sdt>
          <w:sdtPr>
            <w:alias w:val="是否适用：本企业重要的合营或联营企业详见附注[双击切换]"/>
            <w:tag w:val="_GBC_2a369d3377e94598b2a744dfe59973e2"/>
            <w:id w:val="178738419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1074117863"/>
            <w:lock w:val="sdtLocked"/>
            <w:placeholder>
              <w:docPart w:val="GBC22222222222222222222222222222"/>
            </w:placeholder>
          </w:sdtPr>
          <w:sdtEndPr>
            <w:rPr>
              <w:rFonts w:hint="eastAsia"/>
            </w:rPr>
          </w:sdtEndPr>
          <w:sdtContent>
            <w:p>
              <w:pPr>
                <w:pStyle w:val="114"/>
              </w:pPr>
              <w:r>
                <w:rPr>
                  <w:rFonts w:hint="eastAsia"/>
                </w:rPr>
                <w:t>本企业重要的合营或联营企业详见附注七、2</w:t>
              </w:r>
            </w:p>
          </w:sdtContent>
        </w:sdt>
        <w:p>
          <w:pPr>
            <w:pStyle w:val="114"/>
          </w:pPr>
        </w:p>
        <w:p>
          <w:pPr>
            <w:pStyle w:val="114"/>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461616323"/>
            <w:lock w:val="sdtLocked"/>
            <w:placeholder>
              <w:docPart w:val="GBC22222222222222222222222222222"/>
            </w:placeholder>
          </w:sdtPr>
          <w:sdtContent>
            <w:p>
              <w:pPr>
                <w:rPr>
                  <w:rFonts w:cs="Cambr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tabs>
              <w:tab w:val="left" w:pos="1134"/>
            </w:tabs>
            <w:rPr>
              <w:rFonts w:cs="Cambria"/>
            </w:rPr>
          </w:pPr>
        </w:p>
        <w:p>
          <w:pPr>
            <w:tabs>
              <w:tab w:val="left" w:pos="1134"/>
            </w:tabs>
            <w:rPr>
              <w:rFonts w:cs="Cambria"/>
            </w:rPr>
          </w:pPr>
        </w:p>
      </w:sdtContent>
    </w:sdt>
    <w:sdt>
      <w:sdtPr>
        <w:rPr>
          <w:rFonts w:hint="eastAsia" w:ascii="宋体" w:hAnsi="宋体" w:cs="宋体"/>
          <w:b w:val="0"/>
          <w:bCs w:val="0"/>
          <w:kern w:val="0"/>
          <w:szCs w:val="24"/>
        </w:rPr>
        <w:alias w:val="模块:其他关联方情况"/>
        <w:tag w:val="_GBC_047a0ce3dc594d779db6d4cbc1623727"/>
        <w:id w:val="324996"/>
        <w:lock w:val="sdtLocked"/>
        <w:placeholder>
          <w:docPart w:val="GBC22222222222222222222222222222"/>
        </w:placeholder>
      </w:sdtPr>
      <w:sdtEndPr>
        <w:rPr>
          <w:rFonts w:hint="eastAsia" w:ascii="宋体" w:hAnsi="宋体" w:cs="Cambria"/>
          <w:b w:val="0"/>
          <w:bCs w:val="0"/>
          <w:kern w:val="0"/>
          <w:szCs w:val="21"/>
        </w:rPr>
      </w:sdtEndPr>
      <w:sdtContent>
        <w:p>
          <w:pPr>
            <w:pStyle w:val="117"/>
            <w:numPr>
              <w:ilvl w:val="0"/>
              <w:numId w:val="91"/>
            </w:numPr>
            <w:rPr>
              <w:rFonts w:ascii="宋体" w:hAnsi="宋体"/>
            </w:rPr>
          </w:pPr>
          <w:r>
            <w:rPr>
              <w:rFonts w:hint="eastAsia" w:ascii="宋体" w:hAnsi="宋体"/>
            </w:rPr>
            <w:t>其他关联方情况</w:t>
          </w:r>
        </w:p>
        <w:sdt>
          <w:sdtPr>
            <w:alias w:val="是否适用：其他关联方情况[双击切换]"/>
            <w:tag w:val="_GBC_f9c029ef57734babb6375a74af1e3736"/>
            <w:id w:val="202458760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8"/>
            <w:gridCol w:w="5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sdt>
              <w:sdtPr>
                <w:tag w:val="_PLD_8fe00abbc9b249a98b2e3ac6b12f12db"/>
                <w:id w:val="2038388847"/>
                <w:lock w:val="sdtLocked"/>
              </w:sdtPr>
              <w:sdtContent>
                <w:tc>
                  <w:tcPr>
                    <w:tcW w:w="2198" w:type="pct"/>
                    <w:tcBorders>
                      <w:top w:val="single" w:color="auto" w:sz="4" w:space="0"/>
                      <w:left w:val="single" w:color="auto" w:sz="4" w:space="0"/>
                      <w:bottom w:val="single" w:color="auto" w:sz="4" w:space="0"/>
                      <w:right w:val="single" w:color="auto" w:sz="4" w:space="0"/>
                    </w:tcBorders>
                    <w:shd w:val="clear" w:color="auto" w:fill="auto"/>
                  </w:tcPr>
                  <w:p>
                    <w:pPr>
                      <w:jc w:val="center"/>
                      <w:rPr>
                        <w:rFonts w:cs="Cambria"/>
                      </w:rPr>
                    </w:pPr>
                    <w:r>
                      <w:rPr>
                        <w:rFonts w:hint="eastAsia" w:cs="Cambria"/>
                      </w:rPr>
                      <w:t>其他关联方名称</w:t>
                    </w:r>
                  </w:p>
                </w:tc>
              </w:sdtContent>
            </w:sdt>
            <w:sdt>
              <w:sdtPr>
                <w:tag w:val="_PLD_c1304840da1e482f80286e0c7ca19002"/>
                <w:id w:val="35717438"/>
                <w:lock w:val="sdtLocked"/>
              </w:sdtPr>
              <w:sdtContent>
                <w:tc>
                  <w:tcPr>
                    <w:tcW w:w="2802" w:type="pct"/>
                    <w:tcBorders>
                      <w:top w:val="single" w:color="auto" w:sz="4" w:space="0"/>
                      <w:left w:val="single" w:color="auto" w:sz="4" w:space="0"/>
                      <w:bottom w:val="single" w:color="auto" w:sz="4" w:space="0"/>
                      <w:right w:val="single" w:color="auto" w:sz="4" w:space="0"/>
                    </w:tcBorders>
                    <w:shd w:val="clear" w:color="auto" w:fill="auto"/>
                  </w:tcPr>
                  <w:p>
                    <w:pPr>
                      <w:jc w:val="center"/>
                      <w:rPr>
                        <w:rFonts w:cs="Cambria"/>
                      </w:rPr>
                    </w:pPr>
                    <w:r>
                      <w:rPr>
                        <w:rFonts w:hint="eastAsia" w:cs="Cambria"/>
                      </w:rPr>
                      <w:t>其他关联方与本企业关系</w:t>
                    </w:r>
                  </w:p>
                </w:tc>
              </w:sdtContent>
            </w:sdt>
          </w:tr>
          <w:sdt>
            <w:sdtPr>
              <w:rPr>
                <w:rFonts w:cs="Cambria"/>
              </w:rPr>
              <w:alias w:val="本企业的其他关联方情况明细"/>
              <w:tag w:val="_GBC_2ec4adf7a1ce48faaeba9536b2bf6d81"/>
              <w:id w:val="65087209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江苏通行宝智慧交通科技股份有限公司 (“通行宝公司”）</w:t>
                    </w:r>
                  </w:p>
                </w:tc>
                <w:sdt>
                  <w:sdtPr>
                    <w:rPr>
                      <w:rFonts w:cs="Cambria"/>
                    </w:rPr>
                    <w:alias w:val="本企业的其他关联方情况明细－其他关联方与本公司关系"/>
                    <w:tag w:val="_GBC_2205fb8ea5f648b5a0c9e8e3f8499f9f"/>
                    <w:id w:val="-409548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261101625"/>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江苏高速公路能源发展有限公司（“高速能发公司”）（原名“江苏高速公路石油发展有限公司”）</w:t>
                    </w:r>
                  </w:p>
                </w:tc>
                <w:sdt>
                  <w:sdtPr>
                    <w:rPr>
                      <w:rFonts w:cs="Cambria"/>
                    </w:rPr>
                    <w:alias w:val="本企业的其他关联方情况明细－其他关联方与本公司关系"/>
                    <w:tag w:val="_GBC_2205fb8ea5f648b5a0c9e8e3f8499f9f"/>
                    <w:id w:val="-1776707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20743895"/>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江苏苏通大桥有限责任公司（“苏通大桥公司”）</w:t>
                    </w:r>
                  </w:p>
                </w:tc>
                <w:sdt>
                  <w:sdtPr>
                    <w:rPr>
                      <w:rFonts w:cs="Cambria"/>
                    </w:rPr>
                    <w:alias w:val="本企业的其他关联方情况明细－其他关联方与本公司关系"/>
                    <w:tag w:val="_GBC_2205fb8ea5f648b5a0c9e8e3f8499f9f"/>
                    <w:id w:val="471981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43232478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江苏泰州大桥有限公司（“泰州大桥公司”）</w:t>
                    </w:r>
                  </w:p>
                </w:tc>
                <w:sdt>
                  <w:sdtPr>
                    <w:rPr>
                      <w:rFonts w:cs="Cambria"/>
                    </w:rPr>
                    <w:alias w:val="本企业的其他关联方情况明细－其他关联方与本公司关系"/>
                    <w:tag w:val="_GBC_2205fb8ea5f648b5a0c9e8e3f8499f9f"/>
                    <w:id w:val="-128483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98084578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江苏高速公路工程养护技术有限公司 (“养护技术公司”）</w:t>
                    </w:r>
                  </w:p>
                </w:tc>
                <w:sdt>
                  <w:sdtPr>
                    <w:rPr>
                      <w:rFonts w:cs="Cambria"/>
                    </w:rPr>
                    <w:alias w:val="本企业的其他关联方情况明细－其他关联方与本公司关系"/>
                    <w:tag w:val="_GBC_2205fb8ea5f648b5a0c9e8e3f8499f9f"/>
                    <w:id w:val="-6070440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835609783"/>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江苏华通工程检测有限公司 （“华通公司”）</w:t>
                    </w:r>
                  </w:p>
                </w:tc>
                <w:sdt>
                  <w:sdtPr>
                    <w:rPr>
                      <w:rFonts w:cs="Cambria"/>
                    </w:rPr>
                    <w:alias w:val="本企业的其他关联方情况明细－其他关联方与本公司关系"/>
                    <w:tag w:val="_GBC_2205fb8ea5f648b5a0c9e8e3f8499f9f"/>
                    <w:id w:val="16620417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215895503"/>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江苏京沪高速公路有限公司 （“京沪公司”）</w:t>
                    </w:r>
                  </w:p>
                </w:tc>
                <w:sdt>
                  <w:sdtPr>
                    <w:rPr>
                      <w:rFonts w:cs="Cambria"/>
                    </w:rPr>
                    <w:alias w:val="本企业的其他关联方情况明细－其他关联方与本公司关系"/>
                    <w:tag w:val="_GBC_2205fb8ea5f648b5a0c9e8e3f8499f9f"/>
                    <w:id w:val="11225832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516493948"/>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江苏省铁路集团有限公司 （“铁集公司”）</w:t>
                    </w:r>
                  </w:p>
                </w:tc>
                <w:sdt>
                  <w:sdtPr>
                    <w:rPr>
                      <w:rFonts w:cs="Cambria"/>
                    </w:rPr>
                    <w:alias w:val="本企业的其他关联方情况明细－其他关联方与本公司关系"/>
                    <w:tag w:val="_GBC_2205fb8ea5f648b5a0c9e8e3f8499f9f"/>
                    <w:id w:val="1411736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753432814"/>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江苏现代工程检测有限公司 （“工程检测公司”）</w:t>
                    </w:r>
                  </w:p>
                </w:tc>
                <w:sdt>
                  <w:sdtPr>
                    <w:rPr>
                      <w:rFonts w:cs="Cambria"/>
                    </w:rPr>
                    <w:alias w:val="本企业的其他关联方情况明细－其他关联方与本公司关系"/>
                    <w:tag w:val="_GBC_2205fb8ea5f648b5a0c9e8e3f8499f9f"/>
                    <w:id w:val="-282638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404798325"/>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南京感动科技有限公司 （“感动科技公司”）</w:t>
                    </w:r>
                  </w:p>
                </w:tc>
                <w:sdt>
                  <w:sdtPr>
                    <w:rPr>
                      <w:rFonts w:cs="Cambria"/>
                    </w:rPr>
                    <w:alias w:val="本企业的其他关联方情况明细－其他关联方与本公司关系"/>
                    <w:tag w:val="_GBC_2205fb8ea5f648b5a0c9e8e3f8499f9f"/>
                    <w:id w:val="1468641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26411164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泰兴市和畅油品销售有限公司 （“泰兴和畅油品公司”）</w:t>
                    </w:r>
                  </w:p>
                </w:tc>
                <w:sdt>
                  <w:sdtPr>
                    <w:rPr>
                      <w:rFonts w:cs="Cambria"/>
                    </w:rPr>
                    <w:alias w:val="本企业的其他关联方情况明细－其他关联方与本公司关系"/>
                    <w:tag w:val="_GBC_2205fb8ea5f648b5a0c9e8e3f8499f9f"/>
                    <w:id w:val="8320990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5468791"/>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江苏高速公路工程养护有限公司 （"工程养护公司"）</w:t>
                    </w:r>
                  </w:p>
                </w:tc>
                <w:sdt>
                  <w:sdtPr>
                    <w:rPr>
                      <w:rFonts w:cs="Cambria"/>
                    </w:rPr>
                    <w:alias w:val="本企业的其他关联方情况明细－其他关联方与本公司关系"/>
                    <w:tag w:val="_GBC_2205fb8ea5f648b5a0c9e8e3f8499f9f"/>
                    <w:id w:val="-883479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88339496"/>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江苏沪通大桥有限责任公司 （“沪通大桥公司”）</w:t>
                    </w:r>
                  </w:p>
                </w:tc>
                <w:sdt>
                  <w:sdtPr>
                    <w:rPr>
                      <w:rFonts w:cs="Cambria"/>
                    </w:rPr>
                    <w:alias w:val="本企业的其他关联方情况明细－其他关联方与本公司关系"/>
                    <w:tag w:val="_GBC_2205fb8ea5f648b5a0c9e8e3f8499f9f"/>
                    <w:id w:val="20185742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1313717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江苏沪苏浙高速公路有限公司（“沪苏浙高速”）</w:t>
                    </w:r>
                  </w:p>
                </w:tc>
                <w:sdt>
                  <w:sdtPr>
                    <w:rPr>
                      <w:rFonts w:cs="Cambria"/>
                    </w:rPr>
                    <w:alias w:val="本企业的其他关联方情况明细－其他关联方与本公司关系"/>
                    <w:tag w:val="_GBC_2205fb8ea5f648b5a0c9e8e3f8499f9f"/>
                    <w:id w:val="-916326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65225826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江苏交控商业运营管理有限公司 （“交控商业运营公司”）</w:t>
                    </w:r>
                  </w:p>
                </w:tc>
                <w:sdt>
                  <w:sdtPr>
                    <w:rPr>
                      <w:rFonts w:cs="Cambria"/>
                    </w:rPr>
                    <w:alias w:val="本企业的其他关联方情况明细－其他关联方与本公司关系"/>
                    <w:tag w:val="_GBC_2205fb8ea5f648b5a0c9e8e3f8499f9f"/>
                    <w:id w:val="2072998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159694011"/>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江苏翠屏山宾馆管理有限公司（“翠屏山宾馆”）</w:t>
                    </w:r>
                  </w:p>
                </w:tc>
                <w:sdt>
                  <w:sdtPr>
                    <w:rPr>
                      <w:rFonts w:cs="Cambria"/>
                    </w:rPr>
                    <w:alias w:val="本企业的其他关联方情况明细－其他关联方与本公司关系"/>
                    <w:tag w:val="_GBC_2205fb8ea5f648b5a0c9e8e3f8499f9f"/>
                    <w:id w:val="1215620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17479097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江苏交控人力资源发展有限公司 （“交控人力资源公司”）</w:t>
                    </w:r>
                  </w:p>
                </w:tc>
                <w:sdt>
                  <w:sdtPr>
                    <w:rPr>
                      <w:rFonts w:cs="Cambria"/>
                    </w:rPr>
                    <w:alias w:val="本企业的其他关联方情况明细－其他关联方与本公司关系"/>
                    <w:tag w:val="_GBC_2205fb8ea5f648b5a0c9e8e3f8499f9f"/>
                    <w:id w:val="-12688521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507014833"/>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江苏锡泰隧道有限责任公司 （“锡泰隧道公司”）</w:t>
                    </w:r>
                  </w:p>
                </w:tc>
                <w:sdt>
                  <w:sdtPr>
                    <w:rPr>
                      <w:rFonts w:cs="Cambria"/>
                    </w:rPr>
                    <w:alias w:val="本企业的其他关联方情况明细－其他关联方与本公司关系"/>
                    <w:tag w:val="_GBC_2205fb8ea5f648b5a0c9e8e3f8499f9f"/>
                    <w:id w:val="1223474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14542038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江苏东方路桥建设养护有限公司 （“东方路桥公司” ）</w:t>
                    </w:r>
                  </w:p>
                </w:tc>
                <w:sdt>
                  <w:sdtPr>
                    <w:rPr>
                      <w:rFonts w:cs="Cambria"/>
                    </w:rPr>
                    <w:alias w:val="本企业的其他关联方情况明细－其他关联方与本公司关系"/>
                    <w:tag w:val="_GBC_2205fb8ea5f648b5a0c9e8e3f8499f9f"/>
                    <w:id w:val="507637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72371210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江苏省高速公路经营管理中心 （“高管中心”）</w:t>
                    </w:r>
                  </w:p>
                </w:tc>
                <w:sdt>
                  <w:sdtPr>
                    <w:rPr>
                      <w:rFonts w:cs="Cambria"/>
                    </w:rPr>
                    <w:alias w:val="本企业的其他关联方情况明细－其他关联方与本公司关系"/>
                    <w:tag w:val="_GBC_2205fb8ea5f648b5a0c9e8e3f8499f9f"/>
                    <w:id w:val="-12447904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72198509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江苏润扬大桥发展有限责任公司 （“润扬大桥公司” ）</w:t>
                    </w:r>
                  </w:p>
                </w:tc>
                <w:sdt>
                  <w:sdtPr>
                    <w:rPr>
                      <w:rFonts w:cs="Cambria"/>
                    </w:rPr>
                    <w:alias w:val="本企业的其他关联方情况明细－其他关联方与本公司关系"/>
                    <w:tag w:val="_GBC_2205fb8ea5f648b5a0c9e8e3f8499f9f"/>
                    <w:id w:val="-634257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35441117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江苏东部高速公路管理有限公司 (" 东部高速公司")</w:t>
                    </w:r>
                  </w:p>
                </w:tc>
                <w:sdt>
                  <w:sdtPr>
                    <w:rPr>
                      <w:rFonts w:cs="Cambria"/>
                    </w:rPr>
                    <w:alias w:val="本企业的其他关联方情况明细－其他关联方与本公司关系"/>
                    <w:tag w:val="_GBC_2205fb8ea5f648b5a0c9e8e3f8499f9f"/>
                    <w:id w:val="-10300346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766811339"/>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云杉资本管理有限公司 ("云杉资本")</w:t>
                    </w:r>
                  </w:p>
                </w:tc>
                <w:sdt>
                  <w:sdtPr>
                    <w:rPr>
                      <w:rFonts w:cs="Cambria"/>
                    </w:rPr>
                    <w:alias w:val="本企业的其他关联方情况明细－其他关联方与本公司关系"/>
                    <w:tag w:val="_GBC_2205fb8ea5f648b5a0c9e8e3f8499f9f"/>
                    <w:id w:val="-16635420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14803403"/>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常州市高速公路管理有限公司 ("常州高速管理")</w:t>
                    </w:r>
                  </w:p>
                </w:tc>
                <w:sdt>
                  <w:sdtPr>
                    <w:rPr>
                      <w:rFonts w:cs="Cambria"/>
                    </w:rPr>
                    <w:alias w:val="本企业的其他关联方情况明细－其他关联方与本公司关系"/>
                    <w:tag w:val="_GBC_2205fb8ea5f648b5a0c9e8e3f8499f9f"/>
                    <w:id w:val="19866696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818335228"/>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江苏盐射高速公路有限公司 ("盐射高速公司")</w:t>
                    </w:r>
                  </w:p>
                </w:tc>
                <w:sdt>
                  <w:sdtPr>
                    <w:rPr>
                      <w:rFonts w:cs="Cambria"/>
                    </w:rPr>
                    <w:alias w:val="本企业的其他关联方情况明细－其他关联方与本公司关系"/>
                    <w:tag w:val="_GBC_2205fb8ea5f648b5a0c9e8e3f8499f9f"/>
                    <w:id w:val="1005165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839924729"/>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江苏宿淮盐高速公路管理有限公司 ("宿淮盐高速公司")</w:t>
                    </w:r>
                  </w:p>
                </w:tc>
                <w:sdt>
                  <w:sdtPr>
                    <w:rPr>
                      <w:rFonts w:cs="Cambria"/>
                    </w:rPr>
                    <w:alias w:val="本企业的其他关联方情况明细－其他关联方与本公司关系"/>
                    <w:tag w:val="_GBC_2205fb8ea5f648b5a0c9e8e3f8499f9f"/>
                    <w:id w:val="3147638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3070941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江苏宁杭高速公路有限公司 ("宁杭高速公司")</w:t>
                    </w:r>
                  </w:p>
                </w:tc>
                <w:sdt>
                  <w:sdtPr>
                    <w:rPr>
                      <w:rFonts w:cs="Cambria"/>
                    </w:rPr>
                    <w:alias w:val="本企业的其他关联方情况明细－其他关联方与本公司关系"/>
                    <w:tag w:val="_GBC_2205fb8ea5f648b5a0c9e8e3f8499f9f"/>
                    <w:id w:val="-1482610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844550536"/>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江苏连徐高速公路有限公司 ("连徐高速公司")</w:t>
                    </w:r>
                  </w:p>
                </w:tc>
                <w:sdt>
                  <w:sdtPr>
                    <w:rPr>
                      <w:rFonts w:cs="Cambria"/>
                    </w:rPr>
                    <w:alias w:val="本企业的其他关联方情况明细－其他关联方与本公司关系"/>
                    <w:tag w:val="_GBC_2205fb8ea5f648b5a0c9e8e3f8499f9f"/>
                    <w:id w:val="-1053382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5066127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江苏宁宿徐高速公路有限公司 ("宁宿徐高速公司")</w:t>
                    </w:r>
                  </w:p>
                </w:tc>
                <w:sdt>
                  <w:sdtPr>
                    <w:rPr>
                      <w:rFonts w:cs="Cambria"/>
                    </w:rPr>
                    <w:alias w:val="本企业的其他关联方情况明细－其他关联方与本公司关系"/>
                    <w:tag w:val="_GBC_2205fb8ea5f648b5a0c9e8e3f8499f9f"/>
                    <w:id w:val="95450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66667029"/>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江苏苏锡常南部高速公路有限公司 ("苏锡常南部公司")</w:t>
                    </w:r>
                  </w:p>
                </w:tc>
                <w:sdt>
                  <w:sdtPr>
                    <w:rPr>
                      <w:rFonts w:cs="Cambria"/>
                    </w:rPr>
                    <w:alias w:val="本企业的其他关联方情况明细－其他关联方与本公司关系"/>
                    <w:tag w:val="_GBC_2205fb8ea5f648b5a0c9e8e3f8499f9f"/>
                    <w:id w:val="-6163707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3963820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南京公路发展(集团)有限公司 ("南京公路发展公司")</w:t>
                    </w:r>
                  </w:p>
                </w:tc>
                <w:sdt>
                  <w:sdtPr>
                    <w:rPr>
                      <w:rFonts w:cs="Cambria"/>
                    </w:rPr>
                    <w:alias w:val="本企业的其他关联方情况明细－其他关联方与本公司关系"/>
                    <w:tag w:val="_GBC_2205fb8ea5f648b5a0c9e8e3f8499f9f"/>
                    <w:id w:val="-448781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663543566"/>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江苏和泰高速公路经营管理有限公司 ("和泰高速公司")</w:t>
                    </w:r>
                  </w:p>
                </w:tc>
                <w:sdt>
                  <w:sdtPr>
                    <w:rPr>
                      <w:rFonts w:hint="eastAsia" w:cs="Cambria"/>
                    </w:rPr>
                    <w:alias w:val="本企业的其他关联方情况明细－其他关联方与本公司关系"/>
                    <w:tag w:val="_GBC_2205fb8ea5f648b5a0c9e8e3f8499f9f"/>
                    <w:id w:val="-2566784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hint="eastAsia"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hint="eastAsia" w:cs="Cambria"/>
                          </w:rPr>
                          <w:t xml:space="preserve">同一最终控股股东             </w:t>
                        </w:r>
                        <w:r>
                          <w:rPr>
                            <w:rFonts w:cs="Cambria"/>
                          </w:rPr>
                          <w:t xml:space="preserve">              </w:t>
                        </w:r>
                      </w:p>
                    </w:tc>
                  </w:sdtContent>
                </w:sdt>
              </w:tr>
            </w:sdtContent>
          </w:sdt>
          <w:sdt>
            <w:sdtPr>
              <w:rPr>
                <w:rFonts w:cs="Cambria"/>
              </w:rPr>
              <w:alias w:val="本企业的其他关联方情况明细"/>
              <w:tag w:val="_GBC_2ec4adf7a1ce48faaeba9536b2bf6d81"/>
              <w:id w:val="70198620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通昌置业南通有限公司 ("通昌置业")</w:t>
                    </w:r>
                  </w:p>
                </w:tc>
                <w:sdt>
                  <w:sdtPr>
                    <w:rPr>
                      <w:rFonts w:cs="Cambria"/>
                    </w:rPr>
                    <w:alias w:val="本企业的其他关联方情况明细－其他关联方与本公司关系"/>
                    <w:tag w:val="_GBC_2205fb8ea5f648b5a0c9e8e3f8499f9f"/>
                    <w:id w:val="6015350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770961351"/>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江苏交控商业运营管理有限公司 ("交控商业运营公司")</w:t>
                    </w:r>
                  </w:p>
                </w:tc>
                <w:sdt>
                  <w:sdtPr>
                    <w:rPr>
                      <w:rFonts w:cs="Cambria"/>
                    </w:rPr>
                    <w:alias w:val="本企业的其他关联方情况明细－其他关联方与本公司关系"/>
                    <w:tag w:val="_GBC_2205fb8ea5f648b5a0c9e8e3f8499f9f"/>
                    <w:id w:val="-15692575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851403399"/>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江苏通昌置业投资有限公司 ("通昌置业投资")</w:t>
                    </w:r>
                  </w:p>
                </w:tc>
                <w:sdt>
                  <w:sdtPr>
                    <w:rPr>
                      <w:rFonts w:cs="Cambria"/>
                    </w:rPr>
                    <w:alias w:val="本企业的其他关联方情况明细－其他关联方与本公司关系"/>
                    <w:tag w:val="_GBC_2205fb8ea5f648b5a0c9e8e3f8499f9f"/>
                    <w:id w:val="1762947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1749491665"/>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南通通沙港务有限公司 ("通沙港务")</w:t>
                    </w:r>
                  </w:p>
                </w:tc>
                <w:sdt>
                  <w:sdtPr>
                    <w:rPr>
                      <w:rFonts w:cs="Cambria"/>
                    </w:rPr>
                    <w:alias w:val="本企业的其他关联方情况明细－其他关联方与本公司关系"/>
                    <w:tag w:val="_GBC_2205fb8ea5f648b5a0c9e8e3f8499f9f"/>
                    <w:id w:val="7863213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2078341136"/>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南通天电新兴能源有限公司("南通天电")</w:t>
                    </w:r>
                  </w:p>
                </w:tc>
                <w:sdt>
                  <w:sdtPr>
                    <w:rPr>
                      <w:rFonts w:cs="Cambria"/>
                    </w:rPr>
                    <w:alias w:val="本企业的其他关联方情况明细－其他关联方与本公司关系"/>
                    <w:tag w:val="_GBC_2205fb8ea5f648b5a0c9e8e3f8499f9f"/>
                    <w:id w:val="-4023730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47459748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江苏南沿江城际铁路有限公司("南沿江铁路")</w:t>
                    </w:r>
                  </w:p>
                </w:tc>
                <w:sdt>
                  <w:sdtPr>
                    <w:rPr>
                      <w:rFonts w:cs="Cambria"/>
                    </w:rPr>
                    <w:alias w:val="本企业的其他关联方情况明细－其他关联方与本公司关系"/>
                    <w:tag w:val="_GBC_2205fb8ea5f648b5a0c9e8e3f8499f9f"/>
                    <w:id w:val="-926501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同一最终控股股东</w:t>
                        </w:r>
                      </w:p>
                    </w:tc>
                  </w:sdtContent>
                </w:sdt>
              </w:tr>
            </w:sdtContent>
          </w:sdt>
          <w:sdt>
            <w:sdtPr>
              <w:rPr>
                <w:rFonts w:cs="Cambria"/>
              </w:rPr>
              <w:alias w:val="本企业的其他关联方情况明细"/>
              <w:tag w:val="_GBC_2ec4adf7a1ce48faaeba9536b2bf6d81"/>
              <w:id w:val="-61305255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江苏银行股份有限公司 ("江苏银行")</w:t>
                    </w:r>
                  </w:p>
                </w:tc>
                <w:sdt>
                  <w:sdtPr>
                    <w:rPr>
                      <w:rFonts w:cs="Cambria"/>
                    </w:rPr>
                    <w:alias w:val="本企业的其他关联方情况明细－其他关联方与本公司关系"/>
                    <w:tag w:val="_GBC_2205fb8ea5f648b5a0c9e8e3f8499f9f"/>
                    <w:id w:val="288180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母公司之联营企业</w:t>
                        </w:r>
                      </w:p>
                    </w:tc>
                  </w:sdtContent>
                </w:sdt>
              </w:tr>
            </w:sdtContent>
          </w:sdt>
          <w:sdt>
            <w:sdtPr>
              <w:rPr>
                <w:rFonts w:cs="Cambria"/>
              </w:rPr>
              <w:alias w:val="本企业的其他关联方情况明细"/>
              <w:tag w:val="_GBC_2ec4adf7a1ce48faaeba9536b2bf6d81"/>
              <w:id w:val="-1829283030"/>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南京银行股份有限公司 ("南京银行")</w:t>
                    </w:r>
                  </w:p>
                </w:tc>
                <w:sdt>
                  <w:sdtPr>
                    <w:rPr>
                      <w:rFonts w:cs="Cambria"/>
                    </w:rPr>
                    <w:alias w:val="本企业的其他关联方情况明细－其他关联方与本公司关系"/>
                    <w:tag w:val="_GBC_2205fb8ea5f648b5a0c9e8e3f8499f9f"/>
                    <w:id w:val="-16484304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母公司之联营企业</w:t>
                        </w:r>
                      </w:p>
                    </w:tc>
                  </w:sdtContent>
                </w:sdt>
              </w:tr>
            </w:sdtContent>
          </w:sdt>
          <w:sdt>
            <w:sdtPr>
              <w:rPr>
                <w:rFonts w:cs="Cambria"/>
              </w:rPr>
              <w:alias w:val="本企业的其他关联方情况明细"/>
              <w:tag w:val="_GBC_2ec4adf7a1ce48faaeba9536b2bf6d81"/>
              <w:id w:val="-102270922"/>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富安达基金管理有限公司 ("富安达公司")</w:t>
                    </w:r>
                  </w:p>
                </w:tc>
                <w:sdt>
                  <w:sdtPr>
                    <w:rPr>
                      <w:rFonts w:cs="Cambria"/>
                    </w:rPr>
                    <w:alias w:val="本企业的其他关联方情况明细－其他关联方与本公司关系"/>
                    <w:tag w:val="_GBC_2205fb8ea5f648b5a0c9e8e3f8499f9f"/>
                    <w:id w:val="-1098556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母公司之联营企业</w:t>
                        </w:r>
                      </w:p>
                    </w:tc>
                  </w:sdtContent>
                </w:sdt>
              </w:tr>
            </w:sdtContent>
          </w:sdt>
          <w:sdt>
            <w:sdtPr>
              <w:rPr>
                <w:rFonts w:cs="Cambria"/>
              </w:rPr>
              <w:alias w:val="本企业的其他关联方情况明细"/>
              <w:tag w:val="_GBC_2ec4adf7a1ce48faaeba9536b2bf6d81"/>
              <w:id w:val="-1437292446"/>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江苏高速公路信息工程有限公司 （“高速信息公司”）</w:t>
                    </w:r>
                  </w:p>
                </w:tc>
                <w:sdt>
                  <w:sdtPr>
                    <w:rPr>
                      <w:rFonts w:cs="Cambria"/>
                    </w:rPr>
                    <w:alias w:val="本企业的其他关联方情况明细－其他关联方与本公司关系"/>
                    <w:tag w:val="_GBC_2205fb8ea5f648b5a0c9e8e3f8499f9f"/>
                    <w:id w:val="2836993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母公司之联营企业</w:t>
                        </w:r>
                      </w:p>
                    </w:tc>
                  </w:sdtContent>
                </w:sdt>
              </w:tr>
            </w:sdtContent>
          </w:sdt>
          <w:sdt>
            <w:sdtPr>
              <w:rPr>
                <w:rFonts w:cs="Cambria"/>
              </w:rPr>
              <w:alias w:val="本企业的其他关联方情况明细"/>
              <w:tag w:val="_GBC_2ec4adf7a1ce48faaeba9536b2bf6d81"/>
              <w:id w:val="801348537"/>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98" w:type="pct"/>
                    <w:tcBorders>
                      <w:top w:val="single" w:color="auto" w:sz="4" w:space="0"/>
                      <w:left w:val="single" w:color="auto" w:sz="4" w:space="0"/>
                      <w:bottom w:val="single" w:color="auto" w:sz="4" w:space="0"/>
                      <w:right w:val="single" w:color="auto" w:sz="4" w:space="0"/>
                    </w:tcBorders>
                    <w:vAlign w:val="center"/>
                  </w:tcPr>
                  <w:p>
                    <w:pPr>
                      <w:rPr>
                        <w:rFonts w:cs="Cambria"/>
                      </w:rPr>
                    </w:pPr>
                    <w:r>
                      <w:t>苏州苏畅汽车修理服务有限公司 （“苏畅汽修公司”）</w:t>
                    </w:r>
                  </w:p>
                </w:tc>
                <w:sdt>
                  <w:sdtPr>
                    <w:rPr>
                      <w:rFonts w:cs="Cambria"/>
                    </w:rPr>
                    <w:alias w:val="本企业的其他关联方情况明细－其他关联方与本公司关系"/>
                    <w:tag w:val="_GBC_2205fb8ea5f648b5a0c9e8e3f8499f9f"/>
                    <w:id w:val="2885615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rPr>
                      <w:rFonts w:cs="Cambria"/>
                    </w:rPr>
                  </w:sdtEndPr>
                  <w:sdtContent>
                    <w:tc>
                      <w:tcPr>
                        <w:tcW w:w="2802" w:type="pct"/>
                        <w:tcBorders>
                          <w:top w:val="single" w:color="auto" w:sz="4" w:space="0"/>
                          <w:left w:val="single" w:color="auto" w:sz="4" w:space="0"/>
                          <w:bottom w:val="single" w:color="auto" w:sz="4" w:space="0"/>
                          <w:right w:val="single" w:color="auto" w:sz="4" w:space="0"/>
                        </w:tcBorders>
                      </w:tcPr>
                      <w:p>
                        <w:pPr>
                          <w:rPr>
                            <w:rFonts w:cs="Cambria"/>
                          </w:rPr>
                        </w:pPr>
                        <w:r>
                          <w:rPr>
                            <w:rFonts w:cs="Cambria"/>
                          </w:rPr>
                          <w:t>联营企业之子公司</w:t>
                        </w:r>
                      </w:p>
                    </w:tc>
                  </w:sdtContent>
                </w:sdt>
              </w:tr>
            </w:sdtContent>
          </w:sdt>
        </w:tbl>
        <w:p>
          <w:pPr>
            <w:tabs>
              <w:tab w:val="left" w:pos="1134"/>
            </w:tabs>
            <w:rPr>
              <w:rFonts w:cs="Cambria"/>
            </w:rPr>
          </w:pPr>
          <w:r>
            <w:rPr>
              <w:rFonts w:hint="eastAsia" w:cs="Cambria"/>
            </w:rPr>
            <w:t>其他说明</w:t>
          </w:r>
        </w:p>
        <w:sdt>
          <w:sdtPr>
            <w:rPr>
              <w:rFonts w:cs="Cambria"/>
            </w:rPr>
            <w:alias w:val="本企业的其他关联方情况的说明"/>
            <w:tag w:val="_GBC_214bcb1375e347c4be22006f5cc854a9"/>
            <w:id w:val="1877042272"/>
            <w:lock w:val="sdtLocked"/>
            <w:placeholder>
              <w:docPart w:val="GBC22222222222222222222222222222"/>
            </w:placeholder>
          </w:sdtPr>
          <w:sdtEndPr>
            <w:rPr>
              <w:rFonts w:cs="Cambria"/>
            </w:rPr>
          </w:sdtEndPr>
          <w:sdtContent>
            <w:p>
              <w:pPr>
                <w:tabs>
                  <w:tab w:val="left" w:pos="1134"/>
                </w:tabs>
                <w:rPr>
                  <w:rFonts w:cs="Cambria"/>
                </w:rPr>
              </w:pPr>
              <w:r>
                <w:rPr>
                  <w:rFonts w:hint="eastAsia" w:cs="Cambria"/>
                </w:rPr>
                <w:t>不适用</w:t>
              </w:r>
            </w:p>
          </w:sdtContent>
        </w:sdt>
        <w:p>
          <w:pPr>
            <w:tabs>
              <w:tab w:val="left" w:pos="1134"/>
            </w:tabs>
            <w:rPr>
              <w:rFonts w:cs="Cambria"/>
              <w:b/>
            </w:rPr>
          </w:pPr>
        </w:p>
      </w:sdtContent>
    </w:sdt>
    <w:p>
      <w:pPr>
        <w:pStyle w:val="117"/>
        <w:numPr>
          <w:ilvl w:val="0"/>
          <w:numId w:val="91"/>
        </w:numPr>
        <w:rPr>
          <w:rFonts w:ascii="宋体" w:hAnsi="宋体"/>
        </w:rPr>
      </w:pPr>
      <w:r>
        <w:rPr>
          <w:rFonts w:hint="eastAsia" w:ascii="宋体" w:hAnsi="宋体"/>
        </w:rPr>
        <w:t>关联交易情况</w:t>
      </w:r>
    </w:p>
    <w:p>
      <w:pPr>
        <w:pStyle w:val="118"/>
        <w:numPr>
          <w:ilvl w:val="0"/>
          <w:numId w:val="92"/>
        </w:numPr>
        <w:tabs>
          <w:tab w:val="left" w:pos="616"/>
        </w:tabs>
        <w:rPr>
          <w:rFonts w:ascii="宋体" w:hAnsi="宋体"/>
        </w:rPr>
      </w:pPr>
      <w:r>
        <w:rPr>
          <w:rFonts w:hint="eastAsia" w:ascii="宋体" w:hAnsi="宋体"/>
        </w:rPr>
        <w:t>购销商品、提供和接受劳务的关联交易</w:t>
      </w:r>
    </w:p>
    <w:sdt>
      <w:sdtPr>
        <w:rPr>
          <w:rFonts w:hint="eastAsia"/>
        </w:rPr>
        <w:alias w:val="模块:采购商品/接受劳务情况表"/>
        <w:tag w:val="_SEC_fb5c7314892940239be1e53fefbaec88"/>
        <w:id w:val="807904416"/>
        <w:lock w:val="sdtLocked"/>
        <w:placeholder>
          <w:docPart w:val="GBC22222222222222222222222222222"/>
        </w:placeholder>
      </w:sdtPr>
      <w:sdtEndPr>
        <w:rPr>
          <w:rFonts w:hint="default"/>
        </w:rPr>
      </w:sdtEndPr>
      <w:sdtContent>
        <w:p>
          <w:pPr>
            <w:pStyle w:val="114"/>
          </w:pPr>
          <w:bookmarkStart w:id="249" w:name="_Hlk137124040"/>
          <w:r>
            <w:rPr>
              <w:rFonts w:hint="eastAsia"/>
            </w:rPr>
            <w:t>采购商品/接受劳务情况表</w:t>
          </w:r>
        </w:p>
        <w:sdt>
          <w:sdtPr>
            <w:alias w:val="是否适用：采购商品或接受劳务情况表[双击切换]"/>
            <w:tag w:val="_GBC_af7e43b831354837910c4edde708e04a"/>
            <w:id w:val="799336665"/>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rPr>
              <w:rFonts w:cs="Cambria"/>
              <w:b/>
              <w:bCs/>
            </w:rPr>
          </w:pPr>
          <w:r>
            <w:rPr>
              <w:rFonts w:hint="eastAsia" w:cs="Cambria"/>
            </w:rPr>
            <w:t>单位：</w:t>
          </w:r>
          <w:sdt>
            <w:sdtPr>
              <w:rPr>
                <w:rFonts w:hint="eastAsia" w:cs="Cambria"/>
              </w:rPr>
              <w:alias w:val="单位：采购商品接受劳务情况表"/>
              <w:tag w:val="_GBC_45ae86deace34388a904346eae355be1"/>
              <w:id w:val="1083648314"/>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cs="Cambria"/>
              </w:rPr>
            </w:sdtEndPr>
            <w:sdtContent>
              <w:r>
                <w:rPr>
                  <w:rFonts w:hint="eastAsia" w:cs="Cambria"/>
                </w:rPr>
                <w:t>元</w:t>
              </w:r>
            </w:sdtContent>
          </w:sdt>
          <w:r>
            <w:rPr>
              <w:rFonts w:hint="eastAsia" w:cs="Cambria"/>
            </w:rPr>
            <w:t xml:space="preserve">  币种：</w:t>
          </w:r>
          <w:sdt>
            <w:sdtPr>
              <w:rPr>
                <w:rFonts w:hint="eastAsia" w:cs="Cambria"/>
              </w:rPr>
              <w:alias w:val="币种：采购商品接受劳务情况表"/>
              <w:tag w:val="_GBC_ac9ca64b68bd493da1d7e7c719a6104c"/>
              <w:id w:val="-19793274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s="Cambria"/>
              </w:rPr>
            </w:sdtEndPr>
            <w:sdtContent>
              <w:r>
                <w:rPr>
                  <w:rFonts w:hint="eastAsia" w:cs="Cambr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342"/>
            <w:gridCol w:w="2420"/>
            <w:gridCol w:w="2188"/>
            <w:gridCol w:w="20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5" w:hRule="atLeast"/>
            </w:trPr>
            <w:sdt>
              <w:sdtPr>
                <w:tag w:val="_PLD_c09a7dc97d494a8fb07056392e54876a"/>
                <w:id w:val="-432124335"/>
                <w:lock w:val="sdtLocked"/>
              </w:sdtPr>
              <w:sdtContent>
                <w:tc>
                  <w:tcPr>
                    <w:tcW w:w="12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关联方</w:t>
                    </w:r>
                  </w:p>
                </w:tc>
              </w:sdtContent>
            </w:sdt>
            <w:sdt>
              <w:sdtPr>
                <w:tag w:val="_PLD_6f5fdab53c694e56963e5e189cd0c28d"/>
                <w:id w:val="-757368507"/>
                <w:lock w:val="sdtLocked"/>
              </w:sdtPr>
              <w:sdtContent>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关联交易内容</w:t>
                    </w:r>
                  </w:p>
                </w:tc>
              </w:sdtContent>
            </w:sdt>
            <w:sdt>
              <w:sdtPr>
                <w:tag w:val="_PLD_1237b998b2a64f30a674dff433b841b0"/>
                <w:id w:val="-1762291850"/>
                <w:lock w:val="sdtLocked"/>
              </w:sdtPr>
              <w:sdtContent>
                <w:tc>
                  <w:tcPr>
                    <w:tcW w:w="1209" w:type="pct"/>
                    <w:tcBorders>
                      <w:top w:val="single" w:color="auto" w:sz="4" w:space="0"/>
                      <w:left w:val="single" w:color="auto" w:sz="4" w:space="0"/>
                      <w:right w:val="single" w:color="auto" w:sz="4" w:space="0"/>
                    </w:tcBorders>
                    <w:shd w:val="clear" w:color="auto" w:fill="auto"/>
                    <w:vAlign w:val="center"/>
                  </w:tcPr>
                  <w:p>
                    <w:pPr>
                      <w:jc w:val="center"/>
                      <w:rPr>
                        <w:rFonts w:cs="Cambria"/>
                      </w:rPr>
                    </w:pPr>
                    <w:r>
                      <w:rPr>
                        <w:rFonts w:hint="eastAsia" w:cs="Cambria"/>
                      </w:rPr>
                      <w:t>本期发生额</w:t>
                    </w:r>
                  </w:p>
                </w:tc>
              </w:sdtContent>
            </w:sdt>
            <w:sdt>
              <w:sdtPr>
                <w:tag w:val="_PLD_f7d77ff6fdf642199e4c9fc12f00610d"/>
                <w:id w:val="192660282"/>
                <w:lock w:val="sdtLocked"/>
              </w:sdtPr>
              <w:sdtContent>
                <w:tc>
                  <w:tcPr>
                    <w:tcW w:w="1160" w:type="pct"/>
                    <w:tcBorders>
                      <w:top w:val="single" w:color="auto" w:sz="4" w:space="0"/>
                      <w:left w:val="single" w:color="auto" w:sz="4" w:space="0"/>
                      <w:right w:val="single" w:color="auto" w:sz="4" w:space="0"/>
                    </w:tcBorders>
                    <w:shd w:val="clear" w:color="auto" w:fill="auto"/>
                    <w:vAlign w:val="center"/>
                  </w:tcPr>
                  <w:p>
                    <w:pPr>
                      <w:jc w:val="center"/>
                      <w:rPr>
                        <w:rFonts w:cs="Cambria"/>
                      </w:rPr>
                    </w:pPr>
                    <w:r>
                      <w:rPr>
                        <w:rFonts w:hint="eastAsia" w:cs="Cambria"/>
                      </w:rPr>
                      <w:t>上期发生额</w:t>
                    </w:r>
                  </w:p>
                </w:tc>
              </w:sdtContent>
            </w:sdt>
          </w:tr>
          <w:sdt>
            <w:sdtPr>
              <w:alias w:val="采购商品接受劳务情况明细"/>
              <w:tag w:val="_TUP_6a1f8fb777604032986c4beda62c76c1"/>
              <w:id w:val="-389505543"/>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现代路桥公司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道路养护费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21,898,903.08</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281,512,711.07</w:t>
                    </w:r>
                  </w:p>
                </w:tc>
              </w:tr>
            </w:sdtContent>
          </w:sdt>
          <w:sdt>
            <w:sdtPr>
              <w:alias w:val="采购商品接受劳务情况明细"/>
              <w:tag w:val="_TUP_6a1f8fb777604032986c4beda62c76c1"/>
              <w:id w:val="-1368751806"/>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现代路桥公司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专项工程项目</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22,078,979.89</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采购商品接受劳务情况明细"/>
              <w:tag w:val="_TUP_6a1f8fb777604032986c4beda62c76c1"/>
              <w:id w:val="69335041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现代路桥公司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冬防应急配合项目</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9,729,881.28</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采购商品接受劳务情况明细"/>
              <w:tag w:val="_TUP_6a1f8fb777604032986c4beda62c76c1"/>
              <w:id w:val="-27965255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联网公司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t>收费系统维护运营管理</w:t>
                    </w:r>
                    <w:r>
                      <w:rPr>
                        <w:rFonts w:hint="eastAsia"/>
                      </w:rPr>
                      <w:t>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16,862,403.07</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11,828,666.00</w:t>
                    </w:r>
                  </w:p>
                </w:tc>
              </w:tr>
            </w:sdtContent>
          </w:sdt>
          <w:sdt>
            <w:sdtPr>
              <w:alias w:val="采购商品接受劳务情况明细"/>
              <w:tag w:val="_TUP_6a1f8fb777604032986c4beda62c76c1"/>
              <w:id w:val="562376063"/>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通行宝公司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收费系统维护运营管理费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18,566,409.91</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4,956,865.04</w:t>
                    </w:r>
                  </w:p>
                </w:tc>
              </w:tr>
            </w:sdtContent>
          </w:sdt>
          <w:sdt>
            <w:sdtPr>
              <w:alias w:val="采购商品接受劳务情况明细"/>
              <w:tag w:val="_TUP_6a1f8fb777604032986c4beda62c76c1"/>
              <w:id w:val="-1500498556"/>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养护技术公司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t>道路养护</w:t>
                    </w:r>
                    <w:r>
                      <w:rPr>
                        <w:rFonts w:hint="eastAsia"/>
                      </w:rPr>
                      <w:t>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1,389,297.49</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5,305,452.20</w:t>
                    </w:r>
                  </w:p>
                </w:tc>
              </w:tr>
            </w:sdtContent>
          </w:sdt>
          <w:sdt>
            <w:sdtPr>
              <w:alias w:val="采购商品接受劳务情况明细"/>
              <w:tag w:val="_TUP_6a1f8fb777604032986c4beda62c76c1"/>
              <w:id w:val="1757249081"/>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高速信息公司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系统维护费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4,528,698.15</w:t>
                    </w:r>
                  </w:p>
                </w:tc>
              </w:tr>
            </w:sdtContent>
          </w:sdt>
          <w:sdt>
            <w:sdtPr>
              <w:alias w:val="采购商品接受劳务情况明细"/>
              <w:tag w:val="_TUP_6a1f8fb777604032986c4beda62c76c1"/>
              <w:id w:val="-149626657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高速信息公司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更新改造工程项目</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1,920,452.60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  </w:t>
                    </w:r>
                  </w:p>
                </w:tc>
              </w:tr>
            </w:sdtContent>
          </w:sdt>
          <w:sdt>
            <w:sdtPr>
              <w:alias w:val="采购商品接受劳务情况明细"/>
              <w:tag w:val="_TUP_6a1f8fb777604032986c4beda62c76c1"/>
              <w:id w:val="1214777431"/>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快鹿公司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运输服务租赁费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8,342,193.26</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6,997,697.52</w:t>
                    </w:r>
                  </w:p>
                </w:tc>
              </w:tr>
            </w:sdtContent>
          </w:sdt>
          <w:sdt>
            <w:sdtPr>
              <w:alias w:val="采购商品接受劳务情况明细"/>
              <w:tag w:val="_TUP_6a1f8fb777604032986c4beda62c76c1"/>
              <w:id w:val="83596028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南林饭店</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餐饮住宿</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4,668.00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w:t>
                    </w:r>
                  </w:p>
                </w:tc>
              </w:tr>
            </w:sdtContent>
          </w:sdt>
          <w:sdt>
            <w:sdtPr>
              <w:alias w:val="采购商品接受劳务情况明细"/>
              <w:tag w:val="_TUP_6a1f8fb777604032986c4beda62c76c1"/>
              <w:id w:val="1811586722"/>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感动科技公司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三大系统建设维修费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45,500.00</w:t>
                    </w:r>
                  </w:p>
                </w:tc>
              </w:tr>
            </w:sdtContent>
          </w:sdt>
          <w:sdt>
            <w:sdtPr>
              <w:alias w:val="采购商品接受劳务情况明细"/>
              <w:tag w:val="_TUP_6a1f8fb777604032986c4beda62c76c1"/>
              <w:id w:val="465470464"/>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工程检测公司</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道路养护费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885,747.68</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采购商品接受劳务情况明细"/>
              <w:tag w:val="_TUP_6a1f8fb777604032986c4beda62c76c1"/>
              <w:id w:val="1151401113"/>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东方路桥公司</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道路养护费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1,910,396.00</w:t>
                    </w:r>
                  </w:p>
                </w:tc>
              </w:tr>
            </w:sdtContent>
          </w:sdt>
          <w:sdt>
            <w:sdtPr>
              <w:alias w:val="采购商品接受劳务情况明细"/>
              <w:tag w:val="_TUP_6a1f8fb777604032986c4beda62c76c1"/>
              <w:id w:val="-46520168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文化传媒</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委托管理费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3,209,394.64</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2,687,144.15</w:t>
                    </w:r>
                  </w:p>
                </w:tc>
              </w:tr>
            </w:sdtContent>
          </w:sdt>
          <w:sdt>
            <w:sdtPr>
              <w:alias w:val="采购商品接受劳务情况明细"/>
              <w:tag w:val="_TUP_6a1f8fb777604032986c4beda62c76c1"/>
              <w:id w:val="1588957276"/>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翠屏山宾馆</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采购及服务费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258,400.00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146,305.70</w:t>
                    </w:r>
                  </w:p>
                </w:tc>
              </w:tr>
            </w:sdtContent>
          </w:sdt>
          <w:sdt>
            <w:sdtPr>
              <w:alias w:val="采购商品接受劳务情况明细"/>
              <w:tag w:val="_TUP_6a1f8fb777604032986c4beda62c76c1"/>
              <w:id w:val="1832252851"/>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交控商业运营公司</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采购及服务费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3,989,862.75</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239,228.64</w:t>
                    </w:r>
                  </w:p>
                </w:tc>
              </w:tr>
            </w:sdtContent>
          </w:sdt>
          <w:sdt>
            <w:sdtPr>
              <w:alias w:val="采购商品接受劳务情况明细"/>
              <w:tag w:val="_TUP_6a1f8fb777604032986c4beda62c76c1"/>
              <w:id w:val="112705385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交通控股</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采购及服务费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4,110,225.91</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3,262,259.01</w:t>
                    </w:r>
                  </w:p>
                </w:tc>
              </w:tr>
            </w:sdtContent>
          </w:sdt>
          <w:sdt>
            <w:sdtPr>
              <w:alias w:val="采购商品接受劳务情况明细"/>
              <w:tag w:val="_TUP_6a1f8fb777604032986c4beda62c76c1"/>
              <w:id w:val="-115876188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交控人力资源公司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培训及外包服务费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2,044,291.51</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5,318,843.73</w:t>
                    </w:r>
                  </w:p>
                </w:tc>
              </w:tr>
            </w:sdtContent>
          </w:sdt>
          <w:sdt>
            <w:sdtPr>
              <w:alias w:val="采购商品接受劳务情况明细"/>
              <w:tag w:val="_TUP_6a1f8fb777604032986c4beda62c76c1"/>
              <w:id w:val="-179782970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交通控股</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关联方借款利息支出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61,144,308.72</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56,655,910.73</w:t>
                    </w:r>
                  </w:p>
                </w:tc>
              </w:tr>
            </w:sdtContent>
          </w:sdt>
          <w:sdt>
            <w:sdtPr>
              <w:alias w:val="采购商品接受劳务情况明细"/>
              <w:tag w:val="_TUP_6a1f8fb777604032986c4beda62c76c1"/>
              <w:id w:val="-138486495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江苏银行</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承销费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17,435.62</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5,222.22</w:t>
                    </w:r>
                  </w:p>
                </w:tc>
              </w:tr>
            </w:sdtContent>
          </w:sdt>
          <w:sdt>
            <w:sdtPr>
              <w:alias w:val="采购商品接受劳务情况明细"/>
              <w:tag w:val="_TUP_6a1f8fb777604032986c4beda62c76c1"/>
              <w:id w:val="187765267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南京银行</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承销费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13,056.00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采购商品接受劳务情况明细"/>
              <w:tag w:val="_TUP_6a1f8fb777604032986c4beda62c76c1"/>
              <w:id w:val="816692124"/>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江苏银行</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手续费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254.00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200.00</w:t>
                    </w:r>
                  </w:p>
                </w:tc>
              </w:tr>
            </w:sdtContent>
          </w:sdt>
          <w:sdt>
            <w:sdtPr>
              <w:alias w:val="采购商品接受劳务情况明细"/>
              <w:tag w:val="_TUP_6a1f8fb777604032986c4beda62c76c1"/>
              <w:id w:val="-109061812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南京银行</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手续费</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380.00</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566.00</w:t>
                    </w:r>
                  </w:p>
                </w:tc>
              </w:tr>
            </w:sdtContent>
          </w:sdt>
          <w:sdt>
            <w:sdtPr>
              <w:alias w:val="采购商品接受劳务情况明细"/>
              <w:tag w:val="_TUP_6a1f8fb777604032986c4beda62c76c1"/>
              <w:id w:val="186941781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南京银行</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理财产品投资收益</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9,700,416.67</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采购商品接受劳务情况明细"/>
              <w:tag w:val="_TUP_6a1f8fb777604032986c4beda62c76c1"/>
              <w:id w:val="-1966651412"/>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沪苏浙高速</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委托借款利息支出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462,555.56</w:t>
                    </w:r>
                  </w:p>
                </w:tc>
              </w:tr>
            </w:sdtContent>
          </w:sdt>
          <w:sdt>
            <w:sdtPr>
              <w:alias w:val="采购商品接受劳务情况明细"/>
              <w:tag w:val="_TUP_6a1f8fb777604032986c4beda62c76c1"/>
              <w:id w:val="2092036601"/>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集团财务公司</w:t>
                    </w:r>
                    <w:r>
                      <w:t>*</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流动资金借款利息支出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15,968,410.29</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17,887,188.39</w:t>
                    </w:r>
                  </w:p>
                </w:tc>
              </w:tr>
            </w:sdtContent>
          </w:sdt>
          <w:sdt>
            <w:sdtPr>
              <w:alias w:val="采购商品接受劳务情况明细"/>
              <w:tag w:val="_TUP_6a1f8fb777604032986c4beda62c76c1"/>
              <w:id w:val="150146290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东方路桥公司</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流动资金借款利息支出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442,444.44</w:t>
                    </w:r>
                  </w:p>
                </w:tc>
              </w:tr>
            </w:sdtContent>
          </w:sdt>
          <w:sdt>
            <w:sdtPr>
              <w:alias w:val="采购商品接受劳务情况明细"/>
              <w:tag w:val="_TUP_6a1f8fb777604032986c4beda62c76c1"/>
              <w:id w:val="-176067305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文化传媒</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流动资金借款利息支出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2,120,139.10</w:t>
                    </w:r>
                  </w:p>
                </w:tc>
              </w:tr>
            </w:sdtContent>
          </w:sdt>
          <w:sdt>
            <w:sdtPr>
              <w:alias w:val="采购商品接受劳务情况明细"/>
              <w:tag w:val="_TUP_6a1f8fb777604032986c4beda62c76c1"/>
              <w:id w:val="-148623490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通昌置业</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流动资金借款利息支出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1,392,888.92</w:t>
                    </w:r>
                  </w:p>
                </w:tc>
              </w:tr>
            </w:sdtContent>
          </w:sdt>
          <w:sdt>
            <w:sdtPr>
              <w:alias w:val="采购商品接受劳务情况明细"/>
              <w:tag w:val="_TUP_6a1f8fb777604032986c4beda62c76c1"/>
              <w:id w:val="16174105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294" w:type="pct"/>
                    <w:tcBorders>
                      <w:top w:val="single" w:color="auto" w:sz="4" w:space="0"/>
                      <w:left w:val="single" w:color="auto" w:sz="4" w:space="0"/>
                      <w:bottom w:val="single" w:color="auto" w:sz="4" w:space="0"/>
                      <w:right w:val="single" w:color="auto" w:sz="4" w:space="0"/>
                    </w:tcBorders>
                    <w:shd w:val="clear" w:color="auto" w:fill="auto"/>
                  </w:tcPr>
                  <w:p>
                    <w:r>
                      <w:rPr>
                        <w:rFonts w:hint="eastAsia"/>
                      </w:rPr>
                      <w:t>云杉资本</w:t>
                    </w:r>
                  </w:p>
                </w:tc>
                <w:tc>
                  <w:tcPr>
                    <w:tcW w:w="1337" w:type="pct"/>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rPr>
                      <w:t>流动资金借款利息支出</w:t>
                    </w:r>
                  </w:p>
                </w:tc>
                <w:tc>
                  <w:tcPr>
                    <w:tcW w:w="1209"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c>
                  <w:tcPr>
                    <w:tcW w:w="1160" w:type="pct"/>
                    <w:tcBorders>
                      <w:top w:val="single" w:color="auto" w:sz="4" w:space="0"/>
                      <w:left w:val="single" w:color="auto" w:sz="4" w:space="0"/>
                      <w:bottom w:val="single" w:color="auto" w:sz="4" w:space="0"/>
                      <w:right w:val="single" w:color="auto" w:sz="4" w:space="0"/>
                    </w:tcBorders>
                    <w:shd w:val="clear" w:color="auto" w:fill="auto"/>
                  </w:tcPr>
                  <w:p>
                    <w:pPr>
                      <w:jc w:val="right"/>
                    </w:pPr>
                    <w:r>
                      <w:t>235,916.68</w:t>
                    </w:r>
                  </w:p>
                </w:tc>
              </w:tr>
            </w:sdtContent>
          </w:sdt>
        </w:tbl>
        <w:p>
          <w:pPr>
            <w:jc w:val="right"/>
            <w:rPr>
              <w:rFonts w:cs="Cambria" w:asciiTheme="minorEastAsia" w:hAnsiTheme="minorEastAsia" w:eastAsiaTheme="minorEastAsia"/>
              <w:b/>
              <w:bCs/>
            </w:rPr>
          </w:pPr>
          <w:r>
            <w:rPr>
              <w:rFonts w:hint="eastAsia" w:cs="Cambria" w:asciiTheme="minorEastAsia" w:hAnsiTheme="minorEastAsia" w:eastAsiaTheme="minorEastAsia"/>
            </w:rPr>
            <w:t>单位：</w:t>
          </w:r>
          <w:sdt>
            <w:sdtPr>
              <w:rPr>
                <w:rFonts w:hint="eastAsia" w:cs="Cambria" w:asciiTheme="minorEastAsia" w:hAnsiTheme="minorEastAsia" w:eastAsiaTheme="minorEastAsia"/>
              </w:rPr>
              <w:alias w:val="单位：采购商品接受劳务情况表"/>
              <w:tag w:val="_GBC_45ae86deace34388a904346eae355be1"/>
              <w:id w:val="9088079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s="Cambria" w:asciiTheme="minorEastAsia" w:hAnsiTheme="minorEastAsia" w:eastAsiaTheme="minorEastAsia"/>
              </w:rPr>
            </w:sdtEndPr>
            <w:sdtContent>
              <w:r>
                <w:rPr>
                  <w:rFonts w:hint="eastAsia" w:cs="Cambria" w:asciiTheme="minorEastAsia" w:hAnsiTheme="minorEastAsia" w:eastAsiaTheme="minorEastAsia"/>
                </w:rPr>
                <w:t>元</w:t>
              </w:r>
            </w:sdtContent>
          </w:sdt>
          <w:r>
            <w:rPr>
              <w:rFonts w:hint="eastAsia" w:cs="Cambria" w:asciiTheme="minorEastAsia" w:hAnsiTheme="minorEastAsia" w:eastAsiaTheme="minorEastAsia"/>
            </w:rPr>
            <w:t xml:space="preserve">  币种：</w:t>
          </w:r>
          <w:sdt>
            <w:sdtPr>
              <w:rPr>
                <w:rFonts w:hint="eastAsia" w:cs="Cambria" w:asciiTheme="minorEastAsia" w:hAnsiTheme="minorEastAsia" w:eastAsiaTheme="minorEastAsia"/>
              </w:rPr>
              <w:alias w:val="币种：采购商品接受劳务情况表"/>
              <w:tag w:val="_GBC_ac9ca64b68bd493da1d7e7c719a6104c"/>
              <w:id w:val="-1316103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s="Cambria" w:asciiTheme="minorEastAsia" w:hAnsiTheme="minorEastAsia" w:eastAsiaTheme="minorEastAsia"/>
              </w:rPr>
            </w:sdtEndPr>
            <w:sdtContent>
              <w:r>
                <w:rPr>
                  <w:rFonts w:hint="eastAsia" w:cs="Cambria" w:asciiTheme="minorEastAsia" w:hAnsiTheme="minorEastAsia" w:eastAsiaTheme="minorEastAsia"/>
                </w:rPr>
                <w:t>人民币</w:t>
              </w:r>
            </w:sdtContent>
          </w:sdt>
        </w:p>
      </w:sdtContent>
    </w:sdt>
    <w:bookmarkEnd w:id="249"/>
    <w:sdt>
      <w:sdtPr>
        <w:rPr>
          <w:rFonts w:hint="eastAsia"/>
        </w:rPr>
        <w:alias w:val="模块:出售商品/提供劳务情况"/>
        <w:tag w:val="_GBC_a4e1c0efe9f741ecbb648a33c9afb8fd"/>
        <w:id w:val="-300220347"/>
        <w:lock w:val="sdtLocked"/>
        <w:placeholder>
          <w:docPart w:val="GBC22222222222222222222222222222"/>
        </w:placeholder>
      </w:sdtPr>
      <w:sdtEndPr>
        <w:rPr>
          <w:rFonts w:hint="eastAsia" w:cs="Cambria"/>
        </w:rPr>
      </w:sdtEndPr>
      <w:sdtContent>
        <w:p>
          <w:pPr>
            <w:ind w:right="-775" w:rightChars="-369"/>
          </w:pPr>
          <w:r>
            <w:rPr>
              <w:rFonts w:hint="eastAsia"/>
            </w:rPr>
            <w:t>出售商品/提供劳务情况表</w:t>
          </w:r>
        </w:p>
        <w:sdt>
          <w:sdtPr>
            <w:alias w:val="是否适用：出售商品或提供劳务情况表[双击切换]"/>
            <w:tag w:val="_GBC_18ae630e2f3641959d3a9fc1a3f3ccf3"/>
            <w:id w:val="-569118949"/>
            <w:lock w:val="sdtLocked"/>
            <w:placeholder>
              <w:docPart w:val="GBC22222222222222222222222222222"/>
            </w:placeholder>
          </w:sdtPr>
          <w:sdtContent>
            <w:p>
              <w:pPr>
                <w:ind w:right="-775" w:rightChars="-36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tabs>
              <w:tab w:val="left" w:pos="3870"/>
            </w:tabs>
            <w:jc w:val="right"/>
            <w:rPr>
              <w:rFonts w:cs="Cambria"/>
            </w:rPr>
          </w:pPr>
          <w:r>
            <w:t>单位</w:t>
          </w:r>
          <w:r>
            <w:rPr>
              <w:rFonts w:hint="eastAsia"/>
            </w:rPr>
            <w:t>：</w:t>
          </w:r>
          <w:sdt>
            <w:sdtPr>
              <w:alias w:val="单位：出售商品提供劳务情况表"/>
              <w:tag w:val="_GBC_d53494f853ed4767a511f9c2c780c566"/>
              <w:id w:val="9626189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出售商品提供劳务情况表"/>
              <w:tag w:val="_GBC_d298f57687684d2eafef1d8c13d51722"/>
              <w:id w:val="-733074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30" w:type="dxa"/>
              <w:bottom w:w="0" w:type="dxa"/>
              <w:right w:w="30" w:type="dxa"/>
            </w:tblCellMar>
          </w:tblPr>
          <w:tblGrid>
            <w:gridCol w:w="2415"/>
            <w:gridCol w:w="2122"/>
            <w:gridCol w:w="2177"/>
            <w:gridCol w:w="21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Height w:val="273" w:hRule="atLeast"/>
            </w:trPr>
            <w:sdt>
              <w:sdtPr>
                <w:tag w:val="_PLD_70510986aab647e99b00ba57c32e64cd"/>
                <w:id w:val="627360381"/>
                <w:lock w:val="sdtLocked"/>
              </w:sdtPr>
              <w:sdtContent>
                <w:tc>
                  <w:tcPr>
                    <w:tcW w:w="135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关联方</w:t>
                    </w:r>
                  </w:p>
                </w:tc>
              </w:sdtContent>
            </w:sdt>
            <w:sdt>
              <w:sdtPr>
                <w:tag w:val="_PLD_66da90262f3d401c8151235b4c6f5e93"/>
                <w:id w:val="-1837919662"/>
                <w:lock w:val="sdtLocked"/>
              </w:sdtPr>
              <w:sdtContent>
                <w:tc>
                  <w:tcPr>
                    <w:tcW w:w="119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关联交易内容</w:t>
                    </w:r>
                  </w:p>
                </w:tc>
              </w:sdtContent>
            </w:sdt>
            <w:sdt>
              <w:sdtPr>
                <w:tag w:val="_PLD_09c424bd80324eb49dafea569ce1931b"/>
                <w:id w:val="-1180507825"/>
                <w:lock w:val="sdtLocked"/>
              </w:sdtPr>
              <w:sdtContent>
                <w:tc>
                  <w:tcPr>
                    <w:tcW w:w="1224" w:type="pct"/>
                    <w:tcBorders>
                      <w:top w:val="single" w:color="auto" w:sz="4" w:space="0"/>
                      <w:left w:val="single" w:color="auto" w:sz="4" w:space="0"/>
                      <w:right w:val="single" w:color="auto" w:sz="4" w:space="0"/>
                    </w:tcBorders>
                    <w:shd w:val="clear" w:color="auto" w:fill="auto"/>
                    <w:vAlign w:val="center"/>
                  </w:tcPr>
                  <w:p>
                    <w:pPr>
                      <w:jc w:val="center"/>
                      <w:rPr>
                        <w:rFonts w:cs="Cambria"/>
                      </w:rPr>
                    </w:pPr>
                    <w:r>
                      <w:rPr>
                        <w:rFonts w:hint="eastAsia" w:cs="Cambria"/>
                      </w:rPr>
                      <w:t>本期发生额</w:t>
                    </w:r>
                  </w:p>
                </w:tc>
              </w:sdtContent>
            </w:sdt>
            <w:sdt>
              <w:sdtPr>
                <w:tag w:val="_PLD_fd0f9e0691744db49d5ceaf95d42197c"/>
                <w:id w:val="-117534057"/>
                <w:lock w:val="sdtLocked"/>
              </w:sdtPr>
              <w:sdtContent>
                <w:tc>
                  <w:tcPr>
                    <w:tcW w:w="1225" w:type="pct"/>
                    <w:tcBorders>
                      <w:top w:val="single" w:color="auto" w:sz="4" w:space="0"/>
                      <w:left w:val="single" w:color="auto" w:sz="4" w:space="0"/>
                      <w:right w:val="single" w:color="auto" w:sz="4" w:space="0"/>
                    </w:tcBorders>
                    <w:shd w:val="clear" w:color="auto" w:fill="auto"/>
                    <w:vAlign w:val="center"/>
                  </w:tcPr>
                  <w:p>
                    <w:pPr>
                      <w:jc w:val="center"/>
                      <w:rPr>
                        <w:rFonts w:cs="Cambria"/>
                      </w:rPr>
                    </w:pPr>
                    <w:r>
                      <w:rPr>
                        <w:rFonts w:hint="eastAsia" w:cs="Cambria"/>
                      </w:rPr>
                      <w:t>上期发生额</w:t>
                    </w:r>
                  </w:p>
                </w:tc>
              </w:sdtContent>
            </w:sdt>
          </w:tr>
          <w:sdt>
            <w:sdtPr>
              <w:alias w:val="出售商品提供劳务情况明细"/>
              <w:tag w:val="_GBC_d6e24b6ca62645f180ecf5d4621afdc6"/>
              <w:id w:val="43651284"/>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集团财务公司*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存款利息收入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2,003,466.63</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1,141,487.37</w:t>
                    </w:r>
                  </w:p>
                </w:tc>
              </w:tr>
            </w:sdtContent>
          </w:sdt>
          <w:sdt>
            <w:sdtPr>
              <w:alias w:val="出售商品提供劳务情况明细"/>
              <w:tag w:val="_GBC_d6e24b6ca62645f180ecf5d4621afdc6"/>
              <w:id w:val="-466978924"/>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江苏银行</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存款利息收入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14,525.97</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639.42</w:t>
                    </w:r>
                  </w:p>
                </w:tc>
              </w:tr>
            </w:sdtContent>
          </w:sdt>
          <w:sdt>
            <w:sdtPr>
              <w:alias w:val="出售商品提供劳务情况明细"/>
              <w:tag w:val="_GBC_d6e24b6ca62645f180ecf5d4621afdc6"/>
              <w:id w:val="-86120403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南京银行</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存款利息收入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210,356.75</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33,682.44</w:t>
                    </w:r>
                  </w:p>
                </w:tc>
              </w:tr>
            </w:sdtContent>
          </w:sdt>
          <w:sdt>
            <w:sdtPr>
              <w:alias w:val="出售商品提供劳务情况明细"/>
              <w:tag w:val="_GBC_d6e24b6ca62645f180ecf5d4621afdc6"/>
              <w:id w:val="209241955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快鹿公司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通行费收入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145,831.65</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w:t>
                    </w:r>
                  </w:p>
                </w:tc>
              </w:tr>
            </w:sdtContent>
          </w:sdt>
          <w:sdt>
            <w:sdtPr>
              <w:alias w:val="出售商品提供劳务情况明细"/>
              <w:tag w:val="_GBC_d6e24b6ca62645f180ecf5d4621afdc6"/>
              <w:id w:val="-134115638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快鹿公司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油品销售收入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420,906.21</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 -</w:t>
                    </w:r>
                  </w:p>
                </w:tc>
              </w:tr>
            </w:sdtContent>
          </w:sdt>
          <w:sdt>
            <w:sdtPr>
              <w:alias w:val="出售商品提供劳务情况明细"/>
              <w:tag w:val="_GBC_d6e24b6ca62645f180ecf5d4621afdc6"/>
              <w:id w:val="-119684724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苏锡常南部公司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油品销售收入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138,013.5</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25,031.38</w:t>
                    </w:r>
                  </w:p>
                </w:tc>
              </w:tr>
            </w:sdtContent>
          </w:sdt>
          <w:sdt>
            <w:sdtPr>
              <w:alias w:val="出售商品提供劳务情况明细"/>
              <w:tag w:val="_GBC_d6e24b6ca62645f180ecf5d4621afdc6"/>
              <w:id w:val="1308351363"/>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现代路桥公司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油品销售收入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639,218.09</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433,840.09</w:t>
                    </w:r>
                  </w:p>
                </w:tc>
              </w:tr>
            </w:sdtContent>
          </w:sdt>
          <w:sdt>
            <w:sdtPr>
              <w:alias w:val="出售商品提供劳务情况明细"/>
              <w:tag w:val="_GBC_d6e24b6ca62645f180ecf5d4621afdc6"/>
              <w:id w:val="-171927713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洛德基金公司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油品销售收入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7,195.22</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491.28</w:t>
                    </w:r>
                  </w:p>
                </w:tc>
              </w:tr>
            </w:sdtContent>
          </w:sdt>
          <w:sdt>
            <w:sdtPr>
              <w:alias w:val="出售商品提供劳务情况明细"/>
              <w:tag w:val="_GBC_d6e24b6ca62645f180ecf5d4621afdc6"/>
              <w:id w:val="1781609682"/>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苏锡常南部公司*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委托经营管理收入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15,073,683.28</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14,352,827.72</w:t>
                    </w:r>
                  </w:p>
                </w:tc>
              </w:tr>
            </w:sdtContent>
          </w:sdt>
          <w:sdt>
            <w:sdtPr>
              <w:alias w:val="出售商品提供劳务情况明细"/>
              <w:tag w:val="_GBC_d6e24b6ca62645f180ecf5d4621afdc6"/>
              <w:id w:val="-119784724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扬子大桥公司*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委托经营管理收入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7,489,000.00</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6,705,000.00</w:t>
                    </w:r>
                  </w:p>
                </w:tc>
              </w:tr>
            </w:sdtContent>
          </w:sdt>
          <w:sdt>
            <w:sdtPr>
              <w:alias w:val="出售商品提供劳务情况明细"/>
              <w:tag w:val="_GBC_d6e24b6ca62645f180ecf5d4621afdc6"/>
              <w:id w:val="-1485762767"/>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沪通大桥公司*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委托经营管理收入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3,826,500.00</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3,723,000.00</w:t>
                    </w:r>
                  </w:p>
                </w:tc>
              </w:tr>
            </w:sdtContent>
          </w:sdt>
          <w:sdt>
            <w:sdtPr>
              <w:alias w:val="出售商品提供劳务情况明细"/>
              <w:tag w:val="_GBC_d6e24b6ca62645f180ecf5d4621afdc6"/>
              <w:id w:val="400339575"/>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锡泰隧道公司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委托经营管理收入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215,000.00</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210,000.00</w:t>
                    </w:r>
                  </w:p>
                </w:tc>
              </w:tr>
            </w:sdtContent>
          </w:sdt>
          <w:sdt>
            <w:sdtPr>
              <w:alias w:val="出售商品提供劳务情况明细"/>
              <w:tag w:val="_GBC_d6e24b6ca62645f180ecf5d4621afdc6"/>
              <w:id w:val="-649904959"/>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连徐高速公司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600,709.50</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465,571.10</w:t>
                    </w:r>
                  </w:p>
                </w:tc>
              </w:tr>
            </w:sdtContent>
          </w:sdt>
          <w:sdt>
            <w:sdtPr>
              <w:alias w:val="出售商品提供劳务情况明细"/>
              <w:tag w:val="_GBC_d6e24b6ca62645f180ecf5d4621afdc6"/>
              <w:id w:val="24762682"/>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东部高速公司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373,422.80</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347,887.96</w:t>
                    </w:r>
                  </w:p>
                </w:tc>
              </w:tr>
            </w:sdtContent>
          </w:sdt>
          <w:sdt>
            <w:sdtPr>
              <w:alias w:val="出售商品提供劳务情况明细"/>
              <w:tag w:val="_GBC_d6e24b6ca62645f180ecf5d4621afdc6"/>
              <w:id w:val="-210274153"/>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宿淮盐高速公司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444,813.28</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298,180.93</w:t>
                    </w:r>
                  </w:p>
                </w:tc>
              </w:tr>
            </w:sdtContent>
          </w:sdt>
          <w:sdt>
            <w:sdtPr>
              <w:alias w:val="出售商品提供劳务情况明细"/>
              <w:tag w:val="_GBC_d6e24b6ca62645f180ecf5d4621afdc6"/>
              <w:id w:val="-2027011550"/>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宁宿徐高速公司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552,420.27</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442,408.88</w:t>
                    </w:r>
                  </w:p>
                </w:tc>
              </w:tr>
            </w:sdtContent>
          </w:sdt>
          <w:sdt>
            <w:sdtPr>
              <w:alias w:val="出售商品提供劳务情况明细"/>
              <w:tag w:val="_GBC_d6e24b6ca62645f180ecf5d4621afdc6"/>
              <w:id w:val="1894232488"/>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沿江公司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73,965.15</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57,872.52</w:t>
                    </w:r>
                  </w:p>
                </w:tc>
              </w:tr>
            </w:sdtContent>
          </w:sdt>
          <w:sdt>
            <w:sdtPr>
              <w:alias w:val="出售商品提供劳务情况明细"/>
              <w:tag w:val="_GBC_d6e24b6ca62645f180ecf5d4621afdc6"/>
              <w:id w:val="-702246586"/>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润扬大桥公司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147,777.68</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141,210.64</w:t>
                    </w:r>
                  </w:p>
                </w:tc>
              </w:tr>
            </w:sdtContent>
          </w:sdt>
          <w:sdt>
            <w:sdtPr>
              <w:alias w:val="出售商品提供劳务情况明细"/>
              <w:tag w:val="_GBC_d6e24b6ca62645f180ecf5d4621afdc6"/>
              <w:id w:val="2113474695"/>
              <w:lock w:val="sdtLocked"/>
            </w:sdtPr>
            <w:sdtContent>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0" w:type="dxa"/>
                    <w:bottom w:w="0" w:type="dxa"/>
                    <w:right w:w="30" w:type="dxa"/>
                  </w:tblCellMar>
                </w:tblPrEx>
                <w:trPr>
                  <w:cantSplit/>
                </w:trPr>
                <w:tc>
                  <w:tcPr>
                    <w:tcW w:w="1358" w:type="pct"/>
                    <w:tcBorders>
                      <w:top w:val="single" w:color="auto" w:sz="4" w:space="0"/>
                      <w:left w:val="single" w:color="auto" w:sz="4" w:space="0"/>
                      <w:bottom w:val="single" w:color="auto" w:sz="4" w:space="0"/>
                      <w:right w:val="single" w:color="auto" w:sz="4" w:space="0"/>
                    </w:tcBorders>
                    <w:shd w:val="clear" w:color="auto" w:fill="auto"/>
                  </w:tcPr>
                  <w:p>
                    <w:r>
                      <w:t>京沪高速公司</w:t>
                    </w:r>
                  </w:p>
                </w:tc>
                <w:tc>
                  <w:tcPr>
                    <w:tcW w:w="1193" w:type="pct"/>
                    <w:tcBorders>
                      <w:top w:val="single" w:color="auto" w:sz="4" w:space="0"/>
                      <w:left w:val="single" w:color="auto" w:sz="4" w:space="0"/>
                      <w:bottom w:val="single" w:color="auto" w:sz="4" w:space="0"/>
                      <w:right w:val="single" w:color="auto" w:sz="4" w:space="0"/>
                    </w:tcBorders>
                    <w:shd w:val="clear" w:color="auto" w:fill="auto"/>
                  </w:tcPr>
                  <w:p>
                    <w:r>
                      <w:t>电力销售收入</w:t>
                    </w:r>
                  </w:p>
                </w:tc>
                <w:tc>
                  <w:tcPr>
                    <w:tcW w:w="1224" w:type="pct"/>
                    <w:tcBorders>
                      <w:top w:val="single" w:color="auto" w:sz="4" w:space="0"/>
                      <w:left w:val="single" w:color="auto" w:sz="4" w:space="0"/>
                      <w:bottom w:val="single" w:color="auto" w:sz="4" w:space="0"/>
                      <w:right w:val="single" w:color="auto" w:sz="4" w:space="0"/>
                    </w:tcBorders>
                    <w:shd w:val="clear" w:color="auto" w:fill="auto"/>
                  </w:tcPr>
                  <w:p>
                    <w:pPr>
                      <w:jc w:val="right"/>
                    </w:pPr>
                    <w:r>
                      <w:t>239,781.19</w:t>
                    </w:r>
                  </w:p>
                </w:tc>
                <w:tc>
                  <w:tcPr>
                    <w:tcW w:w="1225" w:type="pct"/>
                    <w:tcBorders>
                      <w:top w:val="single" w:color="auto" w:sz="4" w:space="0"/>
                      <w:left w:val="single" w:color="auto" w:sz="4" w:space="0"/>
                      <w:bottom w:val="single" w:color="auto" w:sz="4" w:space="0"/>
                      <w:right w:val="single" w:color="auto" w:sz="4" w:space="0"/>
                    </w:tcBorders>
                    <w:shd w:val="clear" w:color="auto" w:fill="auto"/>
                  </w:tcPr>
                  <w:p>
                    <w:pPr>
                      <w:jc w:val="right"/>
                    </w:pPr>
                    <w:r>
                      <w:t>121,374.19</w:t>
                    </w:r>
                  </w:p>
                </w:tc>
              </w:tr>
            </w:sdtContent>
          </w:sdt>
        </w:tbl>
        <w:p>
          <w:pPr>
            <w:pStyle w:val="114"/>
          </w:pPr>
        </w:p>
        <w:p>
          <w:pPr>
            <w:rPr>
              <w:rFonts w:cs="Cambria"/>
            </w:rPr>
          </w:pPr>
          <w:r>
            <w:rPr>
              <w:rFonts w:hint="eastAsia" w:cs="Cambria"/>
            </w:rPr>
            <w:t>购销商品、提供和接受劳务的关联交易说明</w:t>
          </w:r>
        </w:p>
        <w:sdt>
          <w:sdtPr>
            <w:rPr>
              <w:rFonts w:cs="Cambria"/>
            </w:rPr>
            <w:alias w:val="是否适用：购销商品、提供和接受劳务的关联交易说明[双击切换]"/>
            <w:tag w:val="_GBC_9ec9e1b38e7f48d89bb7f6441bed1bd1"/>
            <w:id w:val="1682306086"/>
            <w:lock w:val="sdtLocked"/>
            <w:placeholder>
              <w:docPart w:val="GBC22222222222222222222222222222"/>
            </w:placeholder>
          </w:sdtPr>
          <w:sdtEndPr>
            <w:rPr>
              <w:rFonts w:cs="Cambria"/>
            </w:rPr>
          </w:sdtEndPr>
          <w:sdtContent>
            <w:p>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购销商品、提供和接受劳务的关联交易说明"/>
            <w:tag w:val="_GBC_b40d5cc82ee746028d6efa52b270cc25"/>
            <w:id w:val="-839692591"/>
            <w:lock w:val="sdtLocked"/>
            <w:placeholder>
              <w:docPart w:val="GBC22222222222222222222222222222"/>
            </w:placeholder>
          </w:sdtPr>
          <w:sdtEndPr>
            <w:rPr>
              <w:rFonts w:cs="Cambria"/>
            </w:rPr>
          </w:sdtEndPr>
          <w:sdtContent>
            <w:p>
              <w:pPr>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关联交易定价方式及决策程序：对于重大关联交易，公开招标的项目按中标价格，对其他方式委托的项目参考独立的、有资质的造价咨询单位审核后的当时市场价格经公平磋商后决定，原则为只要不高于相关市场价。经公司董事会审议通过，关联董事回避表决，独立董事对关联交易发表独立意见进行确认。</w:t>
              </w:r>
              <w:r>
                <w:rPr>
                  <w:rFonts w:cs="Arial" w:asciiTheme="minorEastAsia" w:hAnsiTheme="minorEastAsia" w:eastAsiaTheme="minorEastAsia"/>
                  <w:color w:val="000000" w:themeColor="text1"/>
                  <w14:textFill>
                    <w14:solidFill>
                      <w14:schemeClr w14:val="tx1"/>
                    </w14:solidFill>
                  </w14:textFill>
                </w:rPr>
                <w:t xml:space="preserve"> </w:t>
              </w:r>
              <w:r>
                <w:rPr>
                  <w:rFonts w:hint="eastAsia" w:cs="Arial" w:asciiTheme="minorEastAsia" w:hAnsiTheme="minorEastAsia" w:eastAsiaTheme="minorEastAsia"/>
                  <w:color w:val="000000" w:themeColor="text1"/>
                  <w14:textFill>
                    <w14:solidFill>
                      <w14:schemeClr w14:val="tx1"/>
                    </w14:solidFill>
                  </w14:textFill>
                </w:rPr>
                <w:t>所有关联交易均按双方签订的合同价结算。</w:t>
              </w:r>
            </w:p>
          </w:sdtContent>
        </w:sdt>
        <w:p>
          <w:pPr>
            <w:rPr>
              <w:rFonts w:cs="Cambria"/>
            </w:rPr>
          </w:pPr>
        </w:p>
      </w:sdtContent>
    </w:sdt>
    <w:sdt>
      <w:sdtPr>
        <w:rPr>
          <w:rFonts w:hint="eastAsia" w:ascii="宋体" w:hAnsi="宋体" w:cs="宋体"/>
          <w:b w:val="0"/>
          <w:bCs w:val="0"/>
          <w:kern w:val="0"/>
          <w:szCs w:val="24"/>
        </w:rPr>
        <w:alias w:val="模块:关联受托管理/承包及委托管理/出包情况"/>
        <w:tag w:val="_GBC_41e9e66a2ab04304a0db7b9e032817c5"/>
        <w:id w:val="-1803676106"/>
        <w:lock w:val="sdtLocked"/>
        <w:placeholder>
          <w:docPart w:val="GBC22222222222222222222222222222"/>
        </w:placeholder>
      </w:sdtPr>
      <w:sdtEndPr>
        <w:rPr>
          <w:rFonts w:hint="default" w:ascii="宋体" w:hAnsi="宋体" w:cs="Cambria"/>
          <w:b w:val="0"/>
          <w:bCs w:val="0"/>
          <w:kern w:val="0"/>
          <w:szCs w:val="21"/>
        </w:rPr>
      </w:sdtEndPr>
      <w:sdtContent>
        <w:p>
          <w:pPr>
            <w:pStyle w:val="118"/>
            <w:numPr>
              <w:ilvl w:val="0"/>
              <w:numId w:val="92"/>
            </w:numPr>
            <w:tabs>
              <w:tab w:val="left" w:pos="616"/>
            </w:tabs>
            <w:rPr>
              <w:rFonts w:ascii="宋体" w:hAnsi="宋体"/>
            </w:rPr>
          </w:pPr>
          <w:r>
            <w:rPr>
              <w:rFonts w:hint="eastAsia" w:ascii="宋体" w:hAnsi="宋体"/>
            </w:rPr>
            <w:t>关联受托管理/承包及委托管理/出包情况</w:t>
          </w:r>
        </w:p>
        <w:p>
          <w:pPr>
            <w:pStyle w:val="114"/>
          </w:pPr>
          <w:r>
            <w:rPr>
              <w:rFonts w:hint="eastAsia"/>
            </w:rPr>
            <w:t>本公司受托管理/承包情况表：</w:t>
          </w:r>
        </w:p>
        <w:sdt>
          <w:sdtPr>
            <w:rPr>
              <w:rFonts w:cs="Cambria"/>
            </w:rPr>
            <w:alias w:val="是否适用：本公司受托管理或承包情况表[双击切换]"/>
            <w:tag w:val="_GBC_3810b3cad54c4b2f9754e7d6be3e9480"/>
            <w:id w:val="-1911452671"/>
            <w:lock w:val="sdtLocked"/>
            <w:placeholder>
              <w:docPart w:val="GBC22222222222222222222222222222"/>
            </w:placeholder>
          </w:sdtPr>
          <w:sdtEndPr>
            <w:rPr>
              <w:rFonts w:cs="Cambria"/>
            </w:rPr>
          </w:sdtEndPr>
          <w:sdtContent>
            <w:p>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pPr>
            <w:rPr>
              <w:rFonts w:cs="Cambria"/>
            </w:rPr>
          </w:pPr>
          <w:r>
            <w:rPr>
              <w:rFonts w:hint="eastAsia" w:cs="Cambria"/>
            </w:rPr>
            <w:t>关联托管/承包情况说明</w:t>
          </w:r>
        </w:p>
        <w:sdt>
          <w:sdtPr>
            <w:rPr>
              <w:rFonts w:cs="Cambria"/>
            </w:rPr>
            <w:alias w:val="是否适用：关联托管或承包情况说明[双击切换]"/>
            <w:tag w:val="_GBC_42ec6e3170b04610899c528ce7bda003"/>
            <w:id w:val="1860854730"/>
            <w:lock w:val="sdtLocked"/>
            <w:placeholder>
              <w:docPart w:val="GBC22222222222222222222222222222"/>
            </w:placeholder>
          </w:sdtPr>
          <w:sdtEndPr>
            <w:rPr>
              <w:rFonts w:cs="Cambria"/>
            </w:rPr>
          </w:sdtEndPr>
          <w:sdtContent>
            <w:p>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pPr>
            <w:rPr>
              <w:rFonts w:cs="Cambria"/>
            </w:rPr>
          </w:pPr>
        </w:p>
        <w:p>
          <w:pPr>
            <w:rPr>
              <w:rFonts w:cs="Cambria"/>
              <w:bCs/>
            </w:rPr>
          </w:pPr>
          <w:r>
            <w:rPr>
              <w:rFonts w:hint="eastAsia"/>
            </w:rPr>
            <w:t>本公司</w:t>
          </w:r>
          <w:r>
            <w:rPr>
              <w:rFonts w:hint="eastAsia" w:cs="Cambria"/>
            </w:rPr>
            <w:t>委托管理/出包情况表：</w:t>
          </w:r>
        </w:p>
        <w:sdt>
          <w:sdtPr>
            <w:rPr>
              <w:rFonts w:cs="Cambria"/>
              <w:bCs/>
            </w:rPr>
            <w:alias w:val="是否适用：本公司委托管理或出包情况表[双击切换]"/>
            <w:tag w:val="_GBC_37bf111a27194665b76f71bb5418d53c"/>
            <w:id w:val="-1835754266"/>
            <w:lock w:val="sdtLocked"/>
            <w:placeholder>
              <w:docPart w:val="GBC22222222222222222222222222222"/>
            </w:placeholder>
          </w:sdtPr>
          <w:sdtEndPr>
            <w:rPr>
              <w:rFonts w:cs="Cambria"/>
              <w:bCs/>
            </w:rPr>
          </w:sdtEndPr>
          <w:sdtContent>
            <w:p>
              <w:pPr>
                <w:rPr>
                  <w:rFonts w:cs="Cambria"/>
                  <w:bCs/>
                </w:rPr>
              </w:pPr>
              <w:r>
                <w:rPr>
                  <w:rFonts w:cs="Cambria"/>
                  <w:bCs/>
                </w:rPr>
                <w:fldChar w:fldCharType="begin"/>
              </w:r>
              <w:r>
                <w:rPr>
                  <w:rFonts w:cs="Cambria"/>
                </w:rPr>
                <w:instrText xml:space="preserve"> MACROBUTTON  SnrToggleCheckbox □适用 </w:instrText>
              </w:r>
              <w:r>
                <w:rPr>
                  <w:rFonts w:cs="Cambria"/>
                  <w:bCs/>
                </w:rPr>
                <w:fldChar w:fldCharType="end"/>
              </w:r>
              <w:r>
                <w:rPr>
                  <w:rFonts w:cs="Cambria"/>
                  <w:bCs/>
                </w:rPr>
                <w:fldChar w:fldCharType="begin"/>
              </w:r>
              <w:r>
                <w:rPr>
                  <w:rFonts w:cs="Cambria"/>
                </w:rPr>
                <w:instrText xml:space="preserve"> MACROBUTTON  SnrToggleCheckbox √不适用 </w:instrText>
              </w:r>
              <w:r>
                <w:rPr>
                  <w:rFonts w:cs="Cambria"/>
                  <w:bCs/>
                </w:rPr>
                <w:fldChar w:fldCharType="end"/>
              </w:r>
            </w:p>
          </w:sdtContent>
        </w:sdt>
        <w:p>
          <w:pPr>
            <w:rPr>
              <w:rFonts w:cs="Cambria"/>
              <w:bCs/>
            </w:rPr>
          </w:pPr>
          <w:r>
            <w:rPr>
              <w:rFonts w:hint="eastAsia" w:cs="Cambria"/>
            </w:rPr>
            <w:t>关联管理/出包情况说明</w:t>
          </w:r>
        </w:p>
        <w:sdt>
          <w:sdtPr>
            <w:rPr>
              <w:rFonts w:cs="Cambria"/>
              <w:bCs/>
            </w:rPr>
            <w:alias w:val="是否适用：关联管理或出包情况说明[双击切换]"/>
            <w:tag w:val="_GBC_0b0339c118c542eb8a6e3a68fab8e375"/>
            <w:id w:val="2039770673"/>
            <w:lock w:val="sdtLocked"/>
            <w:placeholder>
              <w:docPart w:val="GBC22222222222222222222222222222"/>
            </w:placeholder>
          </w:sdtPr>
          <w:sdtEndPr>
            <w:rPr>
              <w:rFonts w:cs="Cambria"/>
              <w:bCs/>
            </w:rPr>
          </w:sdtEndPr>
          <w:sdtContent>
            <w:p>
              <w:pPr>
                <w:rPr>
                  <w:rFonts w:cs="Cambria"/>
                  <w:bCs/>
                </w:rPr>
              </w:pPr>
              <w:r>
                <w:rPr>
                  <w:rFonts w:cs="Cambria"/>
                  <w:bCs/>
                </w:rPr>
                <w:fldChar w:fldCharType="begin"/>
              </w:r>
              <w:r>
                <w:rPr>
                  <w:rFonts w:cs="Cambria"/>
                </w:rPr>
                <w:instrText xml:space="preserve"> MACROBUTTON  SnrToggleCheckbox □适用 </w:instrText>
              </w:r>
              <w:r>
                <w:rPr>
                  <w:rFonts w:cs="Cambria"/>
                  <w:bCs/>
                </w:rPr>
                <w:fldChar w:fldCharType="end"/>
              </w:r>
              <w:r>
                <w:rPr>
                  <w:rFonts w:cs="Cambria"/>
                  <w:bCs/>
                </w:rPr>
                <w:fldChar w:fldCharType="begin"/>
              </w:r>
              <w:r>
                <w:rPr>
                  <w:rFonts w:cs="Cambria"/>
                </w:rPr>
                <w:instrText xml:space="preserve"> MACROBUTTON  SnrToggleCheckbox √不适用 </w:instrText>
              </w:r>
              <w:r>
                <w:rPr>
                  <w:rFonts w:cs="Cambria"/>
                  <w:bCs/>
                </w:rPr>
                <w:fldChar w:fldCharType="end"/>
              </w:r>
            </w:p>
          </w:sdtContent>
        </w:sdt>
        <w:p>
          <w:pPr>
            <w:rPr>
              <w:rFonts w:cs="Cambria"/>
            </w:rPr>
          </w:pPr>
        </w:p>
      </w:sdtContent>
    </w:sdt>
    <w:sdt>
      <w:sdtPr>
        <w:rPr>
          <w:rFonts w:hint="eastAsia" w:ascii="宋体" w:hAnsi="宋体" w:cs="宋体"/>
          <w:b w:val="0"/>
          <w:bCs w:val="0"/>
          <w:kern w:val="0"/>
          <w:szCs w:val="24"/>
        </w:rPr>
        <w:alias w:val="模块:关联租赁情况"/>
        <w:tag w:val="_GBC_17f3281299e640aa88ca71463490c054"/>
        <w:id w:val="-506605443"/>
        <w:lock w:val="sdtLocked"/>
        <w:placeholder>
          <w:docPart w:val="GBC22222222222222222222222222222"/>
        </w:placeholder>
      </w:sdtPr>
      <w:sdtEndPr>
        <w:rPr>
          <w:rFonts w:hint="eastAsia" w:ascii="宋体" w:hAnsi="宋体" w:cs="宋体"/>
          <w:b w:val="0"/>
          <w:bCs w:val="0"/>
          <w:kern w:val="0"/>
          <w:szCs w:val="21"/>
        </w:rPr>
      </w:sdtEndPr>
      <w:sdtContent>
        <w:p>
          <w:pPr>
            <w:pStyle w:val="118"/>
            <w:numPr>
              <w:ilvl w:val="0"/>
              <w:numId w:val="92"/>
            </w:numPr>
            <w:tabs>
              <w:tab w:val="left" w:pos="616"/>
            </w:tabs>
            <w:rPr>
              <w:rFonts w:ascii="宋体" w:hAnsi="宋体"/>
            </w:rPr>
          </w:pPr>
          <w:bookmarkStart w:id="250" w:name="_Hlk105747475"/>
          <w:r>
            <w:rPr>
              <w:rFonts w:hint="eastAsia" w:ascii="宋体" w:hAnsi="宋体"/>
            </w:rPr>
            <w:t>关联租赁情况</w:t>
          </w:r>
        </w:p>
        <w:p>
          <w:pPr>
            <w:pStyle w:val="114"/>
          </w:pPr>
          <w:r>
            <w:rPr>
              <w:rFonts w:hint="eastAsia"/>
            </w:rPr>
            <w:t>本公司作为出租方：</w:t>
          </w:r>
        </w:p>
        <w:sdt>
          <w:sdtPr>
            <w:alias w:val="是否适用：本公司作为出租方的租赁情况表[双击切换]"/>
            <w:tag w:val="_GBC_f12cb8266cbd482b93c6a4bba1b05fb7"/>
            <w:id w:val="178460380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关联租赁情况"/>
              <w:tag w:val="_GBC_b6ac4f0274e84bf2bac59898fb55e11d"/>
              <w:id w:val="1186793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关联租赁情况"/>
              <w:tag w:val="_GBC_268dafb121cf40fdbb2bbe55df2badf0"/>
              <w:id w:val="13835318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775"/>
            <w:gridCol w:w="1983"/>
            <w:gridCol w:w="2462"/>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38" w:hRule="atLeast"/>
            </w:trPr>
            <w:sdt>
              <w:sdtPr>
                <w:tag w:val="_PLD_d0bc662d818f4cea8a5953be241f0994"/>
                <w:id w:val="-1509206321"/>
                <w:lock w:val="sdtLocked"/>
              </w:sdtPr>
              <w:sdtContent>
                <w:tc>
                  <w:tcPr>
                    <w:tcW w:w="998" w:type="pct"/>
                    <w:tcBorders>
                      <w:top w:val="single" w:color="auto" w:sz="4" w:space="0"/>
                      <w:left w:val="single" w:color="auto" w:sz="4" w:space="0"/>
                      <w:right w:val="single" w:color="auto" w:sz="4" w:space="0"/>
                    </w:tcBorders>
                    <w:shd w:val="clear" w:color="auto" w:fill="auto"/>
                    <w:vAlign w:val="center"/>
                  </w:tcPr>
                  <w:p>
                    <w:pPr>
                      <w:jc w:val="center"/>
                    </w:pPr>
                    <w:r>
                      <w:rPr>
                        <w:rFonts w:hint="eastAsia"/>
                      </w:rPr>
                      <w:t>承租方名称</w:t>
                    </w:r>
                  </w:p>
                </w:tc>
              </w:sdtContent>
            </w:sdt>
            <w:sdt>
              <w:sdtPr>
                <w:tag w:val="_PLD_b201e1ba80ff4620b34885e088e03080"/>
                <w:id w:val="-1426183181"/>
                <w:lock w:val="sdtLocked"/>
              </w:sdtPr>
              <w:sdtContent>
                <w:tc>
                  <w:tcPr>
                    <w:tcW w:w="1115" w:type="pct"/>
                    <w:tcBorders>
                      <w:top w:val="single" w:color="auto" w:sz="4" w:space="0"/>
                      <w:left w:val="single" w:color="auto" w:sz="4" w:space="0"/>
                      <w:right w:val="single" w:color="auto" w:sz="4" w:space="0"/>
                    </w:tcBorders>
                    <w:shd w:val="clear" w:color="auto" w:fill="auto"/>
                    <w:vAlign w:val="center"/>
                  </w:tcPr>
                  <w:p>
                    <w:pPr>
                      <w:jc w:val="center"/>
                    </w:pPr>
                    <w:r>
                      <w:rPr>
                        <w:rFonts w:hint="eastAsia"/>
                      </w:rPr>
                      <w:t>租赁资产种类</w:t>
                    </w:r>
                  </w:p>
                </w:tc>
              </w:sdtContent>
            </w:sdt>
            <w:sdt>
              <w:sdtPr>
                <w:tag w:val="_PLD_2247dbd372c64f6bb229457f3849c03a"/>
                <w:id w:val="1217010818"/>
                <w:lock w:val="sdtLocked"/>
              </w:sdtPr>
              <w:sdtContent>
                <w:tc>
                  <w:tcPr>
                    <w:tcW w:w="1384" w:type="pct"/>
                    <w:tcBorders>
                      <w:top w:val="single" w:color="auto" w:sz="4" w:space="0"/>
                      <w:left w:val="single" w:color="auto" w:sz="4" w:space="0"/>
                      <w:right w:val="single" w:color="auto" w:sz="4" w:space="0"/>
                    </w:tcBorders>
                    <w:shd w:val="clear" w:color="auto" w:fill="auto"/>
                    <w:vAlign w:val="center"/>
                  </w:tcPr>
                  <w:p>
                    <w:pPr>
                      <w:jc w:val="center"/>
                    </w:pPr>
                    <w:r>
                      <w:rPr>
                        <w:rFonts w:hint="eastAsia"/>
                      </w:rPr>
                      <w:t>本期确认的租赁收入</w:t>
                    </w:r>
                  </w:p>
                </w:tc>
              </w:sdtContent>
            </w:sdt>
            <w:sdt>
              <w:sdtPr>
                <w:tag w:val="_PLD_94eb47eaf858403e8c39eab08f54efb9"/>
                <w:id w:val="-237714475"/>
                <w:lock w:val="sdtLocked"/>
              </w:sdtPr>
              <w:sdtContent>
                <w:tc>
                  <w:tcPr>
                    <w:tcW w:w="1503" w:type="pct"/>
                    <w:tcBorders>
                      <w:top w:val="single" w:color="auto" w:sz="4" w:space="0"/>
                      <w:left w:val="single" w:color="auto" w:sz="4" w:space="0"/>
                      <w:right w:val="single" w:color="auto" w:sz="4" w:space="0"/>
                    </w:tcBorders>
                    <w:shd w:val="clear" w:color="auto" w:fill="auto"/>
                    <w:vAlign w:val="center"/>
                  </w:tcPr>
                  <w:p>
                    <w:pPr>
                      <w:jc w:val="center"/>
                    </w:pPr>
                    <w:r>
                      <w:rPr>
                        <w:rFonts w:hint="eastAsia"/>
                      </w:rPr>
                      <w:t>上期确认的租赁收入</w:t>
                    </w:r>
                  </w:p>
                </w:tc>
              </w:sdtContent>
            </w:sdt>
          </w:tr>
          <w:sdt>
            <w:sdtPr>
              <w:alias w:val="关联租赁情况"/>
              <w:tag w:val="_GBC_b0112b4dc9284dc5a94109344af1edea"/>
              <w:id w:val="849224550"/>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高速能发公司*</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14,454,625.98</w:t>
                    </w:r>
                  </w:p>
                </w:tc>
                <w:tc>
                  <w:tcPr>
                    <w:tcW w:w="1503" w:type="pct"/>
                    <w:tcBorders>
                      <w:top w:val="single" w:color="auto" w:sz="4" w:space="0"/>
                      <w:left w:val="single" w:color="auto" w:sz="4" w:space="0"/>
                      <w:bottom w:val="single" w:color="auto" w:sz="4" w:space="0"/>
                      <w:right w:val="single" w:color="auto" w:sz="4" w:space="0"/>
                    </w:tcBorders>
                  </w:tcPr>
                  <w:p>
                    <w:pPr>
                      <w:jc w:val="right"/>
                    </w:pPr>
                    <w:r>
                      <w:t>6,623,472.54</w:t>
                    </w:r>
                  </w:p>
                </w:tc>
              </w:tr>
            </w:sdtContent>
          </w:sdt>
          <w:sdt>
            <w:sdtPr>
              <w:alias w:val="关联租赁情况"/>
              <w:tag w:val="_GBC_b0112b4dc9284dc5a94109344af1edea"/>
              <w:id w:val="107086047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泰兴和畅油品公司*</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1,951,495.70</w:t>
                    </w:r>
                  </w:p>
                </w:tc>
                <w:tc>
                  <w:tcPr>
                    <w:tcW w:w="1503" w:type="pct"/>
                    <w:tcBorders>
                      <w:top w:val="single" w:color="auto" w:sz="4" w:space="0"/>
                      <w:left w:val="single" w:color="auto" w:sz="4" w:space="0"/>
                      <w:bottom w:val="single" w:color="auto" w:sz="4" w:space="0"/>
                      <w:right w:val="single" w:color="auto" w:sz="4" w:space="0"/>
                    </w:tcBorders>
                  </w:tcPr>
                  <w:p>
                    <w:pPr>
                      <w:jc w:val="right"/>
                    </w:pPr>
                    <w:r>
                      <w:t>861,993.36</w:t>
                    </w:r>
                  </w:p>
                </w:tc>
              </w:tr>
            </w:sdtContent>
          </w:sdt>
          <w:sdt>
            <w:sdtPr>
              <w:alias w:val="关联租赁情况"/>
              <w:tag w:val="_GBC_b0112b4dc9284dc5a94109344af1edea"/>
              <w:id w:val="11819170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铁集公司</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1,986,820.02</w:t>
                    </w:r>
                  </w:p>
                </w:tc>
                <w:tc>
                  <w:tcPr>
                    <w:tcW w:w="1503" w:type="pct"/>
                    <w:tcBorders>
                      <w:top w:val="single" w:color="auto" w:sz="4" w:space="0"/>
                      <w:left w:val="single" w:color="auto" w:sz="4" w:space="0"/>
                      <w:bottom w:val="single" w:color="auto" w:sz="4" w:space="0"/>
                      <w:right w:val="single" w:color="auto" w:sz="4" w:space="0"/>
                    </w:tcBorders>
                  </w:tcPr>
                  <w:p>
                    <w:pPr>
                      <w:jc w:val="right"/>
                    </w:pPr>
                    <w:r>
                      <w:t>1,986,820.02</w:t>
                    </w:r>
                  </w:p>
                </w:tc>
              </w:tr>
            </w:sdtContent>
          </w:sdt>
          <w:sdt>
            <w:sdtPr>
              <w:alias w:val="关联租赁情况"/>
              <w:tag w:val="_GBC_b0112b4dc9284dc5a94109344af1edea"/>
              <w:id w:val="-22414696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现代路桥公司*</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844,999.98</w:t>
                    </w:r>
                  </w:p>
                </w:tc>
                <w:tc>
                  <w:tcPr>
                    <w:tcW w:w="1503" w:type="pct"/>
                    <w:tcBorders>
                      <w:top w:val="single" w:color="auto" w:sz="4" w:space="0"/>
                      <w:left w:val="single" w:color="auto" w:sz="4" w:space="0"/>
                      <w:bottom w:val="single" w:color="auto" w:sz="4" w:space="0"/>
                      <w:right w:val="single" w:color="auto" w:sz="4" w:space="0"/>
                    </w:tcBorders>
                  </w:tcPr>
                  <w:p>
                    <w:pPr>
                      <w:jc w:val="right"/>
                    </w:pPr>
                    <w:r>
                      <w:t>844,999.98</w:t>
                    </w:r>
                  </w:p>
                </w:tc>
              </w:tr>
            </w:sdtContent>
          </w:sdt>
          <w:sdt>
            <w:sdtPr>
              <w:alias w:val="关联租赁情况"/>
              <w:tag w:val="_GBC_b0112b4dc9284dc5a94109344af1edea"/>
              <w:id w:val="116350989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文化传媒*</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21,743,251.11</w:t>
                    </w:r>
                  </w:p>
                </w:tc>
                <w:tc>
                  <w:tcPr>
                    <w:tcW w:w="1503" w:type="pct"/>
                    <w:tcBorders>
                      <w:top w:val="single" w:color="auto" w:sz="4" w:space="0"/>
                      <w:left w:val="single" w:color="auto" w:sz="4" w:space="0"/>
                      <w:bottom w:val="single" w:color="auto" w:sz="4" w:space="0"/>
                      <w:right w:val="single" w:color="auto" w:sz="4" w:space="0"/>
                    </w:tcBorders>
                  </w:tcPr>
                  <w:p>
                    <w:pPr>
                      <w:jc w:val="right"/>
                    </w:pPr>
                    <w:r>
                      <w:t>22,403,894.73</w:t>
                    </w:r>
                  </w:p>
                </w:tc>
              </w:tr>
            </w:sdtContent>
          </w:sdt>
          <w:sdt>
            <w:sdtPr>
              <w:alias w:val="关联租赁情况"/>
              <w:tag w:val="_GBC_b0112b4dc9284dc5a94109344af1edea"/>
              <w:id w:val="-884247508"/>
              <w:lock w:val="sdtLocked"/>
            </w:sdtPr>
            <w:sdtContent>
              <w:tr>
                <w:tblPrEx>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通行宝公司*</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315,026.76</w:t>
                    </w:r>
                  </w:p>
                </w:tc>
                <w:tc>
                  <w:tcPr>
                    <w:tcW w:w="1503" w:type="pct"/>
                    <w:tcBorders>
                      <w:top w:val="single" w:color="auto" w:sz="4" w:space="0"/>
                      <w:left w:val="single" w:color="auto" w:sz="4" w:space="0"/>
                      <w:bottom w:val="single" w:color="auto" w:sz="4" w:space="0"/>
                      <w:right w:val="single" w:color="auto" w:sz="4" w:space="0"/>
                    </w:tcBorders>
                  </w:tcPr>
                  <w:p>
                    <w:pPr>
                      <w:jc w:val="right"/>
                    </w:pPr>
                    <w:r>
                      <w:t>276,863.27</w:t>
                    </w:r>
                  </w:p>
                </w:tc>
              </w:tr>
            </w:sdtContent>
          </w:sdt>
          <w:sdt>
            <w:sdtPr>
              <w:alias w:val="关联租赁情况"/>
              <w:tag w:val="_GBC_b0112b4dc9284dc5a94109344af1edea"/>
              <w:id w:val="645708432"/>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998" w:type="pct"/>
                    <w:tcBorders>
                      <w:top w:val="single" w:color="auto" w:sz="4" w:space="0"/>
                      <w:left w:val="single" w:color="auto" w:sz="4" w:space="0"/>
                      <w:bottom w:val="single" w:color="auto" w:sz="4" w:space="0"/>
                      <w:right w:val="single" w:color="auto" w:sz="4" w:space="0"/>
                    </w:tcBorders>
                  </w:tcPr>
                  <w:p>
                    <w:r>
                      <w:t>三峡南通</w:t>
                    </w:r>
                  </w:p>
                </w:tc>
                <w:tc>
                  <w:tcPr>
                    <w:tcW w:w="1115" w:type="pct"/>
                    <w:tcBorders>
                      <w:top w:val="single" w:color="auto" w:sz="4" w:space="0"/>
                      <w:left w:val="single" w:color="auto" w:sz="4" w:space="0"/>
                      <w:bottom w:val="single" w:color="auto" w:sz="4" w:space="0"/>
                      <w:right w:val="single" w:color="auto" w:sz="4" w:space="0"/>
                    </w:tcBorders>
                  </w:tcPr>
                  <w:p>
                    <w:r>
                      <w:t>固定资产</w:t>
                    </w:r>
                  </w:p>
                </w:tc>
                <w:tc>
                  <w:tcPr>
                    <w:tcW w:w="1384" w:type="pct"/>
                    <w:tcBorders>
                      <w:top w:val="single" w:color="auto" w:sz="4" w:space="0"/>
                      <w:left w:val="single" w:color="auto" w:sz="4" w:space="0"/>
                      <w:bottom w:val="single" w:color="auto" w:sz="4" w:space="0"/>
                      <w:right w:val="single" w:color="auto" w:sz="4" w:space="0"/>
                    </w:tcBorders>
                  </w:tcPr>
                  <w:p>
                    <w:pPr>
                      <w:jc w:val="right"/>
                    </w:pPr>
                    <w:r>
                      <w:t>1,031,784.68</w:t>
                    </w:r>
                  </w:p>
                </w:tc>
                <w:tc>
                  <w:tcPr>
                    <w:tcW w:w="1503" w:type="pct"/>
                    <w:tcBorders>
                      <w:top w:val="single" w:color="auto" w:sz="4" w:space="0"/>
                      <w:left w:val="single" w:color="auto" w:sz="4" w:space="0"/>
                      <w:bottom w:val="single" w:color="auto" w:sz="4" w:space="0"/>
                      <w:right w:val="single" w:color="auto" w:sz="4" w:space="0"/>
                    </w:tcBorders>
                  </w:tcPr>
                  <w:p>
                    <w:pPr>
                      <w:jc w:val="right"/>
                    </w:pPr>
                    <w:r>
                      <w:t>215,333.33</w:t>
                    </w:r>
                  </w:p>
                </w:tc>
              </w:tr>
            </w:sdtContent>
          </w:sdt>
        </w:tbl>
        <w:p>
          <w:pPr>
            <w:pStyle w:val="114"/>
          </w:pPr>
        </w:p>
        <w:p>
          <w:pPr>
            <w:sectPr>
              <w:pgSz w:w="11906" w:h="16838"/>
              <w:pgMar w:top="1525" w:right="1276" w:bottom="1440" w:left="1797" w:header="856" w:footer="992" w:gutter="0"/>
              <w:cols w:space="425" w:num="1"/>
              <w:docGrid w:linePitch="312" w:charSpace="0"/>
            </w:sectPr>
          </w:pPr>
        </w:p>
        <w:p>
          <w:pPr>
            <w:pStyle w:val="114"/>
          </w:pPr>
        </w:p>
        <w:p>
          <w:pPr>
            <w:pStyle w:val="114"/>
          </w:pPr>
          <w:r>
            <w:rPr>
              <w:rFonts w:hint="eastAsia"/>
            </w:rPr>
            <w:t>本公司作为承租方：</w:t>
          </w:r>
        </w:p>
        <w:sdt>
          <w:sdtPr>
            <w:alias w:val="是否适用：本公司作为承租方的租赁情况表[双击切换]"/>
            <w:tag w:val="_GBC_e3319fb4cbb04bb0ab5516046d7e77a4"/>
            <w:id w:val="-195863323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公司承租情况表"/>
              <w:tag w:val="_GBC_c4f9d2e7743f429a85c30d009abea834"/>
              <w:id w:val="18825985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公司承租情况表"/>
              <w:tag w:val="_GBC_bad2c4d4779f4dc2bace6d7ca19d4585"/>
              <w:id w:val="19758702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p>
          <w:pPr>
            <w:pStyle w:val="114"/>
          </w:pPr>
        </w:p>
        <w:tbl>
          <w:tblPr>
            <w:tblStyle w:val="412"/>
            <w:tblW w:w="496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23"/>
            <w:gridCol w:w="4200"/>
            <w:gridCol w:w="3391"/>
            <w:gridCol w:w="2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sdt>
              <w:sdtPr>
                <w:rPr>
                  <w:rFonts w:hint="eastAsia"/>
                </w:rPr>
                <w:tag w:val="_PLD_76aca40f4bc449749d53bb5001736e76"/>
                <w:id w:val="1263330548"/>
                <w:lock w:val="sdtLocked"/>
              </w:sdtPr>
              <w:sdtEndPr>
                <w:rPr>
                  <w:rFonts w:hint="eastAsia"/>
                </w:rPr>
              </w:sdtEndPr>
              <w:sdtContent>
                <w:tc>
                  <w:tcPr>
                    <w:tcW w:w="1437" w:type="pct"/>
                    <w:shd w:val="clear" w:color="auto" w:fill="auto"/>
                    <w:vAlign w:val="center"/>
                  </w:tcPr>
                  <w:p>
                    <w:pPr>
                      <w:widowControl w:val="0"/>
                      <w:jc w:val="center"/>
                    </w:pPr>
                    <w:r>
                      <w:rPr>
                        <w:rFonts w:hint="eastAsia"/>
                      </w:rPr>
                      <w:t>出租方名称</w:t>
                    </w:r>
                  </w:p>
                </w:tc>
              </w:sdtContent>
            </w:sdt>
            <w:sdt>
              <w:sdtPr>
                <w:rPr>
                  <w:rFonts w:hint="eastAsia"/>
                </w:rPr>
                <w:tag w:val="_PLD_fa7f13b1b3c846b7b6ec217c49c1dd79"/>
                <w:id w:val="-568198364"/>
                <w:lock w:val="sdtLocked"/>
              </w:sdtPr>
              <w:sdtEndPr>
                <w:rPr>
                  <w:rFonts w:hint="eastAsia"/>
                </w:rPr>
              </w:sdtEndPr>
              <w:sdtContent>
                <w:tc>
                  <w:tcPr>
                    <w:tcW w:w="1500" w:type="pct"/>
                    <w:shd w:val="clear" w:color="auto" w:fill="auto"/>
                    <w:vAlign w:val="center"/>
                  </w:tcPr>
                  <w:p>
                    <w:pPr>
                      <w:widowControl w:val="0"/>
                      <w:jc w:val="center"/>
                    </w:pPr>
                    <w:r>
                      <w:rPr>
                        <w:rFonts w:hint="eastAsia"/>
                      </w:rPr>
                      <w:t>租赁资产种类</w:t>
                    </w:r>
                  </w:p>
                </w:tc>
              </w:sdtContent>
            </w:sdt>
            <w:tc>
              <w:tcPr>
                <w:tcW w:w="1211" w:type="pct"/>
                <w:shd w:val="clear" w:color="auto" w:fill="auto"/>
                <w:vAlign w:val="center"/>
              </w:tcPr>
              <w:p>
                <w:pPr>
                  <w:widowControl w:val="0"/>
                  <w:jc w:val="center"/>
                </w:pPr>
                <w:r>
                  <w:rPr>
                    <w:rFonts w:hint="eastAsia"/>
                  </w:rPr>
                  <w:t>本期发生额</w:t>
                </w:r>
              </w:p>
            </w:tc>
            <w:tc>
              <w:tcPr>
                <w:tcW w:w="1276" w:type="pct"/>
                <w:shd w:val="clear" w:color="auto" w:fill="auto"/>
                <w:vAlign w:val="center"/>
              </w:tcPr>
              <w:p>
                <w:pPr>
                  <w:widowControl w:val="0"/>
                  <w:jc w:val="center"/>
                </w:pPr>
                <w:r>
                  <w:rPr>
                    <w:rFonts w:hint="eastAsia"/>
                  </w:rPr>
                  <w:t>上期发生额</w:t>
                </w:r>
              </w:p>
            </w:tc>
          </w:tr>
          <w:sdt>
            <w:sdtPr>
              <w:alias w:val="公司承租情况明细"/>
              <w:tag w:val="_TUP_65fa5894689a4627b097e0eea37dfc76"/>
              <w:id w:val="-355819259"/>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交控商业运营公司</w:t>
                    </w:r>
                  </w:p>
                </w:tc>
                <w:tc>
                  <w:tcPr>
                    <w:tcW w:w="1500" w:type="pct"/>
                    <w:shd w:val="clear" w:color="auto" w:fill="auto"/>
                    <w:vAlign w:val="center"/>
                  </w:tcPr>
                  <w:p>
                    <w:pPr>
                      <w:widowControl w:val="0"/>
                    </w:pPr>
                    <w:r>
                      <w:t>固定资产</w:t>
                    </w:r>
                  </w:p>
                </w:tc>
                <w:sdt>
                  <w:sdtPr>
                    <w:alias w:val="本期发生额"/>
                    <w:tag w:val="_GBC_25583d1bca2c4b9db45d7634da6dc212"/>
                    <w:id w:val="-2017445166"/>
                    <w:lock w:val="sdtLocked"/>
                  </w:sdtPr>
                  <w:sdtContent>
                    <w:tc>
                      <w:tcPr>
                        <w:tcW w:w="1211" w:type="pct"/>
                        <w:shd w:val="clear" w:color="auto" w:fill="auto"/>
                        <w:vAlign w:val="center"/>
                      </w:tcPr>
                      <w:p>
                        <w:pPr>
                          <w:widowControl w:val="0"/>
                        </w:pPr>
                        <w:r>
                          <w:t>7,224,294.97</w:t>
                        </w:r>
                      </w:p>
                    </w:tc>
                  </w:sdtContent>
                </w:sdt>
                <w:tc>
                  <w:tcPr>
                    <w:tcW w:w="1276" w:type="pct"/>
                    <w:shd w:val="clear" w:color="auto" w:fill="auto"/>
                    <w:vAlign w:val="center"/>
                  </w:tcPr>
                  <w:p>
                    <w:pPr>
                      <w:widowControl w:val="0"/>
                    </w:pPr>
                    <w:r>
                      <w:t>5,574,953.50</w:t>
                    </w:r>
                  </w:p>
                </w:tc>
              </w:tr>
            </w:sdtContent>
          </w:sdt>
          <w:sdt>
            <w:sdtPr>
              <w:alias w:val="公司承租情况明细"/>
              <w:tag w:val="_TUP_65fa5894689a4627b097e0eea37dfc76"/>
              <w:id w:val="380287081"/>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宿淮盐高速公司</w:t>
                    </w:r>
                  </w:p>
                </w:tc>
                <w:tc>
                  <w:tcPr>
                    <w:tcW w:w="1500" w:type="pct"/>
                    <w:shd w:val="clear" w:color="auto" w:fill="auto"/>
                    <w:vAlign w:val="center"/>
                  </w:tcPr>
                  <w:p>
                    <w:pPr>
                      <w:widowControl w:val="0"/>
                    </w:pPr>
                    <w:r>
                      <w:t>固定资产</w:t>
                    </w:r>
                  </w:p>
                </w:tc>
                <w:sdt>
                  <w:sdtPr>
                    <w:alias w:val="本期发生额"/>
                    <w:tag w:val="_GBC_25583d1bca2c4b9db45d7634da6dc212"/>
                    <w:id w:val="-1611649909"/>
                    <w:lock w:val="sdtLocked"/>
                  </w:sdtPr>
                  <w:sdtContent>
                    <w:tc>
                      <w:tcPr>
                        <w:tcW w:w="1211" w:type="pct"/>
                        <w:shd w:val="clear" w:color="auto" w:fill="auto"/>
                        <w:vAlign w:val="center"/>
                      </w:tcPr>
                      <w:p>
                        <w:pPr>
                          <w:widowControl w:val="0"/>
                        </w:pPr>
                        <w:r>
                          <w:t>51,378.00</w:t>
                        </w:r>
                      </w:p>
                    </w:tc>
                  </w:sdtContent>
                </w:sdt>
                <w:tc>
                  <w:tcPr>
                    <w:tcW w:w="1276" w:type="pct"/>
                    <w:shd w:val="clear" w:color="auto" w:fill="auto"/>
                    <w:vAlign w:val="center"/>
                  </w:tcPr>
                  <w:p>
                    <w:pPr>
                      <w:widowControl w:val="0"/>
                    </w:pPr>
                    <w:r>
                      <w:t>51,378.00</w:t>
                    </w:r>
                  </w:p>
                </w:tc>
              </w:tr>
            </w:sdtContent>
          </w:sdt>
          <w:sdt>
            <w:sdtPr>
              <w:alias w:val="公司承租情况明细"/>
              <w:tag w:val="_TUP_65fa5894689a4627b097e0eea37dfc76"/>
              <w:id w:val="-198746239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沿江公司</w:t>
                    </w:r>
                  </w:p>
                </w:tc>
                <w:tc>
                  <w:tcPr>
                    <w:tcW w:w="1500" w:type="pct"/>
                    <w:shd w:val="clear" w:color="auto" w:fill="auto"/>
                    <w:vAlign w:val="center"/>
                  </w:tcPr>
                  <w:p>
                    <w:pPr>
                      <w:widowControl w:val="0"/>
                    </w:pPr>
                    <w:r>
                      <w:t>固定资产</w:t>
                    </w:r>
                  </w:p>
                </w:tc>
                <w:sdt>
                  <w:sdtPr>
                    <w:alias w:val="本期发生额"/>
                    <w:tag w:val="_GBC_25583d1bca2c4b9db45d7634da6dc212"/>
                    <w:id w:val="-108892010"/>
                    <w:lock w:val="sdtLocked"/>
                  </w:sdtPr>
                  <w:sdtContent>
                    <w:tc>
                      <w:tcPr>
                        <w:tcW w:w="1211" w:type="pct"/>
                        <w:shd w:val="clear" w:color="auto" w:fill="auto"/>
                        <w:vAlign w:val="center"/>
                      </w:tcPr>
                      <w:p>
                        <w:pPr>
                          <w:widowControl w:val="0"/>
                        </w:pPr>
                        <w:r>
                          <w:t>8,505.00</w:t>
                        </w:r>
                      </w:p>
                    </w:tc>
                  </w:sdtContent>
                </w:sdt>
                <w:tc>
                  <w:tcPr>
                    <w:tcW w:w="1276" w:type="pct"/>
                    <w:shd w:val="clear" w:color="auto" w:fill="auto"/>
                    <w:vAlign w:val="center"/>
                  </w:tcPr>
                  <w:p>
                    <w:pPr>
                      <w:widowControl w:val="0"/>
                    </w:pPr>
                    <w:r>
                      <w:t>8,505.00</w:t>
                    </w:r>
                  </w:p>
                </w:tc>
              </w:tr>
            </w:sdtContent>
          </w:sdt>
          <w:sdt>
            <w:sdtPr>
              <w:alias w:val="公司承租情况明细"/>
              <w:tag w:val="_TUP_65fa5894689a4627b097e0eea37dfc76"/>
              <w:id w:val="46394044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连徐高速公司</w:t>
                    </w:r>
                  </w:p>
                </w:tc>
                <w:tc>
                  <w:tcPr>
                    <w:tcW w:w="1500" w:type="pct"/>
                    <w:shd w:val="clear" w:color="auto" w:fill="auto"/>
                    <w:vAlign w:val="center"/>
                  </w:tcPr>
                  <w:p>
                    <w:pPr>
                      <w:widowControl w:val="0"/>
                    </w:pPr>
                    <w:r>
                      <w:t>固定资产</w:t>
                    </w:r>
                  </w:p>
                </w:tc>
                <w:sdt>
                  <w:sdtPr>
                    <w:alias w:val="本期发生额"/>
                    <w:tag w:val="_GBC_25583d1bca2c4b9db45d7634da6dc212"/>
                    <w:id w:val="538400293"/>
                    <w:lock w:val="sdtLocked"/>
                  </w:sdtPr>
                  <w:sdtContent>
                    <w:tc>
                      <w:tcPr>
                        <w:tcW w:w="1211" w:type="pct"/>
                        <w:shd w:val="clear" w:color="auto" w:fill="auto"/>
                        <w:vAlign w:val="center"/>
                      </w:tcPr>
                      <w:p>
                        <w:pPr>
                          <w:widowControl w:val="0"/>
                        </w:pPr>
                        <w:r>
                          <w:t>50,185.71</w:t>
                        </w:r>
                      </w:p>
                    </w:tc>
                  </w:sdtContent>
                </w:sdt>
                <w:tc>
                  <w:tcPr>
                    <w:tcW w:w="1276" w:type="pct"/>
                    <w:shd w:val="clear" w:color="auto" w:fill="auto"/>
                    <w:vAlign w:val="center"/>
                  </w:tcPr>
                  <w:p>
                    <w:pPr>
                      <w:widowControl w:val="0"/>
                    </w:pPr>
                    <w:r>
                      <w:t>39,900.00</w:t>
                    </w:r>
                  </w:p>
                </w:tc>
              </w:tr>
            </w:sdtContent>
          </w:sdt>
          <w:sdt>
            <w:sdtPr>
              <w:alias w:val="公司承租情况明细"/>
              <w:tag w:val="_TUP_65fa5894689a4627b097e0eea37dfc76"/>
              <w:id w:val="793482763"/>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宁宿徐高速公司</w:t>
                    </w:r>
                  </w:p>
                </w:tc>
                <w:tc>
                  <w:tcPr>
                    <w:tcW w:w="1500" w:type="pct"/>
                    <w:shd w:val="clear" w:color="auto" w:fill="auto"/>
                    <w:vAlign w:val="center"/>
                  </w:tcPr>
                  <w:p>
                    <w:pPr>
                      <w:widowControl w:val="0"/>
                    </w:pPr>
                    <w:r>
                      <w:t>固定资产</w:t>
                    </w:r>
                  </w:p>
                </w:tc>
                <w:sdt>
                  <w:sdtPr>
                    <w:alias w:val="本期发生额"/>
                    <w:tag w:val="_GBC_25583d1bca2c4b9db45d7634da6dc212"/>
                    <w:id w:val="-1930028221"/>
                    <w:lock w:val="sdtLocked"/>
                  </w:sdtPr>
                  <w:sdtContent>
                    <w:tc>
                      <w:tcPr>
                        <w:tcW w:w="1211" w:type="pct"/>
                        <w:shd w:val="clear" w:color="auto" w:fill="auto"/>
                        <w:vAlign w:val="center"/>
                      </w:tcPr>
                      <w:p>
                        <w:pPr>
                          <w:widowControl w:val="0"/>
                        </w:pPr>
                        <w:r>
                          <w:t>92,730.00</w:t>
                        </w:r>
                      </w:p>
                    </w:tc>
                  </w:sdtContent>
                </w:sdt>
                <w:tc>
                  <w:tcPr>
                    <w:tcW w:w="1276" w:type="pct"/>
                    <w:shd w:val="clear" w:color="auto" w:fill="auto"/>
                    <w:vAlign w:val="center"/>
                  </w:tcPr>
                  <w:p>
                    <w:pPr>
                      <w:widowControl w:val="0"/>
                    </w:pPr>
                    <w:r>
                      <w:t>-</w:t>
                    </w:r>
                  </w:p>
                </w:tc>
              </w:tr>
            </w:sdtContent>
          </w:sdt>
          <w:sdt>
            <w:sdtPr>
              <w:alias w:val="公司承租情况明细"/>
              <w:tag w:val="_TUP_65fa5894689a4627b097e0eea37dfc76"/>
              <w:id w:val="1756859715"/>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7" w:type="pct"/>
                    <w:shd w:val="clear" w:color="auto" w:fill="auto"/>
                    <w:vAlign w:val="center"/>
                  </w:tcPr>
                  <w:p>
                    <w:pPr>
                      <w:widowControl w:val="0"/>
                    </w:pPr>
                    <w:r>
                      <w:t>京沪高速公司</w:t>
                    </w:r>
                  </w:p>
                </w:tc>
                <w:tc>
                  <w:tcPr>
                    <w:tcW w:w="1500" w:type="pct"/>
                    <w:shd w:val="clear" w:color="auto" w:fill="auto"/>
                    <w:vAlign w:val="center"/>
                  </w:tcPr>
                  <w:p>
                    <w:pPr>
                      <w:widowControl w:val="0"/>
                    </w:pPr>
                    <w:r>
                      <w:t>固定资产</w:t>
                    </w:r>
                  </w:p>
                </w:tc>
                <w:sdt>
                  <w:sdtPr>
                    <w:alias w:val="本期发生额"/>
                    <w:tag w:val="_GBC_25583d1bca2c4b9db45d7634da6dc212"/>
                    <w:id w:val="1996679426"/>
                    <w:lock w:val="sdtLocked"/>
                  </w:sdtPr>
                  <w:sdtContent>
                    <w:tc>
                      <w:tcPr>
                        <w:tcW w:w="1211" w:type="pct"/>
                        <w:shd w:val="clear" w:color="auto" w:fill="auto"/>
                        <w:vAlign w:val="center"/>
                      </w:tcPr>
                      <w:p>
                        <w:pPr>
                          <w:widowControl w:val="0"/>
                        </w:pPr>
                        <w:r>
                          <w:t>39,000.00</w:t>
                        </w:r>
                      </w:p>
                    </w:tc>
                  </w:sdtContent>
                </w:sdt>
                <w:tc>
                  <w:tcPr>
                    <w:tcW w:w="1276" w:type="pct"/>
                    <w:shd w:val="clear" w:color="auto" w:fill="auto"/>
                    <w:vAlign w:val="center"/>
                  </w:tcPr>
                  <w:p>
                    <w:pPr>
                      <w:widowControl w:val="0"/>
                    </w:pPr>
                    <w:r>
                      <w:t>-</w:t>
                    </w:r>
                  </w:p>
                </w:tc>
              </w:tr>
            </w:sdtContent>
          </w:sdt>
        </w:tbl>
        <w:p>
          <w:pPr>
            <w:pStyle w:val="114"/>
          </w:pPr>
        </w:p>
        <w:p>
          <w:pPr>
            <w:pStyle w:val="114"/>
          </w:pPr>
          <w:r>
            <w:rPr>
              <w:rFonts w:hint="eastAsia"/>
            </w:rPr>
            <w:t>关联租赁情况说明</w:t>
          </w:r>
        </w:p>
        <w:sdt>
          <w:sdtPr>
            <w:alias w:val="是否适用：关联租赁情况说明[双击切换]"/>
            <w:tag w:val="_GBC_a8d25c1a27d24bbeb9dd0063be85a310"/>
            <w:id w:val="-151237771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bookmarkEnd w:id="250"/>
    <w:p>
      <w:pPr>
        <w:sectPr>
          <w:pgSz w:w="16838" w:h="11906" w:orient="landscape"/>
          <w:pgMar w:top="1797" w:right="1525" w:bottom="1276" w:left="1440" w:header="856" w:footer="992" w:gutter="0"/>
          <w:cols w:space="425" w:num="1"/>
          <w:docGrid w:linePitch="312" w:charSpace="0"/>
        </w:sectPr>
      </w:pPr>
    </w:p>
    <w:p>
      <w:pPr>
        <w:pStyle w:val="114"/>
      </w:pPr>
    </w:p>
    <w:sdt>
      <w:sdtPr>
        <w:rPr>
          <w:rFonts w:hint="eastAsia" w:ascii="宋体" w:hAnsi="宋体" w:cs="Arial"/>
          <w:b w:val="0"/>
          <w:bCs w:val="0"/>
          <w:kern w:val="0"/>
          <w:szCs w:val="21"/>
        </w:rPr>
        <w:alias w:val="模块:关联担保情况"/>
        <w:tag w:val="_GBC_a87b2e666bc14a67817d2d3189396350"/>
        <w:id w:val="97377085"/>
        <w:lock w:val="sdtLocked"/>
        <w:placeholder>
          <w:docPart w:val="GBC22222222222222222222222222222"/>
        </w:placeholder>
      </w:sdtPr>
      <w:sdtEndPr>
        <w:rPr>
          <w:rFonts w:hint="default" w:ascii="宋体" w:hAnsi="宋体" w:cs="Cambria"/>
          <w:b w:val="0"/>
          <w:bCs w:val="0"/>
          <w:kern w:val="0"/>
          <w:sz w:val="20"/>
          <w:szCs w:val="20"/>
        </w:rPr>
      </w:sdtEndPr>
      <w:sdtContent>
        <w:p>
          <w:pPr>
            <w:pStyle w:val="118"/>
            <w:numPr>
              <w:ilvl w:val="0"/>
              <w:numId w:val="92"/>
            </w:numPr>
            <w:tabs>
              <w:tab w:val="left" w:pos="616"/>
            </w:tabs>
            <w:rPr>
              <w:rFonts w:ascii="宋体" w:hAnsi="宋体" w:cs="Arial"/>
              <w:szCs w:val="21"/>
            </w:rPr>
          </w:pPr>
          <w:bookmarkStart w:id="251" w:name="_Hlk105747684"/>
          <w:r>
            <w:rPr>
              <w:rFonts w:hint="eastAsia" w:ascii="宋体" w:hAnsi="宋体" w:cs="Arial"/>
              <w:szCs w:val="21"/>
            </w:rPr>
            <w:t>关联</w:t>
          </w:r>
          <w:r>
            <w:rPr>
              <w:rFonts w:hint="eastAsia" w:ascii="宋体" w:hAnsi="宋体"/>
            </w:rPr>
            <w:t>担保</w:t>
          </w:r>
          <w:r>
            <w:rPr>
              <w:rFonts w:hint="eastAsia" w:ascii="宋体" w:hAnsi="宋体" w:cs="Arial"/>
              <w:szCs w:val="21"/>
            </w:rPr>
            <w:t>情况</w:t>
          </w:r>
        </w:p>
        <w:p>
          <w:pPr>
            <w:pStyle w:val="114"/>
          </w:pPr>
          <w:r>
            <w:rPr>
              <w:rFonts w:hint="eastAsia"/>
            </w:rPr>
            <w:t>本公司作为担保方</w:t>
          </w:r>
        </w:p>
        <w:sdt>
          <w:sdtPr>
            <w:alias w:val="是否适用：本公司作为担保方的担保情况表[双击切换]"/>
            <w:tag w:val="_GBC_f0150417f8ec4c5281b86683570391cb"/>
            <w:id w:val="-149448195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rPr>
              <w:rFonts w:cs="Cambria"/>
            </w:rPr>
          </w:pPr>
          <w:r>
            <w:rPr>
              <w:rFonts w:hint="eastAsia" w:cs="Cambria"/>
            </w:rPr>
            <w:t>本公司作为被担保方</w:t>
          </w:r>
        </w:p>
        <w:sdt>
          <w:sdtPr>
            <w:rPr>
              <w:rFonts w:cs="Cambria"/>
            </w:rPr>
            <w:alias w:val="是否适用：本公司作为被担保方的担保情况表[双击切换]"/>
            <w:tag w:val="_GBC_3686094d29c941dd91bd168e3ef88833"/>
            <w:id w:val="-23785025"/>
            <w:lock w:val="sdtContentLocked"/>
            <w:placeholder>
              <w:docPart w:val="GBC22222222222222222222222222222"/>
            </w:placeholder>
          </w:sdtPr>
          <w:sdtEndPr>
            <w:rPr>
              <w:rFonts w:cs="Cambria"/>
            </w:rPr>
          </w:sdtEndPr>
          <w:sdtContent>
            <w:p>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pPr>
            <w:jc w:val="right"/>
            <w:rPr>
              <w:rFonts w:cs="Cambria"/>
            </w:rPr>
          </w:pPr>
          <w:r>
            <w:rPr>
              <w:rFonts w:hint="eastAsia" w:cs="Cambria"/>
            </w:rPr>
            <w:t>单位：</w:t>
          </w:r>
          <w:sdt>
            <w:sdtPr>
              <w:rPr>
                <w:rFonts w:hint="eastAsia" w:cs="Cambria"/>
              </w:rPr>
              <w:alias w:val="单位：财务附注：本公司作为被担保方"/>
              <w:tag w:val="_GBC_af3d3d55d9c648f8b2e94dcdd804c683"/>
              <w:id w:val="5711634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s="Cambria"/>
              </w:rPr>
            </w:sdtEndPr>
            <w:sdtContent>
              <w:r>
                <w:rPr>
                  <w:rFonts w:hint="eastAsia" w:cs="Cambria"/>
                </w:rPr>
                <w:t>元</w:t>
              </w:r>
            </w:sdtContent>
          </w:sdt>
          <w:r>
            <w:rPr>
              <w:rFonts w:hint="eastAsia" w:cs="Cambria"/>
            </w:rPr>
            <w:t xml:space="preserve">  币种：</w:t>
          </w:r>
          <w:sdt>
            <w:sdtPr>
              <w:rPr>
                <w:rFonts w:hint="eastAsia" w:cs="Cambria"/>
              </w:rPr>
              <w:alias w:val="币种：财务附注：本公司作为被担保方"/>
              <w:tag w:val="_GBC_684efbccec674b3abab20e6aa5c20b55"/>
              <w:id w:val="12816117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s="Cambria"/>
              </w:rPr>
            </w:sdtEndPr>
            <w:sdtContent>
              <w:r>
                <w:rPr>
                  <w:rFonts w:hint="eastAsia" w:cs="Cambr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571"/>
            <w:gridCol w:w="1652"/>
            <w:gridCol w:w="1805"/>
            <w:gridCol w:w="1791"/>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sdt>
              <w:sdtPr>
                <w:tag w:val="_PLD_6088efc2eccd46e6a311f035e3addd31"/>
                <w:id w:val="-1250731795"/>
                <w:lock w:val="sdtLocked"/>
              </w:sdtPr>
              <w:sdtContent>
                <w:tc>
                  <w:tcPr>
                    <w:tcW w:w="88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担保方</w:t>
                    </w:r>
                  </w:p>
                </w:tc>
              </w:sdtContent>
            </w:sdt>
            <w:sdt>
              <w:sdtPr>
                <w:tag w:val="_PLD_e7f78a4ceee3432c87548a75d87de01f"/>
                <w:id w:val="-934978305"/>
                <w:lock w:val="sdtLocked"/>
              </w:sdtPr>
              <w:sdtContent>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担保金额</w:t>
                    </w:r>
                  </w:p>
                </w:tc>
              </w:sdtContent>
            </w:sdt>
            <w:sdt>
              <w:sdtPr>
                <w:tag w:val="_PLD_258ee883a1494cba8aadfb02a67b1d9f"/>
                <w:id w:val="-137270164"/>
                <w:lock w:val="sdtLocked"/>
              </w:sdtPr>
              <w:sdtContent>
                <w:tc>
                  <w:tcPr>
                    <w:tcW w:w="101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担保起始日</w:t>
                    </w:r>
                  </w:p>
                </w:tc>
              </w:sdtContent>
            </w:sdt>
            <w:sdt>
              <w:sdtPr>
                <w:tag w:val="_PLD_219bfe3bbd6a4eeab9cd5e00e9bb2477"/>
                <w:id w:val="-883792920"/>
                <w:lock w:val="sdtLocked"/>
              </w:sdtPr>
              <w:sdtContent>
                <w:tc>
                  <w:tcPr>
                    <w:tcW w:w="100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担保到期日</w:t>
                    </w:r>
                  </w:p>
                </w:tc>
              </w:sdtContent>
            </w:sdt>
            <w:sdt>
              <w:sdtPr>
                <w:tag w:val="_PLD_e2efca4906c0464cb3ccf5445b144c22"/>
                <w:id w:val="116886824"/>
                <w:lock w:val="sdtLocked"/>
              </w:sdtPr>
              <w:sdtContent>
                <w:tc>
                  <w:tcPr>
                    <w:tcW w:w="116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担保是否已经履行完毕</w:t>
                    </w:r>
                  </w:p>
                </w:tc>
              </w:sdtContent>
            </w:sdt>
          </w:tr>
          <w:sdt>
            <w:sdtPr>
              <w:rPr>
                <w:rFonts w:cs="Cambria"/>
              </w:rPr>
              <w:alias w:val="本公司作为被担保方的关联担保情况明细"/>
              <w:tag w:val="_TUP_133171480fbe4e9c9c7e814e81aae393"/>
              <w:id w:val="-868673891"/>
              <w:lock w:val="sdtLocked"/>
            </w:sdtPr>
            <w:sdtEndPr>
              <w:rPr>
                <w:rFonts w:cs="Cambr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88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t>交通控股</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t>美元1,362,685.71</w:t>
                    </w:r>
                  </w:p>
                </w:tc>
                <w:tc>
                  <w:tcPr>
                    <w:tcW w:w="101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t>1998年10月15日</w:t>
                    </w:r>
                  </w:p>
                </w:tc>
                <w:tc>
                  <w:tcPr>
                    <w:tcW w:w="100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t>2027年7月18日</w:t>
                    </w:r>
                  </w:p>
                </w:tc>
                <w:sdt>
                  <w:sdtPr>
                    <w:rPr>
                      <w:rFonts w:cs="Cambria"/>
                    </w:rPr>
                    <w:alias w:val="本公司作为被担保方的关联担保情况明细-担保是否已经履行完毕"/>
                    <w:tag w:val="_GBC_ece41db563d54c85904336d073d8b352"/>
                    <w:id w:val="-1862112942"/>
                    <w:lock w:val="sdtLocked"/>
                    <w:comboBox>
                      <w:listItem w:displayText="是" w:value="true"/>
                      <w:listItem w:displayText="否" w:value="false"/>
                    </w:comboBox>
                  </w:sdtPr>
                  <w:sdtEndPr>
                    <w:rPr>
                      <w:rFonts w:cs="Cambria"/>
                    </w:rPr>
                  </w:sdtEndPr>
                  <w:sdtContent>
                    <w:tc>
                      <w:tcPr>
                        <w:tcW w:w="116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cs="Cambria"/>
                          </w:rPr>
                          <w:t>否</w:t>
                        </w:r>
                      </w:p>
                    </w:tc>
                  </w:sdtContent>
                </w:sdt>
              </w:tr>
            </w:sdtContent>
          </w:sdt>
        </w:tbl>
        <w:p>
          <w:pPr>
            <w:rPr>
              <w:rFonts w:cs="Cambria"/>
            </w:rPr>
          </w:pPr>
        </w:p>
        <w:p>
          <w:pPr>
            <w:rPr>
              <w:rFonts w:cs="Cambria"/>
            </w:rPr>
          </w:pPr>
          <w:r>
            <w:rPr>
              <w:rFonts w:hint="eastAsia" w:cs="Cambria"/>
            </w:rPr>
            <w:t>关联担保情况说明</w:t>
          </w:r>
        </w:p>
        <w:sdt>
          <w:sdtPr>
            <w:rPr>
              <w:rFonts w:cs="Cambria"/>
            </w:rPr>
            <w:alias w:val="是否适用：关联担保情况说明[双击切换]"/>
            <w:tag w:val="_GBC_9a5a4769e8804b779ae17adb041890d7"/>
            <w:id w:val="-461566987"/>
            <w:lock w:val="sdtLocked"/>
            <w:placeholder>
              <w:docPart w:val="GBC22222222222222222222222222222"/>
            </w:placeholder>
          </w:sdtPr>
          <w:sdtEndPr>
            <w:rPr>
              <w:rFonts w:cs="Cambria"/>
            </w:rPr>
          </w:sdtEndPr>
          <w:sdtContent>
            <w:p>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pPr>
            <w:rPr>
              <w:rFonts w:cs="Cambria"/>
              <w:sz w:val="20"/>
              <w:szCs w:val="20"/>
            </w:rPr>
          </w:pPr>
        </w:p>
      </w:sdtContent>
    </w:sdt>
    <w:bookmarkEnd w:id="251"/>
    <w:sdt>
      <w:sdtPr>
        <w:rPr>
          <w:rFonts w:ascii="宋体" w:hAnsi="宋体" w:cs="Arial"/>
          <w:b w:val="0"/>
          <w:bCs w:val="0"/>
          <w:kern w:val="0"/>
          <w:szCs w:val="21"/>
        </w:rPr>
        <w:alias w:val="模块:"/>
        <w:tag w:val="_SEC_b82cc4dd84264685b7f47657a2755690"/>
        <w:id w:val="-41373996"/>
        <w:lock w:val="sdtLocked"/>
        <w:placeholder>
          <w:docPart w:val="GBC22222222222222222222222222222"/>
        </w:placeholder>
      </w:sdtPr>
      <w:sdtEndPr>
        <w:rPr>
          <w:rFonts w:ascii="宋体" w:hAnsi="宋体" w:cs="Times New Roman"/>
          <w:b w:val="0"/>
          <w:bCs w:val="0"/>
          <w:kern w:val="2"/>
          <w:szCs w:val="21"/>
        </w:rPr>
      </w:sdtEndPr>
      <w:sdtContent>
        <w:p>
          <w:pPr>
            <w:pStyle w:val="118"/>
            <w:numPr>
              <w:ilvl w:val="0"/>
              <w:numId w:val="92"/>
            </w:numPr>
            <w:tabs>
              <w:tab w:val="left" w:pos="360"/>
              <w:tab w:val="left" w:pos="616"/>
            </w:tabs>
            <w:rPr>
              <w:rFonts w:ascii="宋体" w:hAnsi="宋体" w:cs="Arial"/>
              <w:kern w:val="0"/>
              <w:szCs w:val="21"/>
            </w:rPr>
          </w:pPr>
          <w:bookmarkStart w:id="252" w:name="_Hlk72829984"/>
          <w:r>
            <w:rPr>
              <w:rFonts w:hint="eastAsia" w:ascii="宋体" w:hAnsi="宋体" w:cs="Arial"/>
              <w:kern w:val="0"/>
              <w:szCs w:val="21"/>
            </w:rPr>
            <w:t>关联方资金拆借</w:t>
          </w:r>
        </w:p>
        <w:sdt>
          <w:sdtPr>
            <w:alias w:val="是否适用：关联方资金拆借[双击切换]"/>
            <w:tag w:val="_GBC_4b2d20ddab104a06a9007945a55a3da5"/>
            <w:id w:val="509108902"/>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rPr>
              <w:rFonts w:cs="Cambria"/>
            </w:rPr>
          </w:pPr>
          <w:r>
            <w:rPr>
              <w:rFonts w:hint="eastAsia" w:cs="Cambria"/>
            </w:rPr>
            <w:t>单位：</w:t>
          </w:r>
          <w:sdt>
            <w:sdtPr>
              <w:rPr>
                <w:rFonts w:hint="eastAsia" w:cs="Cambria"/>
              </w:rPr>
              <w:alias w:val="单位：关联方资金拆借"/>
              <w:tag w:val="_GBC_30878251351c48cd910d8c588a3fae01"/>
              <w:id w:val="-4735240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s="Cambria"/>
              </w:rPr>
            </w:sdtEndPr>
            <w:sdtContent>
              <w:r>
                <w:rPr>
                  <w:rFonts w:hint="eastAsia" w:cs="Cambria"/>
                </w:rPr>
                <w:t>元</w:t>
              </w:r>
            </w:sdtContent>
          </w:sdt>
          <w:r>
            <w:rPr>
              <w:rFonts w:hint="eastAsia" w:cs="Cambria"/>
            </w:rPr>
            <w:t xml:space="preserve">  币种：</w:t>
          </w:r>
          <w:sdt>
            <w:sdtPr>
              <w:rPr>
                <w:rFonts w:hint="eastAsia" w:cs="Cambria"/>
              </w:rPr>
              <w:alias w:val="币种：关联方资金拆借"/>
              <w:tag w:val="_GBC_a29488b34f974558ba4cf6bd0f030f00"/>
              <w:id w:val="2884750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s="Cambria"/>
              </w:rPr>
            </w:sdtEndPr>
            <w:sdtContent>
              <w:r>
                <w:rPr>
                  <w:rFonts w:hint="eastAsia" w:cs="Cambr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1944"/>
            <w:gridCol w:w="1734"/>
            <w:gridCol w:w="1748"/>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sdt>
              <w:sdtPr>
                <w:rPr>
                  <w:sz w:val="18"/>
                  <w:szCs w:val="18"/>
                </w:rPr>
                <w:tag w:val="_PLD_21bb8fa4d636469babeb2a54015330c9"/>
                <w:id w:val="-1322495168"/>
                <w:lock w:val="sdtLocked"/>
              </w:sdtPr>
              <w:sdtEndPr>
                <w:rPr>
                  <w:sz w:val="18"/>
                  <w:szCs w:val="18"/>
                </w:rPr>
              </w:sdtEndPr>
              <w:sdtContent>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sz w:val="18"/>
                        <w:szCs w:val="18"/>
                      </w:rPr>
                    </w:pPr>
                    <w:r>
                      <w:rPr>
                        <w:rFonts w:hint="eastAsia" w:cs="Cambria"/>
                        <w:sz w:val="18"/>
                        <w:szCs w:val="18"/>
                      </w:rPr>
                      <w:t>关联方</w:t>
                    </w:r>
                  </w:p>
                </w:tc>
              </w:sdtContent>
            </w:sdt>
            <w:sdt>
              <w:sdtPr>
                <w:rPr>
                  <w:sz w:val="18"/>
                  <w:szCs w:val="18"/>
                </w:rPr>
                <w:tag w:val="_PLD_21ea4181f1384bdbbbf3891f93fa488d"/>
                <w:id w:val="367345545"/>
                <w:lock w:val="sdtLocked"/>
              </w:sdtPr>
              <w:sdtEndPr>
                <w:rPr>
                  <w:sz w:val="18"/>
                  <w:szCs w:val="18"/>
                </w:rPr>
              </w:sdtEndPr>
              <w:sdtContent>
                <w:tc>
                  <w:tcPr>
                    <w:tcW w:w="107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sz w:val="18"/>
                        <w:szCs w:val="18"/>
                      </w:rPr>
                    </w:pPr>
                    <w:r>
                      <w:rPr>
                        <w:rFonts w:hint="eastAsia" w:cs="Cambria"/>
                        <w:sz w:val="18"/>
                        <w:szCs w:val="18"/>
                      </w:rPr>
                      <w:t>拆借金额</w:t>
                    </w:r>
                  </w:p>
                </w:tc>
              </w:sdtContent>
            </w:sdt>
            <w:sdt>
              <w:sdtPr>
                <w:rPr>
                  <w:sz w:val="18"/>
                  <w:szCs w:val="18"/>
                </w:rPr>
                <w:tag w:val="_PLD_bd5ce6aed4f143e49953692c5a59760c"/>
                <w:id w:val="-1236774485"/>
                <w:lock w:val="sdtLocked"/>
              </w:sdtPr>
              <w:sdtEndPr>
                <w:rPr>
                  <w:sz w:val="18"/>
                  <w:szCs w:val="18"/>
                </w:rPr>
              </w:sdtEndPr>
              <w:sdtContent>
                <w:tc>
                  <w:tcPr>
                    <w:tcW w:w="95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sz w:val="18"/>
                        <w:szCs w:val="18"/>
                      </w:rPr>
                    </w:pPr>
                    <w:r>
                      <w:rPr>
                        <w:rFonts w:hint="eastAsia" w:cs="Cambria"/>
                        <w:sz w:val="18"/>
                        <w:szCs w:val="18"/>
                      </w:rPr>
                      <w:t>起始日</w:t>
                    </w:r>
                  </w:p>
                </w:tc>
              </w:sdtContent>
            </w:sdt>
            <w:sdt>
              <w:sdtPr>
                <w:rPr>
                  <w:sz w:val="18"/>
                  <w:szCs w:val="18"/>
                </w:rPr>
                <w:tag w:val="_PLD_2b385e7ee14a4b079bb06e055c36feb7"/>
                <w:id w:val="1599204194"/>
                <w:lock w:val="sdtLocked"/>
              </w:sdtPr>
              <w:sdtEndPr>
                <w:rPr>
                  <w:sz w:val="18"/>
                  <w:szCs w:val="18"/>
                </w:rPr>
              </w:sdtEndPr>
              <w:sdtContent>
                <w:tc>
                  <w:tcPr>
                    <w:tcW w:w="96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sz w:val="18"/>
                        <w:szCs w:val="18"/>
                      </w:rPr>
                    </w:pPr>
                    <w:r>
                      <w:rPr>
                        <w:rFonts w:hint="eastAsia" w:cs="Cambria"/>
                        <w:sz w:val="18"/>
                        <w:szCs w:val="18"/>
                      </w:rPr>
                      <w:t>到期日</w:t>
                    </w:r>
                  </w:p>
                </w:tc>
              </w:sdtContent>
            </w:sdt>
            <w:sdt>
              <w:sdtPr>
                <w:rPr>
                  <w:sz w:val="18"/>
                  <w:szCs w:val="18"/>
                </w:rPr>
                <w:tag w:val="_PLD_931f1b9b50024981b236234787422b42"/>
                <w:id w:val="-2048975955"/>
                <w:lock w:val="sdtLocked"/>
              </w:sdtPr>
              <w:sdtEndPr>
                <w:rPr>
                  <w:sz w:val="18"/>
                  <w:szCs w:val="18"/>
                </w:rPr>
              </w:sdtEndPr>
              <w:sdtContent>
                <w:tc>
                  <w:tcPr>
                    <w:tcW w:w="92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sz w:val="18"/>
                        <w:szCs w:val="18"/>
                      </w:rPr>
                    </w:pPr>
                    <w:r>
                      <w:rPr>
                        <w:rFonts w:hint="eastAsia" w:cs="Cambria"/>
                        <w:sz w:val="18"/>
                        <w:szCs w:val="18"/>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e99d0f8d089a4169bf3ff1a58fede048"/>
                <w:id w:val="135306364"/>
                <w:lock w:val="sdtLocked"/>
              </w:sdtPr>
              <w:sdtEndPr>
                <w:rPr>
                  <w:sz w:val="18"/>
                  <w:szCs w:val="18"/>
                </w:rPr>
              </w:sdtEndPr>
              <w:sdtContent>
                <w:tc>
                  <w:tcPr>
                    <w:tcW w:w="5000" w:type="pct"/>
                    <w:gridSpan w:val="5"/>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rFonts w:hint="eastAsia"/>
                        <w:sz w:val="18"/>
                        <w:szCs w:val="18"/>
                      </w:rPr>
                      <w:t>拆入</w:t>
                    </w:r>
                  </w:p>
                </w:tc>
              </w:sdtContent>
            </w:sdt>
          </w:tr>
          <w:sdt>
            <w:sdtPr>
              <w:rPr>
                <w:rFonts w:cs="Cambria"/>
                <w:sz w:val="18"/>
                <w:szCs w:val="18"/>
              </w:rPr>
              <w:alias w:val="关联方资金拆入明细"/>
              <w:tag w:val="_TUP_dc7a5d29d458478da43f89617e2db5ec"/>
              <w:id w:val="-1323804287"/>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2022年12月1日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2023年11月30日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关联方借款，年利率2.90%</w:t>
                    </w:r>
                  </w:p>
                </w:tc>
              </w:tr>
            </w:sdtContent>
          </w:sdt>
          <w:sdt>
            <w:sdtPr>
              <w:rPr>
                <w:rFonts w:cs="Cambria"/>
                <w:sz w:val="18"/>
                <w:szCs w:val="18"/>
              </w:rPr>
              <w:alias w:val="关联方资金拆入明细"/>
              <w:tag w:val="_TUP_dc7a5d29d458478da43f89617e2db5ec"/>
              <w:id w:val="-31658339"/>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(150,000,000.00)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2022年12月1日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2023年6月30日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关联方借款，年利率2.90%</w:t>
                    </w:r>
                  </w:p>
                </w:tc>
              </w:tr>
            </w:sdtContent>
          </w:sdt>
          <w:sdt>
            <w:sdtPr>
              <w:rPr>
                <w:sz w:val="18"/>
                <w:szCs w:val="18"/>
              </w:rPr>
              <w:alias w:val="关联方资金拆出明细"/>
              <w:tag w:val="_TUP_b7b04f74aba14859abbb4d98d93aa4f7"/>
              <w:id w:val="1549806442"/>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pStyle w:val="114"/>
                      <w:rPr>
                        <w:sz w:val="18"/>
                        <w:szCs w:val="18"/>
                      </w:rPr>
                    </w:pPr>
                    <w:r>
                      <w:rPr>
                        <w:sz w:val="18"/>
                        <w:szCs w:val="18"/>
                      </w:rPr>
                      <w:t>集团财务公司*</w:t>
                    </w:r>
                  </w:p>
                </w:tc>
                <w:tc>
                  <w:tcPr>
                    <w:tcW w:w="1985" w:type="dxa"/>
                  </w:tcPr>
                  <w:p>
                    <w:pPr>
                      <w:jc w:val="right"/>
                      <w:rPr>
                        <w:sz w:val="18"/>
                        <w:szCs w:val="18"/>
                      </w:rPr>
                    </w:pPr>
                    <w:r>
                      <w:rPr>
                        <w:sz w:val="18"/>
                        <w:szCs w:val="18"/>
                      </w:rPr>
                      <w:t>150,000,000.00</w:t>
                    </w:r>
                  </w:p>
                </w:tc>
                <w:tc>
                  <w:tcPr>
                    <w:tcW w:w="1701" w:type="dxa"/>
                  </w:tcPr>
                  <w:p>
                    <w:pPr>
                      <w:pStyle w:val="114"/>
                      <w:rPr>
                        <w:sz w:val="18"/>
                        <w:szCs w:val="18"/>
                      </w:rPr>
                    </w:pPr>
                    <w:r>
                      <w:rPr>
                        <w:sz w:val="18"/>
                        <w:szCs w:val="18"/>
                      </w:rPr>
                      <w:t>2023年5月12日</w:t>
                    </w:r>
                  </w:p>
                </w:tc>
                <w:tc>
                  <w:tcPr>
                    <w:tcW w:w="1701" w:type="dxa"/>
                  </w:tcPr>
                  <w:p>
                    <w:pPr>
                      <w:pStyle w:val="114"/>
                      <w:rPr>
                        <w:sz w:val="18"/>
                        <w:szCs w:val="18"/>
                      </w:rPr>
                    </w:pPr>
                    <w:r>
                      <w:rPr>
                        <w:sz w:val="18"/>
                        <w:szCs w:val="18"/>
                      </w:rPr>
                      <w:t>2024年5月11日</w:t>
                    </w:r>
                  </w:p>
                </w:tc>
                <w:tc>
                  <w:tcPr>
                    <w:tcW w:w="1701" w:type="dxa"/>
                  </w:tcPr>
                  <w:p>
                    <w:pPr>
                      <w:pStyle w:val="114"/>
                      <w:rPr>
                        <w:sz w:val="18"/>
                        <w:szCs w:val="18"/>
                      </w:rPr>
                    </w:pPr>
                    <w:r>
                      <w:rPr>
                        <w:sz w:val="18"/>
                        <w:szCs w:val="18"/>
                      </w:rPr>
                      <w:t>关联方借款，年利率2.90%</w:t>
                    </w:r>
                  </w:p>
                </w:tc>
              </w:tr>
            </w:sdtContent>
          </w:sdt>
          <w:sdt>
            <w:sdtPr>
              <w:rPr>
                <w:sz w:val="18"/>
                <w:szCs w:val="18"/>
              </w:rPr>
              <w:alias w:val="关联方资金拆出明细"/>
              <w:tag w:val="_TUP_b7b04f74aba14859abbb4d98d93aa4f7"/>
              <w:id w:val="-786966032"/>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pStyle w:val="114"/>
                      <w:rPr>
                        <w:sz w:val="18"/>
                        <w:szCs w:val="18"/>
                      </w:rPr>
                    </w:pPr>
                    <w:r>
                      <w:rPr>
                        <w:sz w:val="18"/>
                        <w:szCs w:val="18"/>
                      </w:rPr>
                      <w:t>集团财务公司*</w:t>
                    </w:r>
                  </w:p>
                </w:tc>
                <w:tc>
                  <w:tcPr>
                    <w:tcW w:w="1985" w:type="dxa"/>
                  </w:tcPr>
                  <w:p>
                    <w:pPr>
                      <w:jc w:val="right"/>
                      <w:rPr>
                        <w:sz w:val="18"/>
                        <w:szCs w:val="18"/>
                      </w:rPr>
                    </w:pPr>
                    <w:r>
                      <w:rPr>
                        <w:sz w:val="18"/>
                        <w:szCs w:val="18"/>
                      </w:rPr>
                      <w:t>100,000,000.00</w:t>
                    </w:r>
                  </w:p>
                </w:tc>
                <w:tc>
                  <w:tcPr>
                    <w:tcW w:w="1701" w:type="dxa"/>
                  </w:tcPr>
                  <w:p>
                    <w:pPr>
                      <w:pStyle w:val="114"/>
                      <w:rPr>
                        <w:sz w:val="18"/>
                        <w:szCs w:val="18"/>
                      </w:rPr>
                    </w:pPr>
                    <w:r>
                      <w:rPr>
                        <w:sz w:val="18"/>
                        <w:szCs w:val="18"/>
                      </w:rPr>
                      <w:t>2023年5月15日</w:t>
                    </w:r>
                  </w:p>
                </w:tc>
                <w:tc>
                  <w:tcPr>
                    <w:tcW w:w="1701" w:type="dxa"/>
                  </w:tcPr>
                  <w:p>
                    <w:pPr>
                      <w:pStyle w:val="114"/>
                      <w:rPr>
                        <w:sz w:val="18"/>
                        <w:szCs w:val="18"/>
                      </w:rPr>
                    </w:pPr>
                    <w:r>
                      <w:rPr>
                        <w:sz w:val="18"/>
                        <w:szCs w:val="18"/>
                      </w:rPr>
                      <w:t>2024年5月14日</w:t>
                    </w:r>
                  </w:p>
                </w:tc>
                <w:tc>
                  <w:tcPr>
                    <w:tcW w:w="1701" w:type="dxa"/>
                  </w:tcPr>
                  <w:p>
                    <w:pPr>
                      <w:pStyle w:val="114"/>
                      <w:rPr>
                        <w:sz w:val="18"/>
                        <w:szCs w:val="18"/>
                      </w:rPr>
                    </w:pPr>
                    <w:r>
                      <w:rPr>
                        <w:sz w:val="18"/>
                        <w:szCs w:val="18"/>
                      </w:rPr>
                      <w:t>关联方借款，年利率2.90%</w:t>
                    </w:r>
                  </w:p>
                </w:tc>
              </w:tr>
            </w:sdtContent>
          </w:sdt>
          <w:sdt>
            <w:sdtPr>
              <w:rPr>
                <w:rFonts w:cs="Cambria"/>
                <w:sz w:val="18"/>
                <w:szCs w:val="18"/>
              </w:rPr>
              <w:alias w:val="关联方资金拆入明细"/>
              <w:tag w:val="_TUP_dc7a5d29d458478da43f89617e2db5ec"/>
              <w:id w:val="828181791"/>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(5,500,000.00)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2022年8月24 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2027 年6月20 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关联方借款，年利率3.50%</w:t>
                    </w:r>
                  </w:p>
                </w:tc>
              </w:tr>
            </w:sdtContent>
          </w:sdt>
          <w:sdt>
            <w:sdtPr>
              <w:rPr>
                <w:rFonts w:cs="Cambria"/>
                <w:sz w:val="18"/>
                <w:szCs w:val="18"/>
              </w:rPr>
              <w:alias w:val="关联方资金拆入明细"/>
              <w:tag w:val="_TUP_dc7a5d29d458478da43f89617e2db5ec"/>
              <w:id w:val="-159539302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2022年8月24 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2028年6月20日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关联方借款，年利率3.50%</w:t>
                    </w:r>
                  </w:p>
                </w:tc>
              </w:tr>
            </w:sdtContent>
          </w:sdt>
          <w:sdt>
            <w:sdtPr>
              <w:rPr>
                <w:rFonts w:cs="Cambria"/>
                <w:sz w:val="18"/>
                <w:szCs w:val="18"/>
              </w:rPr>
              <w:alias w:val="关联方资金拆入明细"/>
              <w:tag w:val="_TUP_dc7a5d29d458478da43f89617e2db5ec"/>
              <w:id w:val="-1175800017"/>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(2,000,000.00)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2022年8月24 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2037年8月10日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关联方借款，年利率3.50%</w:t>
                    </w:r>
                  </w:p>
                </w:tc>
              </w:tr>
            </w:sdtContent>
          </w:sdt>
          <w:sdt>
            <w:sdtPr>
              <w:rPr>
                <w:rFonts w:cs="Cambria"/>
                <w:sz w:val="18"/>
                <w:szCs w:val="18"/>
              </w:rPr>
              <w:alias w:val="关联方资金拆入明细"/>
              <w:tag w:val="_TUP_dc7a5d29d458478da43f89617e2db5ec"/>
              <w:id w:val="-570118613"/>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(3,000,000.00)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2022年8月24 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2028年6月20日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关联方借款，年利率3.50%</w:t>
                    </w:r>
                  </w:p>
                </w:tc>
              </w:tr>
            </w:sdtContent>
          </w:sdt>
          <w:sdt>
            <w:sdtPr>
              <w:rPr>
                <w:rFonts w:cs="Cambria"/>
                <w:sz w:val="18"/>
                <w:szCs w:val="18"/>
              </w:rPr>
              <w:alias w:val="关联方资金拆入明细"/>
              <w:tag w:val="_TUP_dc7a5d29d458478da43f89617e2db5ec"/>
              <w:id w:val="474653104"/>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(100,000,000.00)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2022年3月16日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2023年3月16日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关联方借款，年利率2.95%</w:t>
                    </w:r>
                  </w:p>
                </w:tc>
              </w:tr>
            </w:sdtContent>
          </w:sdt>
          <w:sdt>
            <w:sdtPr>
              <w:rPr>
                <w:rFonts w:cs="Cambria"/>
                <w:sz w:val="18"/>
                <w:szCs w:val="18"/>
              </w:rPr>
              <w:alias w:val="关联方资金拆入明细"/>
              <w:tag w:val="_TUP_dc7a5d29d458478da43f89617e2db5ec"/>
              <w:id w:val="1366721455"/>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(100,000,000.00)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2022年4月24日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2023年4月23日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关联方借款，年利率2.95%</w:t>
                    </w:r>
                  </w:p>
                </w:tc>
              </w:tr>
            </w:sdtContent>
          </w:sdt>
          <w:sdt>
            <w:sdtPr>
              <w:rPr>
                <w:rFonts w:cs="Cambria"/>
                <w:sz w:val="18"/>
                <w:szCs w:val="18"/>
              </w:rPr>
              <w:alias w:val="关联方资金拆入明细"/>
              <w:tag w:val="_TUP_dc7a5d29d458478da43f89617e2db5ec"/>
              <w:id w:val="48775513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(100,000,000.00)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2022年6月15日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2023年5月30日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关联方借款，年利率2.80%</w:t>
                    </w:r>
                  </w:p>
                </w:tc>
              </w:tr>
            </w:sdtContent>
          </w:sdt>
          <w:sdt>
            <w:sdtPr>
              <w:rPr>
                <w:rFonts w:cs="Cambria"/>
                <w:sz w:val="18"/>
                <w:szCs w:val="18"/>
              </w:rPr>
              <w:alias w:val="关联方资金拆入明细"/>
              <w:tag w:val="_TUP_dc7a5d29d458478da43f89617e2db5ec"/>
              <w:id w:val="-353958733"/>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(150,000,000.00)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2022年7月15日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2023年5月30日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关联方借款，年利率2.65%</w:t>
                    </w:r>
                  </w:p>
                </w:tc>
              </w:tr>
            </w:sdtContent>
          </w:sdt>
          <w:sdt>
            <w:sdtPr>
              <w:rPr>
                <w:rFonts w:cs="Cambria"/>
                <w:sz w:val="18"/>
                <w:szCs w:val="18"/>
              </w:rPr>
              <w:alias w:val="关联方资金拆入明细"/>
              <w:tag w:val="_TUP_dc7a5d29d458478da43f89617e2db5ec"/>
              <w:id w:val="-2045512738"/>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(120,000,000.00)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2022年7月19日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2023年5月30日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关联方借款，年利率2.65%</w:t>
                    </w:r>
                  </w:p>
                </w:tc>
              </w:tr>
            </w:sdtContent>
          </w:sdt>
          <w:sdt>
            <w:sdtPr>
              <w:rPr>
                <w:rFonts w:cs="Cambria"/>
                <w:sz w:val="18"/>
                <w:szCs w:val="18"/>
              </w:rPr>
              <w:alias w:val="关联方资金拆入明细"/>
              <w:tag w:val="_TUP_dc7a5d29d458478da43f89617e2db5ec"/>
              <w:id w:val="-254125208"/>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(30,000,000.00)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2022年7月19日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2023年6月29日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关联方借款，年利率2.65%</w:t>
                    </w:r>
                  </w:p>
                </w:tc>
              </w:tr>
            </w:sdtContent>
          </w:sdt>
          <w:sdt>
            <w:sdtPr>
              <w:rPr>
                <w:rFonts w:cs="Cambria"/>
                <w:sz w:val="18"/>
                <w:szCs w:val="18"/>
              </w:rPr>
              <w:alias w:val="关联方资金拆入明细"/>
              <w:tag w:val="_TUP_dc7a5d29d458478da43f89617e2db5ec"/>
              <w:id w:val="-243106646"/>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(140,000,000.00)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2022年8月11日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2023年6月29日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关联方借款，年利率2.65%</w:t>
                    </w:r>
                  </w:p>
                </w:tc>
              </w:tr>
            </w:sdtContent>
          </w:sdt>
          <w:sdt>
            <w:sdtPr>
              <w:rPr>
                <w:rFonts w:cs="Cambria"/>
                <w:sz w:val="18"/>
                <w:szCs w:val="18"/>
              </w:rPr>
              <w:alias w:val="关联方资金拆入明细"/>
              <w:tag w:val="_TUP_dc7a5d29d458478da43f89617e2db5ec"/>
              <w:id w:val="-206101429"/>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2022年8月11日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2023年8月10日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关联方借款，年利率2.65%</w:t>
                    </w:r>
                  </w:p>
                </w:tc>
              </w:tr>
            </w:sdtContent>
          </w:sdt>
          <w:sdt>
            <w:sdtPr>
              <w:rPr>
                <w:rFonts w:cs="Cambria"/>
                <w:sz w:val="18"/>
                <w:szCs w:val="18"/>
              </w:rPr>
              <w:alias w:val="关联方资金拆入明细"/>
              <w:tag w:val="_TUP_dc7a5d29d458478da43f89617e2db5ec"/>
              <w:id w:val="-1652746217"/>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2022年8月26日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2023年8月25日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关联方借款，年利率2.60%</w:t>
                    </w:r>
                  </w:p>
                </w:tc>
              </w:tr>
            </w:sdtContent>
          </w:sdt>
          <w:sdt>
            <w:sdtPr>
              <w:rPr>
                <w:rFonts w:cs="Cambria"/>
                <w:sz w:val="18"/>
                <w:szCs w:val="18"/>
              </w:rPr>
              <w:alias w:val="关联方资金拆入明细"/>
              <w:tag w:val="_TUP_dc7a5d29d458478da43f89617e2db5ec"/>
              <w:id w:val="-2063019833"/>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集团财务公司*</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100,000,000.00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2023年3月29日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2024年3月28日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关联方借款，年利率2.40%</w:t>
                    </w:r>
                  </w:p>
                </w:tc>
              </w:tr>
            </w:sdtContent>
          </w:sdt>
          <w:sdt>
            <w:sdtPr>
              <w:rPr>
                <w:rFonts w:cs="Cambria"/>
                <w:sz w:val="18"/>
                <w:szCs w:val="18"/>
              </w:rPr>
              <w:alias w:val="关联方资金拆入明细"/>
              <w:tag w:val="_TUP_dc7a5d29d458478da43f89617e2db5ec"/>
              <w:id w:val="-96134921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(250,000,000.00)</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2013年5月17日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2023年5月17日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关联方借款，年利率5.30%</w:t>
                    </w:r>
                  </w:p>
                </w:tc>
              </w:tr>
            </w:sdtContent>
          </w:sdt>
          <w:sdt>
            <w:sdtPr>
              <w:rPr>
                <w:rFonts w:cs="Cambria"/>
                <w:sz w:val="18"/>
                <w:szCs w:val="18"/>
              </w:rPr>
              <w:alias w:val="关联方资金拆入明细"/>
              <w:tag w:val="_TUP_dc7a5d29d458478da43f89617e2db5ec"/>
              <w:id w:val="-1207170944"/>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2020年6月21日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2035年5月29日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关联方借款，年利率3.45%</w:t>
                    </w:r>
                  </w:p>
                </w:tc>
              </w:tr>
            </w:sdtContent>
          </w:sdt>
          <w:sdt>
            <w:sdtPr>
              <w:rPr>
                <w:rFonts w:cs="Cambria"/>
                <w:sz w:val="18"/>
                <w:szCs w:val="18"/>
              </w:rPr>
              <w:alias w:val="关联方资金拆入明细"/>
              <w:tag w:val="_TUP_dc7a5d29d458478da43f89617e2db5ec"/>
              <w:id w:val="1916193046"/>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2020年7月22日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2025年7月22日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关联方借款，年利率3.85%</w:t>
                    </w:r>
                  </w:p>
                </w:tc>
              </w:tr>
            </w:sdtContent>
          </w:sdt>
          <w:sdt>
            <w:sdtPr>
              <w:rPr>
                <w:rFonts w:cs="Cambria"/>
                <w:sz w:val="18"/>
                <w:szCs w:val="18"/>
              </w:rPr>
              <w:alias w:val="关联方资金拆入明细"/>
              <w:tag w:val="_TUP_dc7a5d29d458478da43f89617e2db5ec"/>
              <w:id w:val="-1184515241"/>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2018年11月20日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2023年10月24日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关联方借款，年利率4.43%</w:t>
                    </w:r>
                  </w:p>
                </w:tc>
              </w:tr>
            </w:sdtContent>
          </w:sdt>
          <w:sdt>
            <w:sdtPr>
              <w:rPr>
                <w:rFonts w:cs="Cambria"/>
                <w:sz w:val="18"/>
                <w:szCs w:val="18"/>
              </w:rPr>
              <w:alias w:val="关联方资金拆入明细"/>
              <w:tag w:val="_TUP_dc7a5d29d458478da43f89617e2db5ec"/>
              <w:id w:val="1288636381"/>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2019年11月8日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2024年8月29日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关联方借款，年利率3.76%</w:t>
                    </w:r>
                  </w:p>
                </w:tc>
              </w:tr>
            </w:sdtContent>
          </w:sdt>
          <w:sdt>
            <w:sdtPr>
              <w:rPr>
                <w:rFonts w:cs="Cambria"/>
                <w:sz w:val="18"/>
                <w:szCs w:val="18"/>
              </w:rPr>
              <w:alias w:val="关联方资金拆入明细"/>
              <w:tag w:val="_TUP_dc7a5d29d458478da43f89617e2db5ec"/>
              <w:id w:val="-372778285"/>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2020年7月22日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2025年7月22日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关联方借款，年利率3.85%</w:t>
                    </w:r>
                  </w:p>
                </w:tc>
              </w:tr>
            </w:sdtContent>
          </w:sdt>
          <w:sdt>
            <w:sdtPr>
              <w:rPr>
                <w:rFonts w:cs="Cambria"/>
                <w:sz w:val="18"/>
                <w:szCs w:val="18"/>
              </w:rPr>
              <w:alias w:val="关联方资金拆入明细"/>
              <w:tag w:val="_TUP_dc7a5d29d458478da43f89617e2db5ec"/>
              <w:id w:val="939732641"/>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2018年11月20日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2023年10月24日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关联方借款，年利率4.43%</w:t>
                    </w:r>
                  </w:p>
                </w:tc>
              </w:tr>
            </w:sdtContent>
          </w:sdt>
          <w:sdt>
            <w:sdtPr>
              <w:rPr>
                <w:rFonts w:cs="Cambria"/>
                <w:sz w:val="18"/>
                <w:szCs w:val="18"/>
              </w:rPr>
              <w:alias w:val="关联方资金拆入明细"/>
              <w:tag w:val="_TUP_dc7a5d29d458478da43f89617e2db5ec"/>
              <w:id w:val="77829388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 -  </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2020年7月22日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2025年7月22日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关联方借款，年利率3.85%</w:t>
                    </w:r>
                  </w:p>
                </w:tc>
              </w:tr>
            </w:sdtContent>
          </w:sdt>
          <w:sdt>
            <w:sdtPr>
              <w:rPr>
                <w:rFonts w:cs="Cambria"/>
                <w:sz w:val="18"/>
                <w:szCs w:val="18"/>
              </w:rPr>
              <w:alias w:val="关联方资金拆入明细"/>
              <w:tag w:val="_TUP_dc7a5d29d458478da43f89617e2db5ec"/>
              <w:id w:val="-162360914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2022年9月14日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2039年9月13日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关联方借款，年利率3.10%</w:t>
                    </w:r>
                  </w:p>
                </w:tc>
              </w:tr>
            </w:sdtContent>
          </w:sdt>
          <w:sdt>
            <w:sdtPr>
              <w:rPr>
                <w:rFonts w:cs="Cambria"/>
                <w:sz w:val="18"/>
                <w:szCs w:val="18"/>
              </w:rPr>
              <w:alias w:val="关联方资金拆入明细"/>
              <w:tag w:val="_TUP_dc7a5d29d458478da43f89617e2db5ec"/>
              <w:id w:val="-223597590"/>
              <w:lock w:val="sdtLocked"/>
            </w:sdtPr>
            <w:sdtEndPr>
              <w:rPr>
                <w:rFonts w:cs="Cambr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交通控股</w:t>
                    </w:r>
                  </w:p>
                </w:tc>
                <w:tc>
                  <w:tcPr>
                    <w:tcW w:w="1074" w:type="pct"/>
                    <w:tcBorders>
                      <w:top w:val="single" w:color="auto" w:sz="4" w:space="0"/>
                      <w:left w:val="single" w:color="auto" w:sz="4" w:space="0"/>
                      <w:bottom w:val="single" w:color="auto" w:sz="4" w:space="0"/>
                      <w:right w:val="single" w:color="auto" w:sz="4" w:space="0"/>
                    </w:tcBorders>
                    <w:shd w:val="clear" w:color="auto" w:fill="auto"/>
                  </w:tcPr>
                  <w:p>
                    <w:pPr>
                      <w:jc w:val="right"/>
                      <w:rPr>
                        <w:rFonts w:cs="Cambria"/>
                        <w:sz w:val="18"/>
                        <w:szCs w:val="18"/>
                      </w:rPr>
                    </w:pPr>
                    <w:r>
                      <w:rPr>
                        <w:sz w:val="18"/>
                        <w:szCs w:val="18"/>
                      </w:rPr>
                      <w:t>-</w:t>
                    </w:r>
                  </w:p>
                </w:tc>
                <w:tc>
                  <w:tcPr>
                    <w:tcW w:w="95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2020年1月21日</w:t>
                    </w:r>
                  </w:p>
                </w:tc>
                <w:tc>
                  <w:tcPr>
                    <w:tcW w:w="966"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2025年1月20日</w:t>
                    </w:r>
                  </w:p>
                </w:tc>
                <w:tc>
                  <w:tcPr>
                    <w:tcW w:w="928" w:type="pct"/>
                    <w:tcBorders>
                      <w:top w:val="single" w:color="auto" w:sz="4" w:space="0"/>
                      <w:left w:val="single" w:color="auto" w:sz="4" w:space="0"/>
                      <w:bottom w:val="single" w:color="auto" w:sz="4" w:space="0"/>
                      <w:right w:val="single" w:color="auto" w:sz="4" w:space="0"/>
                    </w:tcBorders>
                    <w:shd w:val="clear" w:color="auto" w:fill="auto"/>
                  </w:tcPr>
                  <w:p>
                    <w:pPr>
                      <w:rPr>
                        <w:rFonts w:cs="Cambria"/>
                        <w:sz w:val="18"/>
                        <w:szCs w:val="18"/>
                      </w:rPr>
                    </w:pPr>
                    <w:r>
                      <w:rPr>
                        <w:sz w:val="18"/>
                        <w:szCs w:val="18"/>
                      </w:rPr>
                      <w:t>关联方借款，年利率3.74%</w:t>
                    </w:r>
                  </w:p>
                </w:tc>
              </w:tr>
            </w:sdtContent>
          </w:sdt>
        </w:tbl>
        <w:p>
          <w:pPr>
            <w:pStyle w:val="114"/>
            <w:rPr>
              <w:rFonts w:asciiTheme="minorEastAsia" w:hAnsiTheme="minorEastAsia" w:eastAsiaTheme="minorEastAsia"/>
            </w:rPr>
          </w:pPr>
        </w:p>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注：</w:t>
          </w:r>
          <w:r>
            <w:rPr>
              <w:rFonts w:cs="Arial" w:asciiTheme="minorEastAsia" w:hAnsiTheme="minorEastAsia" w:eastAsiaTheme="minorEastAsia"/>
              <w:color w:val="000000" w:themeColor="text1"/>
              <w14:textFill>
                <w14:solidFill>
                  <w14:schemeClr w14:val="tx1"/>
                </w14:solidFill>
              </w14:textFill>
            </w:rPr>
            <w:tab/>
          </w:r>
          <w:r>
            <w:rPr>
              <w:rFonts w:hint="eastAsia" w:cs="Arial" w:asciiTheme="minorEastAsia" w:hAnsiTheme="minorEastAsia" w:eastAsiaTheme="minorEastAsia"/>
              <w:color w:val="000000" w:themeColor="text1"/>
              <w14:textFill>
                <w14:solidFill>
                  <w14:schemeClr w14:val="tx1"/>
                </w14:solidFill>
              </w14:textFill>
            </w:rPr>
            <w:t>本集团作为拆入方时，拆借金额正数代表借入，负数代表偿还；本集团作为拆出方时，拆借金额正数代表借出，负数代表收回。</w:t>
          </w:r>
        </w:p>
        <w:p>
          <w:pPr>
            <w:rPr>
              <w:rFonts w:cstheme="minorBidi"/>
            </w:rPr>
          </w:pPr>
        </w:p>
      </w:sdtContent>
    </w:sdt>
    <w:bookmarkEnd w:id="252"/>
    <w:sdt>
      <w:sdtPr>
        <w:rPr>
          <w:rFonts w:hint="eastAsia" w:ascii="宋体" w:hAnsi="宋体" w:cs="宋体"/>
          <w:b w:val="0"/>
          <w:bCs w:val="0"/>
          <w:kern w:val="0"/>
          <w:szCs w:val="24"/>
        </w:rPr>
        <w:alias w:val="模块:关联方资产转让、债务重组情况"/>
        <w:tag w:val="_GBC_9319584d30f7446b9ff3e2a3d50022d5"/>
        <w:id w:val="1621339144"/>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92"/>
            </w:numPr>
            <w:tabs>
              <w:tab w:val="left" w:pos="616"/>
            </w:tabs>
            <w:rPr>
              <w:rFonts w:ascii="宋体" w:hAnsi="宋体"/>
            </w:rPr>
          </w:pPr>
          <w:r>
            <w:rPr>
              <w:rFonts w:hint="eastAsia" w:ascii="宋体" w:hAnsi="宋体"/>
            </w:rPr>
            <w:t>关联方资产转让、债务重组情况</w:t>
          </w:r>
        </w:p>
        <w:sdt>
          <w:sdtPr>
            <w:alias w:val="是否适用：关联方资产转让、债务重组情况[双击切换]"/>
            <w:tag w:val="_GBC_c590c66abdbe454e89c4c55269fb6adf"/>
            <w:id w:val="151510784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关键管理人员报酬"/>
        <w:tag w:val="_GBC_16da1beac91f4544809058bfda2ad3bf"/>
        <w:id w:val="2481833"/>
        <w:lock w:val="sdtLocked"/>
        <w:placeholder>
          <w:docPart w:val="GBC22222222222222222222222222222"/>
        </w:placeholder>
      </w:sdtPr>
      <w:sdtEndPr>
        <w:rPr>
          <w:rFonts w:hint="default" w:ascii="宋体" w:hAnsi="宋体" w:cs="宋体"/>
          <w:b w:val="0"/>
          <w:bCs w:val="0"/>
          <w:kern w:val="0"/>
          <w:szCs w:val="21"/>
        </w:rPr>
      </w:sdtEndPr>
      <w:sdtContent>
        <w:p>
          <w:pPr>
            <w:pStyle w:val="118"/>
            <w:numPr>
              <w:ilvl w:val="0"/>
              <w:numId w:val="92"/>
            </w:numPr>
            <w:tabs>
              <w:tab w:val="left" w:pos="616"/>
            </w:tabs>
            <w:rPr>
              <w:rFonts w:ascii="宋体" w:hAnsi="宋体"/>
            </w:rPr>
          </w:pPr>
          <w:r>
            <w:rPr>
              <w:rFonts w:hint="eastAsia" w:ascii="宋体" w:hAnsi="宋体"/>
            </w:rPr>
            <w:t>关键管理人员报酬</w:t>
          </w:r>
        </w:p>
        <w:sdt>
          <w:sdtPr>
            <w:alias w:val="是否适用：关键管理人员报酬[双击切换]"/>
            <w:tag w:val="_GBC_48379e9c7f5743bb916ac1cb044f4057"/>
            <w:id w:val="41328950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rFonts w:cs="Cambria"/>
            </w:rPr>
          </w:pPr>
          <w:r>
            <w:rPr>
              <w:rFonts w:hint="eastAsia" w:cs="Cambria"/>
            </w:rPr>
            <w:t>单位：</w:t>
          </w:r>
          <w:sdt>
            <w:sdtPr>
              <w:rPr>
                <w:rFonts w:hint="eastAsia" w:cs="Cambria"/>
              </w:rPr>
              <w:alias w:val="单位：财务附注：关键管理人员报酬"/>
              <w:tag w:val="_GBC_ce83ed5df8424f9a845da83f15361f10"/>
              <w:id w:val="16353636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s="Cambria"/>
              </w:rPr>
            </w:sdtEndPr>
            <w:sdtContent>
              <w:r>
                <w:rPr>
                  <w:rFonts w:hint="eastAsia" w:cs="Cambria"/>
                </w:rPr>
                <w:t>元</w:t>
              </w:r>
            </w:sdtContent>
          </w:sdt>
          <w:r>
            <w:rPr>
              <w:rFonts w:hint="eastAsia" w:cs="Cambria"/>
            </w:rPr>
            <w:t xml:space="preserve">  币种：</w:t>
          </w:r>
          <w:sdt>
            <w:sdtPr>
              <w:rPr>
                <w:rFonts w:hint="eastAsia" w:cs="Cambria"/>
              </w:rPr>
              <w:alias w:val="币种：财务附注：关键管理人员报酬"/>
              <w:tag w:val="_GBC_f493c9ef199846639115d5bc3032a26e"/>
              <w:id w:val="-1513840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s="Cambria"/>
              </w:rPr>
            </w:sdtEndPr>
            <w:sdtContent>
              <w:r>
                <w:rPr>
                  <w:rFonts w:hint="eastAsia" w:cs="Cambr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4"/>
            <w:gridCol w:w="3274"/>
            <w:gridCol w:w="2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7f843efe3664c9fbe7a215b63622ea0"/>
                <w:id w:val="-356117063"/>
                <w:lock w:val="sdtLocked"/>
              </w:sdtPr>
              <w:sdtContent>
                <w:tc>
                  <w:tcPr>
                    <w:tcW w:w="180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项目</w:t>
                    </w:r>
                  </w:p>
                </w:tc>
              </w:sdtContent>
            </w:sdt>
            <w:sdt>
              <w:sdtPr>
                <w:tag w:val="_PLD_30a169af324e457e93d304c688a55945"/>
                <w:id w:val="-1177259484"/>
                <w:lock w:val="sdtLocked"/>
              </w:sdtPr>
              <w:sdtContent>
                <w:tc>
                  <w:tcPr>
                    <w:tcW w:w="180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本期发生额</w:t>
                    </w:r>
                  </w:p>
                </w:tc>
              </w:sdtContent>
            </w:sdt>
            <w:sdt>
              <w:sdtPr>
                <w:tag w:val="_PLD_bf5a91780f544d6eade38e70db331a30"/>
                <w:id w:val="505875070"/>
                <w:lock w:val="sdtLocked"/>
              </w:sdtPr>
              <w:sdtContent>
                <w:tc>
                  <w:tcPr>
                    <w:tcW w:w="138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mbria"/>
                      </w:rPr>
                    </w:pPr>
                    <w:r>
                      <w:rPr>
                        <w:rFonts w:hint="eastAsia" w:cs="Cambr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c4e2a2d92044454966304594fcd32da"/>
                <w:id w:val="-894738473"/>
                <w:lock w:val="sdtLocked"/>
              </w:sdtPr>
              <w:sdtContent>
                <w:tc>
                  <w:tcPr>
                    <w:tcW w:w="1809" w:type="pct"/>
                    <w:tcBorders>
                      <w:top w:val="single" w:color="auto" w:sz="4" w:space="0"/>
                      <w:left w:val="single" w:color="auto" w:sz="4" w:space="0"/>
                      <w:bottom w:val="single" w:color="auto" w:sz="4" w:space="0"/>
                      <w:right w:val="single" w:color="auto" w:sz="4" w:space="0"/>
                    </w:tcBorders>
                    <w:shd w:val="clear" w:color="auto" w:fill="auto"/>
                  </w:tcPr>
                  <w:p>
                    <w:pPr>
                      <w:rPr>
                        <w:rFonts w:cs="Cambria"/>
                      </w:rPr>
                    </w:pPr>
                    <w:r>
                      <w:rPr>
                        <w:rFonts w:hint="eastAsia" w:cs="Cambria"/>
                      </w:rPr>
                      <w:t>关键管理人员报酬</w:t>
                    </w:r>
                  </w:p>
                </w:tc>
              </w:sdtContent>
            </w:sdt>
            <w:tc>
              <w:tcPr>
                <w:tcW w:w="180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cs="Cambria"/>
                  </w:rPr>
                </w:pPr>
                <w:r>
                  <w:t>4,463,321.00</w:t>
                </w:r>
              </w:p>
            </w:tc>
            <w:tc>
              <w:tcPr>
                <w:tcW w:w="138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cs="Cambria"/>
                  </w:rPr>
                </w:pPr>
                <w:r>
                  <w:t>3,841,186.00</w:t>
                </w:r>
              </w:p>
            </w:tc>
          </w:tr>
        </w:tbl>
        <w:p>
          <w:pPr>
            <w:pStyle w:val="114"/>
          </w:pPr>
        </w:p>
      </w:sdtContent>
    </w:sdt>
    <w:sdt>
      <w:sdtPr>
        <w:rPr>
          <w:rFonts w:hint="eastAsia" w:ascii="宋体" w:hAnsi="宋体" w:cs="宋体"/>
          <w:b w:val="0"/>
          <w:bCs w:val="0"/>
          <w:kern w:val="0"/>
          <w:szCs w:val="24"/>
        </w:rPr>
        <w:alias w:val="模块:其他关联交易"/>
        <w:tag w:val="_GBC_45e2e59b0d6145b48f7cfd576edaa9e6"/>
        <w:id w:val="966165078"/>
        <w:lock w:val="sdtLocked"/>
        <w:placeholder>
          <w:docPart w:val="GBC22222222222222222222222222222"/>
        </w:placeholder>
      </w:sdtPr>
      <w:sdtEndPr>
        <w:rPr>
          <w:rFonts w:hint="default" w:ascii="宋体" w:hAnsi="宋体" w:cstheme="minorBidi"/>
          <w:b w:val="0"/>
          <w:bCs w:val="0"/>
          <w:kern w:val="0"/>
          <w:szCs w:val="21"/>
        </w:rPr>
      </w:sdtEndPr>
      <w:sdtContent>
        <w:p>
          <w:pPr>
            <w:pStyle w:val="118"/>
            <w:numPr>
              <w:ilvl w:val="0"/>
              <w:numId w:val="92"/>
            </w:numPr>
            <w:tabs>
              <w:tab w:val="left" w:pos="616"/>
            </w:tabs>
            <w:rPr>
              <w:rFonts w:ascii="宋体" w:hAnsi="宋体"/>
            </w:rPr>
          </w:pPr>
          <w:r>
            <w:rPr>
              <w:rFonts w:hint="eastAsia" w:ascii="宋体" w:hAnsi="宋体"/>
            </w:rPr>
            <w:t>其他关联交易</w:t>
          </w:r>
        </w:p>
        <w:sdt>
          <w:sdtPr>
            <w:alias w:val="是否适用：其他关联交易[双击切换]"/>
            <w:tag w:val="_GBC_9768a300838a499089a7b814ff3d817d"/>
            <w:id w:val="157524698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117"/>
        <w:numPr>
          <w:ilvl w:val="0"/>
          <w:numId w:val="91"/>
        </w:numPr>
        <w:rPr>
          <w:rFonts w:ascii="宋体" w:hAnsi="宋体" w:cs="Arial"/>
          <w:szCs w:val="21"/>
        </w:rPr>
      </w:pPr>
      <w:r>
        <w:rPr>
          <w:rFonts w:hint="eastAsia" w:ascii="宋体" w:hAnsi="宋体" w:cs="Arial"/>
          <w:szCs w:val="21"/>
        </w:rPr>
        <w:t>关联方应收应付款项</w:t>
      </w:r>
    </w:p>
    <w:sdt>
      <w:sdtPr>
        <w:rPr>
          <w:rFonts w:hint="eastAsia" w:ascii="宋体" w:hAnsi="宋体" w:cs="Arial"/>
          <w:b w:val="0"/>
          <w:bCs w:val="0"/>
          <w:kern w:val="0"/>
          <w:szCs w:val="21"/>
        </w:rPr>
        <w:alias w:val="模块:上市公司应收关联方款项"/>
        <w:tag w:val="_GBC_a8ddb53cf3424889a48a1749b5a1d910"/>
        <w:id w:val="-1837910455"/>
        <w:lock w:val="sdtLocked"/>
        <w:placeholder>
          <w:docPart w:val="GBC22222222222222222222222222222"/>
        </w:placeholder>
      </w:sdtPr>
      <w:sdtEndPr>
        <w:rPr>
          <w:rFonts w:hint="eastAsia" w:ascii="宋体" w:hAnsi="宋体" w:cstheme="minorBidi"/>
          <w:b w:val="0"/>
          <w:bCs w:val="0"/>
          <w:kern w:val="0"/>
          <w:szCs w:val="21"/>
        </w:rPr>
      </w:sdtEndPr>
      <w:sdtContent>
        <w:p>
          <w:pPr>
            <w:pStyle w:val="118"/>
            <w:numPr>
              <w:ilvl w:val="0"/>
              <w:numId w:val="93"/>
            </w:numPr>
            <w:tabs>
              <w:tab w:val="left" w:pos="616"/>
            </w:tabs>
            <w:rPr>
              <w:rFonts w:ascii="宋体" w:hAnsi="宋体"/>
            </w:rPr>
          </w:pPr>
          <w:r>
            <w:rPr>
              <w:rFonts w:hint="eastAsia" w:ascii="宋体" w:hAnsi="宋体"/>
            </w:rPr>
            <w:t>应收项目</w:t>
          </w:r>
        </w:p>
        <w:sdt>
          <w:sdtPr>
            <w:alias w:val="是否适用：应收项目[双击切换]"/>
            <w:tag w:val="_GBC_e5475e28b21641f6895ac4770b2631b5"/>
            <w:id w:val="204401415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上市公司应收关联方款项"/>
              <w:tag w:val="_GBC_04d0c208b4494e01aba7984c41905093"/>
              <w:id w:val="-4823155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077349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306"/>
            <w:gridCol w:w="1228"/>
            <w:gridCol w:w="1861"/>
            <w:gridCol w:w="1227"/>
            <w:gridCol w:w="1542"/>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18"/>
                  <w:szCs w:val="18"/>
                </w:rPr>
                <w:tag w:val="_PLD_75750bc8ac464afa98573c85adea097c"/>
                <w:id w:val="-659077226"/>
                <w:lock w:val="sdtLocked"/>
              </w:sdtPr>
              <w:sdtEndPr>
                <w:rPr>
                  <w:sz w:val="18"/>
                  <w:szCs w:val="18"/>
                </w:rPr>
              </w:sdtEndPr>
              <w:sdtContent>
                <w:tc>
                  <w:tcPr>
                    <w:tcW w:w="734" w:type="pct"/>
                    <w:vMerge w:val="restart"/>
                    <w:tcBorders>
                      <w:top w:val="single" w:color="auto" w:sz="4" w:space="0"/>
                      <w:left w:val="single" w:color="auto" w:sz="4" w:space="0"/>
                      <w:right w:val="single" w:color="auto" w:sz="4" w:space="0"/>
                    </w:tcBorders>
                    <w:vAlign w:val="center"/>
                  </w:tcPr>
                  <w:p>
                    <w:pPr>
                      <w:jc w:val="center"/>
                      <w:rPr>
                        <w:sz w:val="18"/>
                        <w:szCs w:val="18"/>
                      </w:rPr>
                    </w:pPr>
                    <w:r>
                      <w:rPr>
                        <w:rFonts w:hint="eastAsia"/>
                        <w:sz w:val="18"/>
                        <w:szCs w:val="18"/>
                      </w:rPr>
                      <w:t>项目名称</w:t>
                    </w:r>
                  </w:p>
                </w:tc>
              </w:sdtContent>
            </w:sdt>
            <w:sdt>
              <w:sdtPr>
                <w:rPr>
                  <w:sz w:val="18"/>
                  <w:szCs w:val="18"/>
                </w:rPr>
                <w:tag w:val="_PLD_5006be842c534839b3dabcf833329dd5"/>
                <w:id w:val="-1418403163"/>
                <w:lock w:val="sdtLocked"/>
              </w:sdtPr>
              <w:sdtEndPr>
                <w:rPr>
                  <w:sz w:val="18"/>
                  <w:szCs w:val="18"/>
                </w:rPr>
              </w:sdtEndPr>
              <w:sdtContent>
                <w:tc>
                  <w:tcPr>
                    <w:tcW w:w="690" w:type="pct"/>
                    <w:vMerge w:val="restart"/>
                    <w:tcBorders>
                      <w:top w:val="single" w:color="auto" w:sz="4" w:space="0"/>
                      <w:left w:val="single" w:color="auto" w:sz="4" w:space="0"/>
                      <w:right w:val="single" w:color="auto" w:sz="4" w:space="0"/>
                    </w:tcBorders>
                    <w:vAlign w:val="center"/>
                  </w:tcPr>
                  <w:p>
                    <w:pPr>
                      <w:jc w:val="center"/>
                      <w:rPr>
                        <w:sz w:val="18"/>
                        <w:szCs w:val="18"/>
                      </w:rPr>
                    </w:pPr>
                    <w:r>
                      <w:rPr>
                        <w:rFonts w:hint="eastAsia"/>
                        <w:sz w:val="18"/>
                        <w:szCs w:val="18"/>
                      </w:rPr>
                      <w:t>关联方</w:t>
                    </w:r>
                  </w:p>
                </w:tc>
              </w:sdtContent>
            </w:sdt>
            <w:sdt>
              <w:sdtPr>
                <w:rPr>
                  <w:sz w:val="18"/>
                  <w:szCs w:val="18"/>
                </w:rPr>
                <w:tag w:val="_PLD_f8f3c28b2f064090a27f319875eb1b52"/>
                <w:id w:val="1055580852"/>
                <w:lock w:val="sdtLocked"/>
              </w:sdtPr>
              <w:sdtEndPr>
                <w:rPr>
                  <w:sz w:val="18"/>
                  <w:szCs w:val="18"/>
                </w:rPr>
              </w:sdtEndPr>
              <w:sdtContent>
                <w:tc>
                  <w:tcPr>
                    <w:tcW w:w="1736" w:type="pct"/>
                    <w:gridSpan w:val="2"/>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期末余额</w:t>
                    </w:r>
                  </w:p>
                </w:tc>
              </w:sdtContent>
            </w:sdt>
            <w:sdt>
              <w:sdtPr>
                <w:rPr>
                  <w:sz w:val="18"/>
                  <w:szCs w:val="18"/>
                </w:rPr>
                <w:tag w:val="_PLD_fdab8cbff0b74f19a916d61075f629a0"/>
                <w:id w:val="2139214867"/>
                <w:lock w:val="sdtLocked"/>
              </w:sdtPr>
              <w:sdtEndPr>
                <w:rPr>
                  <w:sz w:val="18"/>
                  <w:szCs w:val="18"/>
                </w:rPr>
              </w:sdtEndPr>
              <w:sdtContent>
                <w:tc>
                  <w:tcPr>
                    <w:tcW w:w="1839" w:type="pct"/>
                    <w:gridSpan w:val="2"/>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690" w:type="pct"/>
                <w:vMerge w:val="continue"/>
                <w:tcBorders>
                  <w:left w:val="single" w:color="auto" w:sz="4" w:space="0"/>
                  <w:bottom w:val="single" w:color="auto" w:sz="4" w:space="0"/>
                  <w:right w:val="single" w:color="auto" w:sz="4" w:space="0"/>
                </w:tcBorders>
                <w:vAlign w:val="center"/>
              </w:tcPr>
              <w:p>
                <w:pPr>
                  <w:jc w:val="center"/>
                  <w:rPr>
                    <w:sz w:val="18"/>
                    <w:szCs w:val="18"/>
                  </w:rPr>
                </w:pPr>
              </w:p>
            </w:tc>
            <w:sdt>
              <w:sdtPr>
                <w:rPr>
                  <w:sz w:val="18"/>
                  <w:szCs w:val="18"/>
                </w:rPr>
                <w:tag w:val="_PLD_5c085d18049644c9860a00b248b7c0ba"/>
                <w:id w:val="913433252"/>
                <w:lock w:val="sdtLocked"/>
              </w:sdtPr>
              <w:sdtEndPr>
                <w:rPr>
                  <w:sz w:val="18"/>
                  <w:szCs w:val="18"/>
                </w:rPr>
              </w:sdtEndPr>
              <w:sdtContent>
                <w:tc>
                  <w:tcPr>
                    <w:tcW w:w="1046"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账面余额</w:t>
                    </w:r>
                  </w:p>
                </w:tc>
              </w:sdtContent>
            </w:sdt>
            <w:sdt>
              <w:sdtPr>
                <w:rPr>
                  <w:sz w:val="18"/>
                  <w:szCs w:val="18"/>
                </w:rPr>
                <w:tag w:val="_PLD_8262489c05a6417a883e2c877ded6170"/>
                <w:id w:val="702281968"/>
                <w:lock w:val="sdtLocked"/>
              </w:sdtPr>
              <w:sdtEndPr>
                <w:rPr>
                  <w:sz w:val="18"/>
                  <w:szCs w:val="18"/>
                </w:rPr>
              </w:sdtEndPr>
              <w:sdtContent>
                <w:tc>
                  <w:tcPr>
                    <w:tcW w:w="690"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坏账准备</w:t>
                    </w:r>
                  </w:p>
                </w:tc>
              </w:sdtContent>
            </w:sdt>
            <w:sdt>
              <w:sdtPr>
                <w:rPr>
                  <w:sz w:val="18"/>
                  <w:szCs w:val="18"/>
                </w:rPr>
                <w:tag w:val="_PLD_46c6d827df3f47a3bc83a6dd8718f17e"/>
                <w:id w:val="-1898575730"/>
                <w:lock w:val="sdtLocked"/>
              </w:sdtPr>
              <w:sdtEndPr>
                <w:rPr>
                  <w:sz w:val="18"/>
                  <w:szCs w:val="18"/>
                </w:rPr>
              </w:sdtEndPr>
              <w:sdtContent>
                <w:tc>
                  <w:tcPr>
                    <w:tcW w:w="867"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账面余额</w:t>
                    </w:r>
                  </w:p>
                </w:tc>
              </w:sdtContent>
            </w:sdt>
            <w:sdt>
              <w:sdtPr>
                <w:rPr>
                  <w:sz w:val="18"/>
                  <w:szCs w:val="18"/>
                </w:rPr>
                <w:tag w:val="_PLD_fca2aa8baf8a48a7a4cdc730d7420d47"/>
                <w:id w:val="2037769626"/>
                <w:lock w:val="sdtLocked"/>
              </w:sdtPr>
              <w:sdtEndPr>
                <w:rPr>
                  <w:sz w:val="18"/>
                  <w:szCs w:val="18"/>
                </w:rPr>
              </w:sdtEndPr>
              <w:sdtContent>
                <w:tc>
                  <w:tcPr>
                    <w:tcW w:w="972"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坏账准备</w:t>
                    </w:r>
                  </w:p>
                </w:tc>
              </w:sdtContent>
            </w:sdt>
          </w:tr>
          <w:sdt>
            <w:sdtPr>
              <w:rPr>
                <w:rFonts w:hint="eastAsia"/>
                <w:sz w:val="18"/>
                <w:szCs w:val="18"/>
              </w:rPr>
              <w:alias w:val="上市公司应收关联方款项明细"/>
              <w:tag w:val="_GBC_203fd12dc6be4a978fe2a9d9f5ad1070"/>
              <w:id w:val="-1610193797"/>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银行存款 (注1)</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集团财务公司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398,947,537.59</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597,044,456.03</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455225138"/>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江苏银行</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158,198.64</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308,902.43</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307936342"/>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南京银行</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533,911.45</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2,180,913.87</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394629441"/>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小计</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399,639,647.68</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599,534,272.33</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920866580"/>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交易性金融资产</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南京银行</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300,000,000.00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300,000,000.00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333680079"/>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应收账款 (注2)</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高速能发公司（注3）</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8,191,942.94</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10,916,263.55</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856889715"/>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扬子大桥公司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177,746.18</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14,262,200.00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595052699"/>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沪通大桥公司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3,826,500.00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8,210,800.00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931168588"/>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快鹿公司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247,484.52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812317886"/>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洛德基金公司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837.32</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2,555.33</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87780041"/>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现代路桥公司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1,094,455.50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102,458.02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228446904"/>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文化传媒</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15,387,417.22</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7,515,612.20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804131429"/>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泰兴和畅油品公司(注3)</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1,716,246.03</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1,951,495.70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81464233"/>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锡泰隧道公司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215,000.00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420,000.00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619417557"/>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东部高速公司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120,376.29</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11,071.52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867727529"/>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宿淮盐高速公司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113,780.10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6,475.95</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115022947"/>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连徐高速公司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81,858.13</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43,337.93</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087538784"/>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宁宿徐高速公司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159,918.93</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50,513.82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257640950"/>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润扬大桥公司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1,194,563.21</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1.42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543723106"/>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苏锡常南部公司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49,635,783.48</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34,468,610.46</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861115868"/>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通行宝公司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7,079,804.88</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7,819,964.84</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634029536"/>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富安达公司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483,634.08</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997142736"/>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小计</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88,996,230.21</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86,512,479.34</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2008787620"/>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长期应收款（含一年内到期）</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交控商业运营公司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173,904,575.09</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173,904,575.09</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1349097109"/>
              <w:lock w:val="sdtLocked"/>
            </w:sdtPr>
            <w:sdtEndPr>
              <w:rPr>
                <w:rFonts w:hint="eastAsia"/>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rFonts w:hint="eastAsia" w:ascii="微软雅黑" w:hAnsi="微软雅黑" w:eastAsia="微软雅黑" w:cs="微软雅黑"/>
                        <w:sz w:val="18"/>
                        <w:szCs w:val="18"/>
                      </w:rPr>
                      <w:t> </w:t>
                    </w:r>
                    <w:r>
                      <w:rPr>
                        <w:rFonts w:hint="eastAsia"/>
                        <w:sz w:val="18"/>
                        <w:szCs w:val="18"/>
                      </w:rPr>
                      <w:t>预付款项</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通行宝公司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20,000.00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33,941.78</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r>
            </w:sdtContent>
          </w:sdt>
          <w:sdt>
            <w:sdtPr>
              <w:rPr>
                <w:rFonts w:hint="eastAsia"/>
                <w:sz w:val="18"/>
                <w:szCs w:val="18"/>
              </w:rPr>
              <w:alias w:val="上市公司应收关联方款项明细"/>
              <w:tag w:val="_GBC_203fd12dc6be4a978fe2a9d9f5ad1070"/>
              <w:id w:val="-2022391150"/>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其他应收款</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洛德基金公司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16,598,493.35</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16,598,493.35</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312404285"/>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现代路桥公司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12,509.15</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616873216"/>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联网公司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324.00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13874233"/>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通行宝公司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14,069.22</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109,161.22</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7908730"/>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工程检测公司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123,082.21</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123,082.21</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183244746"/>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高速信息公司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329.00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627501195"/>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交控商业运营公司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289,705.00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397208335"/>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能投新城</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295,849.06</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295,849.06</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682968563"/>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小计</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17,031,493.84</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17,429,452.99</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1982910979"/>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应收股利</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快鹿公司</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4,989,960.00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4,989,960.00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2142725767"/>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扬子大桥</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34,190,139.60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sdt>
            <w:sdtPr>
              <w:rPr>
                <w:rFonts w:hint="eastAsia"/>
                <w:sz w:val="18"/>
                <w:szCs w:val="18"/>
              </w:rPr>
              <w:alias w:val="上市公司应收关联方款项明细"/>
              <w:tag w:val="_GBC_203fd12dc6be4a978fe2a9d9f5ad1070"/>
              <w:id w:val="495688954"/>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34"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18"/>
                        <w:szCs w:val="18"/>
                      </w:rPr>
                    </w:pPr>
                    <w:r>
                      <w:rPr>
                        <w:sz w:val="18"/>
                        <w:szCs w:val="18"/>
                      </w:rPr>
                      <w:t> </w:t>
                    </w:r>
                  </w:p>
                </w:tc>
                <w:tc>
                  <w:tcPr>
                    <w:tcW w:w="690" w:type="pct"/>
                    <w:tcBorders>
                      <w:top w:val="single" w:color="auto" w:sz="4" w:space="0"/>
                      <w:left w:val="single" w:color="auto" w:sz="4" w:space="0"/>
                      <w:bottom w:val="single" w:color="auto" w:sz="4" w:space="0"/>
                      <w:right w:val="single" w:color="auto" w:sz="4" w:space="0"/>
                    </w:tcBorders>
                  </w:tcPr>
                  <w:p>
                    <w:pPr>
                      <w:autoSpaceDE w:val="0"/>
                      <w:autoSpaceDN w:val="0"/>
                      <w:adjustRightInd w:val="0"/>
                      <w:rPr>
                        <w:sz w:val="18"/>
                        <w:szCs w:val="18"/>
                      </w:rPr>
                    </w:pPr>
                    <w:r>
                      <w:rPr>
                        <w:sz w:val="18"/>
                        <w:szCs w:val="18"/>
                      </w:rPr>
                      <w:t>小计</w:t>
                    </w:r>
                  </w:p>
                </w:tc>
                <w:tc>
                  <w:tcPr>
                    <w:tcW w:w="1046"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sz w:val="18"/>
                        <w:szCs w:val="18"/>
                      </w:rPr>
                      <w:t>39,180,099.60</w:t>
                    </w:r>
                  </w:p>
                </w:tc>
                <w:tc>
                  <w:tcPr>
                    <w:tcW w:w="69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rFonts w:hint="eastAsia"/>
                        <w:sz w:val="18"/>
                        <w:szCs w:val="18"/>
                      </w:rPr>
                      <w:t>-</w:t>
                    </w:r>
                  </w:p>
                </w:tc>
                <w:tc>
                  <w:tcPr>
                    <w:tcW w:w="86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18"/>
                        <w:szCs w:val="18"/>
                      </w:rPr>
                    </w:pPr>
                    <w:r>
                      <w:rPr>
                        <w:sz w:val="18"/>
                        <w:szCs w:val="18"/>
                      </w:rPr>
                      <w:t>4,989,960.00</w:t>
                    </w:r>
                  </w:p>
                </w:tc>
                <w:tc>
                  <w:tcPr>
                    <w:tcW w:w="972" w:type="pct"/>
                    <w:tcBorders>
                      <w:top w:val="single" w:color="auto" w:sz="4" w:space="0"/>
                      <w:left w:val="single" w:color="auto" w:sz="4" w:space="0"/>
                      <w:bottom w:val="single" w:color="auto" w:sz="4" w:space="0"/>
                      <w:right w:val="single" w:color="auto" w:sz="4" w:space="0"/>
                    </w:tcBorders>
                  </w:tcPr>
                  <w:p>
                    <w:pPr>
                      <w:autoSpaceDE w:val="0"/>
                      <w:autoSpaceDN w:val="0"/>
                      <w:adjustRightInd w:val="0"/>
                      <w:jc w:val="right"/>
                      <w:rPr>
                        <w:sz w:val="18"/>
                        <w:szCs w:val="18"/>
                      </w:rPr>
                    </w:pPr>
                    <w:r>
                      <w:rPr>
                        <w:rFonts w:hint="eastAsia"/>
                        <w:sz w:val="18"/>
                        <w:szCs w:val="18"/>
                      </w:rPr>
                      <w:t>-</w:t>
                    </w:r>
                  </w:p>
                </w:tc>
              </w:tr>
            </w:sdtContent>
          </w:sdt>
        </w:tbl>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注</w:t>
          </w:r>
          <w:r>
            <w:rPr>
              <w:rFonts w:cs="Times New Roman" w:asciiTheme="minorEastAsia" w:hAnsiTheme="minorEastAsia" w:eastAsiaTheme="minorEastAsia"/>
              <w:lang w:val="en-GB"/>
            </w:rPr>
            <w:t>1</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 xml:space="preserve">  </w:t>
          </w:r>
          <w:r>
            <w:rPr>
              <w:rFonts w:hint="eastAsia" w:cs="PMingLiU" w:asciiTheme="minorEastAsia" w:hAnsiTheme="minorEastAsia" w:eastAsiaTheme="minorEastAsia"/>
              <w:lang w:val="en-GB"/>
            </w:rPr>
            <w:t>本集</w:t>
          </w:r>
          <w:r>
            <w:rPr>
              <w:rFonts w:hint="eastAsia" w:asciiTheme="minorEastAsia" w:hAnsiTheme="minorEastAsia" w:eastAsiaTheme="minorEastAsia"/>
              <w:lang w:val="en-GB"/>
            </w:rPr>
            <w:t>团与集团财务公司签订金融服务协议，协议约定由集团财务公司向本集团提供存款、信贷等金融服务，本公司及子公司广靖锡澄公司、常宜公司以及宜长公司、镇丹高速、扬子江管理、龙潭大桥参与该协议。于</w:t>
          </w:r>
          <w:r>
            <w:rPr>
              <w:rFonts w:cs="Times New Roman" w:asciiTheme="minorEastAsia" w:hAnsiTheme="minorEastAsia" w:eastAsiaTheme="minorEastAsia"/>
              <w:lang w:val="en-GB"/>
            </w:rPr>
            <w:t>2023</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6</w:t>
          </w:r>
          <w:r>
            <w:rPr>
              <w:rFonts w:hint="eastAsia" w:cs="PMingLiU" w:asciiTheme="minorEastAsia" w:hAnsiTheme="minorEastAsia" w:eastAsiaTheme="minorEastAsia"/>
              <w:lang w:val="en-GB"/>
            </w:rPr>
            <w:t>月</w:t>
          </w:r>
          <w:r>
            <w:rPr>
              <w:rFonts w:cs="Times New Roman" w:asciiTheme="minorEastAsia" w:hAnsiTheme="minorEastAsia" w:eastAsiaTheme="minorEastAsia"/>
              <w:lang w:val="en-GB"/>
            </w:rPr>
            <w:t>30</w:t>
          </w:r>
          <w:r>
            <w:rPr>
              <w:rFonts w:hint="eastAsia" w:cs="PMingLiU" w:asciiTheme="minorEastAsia" w:hAnsiTheme="minorEastAsia" w:eastAsiaTheme="minorEastAsia"/>
              <w:lang w:val="en-GB"/>
            </w:rPr>
            <w:t>日，本集</w:t>
          </w:r>
          <w:r>
            <w:rPr>
              <w:rFonts w:hint="eastAsia" w:asciiTheme="minorEastAsia" w:hAnsiTheme="minorEastAsia" w:eastAsiaTheme="minorEastAsia"/>
              <w:lang w:val="en-GB"/>
            </w:rPr>
            <w:t>团根据金融服务协议存放于集团财务公司的款项为人民币</w:t>
          </w:r>
          <w:r>
            <w:rPr>
              <w:rFonts w:cs="Times New Roman" w:asciiTheme="minorEastAsia" w:hAnsiTheme="minorEastAsia" w:eastAsiaTheme="minorEastAsia"/>
              <w:lang w:val="en-GB"/>
            </w:rPr>
            <w:t>398,947,537.59</w:t>
          </w:r>
          <w:r>
            <w:rPr>
              <w:rFonts w:hint="eastAsia" w:cs="PMingLiU" w:asciiTheme="minorEastAsia" w:hAnsiTheme="minorEastAsia" w:eastAsiaTheme="minorEastAsia"/>
              <w:lang w:val="en-GB"/>
            </w:rPr>
            <w:t>元</w:t>
          </w:r>
          <w:r>
            <w:rPr>
              <w:rFonts w:cs="Times New Roman" w:asciiTheme="minorEastAsia" w:hAnsiTheme="minorEastAsia" w:eastAsiaTheme="minorEastAsia"/>
              <w:lang w:val="en-GB"/>
            </w:rPr>
            <w:t xml:space="preserve"> (2022</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12</w:t>
          </w:r>
          <w:r>
            <w:rPr>
              <w:rFonts w:hint="eastAsia" w:cs="PMingLiU" w:asciiTheme="minorEastAsia" w:hAnsiTheme="minorEastAsia" w:eastAsiaTheme="minorEastAsia"/>
              <w:lang w:val="en-GB"/>
            </w:rPr>
            <w:t>月</w:t>
          </w:r>
          <w:r>
            <w:rPr>
              <w:rFonts w:cs="Times New Roman" w:asciiTheme="minorEastAsia" w:hAnsiTheme="minorEastAsia" w:eastAsiaTheme="minorEastAsia"/>
              <w:lang w:val="en-GB"/>
            </w:rPr>
            <w:t>31</w:t>
          </w:r>
          <w:r>
            <w:rPr>
              <w:rFonts w:hint="eastAsia" w:cs="PMingLiU" w:asciiTheme="minorEastAsia" w:hAnsiTheme="minorEastAsia" w:eastAsiaTheme="minorEastAsia"/>
              <w:lang w:val="en-GB"/>
            </w:rPr>
            <w:t>日：人民</w:t>
          </w:r>
          <w:r>
            <w:rPr>
              <w:rFonts w:hint="eastAsia" w:asciiTheme="minorEastAsia" w:hAnsiTheme="minorEastAsia" w:eastAsiaTheme="minorEastAsia"/>
              <w:lang w:val="en-GB"/>
            </w:rPr>
            <w:t>币</w:t>
          </w:r>
          <w:r>
            <w:rPr>
              <w:rFonts w:cs="Times New Roman" w:asciiTheme="minorEastAsia" w:hAnsiTheme="minorEastAsia" w:eastAsiaTheme="minorEastAsia"/>
              <w:lang w:val="en-GB"/>
            </w:rPr>
            <w:t>597,044,456.03</w:t>
          </w:r>
          <w:r>
            <w:rPr>
              <w:rFonts w:hint="eastAsia" w:cs="PMingLiU" w:asciiTheme="minorEastAsia" w:hAnsiTheme="minorEastAsia" w:eastAsiaTheme="minorEastAsia"/>
              <w:lang w:val="en-GB"/>
            </w:rPr>
            <w:t>元</w:t>
          </w:r>
          <w:r>
            <w:rPr>
              <w:rFonts w:cs="Times New Roman" w:asciiTheme="minorEastAsia" w:hAnsiTheme="minorEastAsia" w:eastAsiaTheme="minorEastAsia"/>
              <w:lang w:val="en-GB"/>
            </w:rPr>
            <w:t>)</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注</w:t>
          </w:r>
          <w:r>
            <w:rPr>
              <w:rFonts w:cs="Times New Roman" w:asciiTheme="minorEastAsia" w:hAnsiTheme="minorEastAsia" w:eastAsiaTheme="minorEastAsia"/>
              <w:lang w:val="en-GB"/>
            </w:rPr>
            <w:t>2</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 xml:space="preserve">  </w:t>
          </w:r>
          <w:r>
            <w:rPr>
              <w:rFonts w:hint="eastAsia" w:cs="PMingLiU" w:asciiTheme="minorEastAsia" w:hAnsiTheme="minorEastAsia" w:eastAsiaTheme="minorEastAsia"/>
              <w:lang w:val="en-GB"/>
            </w:rPr>
            <w:t>截至</w:t>
          </w:r>
          <w:r>
            <w:rPr>
              <w:rFonts w:cs="Times New Roman" w:asciiTheme="minorEastAsia" w:hAnsiTheme="minorEastAsia" w:eastAsiaTheme="minorEastAsia"/>
              <w:lang w:val="en-GB"/>
            </w:rPr>
            <w:t>2023</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6</w:t>
          </w:r>
          <w:r>
            <w:rPr>
              <w:rFonts w:hint="eastAsia" w:cs="PMingLiU" w:asciiTheme="minorEastAsia" w:hAnsiTheme="minorEastAsia" w:eastAsiaTheme="minorEastAsia"/>
              <w:lang w:val="en-GB"/>
            </w:rPr>
            <w:t>月</w:t>
          </w:r>
          <w:r>
            <w:rPr>
              <w:rFonts w:cs="Times New Roman" w:asciiTheme="minorEastAsia" w:hAnsiTheme="minorEastAsia" w:eastAsiaTheme="minorEastAsia"/>
              <w:lang w:val="en-GB"/>
            </w:rPr>
            <w:t>30</w:t>
          </w:r>
          <w:r>
            <w:rPr>
              <w:rFonts w:hint="eastAsia" w:cs="PMingLiU" w:asciiTheme="minorEastAsia" w:hAnsiTheme="minorEastAsia" w:eastAsiaTheme="minorEastAsia"/>
              <w:lang w:val="en-GB"/>
            </w:rPr>
            <w:t>日，除上述</w:t>
          </w:r>
          <w:r>
            <w:rPr>
              <w:rFonts w:hint="eastAsia" w:asciiTheme="minorEastAsia" w:hAnsiTheme="minorEastAsia" w:eastAsiaTheme="minorEastAsia"/>
              <w:lang w:val="en-GB"/>
            </w:rPr>
            <w:t>应收关联方款项外，应收账款中尚包括东部高速公司、京沪公司等江苏省高速路网内其他高速公路公司</w:t>
          </w:r>
          <w:r>
            <w:rPr>
              <w:rFonts w:cs="Times New Roman" w:asciiTheme="minorEastAsia" w:hAnsiTheme="minorEastAsia" w:eastAsiaTheme="minorEastAsia"/>
              <w:lang w:val="en-GB"/>
            </w:rPr>
            <w:t xml:space="preserve"> (“</w:t>
          </w:r>
          <w:r>
            <w:rPr>
              <w:rFonts w:hint="eastAsia" w:cs="PMingLiU" w:asciiTheme="minorEastAsia" w:hAnsiTheme="minorEastAsia" w:eastAsiaTheme="minorEastAsia"/>
              <w:lang w:val="en-GB"/>
            </w:rPr>
            <w:t>路网</w:t>
          </w:r>
          <w:r>
            <w:rPr>
              <w:rFonts w:hint="eastAsia" w:asciiTheme="minorEastAsia" w:hAnsiTheme="minorEastAsia" w:eastAsiaTheme="minorEastAsia"/>
              <w:lang w:val="en-GB"/>
            </w:rPr>
            <w:t>内公司</w:t>
          </w:r>
          <w:r>
            <w:rPr>
              <w:rFonts w:cs="Times New Roman" w:asciiTheme="minorEastAsia" w:hAnsiTheme="minorEastAsia" w:eastAsiaTheme="minorEastAsia"/>
              <w:lang w:val="en-GB"/>
            </w:rPr>
            <w:t>”)</w:t>
          </w:r>
          <w:r>
            <w:rPr>
              <w:rFonts w:hint="eastAsia" w:cs="PMingLiU" w:asciiTheme="minorEastAsia" w:hAnsiTheme="minorEastAsia" w:eastAsiaTheme="minorEastAsia"/>
              <w:lang w:val="en-GB"/>
            </w:rPr>
            <w:t>的通行</w:t>
          </w:r>
          <w:r>
            <w:rPr>
              <w:rFonts w:hint="eastAsia" w:asciiTheme="minorEastAsia" w:hAnsiTheme="minorEastAsia" w:eastAsiaTheme="minorEastAsia"/>
              <w:lang w:val="en-GB"/>
            </w:rPr>
            <w:t>费拆分款人民币</w:t>
          </w:r>
          <w:r>
            <w:rPr>
              <w:rFonts w:cs="Times New Roman" w:asciiTheme="minorEastAsia" w:hAnsiTheme="minorEastAsia" w:eastAsiaTheme="minorEastAsia"/>
              <w:lang w:val="en-GB"/>
            </w:rPr>
            <w:t>120,246,482.51</w:t>
          </w:r>
          <w:r>
            <w:rPr>
              <w:rFonts w:hint="eastAsia" w:cs="PMingLiU" w:asciiTheme="minorEastAsia" w:hAnsiTheme="minorEastAsia" w:eastAsiaTheme="minorEastAsia"/>
              <w:lang w:val="en-GB"/>
            </w:rPr>
            <w:t>元（</w:t>
          </w:r>
          <w:r>
            <w:rPr>
              <w:rFonts w:cs="Times New Roman" w:asciiTheme="minorEastAsia" w:hAnsiTheme="minorEastAsia" w:eastAsiaTheme="minorEastAsia"/>
              <w:lang w:val="en-GB"/>
            </w:rPr>
            <w:t>2022</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12</w:t>
          </w:r>
          <w:r>
            <w:rPr>
              <w:rFonts w:hint="eastAsia" w:cs="PMingLiU" w:asciiTheme="minorEastAsia" w:hAnsiTheme="minorEastAsia" w:eastAsiaTheme="minorEastAsia"/>
              <w:lang w:val="en-GB"/>
            </w:rPr>
            <w:t>月</w:t>
          </w:r>
          <w:r>
            <w:rPr>
              <w:rFonts w:cs="Times New Roman" w:asciiTheme="minorEastAsia" w:hAnsiTheme="minorEastAsia" w:eastAsiaTheme="minorEastAsia"/>
              <w:lang w:val="en-GB"/>
            </w:rPr>
            <w:t>31</w:t>
          </w:r>
          <w:r>
            <w:rPr>
              <w:rFonts w:hint="eastAsia" w:cs="PMingLiU" w:asciiTheme="minorEastAsia" w:hAnsiTheme="minorEastAsia" w:eastAsiaTheme="minorEastAsia"/>
              <w:lang w:val="en-GB"/>
            </w:rPr>
            <w:t>日：人民</w:t>
          </w:r>
          <w:r>
            <w:rPr>
              <w:rFonts w:hint="eastAsia" w:asciiTheme="minorEastAsia" w:hAnsiTheme="minorEastAsia" w:eastAsiaTheme="minorEastAsia"/>
              <w:lang w:val="en-GB"/>
            </w:rPr>
            <w:t>币</w:t>
          </w:r>
          <w:r>
            <w:rPr>
              <w:rFonts w:cs="Times New Roman" w:asciiTheme="minorEastAsia" w:hAnsiTheme="minorEastAsia" w:eastAsiaTheme="minorEastAsia"/>
              <w:lang w:val="en-GB"/>
            </w:rPr>
            <w:t>142,584,009.69 </w:t>
          </w:r>
          <w:r>
            <w:rPr>
              <w:rFonts w:hint="eastAsia" w:cs="PMingLiU" w:asciiTheme="minorEastAsia" w:hAnsiTheme="minorEastAsia" w:eastAsiaTheme="minorEastAsia"/>
              <w:lang w:val="en-GB"/>
            </w:rPr>
            <w:t>元</w:t>
          </w:r>
          <w:r>
            <w:rPr>
              <w:rFonts w:cs="Times New Roman" w:asciiTheme="minorEastAsia" w:hAnsiTheme="minorEastAsia" w:eastAsiaTheme="minorEastAsia"/>
              <w:lang w:val="en-GB"/>
            </w:rPr>
            <w:t>)</w:t>
          </w:r>
          <w:r>
            <w:rPr>
              <w:rFonts w:hint="eastAsia" w:cs="PMingLiU" w:asciiTheme="minorEastAsia" w:hAnsiTheme="minorEastAsia" w:eastAsiaTheme="minorEastAsia"/>
              <w:lang w:val="en-GB"/>
            </w:rPr>
            <w:t>。</w:t>
          </w:r>
          <w:r>
            <w:rPr>
              <w:rFonts w:hint="eastAsia" w:asciiTheme="minorEastAsia" w:hAnsiTheme="minorEastAsia" w:eastAsiaTheme="minorEastAsia"/>
              <w:lang w:val="en-GB"/>
            </w:rPr>
            <w:t>该等路网内公司的最终控股股东均为交通控股，除此之外，本公司与该等路网内公司并无其他控制、共同控制或重大影响的关联关系</w:t>
          </w:r>
          <w:r>
            <w:rPr>
              <w:rFonts w:cs="PMingLiU" w:asciiTheme="minorEastAsia" w:hAnsiTheme="minorEastAsia" w:eastAsiaTheme="minorEastAsia"/>
              <w:lang w:val="en-GB"/>
            </w:rPr>
            <w:t>。</w:t>
          </w:r>
        </w:p>
        <w:p>
          <w:pPr>
            <w:spacing w:before="100" w:beforeAutospacing="1" w:after="240"/>
            <w:rPr>
              <w:rFonts w:cs="Times New Roman" w:asciiTheme="minorEastAsia" w:hAnsiTheme="minorEastAsia" w:eastAsiaTheme="minorEastAsia"/>
              <w:lang w:val="en-GB"/>
            </w:rPr>
          </w:pPr>
          <w:r>
            <w:rPr>
              <w:rFonts w:hint="eastAsia" w:cs="PMingLiU" w:asciiTheme="minorEastAsia" w:hAnsiTheme="minorEastAsia" w:eastAsiaTheme="minorEastAsia"/>
              <w:lang w:val="en-GB"/>
            </w:rPr>
            <w:t>注</w:t>
          </w:r>
          <w:r>
            <w:rPr>
              <w:rFonts w:cs="Times New Roman" w:asciiTheme="minorEastAsia" w:hAnsiTheme="minorEastAsia" w:eastAsiaTheme="minorEastAsia"/>
              <w:lang w:val="en-GB"/>
            </w:rPr>
            <w:t>3</w:t>
          </w:r>
          <w:r>
            <w:rPr>
              <w:rFonts w:hint="eastAsia" w:cs="PMingLiU" w:asciiTheme="minorEastAsia" w:hAnsiTheme="minorEastAsia" w:eastAsiaTheme="minorEastAsia"/>
              <w:lang w:val="en-GB"/>
            </w:rPr>
            <w:t>：</w:t>
          </w:r>
          <w:r>
            <w:rPr>
              <w:rFonts w:cs="Times New Roman" w:asciiTheme="minorEastAsia" w:hAnsiTheme="minorEastAsia" w:eastAsiaTheme="minorEastAsia"/>
              <w:lang w:val="en-GB"/>
            </w:rPr>
            <w:t xml:space="preserve">  </w:t>
          </w:r>
          <w:r>
            <w:rPr>
              <w:rFonts w:hint="eastAsia" w:cs="PMingLiU" w:asciiTheme="minorEastAsia" w:hAnsiTheme="minorEastAsia" w:eastAsiaTheme="minorEastAsia"/>
              <w:lang w:val="en-GB"/>
            </w:rPr>
            <w:t>于</w:t>
          </w:r>
          <w:r>
            <w:rPr>
              <w:rFonts w:cs="Times New Roman" w:asciiTheme="minorEastAsia" w:hAnsiTheme="minorEastAsia" w:eastAsiaTheme="minorEastAsia"/>
              <w:lang w:val="en-GB"/>
            </w:rPr>
            <w:t>2023</w:t>
          </w:r>
          <w:r>
            <w:rPr>
              <w:rFonts w:hint="eastAsia" w:cs="PMingLiU" w:asciiTheme="minorEastAsia" w:hAnsiTheme="minorEastAsia" w:eastAsiaTheme="minorEastAsia"/>
              <w:lang w:val="en-GB"/>
            </w:rPr>
            <w:t>年</w:t>
          </w:r>
          <w:r>
            <w:rPr>
              <w:rFonts w:cs="Times New Roman" w:asciiTheme="minorEastAsia" w:hAnsiTheme="minorEastAsia" w:eastAsiaTheme="minorEastAsia"/>
              <w:lang w:val="en-GB"/>
            </w:rPr>
            <w:t>6</w:t>
          </w:r>
          <w:r>
            <w:rPr>
              <w:rFonts w:hint="eastAsia" w:cs="PMingLiU" w:asciiTheme="minorEastAsia" w:hAnsiTheme="minorEastAsia" w:eastAsiaTheme="minorEastAsia"/>
              <w:lang w:val="en-GB"/>
            </w:rPr>
            <w:t>月</w:t>
          </w:r>
          <w:r>
            <w:rPr>
              <w:rFonts w:cs="Times New Roman" w:asciiTheme="minorEastAsia" w:hAnsiTheme="minorEastAsia" w:eastAsiaTheme="minorEastAsia"/>
              <w:lang w:val="en-GB"/>
            </w:rPr>
            <w:t>30</w:t>
          </w:r>
          <w:r>
            <w:rPr>
              <w:rFonts w:hint="eastAsia" w:cs="PMingLiU" w:asciiTheme="minorEastAsia" w:hAnsiTheme="minorEastAsia" w:eastAsiaTheme="minorEastAsia"/>
              <w:lang w:val="en-GB"/>
            </w:rPr>
            <w:t>日，与高速能</w:t>
          </w:r>
          <w:r>
            <w:rPr>
              <w:rFonts w:hint="eastAsia" w:asciiTheme="minorEastAsia" w:hAnsiTheme="minorEastAsia" w:eastAsiaTheme="minorEastAsia"/>
              <w:lang w:val="en-GB"/>
            </w:rPr>
            <w:t>发公司及泰兴和畅油品公司的账面余额为租赁应收款</w:t>
          </w:r>
          <w:r>
            <w:rPr>
              <w:rFonts w:cs="PMingLiU" w:asciiTheme="minorEastAsia" w:hAnsiTheme="minorEastAsia" w:eastAsiaTheme="minorEastAsia"/>
              <w:lang w:val="en-GB"/>
            </w:rPr>
            <w:t>。</w:t>
          </w:r>
        </w:p>
        <w:p>
          <w:pPr>
            <w:pStyle w:val="114"/>
          </w:pPr>
        </w:p>
      </w:sdtContent>
    </w:sdt>
    <w:sdt>
      <w:sdtPr>
        <w:rPr>
          <w:rFonts w:hint="eastAsia" w:ascii="宋体" w:hAnsi="宋体" w:cs="宋体"/>
          <w:b w:val="0"/>
          <w:bCs w:val="0"/>
          <w:kern w:val="0"/>
          <w:szCs w:val="24"/>
        </w:rPr>
        <w:alias w:val="模块:上市公司应付关联方款项"/>
        <w:tag w:val="_GBC_e7a5511f50dd4f05a897cdfaeac4023f"/>
        <w:id w:val="1185010691"/>
        <w:lock w:val="sdtLocked"/>
        <w:placeholder>
          <w:docPart w:val="GBC22222222222222222222222222222"/>
        </w:placeholder>
      </w:sdtPr>
      <w:sdtEndPr>
        <w:rPr>
          <w:rFonts w:hint="eastAsia" w:ascii="宋体" w:hAnsi="宋体" w:cstheme="minorBidi"/>
          <w:b w:val="0"/>
          <w:bCs w:val="0"/>
          <w:kern w:val="0"/>
          <w:szCs w:val="21"/>
        </w:rPr>
      </w:sdtEndPr>
      <w:sdtContent>
        <w:p>
          <w:pPr>
            <w:pStyle w:val="118"/>
            <w:numPr>
              <w:ilvl w:val="0"/>
              <w:numId w:val="93"/>
            </w:numPr>
            <w:tabs>
              <w:tab w:val="left" w:pos="616"/>
            </w:tabs>
            <w:rPr>
              <w:rFonts w:ascii="宋体" w:hAnsi="宋体"/>
            </w:rPr>
          </w:pPr>
          <w:r>
            <w:rPr>
              <w:rFonts w:hint="eastAsia" w:ascii="宋体" w:hAnsi="宋体"/>
            </w:rPr>
            <w:t>应付项目</w:t>
          </w:r>
        </w:p>
        <w:p>
          <w:pPr>
            <w:pStyle w:val="114"/>
          </w:pPr>
          <w:sdt>
            <w:sdtPr>
              <w:rPr>
                <w:rFonts w:hint="eastAsia"/>
              </w:rPr>
              <w:alias w:val="是否适用：应付项目[双击切换]"/>
              <w:tag w:val="_GBC_9dbefb51b716471b878d2e2863524a53"/>
              <w:id w:val="1868790444"/>
              <w:lock w:val="sdtLocked"/>
              <w:placeholder>
                <w:docPart w:val="GBC22222222222222222222222222222"/>
              </w:placeholder>
            </w:sdtPr>
            <w:sdtEndPr>
              <w:rPr>
                <w:rFonts w:hint="eastAsia"/>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pPr>
            <w:jc w:val="right"/>
          </w:pPr>
          <w:r>
            <w:rPr>
              <w:rFonts w:hint="eastAsia"/>
            </w:rPr>
            <w:t>单位：</w:t>
          </w:r>
          <w:sdt>
            <w:sdtPr>
              <w:rPr>
                <w:rFonts w:hint="eastAsia"/>
              </w:rPr>
              <w:alias w:val="单位：上市公司应付关联方款项"/>
              <w:tag w:val="_GBC_08d04faee6a64768877db8f6ab14663e"/>
              <w:id w:val="16640457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4584122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1262"/>
            <w:gridCol w:w="2170"/>
            <w:gridCol w:w="2469"/>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sdt>
              <w:sdtPr>
                <w:rPr>
                  <w:sz w:val="20"/>
                  <w:szCs w:val="20"/>
                </w:rPr>
                <w:tag w:val="_PLD_cf838d28f8e94c899328f1b9cd175b08"/>
                <w:id w:val="1817454234"/>
                <w:lock w:val="sdtLocked"/>
              </w:sdtPr>
              <w:sdtEndPr>
                <w:rPr>
                  <w:sz w:val="20"/>
                  <w:szCs w:val="20"/>
                </w:rPr>
              </w:sdtEndPr>
              <w:sdtContent>
                <w:tc>
                  <w:tcPr>
                    <w:tcW w:w="710" w:type="pct"/>
                    <w:tcBorders>
                      <w:top w:val="single" w:color="auto" w:sz="4" w:space="0"/>
                      <w:left w:val="single" w:color="auto" w:sz="4" w:space="0"/>
                      <w:right w:val="single" w:color="auto" w:sz="4" w:space="0"/>
                    </w:tcBorders>
                  </w:tcPr>
                  <w:p>
                    <w:pPr>
                      <w:jc w:val="center"/>
                      <w:rPr>
                        <w:sz w:val="20"/>
                        <w:szCs w:val="20"/>
                      </w:rPr>
                    </w:pPr>
                    <w:r>
                      <w:rPr>
                        <w:rFonts w:hint="eastAsia"/>
                        <w:sz w:val="20"/>
                        <w:szCs w:val="20"/>
                      </w:rPr>
                      <w:t>项目名称</w:t>
                    </w:r>
                  </w:p>
                </w:tc>
              </w:sdtContent>
            </w:sdt>
            <w:sdt>
              <w:sdtPr>
                <w:rPr>
                  <w:sz w:val="20"/>
                  <w:szCs w:val="20"/>
                </w:rPr>
                <w:tag w:val="_PLD_25173a15407f4af6adbf91389dcc2257"/>
                <w:id w:val="637546137"/>
                <w:lock w:val="sdtLocked"/>
              </w:sdtPr>
              <w:sdtEndPr>
                <w:rPr>
                  <w:sz w:val="20"/>
                  <w:szCs w:val="20"/>
                </w:rPr>
              </w:sdtEndPr>
              <w:sdtContent>
                <w:tc>
                  <w:tcPr>
                    <w:tcW w:w="1220" w:type="pct"/>
                    <w:tcBorders>
                      <w:top w:val="single" w:color="auto" w:sz="4" w:space="0"/>
                      <w:left w:val="single" w:color="auto" w:sz="4" w:space="0"/>
                      <w:right w:val="single" w:color="auto" w:sz="4" w:space="0"/>
                    </w:tcBorders>
                  </w:tcPr>
                  <w:p>
                    <w:pPr>
                      <w:jc w:val="center"/>
                      <w:rPr>
                        <w:sz w:val="20"/>
                        <w:szCs w:val="20"/>
                      </w:rPr>
                    </w:pPr>
                    <w:r>
                      <w:rPr>
                        <w:rFonts w:hint="eastAsia"/>
                        <w:sz w:val="20"/>
                        <w:szCs w:val="20"/>
                      </w:rPr>
                      <w:t>关联方</w:t>
                    </w:r>
                  </w:p>
                </w:tc>
              </w:sdtContent>
            </w:sdt>
            <w:sdt>
              <w:sdtPr>
                <w:rPr>
                  <w:sz w:val="20"/>
                  <w:szCs w:val="20"/>
                </w:rPr>
                <w:tag w:val="_PLD_a8551739db0f47cab1b1a6ea0e700367"/>
                <w:id w:val="-283494458"/>
                <w:lock w:val="sdtLocked"/>
              </w:sdtPr>
              <w:sdtEndPr>
                <w:rPr>
                  <w:sz w:val="20"/>
                  <w:szCs w:val="20"/>
                </w:rPr>
              </w:sdtEndPr>
              <w:sdtContent>
                <w:tc>
                  <w:tcPr>
                    <w:tcW w:w="1388" w:type="pct"/>
                    <w:tcBorders>
                      <w:top w:val="single" w:color="auto" w:sz="4" w:space="0"/>
                      <w:left w:val="single" w:color="auto" w:sz="4" w:space="0"/>
                      <w:bottom w:val="single" w:color="auto" w:sz="4" w:space="0"/>
                      <w:right w:val="single" w:color="auto" w:sz="4" w:space="0"/>
                    </w:tcBorders>
                  </w:tcPr>
                  <w:p>
                    <w:pPr>
                      <w:jc w:val="center"/>
                      <w:rPr>
                        <w:sz w:val="20"/>
                        <w:szCs w:val="20"/>
                      </w:rPr>
                    </w:pPr>
                    <w:r>
                      <w:rPr>
                        <w:rFonts w:hint="eastAsia"/>
                        <w:sz w:val="20"/>
                        <w:szCs w:val="20"/>
                      </w:rPr>
                      <w:t>期末账面余额</w:t>
                    </w:r>
                  </w:p>
                </w:tc>
              </w:sdtContent>
            </w:sdt>
            <w:sdt>
              <w:sdtPr>
                <w:rPr>
                  <w:sz w:val="20"/>
                  <w:szCs w:val="20"/>
                </w:rPr>
                <w:tag w:val="_PLD_83bc027cb7f1401db7a26beffe77ce00"/>
                <w:id w:val="-394356836"/>
                <w:lock w:val="sdtLocked"/>
              </w:sdtPr>
              <w:sdtEndPr>
                <w:rPr>
                  <w:sz w:val="20"/>
                  <w:szCs w:val="20"/>
                </w:rPr>
              </w:sdtEndPr>
              <w:sdtContent>
                <w:tc>
                  <w:tcPr>
                    <w:tcW w:w="1683" w:type="pct"/>
                    <w:tcBorders>
                      <w:top w:val="single" w:color="auto" w:sz="4" w:space="0"/>
                      <w:left w:val="single" w:color="auto" w:sz="4" w:space="0"/>
                      <w:bottom w:val="single" w:color="auto" w:sz="4" w:space="0"/>
                      <w:right w:val="single" w:color="auto" w:sz="4" w:space="0"/>
                    </w:tcBorders>
                  </w:tcPr>
                  <w:p>
                    <w:pPr>
                      <w:jc w:val="center"/>
                      <w:rPr>
                        <w:sz w:val="20"/>
                        <w:szCs w:val="20"/>
                      </w:rPr>
                    </w:pPr>
                    <w:r>
                      <w:rPr>
                        <w:rFonts w:hint="eastAsia"/>
                        <w:sz w:val="20"/>
                        <w:szCs w:val="20"/>
                      </w:rPr>
                      <w:t>期初账面余额</w:t>
                    </w:r>
                  </w:p>
                </w:tc>
              </w:sdtContent>
            </w:sdt>
          </w:tr>
          <w:sdt>
            <w:sdtPr>
              <w:rPr>
                <w:rFonts w:hint="eastAsia"/>
                <w:sz w:val="20"/>
                <w:szCs w:val="20"/>
              </w:rPr>
              <w:alias w:val="上市公司应付关联方款项明细"/>
              <w:tag w:val="_GBC_bb3d19486f2b460b856a135056bd0897"/>
              <w:id w:val="-1969196257"/>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应付账款 (注)</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现代路桥公司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39,186,256.06</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128,136,021.54</w:t>
                    </w:r>
                  </w:p>
                </w:tc>
              </w:tr>
            </w:sdtContent>
          </w:sdt>
          <w:sdt>
            <w:sdtPr>
              <w:rPr>
                <w:rFonts w:hint="eastAsia"/>
                <w:sz w:val="20"/>
                <w:szCs w:val="20"/>
              </w:rPr>
              <w:alias w:val="上市公司应付关联方款项明细"/>
              <w:tag w:val="_GBC_bb3d19486f2b460b856a135056bd0897"/>
              <w:id w:val="-950863574"/>
              <w:lock w:val="sdtLocked"/>
            </w:sdtPr>
            <w:sdtEndPr>
              <w:rPr>
                <w:rFonts w:hint="eastAsia"/>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扬子大桥公司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45,314.08</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r>
            </w:sdtContent>
          </w:sdt>
          <w:sdt>
            <w:sdtPr>
              <w:rPr>
                <w:rFonts w:hint="eastAsia"/>
                <w:sz w:val="20"/>
                <w:szCs w:val="20"/>
              </w:rPr>
              <w:alias w:val="上市公司应付关联方款项明细"/>
              <w:tag w:val="_GBC_bb3d19486f2b460b856a135056bd0897"/>
              <w:id w:val="483139233"/>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沿江公司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68,460.55</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r>
            </w:sdtContent>
          </w:sdt>
          <w:sdt>
            <w:sdtPr>
              <w:rPr>
                <w:rFonts w:hint="eastAsia"/>
                <w:sz w:val="20"/>
                <w:szCs w:val="20"/>
              </w:rPr>
              <w:alias w:val="上市公司应付关联方款项明细"/>
              <w:tag w:val="_GBC_bb3d19486f2b460b856a135056bd0897"/>
              <w:id w:val="1353761372"/>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高速信息公司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4,562,917.70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8,357,624.10</w:t>
                    </w:r>
                  </w:p>
                </w:tc>
              </w:tr>
            </w:sdtContent>
          </w:sdt>
          <w:sdt>
            <w:sdtPr>
              <w:rPr>
                <w:rFonts w:hint="eastAsia"/>
                <w:sz w:val="20"/>
                <w:szCs w:val="20"/>
              </w:rPr>
              <w:alias w:val="上市公司应付关联方款项明细"/>
              <w:tag w:val="_GBC_bb3d19486f2b460b856a135056bd0897"/>
              <w:id w:val="-1641179078"/>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苏州高速管理</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45,574.60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r>
            </w:sdtContent>
          </w:sdt>
          <w:sdt>
            <w:sdtPr>
              <w:rPr>
                <w:rFonts w:hint="eastAsia"/>
                <w:sz w:val="20"/>
                <w:szCs w:val="20"/>
              </w:rPr>
              <w:alias w:val="上市公司应付关联方款项明细"/>
              <w:tag w:val="_GBC_bb3d19486f2b460b856a135056bd0897"/>
              <w:id w:val="1283839555"/>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联网公司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4,838,780.00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2,348,127.00</w:t>
                    </w:r>
                  </w:p>
                </w:tc>
              </w:tr>
            </w:sdtContent>
          </w:sdt>
          <w:sdt>
            <w:sdtPr>
              <w:rPr>
                <w:rFonts w:hint="eastAsia"/>
                <w:sz w:val="20"/>
                <w:szCs w:val="20"/>
              </w:rPr>
              <w:alias w:val="上市公司应付关联方款项明细"/>
              <w:tag w:val="_GBC_bb3d19486f2b460b856a135056bd0897"/>
              <w:id w:val="883373248"/>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通行宝公司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5,574,984.89</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2,198,085.96</w:t>
                    </w:r>
                  </w:p>
                </w:tc>
              </w:tr>
            </w:sdtContent>
          </w:sdt>
          <w:sdt>
            <w:sdtPr>
              <w:rPr>
                <w:rFonts w:hint="eastAsia"/>
                <w:sz w:val="20"/>
                <w:szCs w:val="20"/>
              </w:rPr>
              <w:alias w:val="上市公司应付关联方款项明细"/>
              <w:tag w:val="_GBC_bb3d19486f2b460b856a135056bd0897"/>
              <w:id w:val="-80064312"/>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快鹿公司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1,032,759.35</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7,860,954.80</w:t>
                    </w:r>
                  </w:p>
                </w:tc>
              </w:tr>
            </w:sdtContent>
          </w:sdt>
          <w:sdt>
            <w:sdtPr>
              <w:rPr>
                <w:rFonts w:hint="eastAsia"/>
                <w:sz w:val="20"/>
                <w:szCs w:val="20"/>
              </w:rPr>
              <w:alias w:val="上市公司应付关联方款项明细"/>
              <w:tag w:val="_GBC_bb3d19486f2b460b856a135056bd0897"/>
              <w:id w:val="1737363772"/>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感动科技公司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1,055,909.37</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1,860,510.26</w:t>
                    </w:r>
                  </w:p>
                </w:tc>
              </w:tr>
            </w:sdtContent>
          </w:sdt>
          <w:sdt>
            <w:sdtPr>
              <w:rPr>
                <w:rFonts w:hint="eastAsia"/>
                <w:sz w:val="20"/>
                <w:szCs w:val="20"/>
              </w:rPr>
              <w:alias w:val="上市公司应付关联方款项明细"/>
              <w:tag w:val="_GBC_bb3d19486f2b460b856a135056bd0897"/>
              <w:id w:val="201595052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养护技术公司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9,029,798.87</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10,745,361.56</w:t>
                    </w:r>
                  </w:p>
                </w:tc>
              </w:tr>
            </w:sdtContent>
          </w:sdt>
          <w:sdt>
            <w:sdtPr>
              <w:rPr>
                <w:rFonts w:hint="eastAsia"/>
                <w:sz w:val="20"/>
                <w:szCs w:val="20"/>
              </w:rPr>
              <w:alias w:val="上市公司应付关联方款项明细"/>
              <w:tag w:val="_GBC_bb3d19486f2b460b856a135056bd0897"/>
              <w:id w:val="1349608411"/>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华通公司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3,369,621.65</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7,270,296.84</w:t>
                    </w:r>
                  </w:p>
                </w:tc>
              </w:tr>
            </w:sdtContent>
          </w:sdt>
          <w:sdt>
            <w:sdtPr>
              <w:rPr>
                <w:rFonts w:hint="eastAsia"/>
                <w:sz w:val="20"/>
                <w:szCs w:val="20"/>
              </w:rPr>
              <w:alias w:val="上市公司应付关联方款项明细"/>
              <w:tag w:val="_GBC_bb3d19486f2b460b856a135056bd0897"/>
              <w:id w:val="330039685"/>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文化传媒</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5,204,842.10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2,021,800.00</w:t>
                    </w:r>
                  </w:p>
                </w:tc>
              </w:tr>
            </w:sdtContent>
          </w:sdt>
          <w:sdt>
            <w:sdtPr>
              <w:rPr>
                <w:rFonts w:hint="eastAsia"/>
                <w:sz w:val="20"/>
                <w:szCs w:val="20"/>
              </w:rPr>
              <w:alias w:val="上市公司应付关联方款项明细"/>
              <w:tag w:val="_GBC_bb3d19486f2b460b856a135056bd0897"/>
              <w:id w:val="-1801832774"/>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工程检测公司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377,377.00</w:t>
                    </w:r>
                  </w:p>
                </w:tc>
              </w:tr>
            </w:sdtContent>
          </w:sdt>
          <w:sdt>
            <w:sdtPr>
              <w:rPr>
                <w:rFonts w:hint="eastAsia"/>
                <w:sz w:val="20"/>
                <w:szCs w:val="20"/>
              </w:rPr>
              <w:alias w:val="上市公司应付关联方款项明细"/>
              <w:tag w:val="_GBC_bb3d19486f2b460b856a135056bd0897"/>
              <w:id w:val="-109872166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交通控股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522,207.94</w:t>
                    </w:r>
                  </w:p>
                </w:tc>
              </w:tr>
            </w:sdtContent>
          </w:sdt>
          <w:sdt>
            <w:sdtPr>
              <w:rPr>
                <w:rFonts w:hint="eastAsia"/>
                <w:sz w:val="20"/>
                <w:szCs w:val="20"/>
              </w:rPr>
              <w:alias w:val="上市公司应付关联方款项明细"/>
              <w:tag w:val="_GBC_bb3d19486f2b460b856a135056bd0897"/>
              <w:id w:val="202368651"/>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交控人力资源公司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240,000.00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621,048.00</w:t>
                    </w:r>
                  </w:p>
                </w:tc>
              </w:tr>
            </w:sdtContent>
          </w:sdt>
          <w:sdt>
            <w:sdtPr>
              <w:rPr>
                <w:rFonts w:hint="eastAsia"/>
                <w:sz w:val="20"/>
                <w:szCs w:val="20"/>
              </w:rPr>
              <w:alias w:val="上市公司应付关联方款项明细"/>
              <w:tag w:val="_GBC_bb3d19486f2b460b856a135056bd0897"/>
              <w:id w:val="-109077145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润扬大桥公司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9,396.58</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0"/>
                      <w:jc w:val="right"/>
                      <w:rPr>
                        <w:sz w:val="20"/>
                        <w:szCs w:val="20"/>
                      </w:rPr>
                    </w:pPr>
                    <w:r>
                      <w:rPr>
                        <w:sz w:val="20"/>
                        <w:szCs w:val="20"/>
                      </w:rPr>
                      <w:t>          -</w:t>
                    </w:r>
                  </w:p>
                </w:tc>
              </w:tr>
            </w:sdtContent>
          </w:sdt>
          <w:sdt>
            <w:sdtPr>
              <w:rPr>
                <w:rFonts w:hint="eastAsia"/>
                <w:sz w:val="20"/>
                <w:szCs w:val="20"/>
              </w:rPr>
              <w:alias w:val="上市公司应付关联方款项明细"/>
              <w:tag w:val="_GBC_bb3d19486f2b460b856a135056bd0897"/>
              <w:id w:val="323325909"/>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工程养护公司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904,292.00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904,292.00</w:t>
                    </w:r>
                  </w:p>
                </w:tc>
              </w:tr>
            </w:sdtContent>
          </w:sdt>
          <w:sdt>
            <w:sdtPr>
              <w:rPr>
                <w:rFonts w:hint="eastAsia"/>
                <w:sz w:val="20"/>
                <w:szCs w:val="20"/>
              </w:rPr>
              <w:alias w:val="上市公司应付关联方款项明细"/>
              <w:tag w:val="_GBC_bb3d19486f2b460b856a135056bd0897"/>
              <w:id w:val="1110242562"/>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南京银行</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1,000,000.00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1,490,000.00</w:t>
                    </w:r>
                  </w:p>
                </w:tc>
              </w:tr>
            </w:sdtContent>
          </w:sdt>
          <w:sdt>
            <w:sdtPr>
              <w:rPr>
                <w:rFonts w:hint="eastAsia"/>
                <w:sz w:val="20"/>
                <w:szCs w:val="20"/>
              </w:rPr>
              <w:alias w:val="上市公司应付关联方款项明细"/>
              <w:tag w:val="_GBC_bb3d19486f2b460b856a135056bd0897"/>
              <w:id w:val="-1447843183"/>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交控商业运营管理公司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281,873.04</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279,364.28</w:t>
                    </w:r>
                  </w:p>
                </w:tc>
              </w:tr>
            </w:sdtContent>
          </w:sdt>
          <w:sdt>
            <w:sdtPr>
              <w:rPr>
                <w:rFonts w:hint="eastAsia"/>
                <w:sz w:val="20"/>
                <w:szCs w:val="20"/>
              </w:rPr>
              <w:alias w:val="上市公司应付关联方款项明细"/>
              <w:tag w:val="_GBC_bb3d19486f2b460b856a135056bd0897"/>
              <w:id w:val="-502046087"/>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洛德基金公司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7,666,802.99</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7,666,802.99</w:t>
                    </w:r>
                  </w:p>
                </w:tc>
              </w:tr>
            </w:sdtContent>
          </w:sdt>
          <w:sdt>
            <w:sdtPr>
              <w:rPr>
                <w:rFonts w:hint="eastAsia"/>
                <w:sz w:val="20"/>
                <w:szCs w:val="20"/>
              </w:rPr>
              <w:alias w:val="上市公司应付关联方款项明细"/>
              <w:tag w:val="_GBC_bb3d19486f2b460b856a135056bd0897"/>
              <w:id w:val="112879677"/>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小计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84,117,583.83</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182,659,874.27</w:t>
                    </w:r>
                  </w:p>
                </w:tc>
              </w:tr>
            </w:sdtContent>
          </w:sdt>
          <w:sdt>
            <w:sdtPr>
              <w:rPr>
                <w:rFonts w:hint="eastAsia"/>
                <w:sz w:val="20"/>
                <w:szCs w:val="20"/>
              </w:rPr>
              <w:alias w:val="上市公司应付关联方款项明细"/>
              <w:tag w:val="_GBC_bb3d19486f2b460b856a135056bd0897"/>
              <w:id w:val="1115015989"/>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预收款项</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快鹿公司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458,689.67</w:t>
                    </w:r>
                  </w:p>
                </w:tc>
              </w:tr>
            </w:sdtContent>
          </w:sdt>
          <w:sdt>
            <w:sdtPr>
              <w:rPr>
                <w:rFonts w:hint="eastAsia"/>
                <w:sz w:val="20"/>
                <w:szCs w:val="20"/>
              </w:rPr>
              <w:alias w:val="上市公司应付关联方款项明细"/>
              <w:tag w:val="_GBC_bb3d19486f2b460b856a135056bd0897"/>
              <w:id w:val="686565121"/>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现代路桥公司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80,000.00</w:t>
                    </w:r>
                  </w:p>
                </w:tc>
              </w:tr>
            </w:sdtContent>
          </w:sdt>
          <w:sdt>
            <w:sdtPr>
              <w:rPr>
                <w:rFonts w:hint="eastAsia"/>
                <w:sz w:val="20"/>
                <w:szCs w:val="20"/>
              </w:rPr>
              <w:alias w:val="上市公司应付关联方款项明细"/>
              <w:tag w:val="_GBC_bb3d19486f2b460b856a135056bd0897"/>
              <w:id w:val="-1676640588"/>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沿江公司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1,738,949.66</w:t>
                    </w:r>
                  </w:p>
                </w:tc>
              </w:tr>
            </w:sdtContent>
          </w:sdt>
          <w:sdt>
            <w:sdtPr>
              <w:rPr>
                <w:rFonts w:hint="eastAsia"/>
                <w:sz w:val="20"/>
                <w:szCs w:val="20"/>
              </w:rPr>
              <w:alias w:val="上市公司应付关联方款项明细"/>
              <w:tag w:val="_GBC_bb3d19486f2b460b856a135056bd0897"/>
              <w:id w:val="201756999"/>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扬子大桥公司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601,551.00</w:t>
                    </w:r>
                  </w:p>
                </w:tc>
              </w:tr>
            </w:sdtContent>
          </w:sdt>
          <w:sdt>
            <w:sdtPr>
              <w:rPr>
                <w:rFonts w:hint="eastAsia"/>
                <w:sz w:val="20"/>
                <w:szCs w:val="20"/>
              </w:rPr>
              <w:alias w:val="上市公司应付关联方款项明细"/>
              <w:tag w:val="_GBC_bb3d19486f2b460b856a135056bd0897"/>
              <w:id w:val="-1349629360"/>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小计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2,879,190.33</w:t>
                    </w:r>
                  </w:p>
                </w:tc>
              </w:tr>
            </w:sdtContent>
          </w:sdt>
          <w:sdt>
            <w:sdtPr>
              <w:rPr>
                <w:rFonts w:hint="eastAsia"/>
                <w:sz w:val="20"/>
                <w:szCs w:val="20"/>
              </w:rPr>
              <w:alias w:val="上市公司应付关联方款项明细"/>
              <w:tag w:val="_GBC_bb3d19486f2b460b856a135056bd0897"/>
              <w:id w:val="836418018"/>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其他应付款</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交通控股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8,511,094.34</w:t>
                    </w:r>
                  </w:p>
                </w:tc>
              </w:tr>
            </w:sdtContent>
          </w:sdt>
          <w:sdt>
            <w:sdtPr>
              <w:rPr>
                <w:rFonts w:hint="eastAsia"/>
                <w:sz w:val="20"/>
                <w:szCs w:val="20"/>
              </w:rPr>
              <w:alias w:val="上市公司应付关联方款项明细"/>
              <w:tag w:val="_GBC_bb3d19486f2b460b856a135056bd0897"/>
              <w:id w:val="-210486676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通行宝公司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74,150.00</w:t>
                    </w:r>
                  </w:p>
                </w:tc>
              </w:tr>
            </w:sdtContent>
          </w:sdt>
          <w:sdt>
            <w:sdtPr>
              <w:rPr>
                <w:rFonts w:hint="eastAsia"/>
                <w:sz w:val="20"/>
                <w:szCs w:val="20"/>
              </w:rPr>
              <w:alias w:val="上市公司应付关联方款项明细"/>
              <w:tag w:val="_GBC_bb3d19486f2b460b856a135056bd0897"/>
              <w:id w:val="158972863"/>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联网公司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1,380.00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1,620.00</w:t>
                    </w:r>
                  </w:p>
                </w:tc>
              </w:tr>
            </w:sdtContent>
          </w:sdt>
          <w:sdt>
            <w:sdtPr>
              <w:rPr>
                <w:rFonts w:hint="eastAsia"/>
                <w:sz w:val="20"/>
                <w:szCs w:val="20"/>
              </w:rPr>
              <w:alias w:val="上市公司应付关联方款项明细"/>
              <w:tag w:val="_GBC_bb3d19486f2b460b856a135056bd0897"/>
              <w:id w:val="-96718447"/>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现代路桥公司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11,926,873.42</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19,964,294.25</w:t>
                    </w:r>
                  </w:p>
                </w:tc>
              </w:tr>
            </w:sdtContent>
          </w:sdt>
          <w:sdt>
            <w:sdtPr>
              <w:rPr>
                <w:rFonts w:hint="eastAsia"/>
                <w:sz w:val="20"/>
                <w:szCs w:val="20"/>
              </w:rPr>
              <w:alias w:val="上市公司应付关联方款项明细"/>
              <w:tag w:val="_GBC_bb3d19486f2b460b856a135056bd0897"/>
              <w:id w:val="-923419077"/>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洛德基金公司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10,000,000.00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10,000,000.00</w:t>
                    </w:r>
                  </w:p>
                </w:tc>
              </w:tr>
            </w:sdtContent>
          </w:sdt>
          <w:sdt>
            <w:sdtPr>
              <w:rPr>
                <w:rFonts w:hint="eastAsia"/>
                <w:sz w:val="20"/>
                <w:szCs w:val="20"/>
              </w:rPr>
              <w:alias w:val="上市公司应付关联方款项明细"/>
              <w:tag w:val="_GBC_bb3d19486f2b460b856a135056bd0897"/>
              <w:id w:val="1342511147"/>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东方路桥公司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376,181.40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376,181.40</w:t>
                    </w:r>
                  </w:p>
                </w:tc>
              </w:tr>
            </w:sdtContent>
          </w:sdt>
          <w:sdt>
            <w:sdtPr>
              <w:rPr>
                <w:rFonts w:hint="eastAsia"/>
                <w:sz w:val="20"/>
                <w:szCs w:val="20"/>
              </w:rPr>
              <w:alias w:val="上市公司应付关联方款项明细"/>
              <w:tag w:val="_GBC_bb3d19486f2b460b856a135056bd0897"/>
              <w:id w:val="1987666004"/>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高速信息公司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27,497.48</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283,428.96</w:t>
                    </w:r>
                  </w:p>
                </w:tc>
              </w:tr>
            </w:sdtContent>
          </w:sdt>
          <w:sdt>
            <w:sdtPr>
              <w:rPr>
                <w:rFonts w:hint="eastAsia"/>
                <w:sz w:val="20"/>
                <w:szCs w:val="20"/>
              </w:rPr>
              <w:alias w:val="上市公司应付关联方款项明细"/>
              <w:tag w:val="_GBC_bb3d19486f2b460b856a135056bd0897"/>
              <w:id w:val="-673564881"/>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东部高速公司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367,803.57</w:t>
                    </w:r>
                  </w:p>
                </w:tc>
              </w:tr>
            </w:sdtContent>
          </w:sdt>
          <w:sdt>
            <w:sdtPr>
              <w:rPr>
                <w:rFonts w:hint="eastAsia"/>
                <w:sz w:val="20"/>
                <w:szCs w:val="20"/>
              </w:rPr>
              <w:alias w:val="上市公司应付关联方款项明细"/>
              <w:tag w:val="_GBC_bb3d19486f2b460b856a135056bd0897"/>
              <w:id w:val="1498773824"/>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高管中心</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  -</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2.52</w:t>
                    </w:r>
                  </w:p>
                </w:tc>
              </w:tr>
            </w:sdtContent>
          </w:sdt>
          <w:sdt>
            <w:sdtPr>
              <w:rPr>
                <w:rFonts w:hint="eastAsia"/>
                <w:sz w:val="20"/>
                <w:szCs w:val="20"/>
              </w:rPr>
              <w:alias w:val="上市公司应付关联方款项明细"/>
              <w:tag w:val="_GBC_bb3d19486f2b460b856a135056bd0897"/>
              <w:id w:val="-27494763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交控人力资源公司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200,000.00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200,000.00</w:t>
                    </w:r>
                  </w:p>
                </w:tc>
              </w:tr>
            </w:sdtContent>
          </w:sdt>
          <w:sdt>
            <w:sdtPr>
              <w:rPr>
                <w:rFonts w:hint="eastAsia"/>
                <w:sz w:val="20"/>
                <w:szCs w:val="20"/>
              </w:rPr>
              <w:alias w:val="上市公司应付关联方款项明细"/>
              <w:tag w:val="_GBC_bb3d19486f2b460b856a135056bd0897"/>
              <w:id w:val="1691035869"/>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感动科技公司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104,295.16</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102,364.66</w:t>
                    </w:r>
                  </w:p>
                </w:tc>
              </w:tr>
            </w:sdtContent>
          </w:sdt>
          <w:sdt>
            <w:sdtPr>
              <w:rPr>
                <w:rFonts w:hint="eastAsia"/>
                <w:sz w:val="20"/>
                <w:szCs w:val="20"/>
              </w:rPr>
              <w:alias w:val="上市公司应付关联方款项明细"/>
              <w:tag w:val="_GBC_bb3d19486f2b460b856a135056bd0897"/>
              <w:id w:val="-431277036"/>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文化传媒</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35,585.85</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35,585.85</w:t>
                    </w:r>
                  </w:p>
                </w:tc>
              </w:tr>
            </w:sdtContent>
          </w:sdt>
          <w:sdt>
            <w:sdtPr>
              <w:rPr>
                <w:rFonts w:hint="eastAsia"/>
                <w:sz w:val="20"/>
                <w:szCs w:val="20"/>
              </w:rPr>
              <w:alias w:val="上市公司应付关联方款项明细"/>
              <w:tag w:val="_GBC_bb3d19486f2b460b856a135056bd0897"/>
              <w:id w:val="640241310"/>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小计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22,671,813.31</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39,916,525.55</w:t>
                    </w:r>
                  </w:p>
                </w:tc>
              </w:tr>
            </w:sdtContent>
          </w:sdt>
          <w:sdt>
            <w:sdtPr>
              <w:rPr>
                <w:rFonts w:hint="eastAsia"/>
                <w:sz w:val="20"/>
                <w:szCs w:val="20"/>
              </w:rPr>
              <w:alias w:val="上市公司应付关联方款项明细"/>
              <w:tag w:val="_GBC_bb3d19486f2b460b856a135056bd0897"/>
              <w:id w:val="1211309960"/>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短期借款</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集团财务公司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560,440,277.80</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1,100,932,707.78</w:t>
                    </w:r>
                  </w:p>
                </w:tc>
              </w:tr>
            </w:sdtContent>
          </w:sdt>
          <w:sdt>
            <w:sdtPr>
              <w:rPr>
                <w:rFonts w:hint="eastAsia"/>
                <w:sz w:val="20"/>
                <w:szCs w:val="20"/>
              </w:rPr>
              <w:alias w:val="上市公司应付关联方款项明细"/>
              <w:tag w:val="_GBC_bb3d19486f2b460b856a135056bd0897"/>
              <w:id w:val="-304080724"/>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长期借款 (含一年内到期的长期借款)</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集团财务公司</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315,803,333.32</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327,349,708.33</w:t>
                    </w:r>
                  </w:p>
                </w:tc>
              </w:tr>
            </w:sdtContent>
          </w:sdt>
          <w:sdt>
            <w:sdtPr>
              <w:rPr>
                <w:rFonts w:hint="eastAsia"/>
                <w:sz w:val="20"/>
                <w:szCs w:val="20"/>
              </w:rPr>
              <w:alias w:val="上市公司应付关联方款项明细"/>
              <w:tag w:val="_GBC_bb3d19486f2b460b856a135056bd0897"/>
              <w:id w:val="-1128390853"/>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交通控股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3,053,796,097.87</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3,287,709,999.15</w:t>
                    </w:r>
                  </w:p>
                </w:tc>
              </w:tr>
            </w:sdtContent>
          </w:sdt>
          <w:sdt>
            <w:sdtPr>
              <w:rPr>
                <w:rFonts w:hint="eastAsia"/>
                <w:sz w:val="20"/>
                <w:szCs w:val="20"/>
              </w:rPr>
              <w:alias w:val="上市公司应付关联方款项明细"/>
              <w:tag w:val="_GBC_bb3d19486f2b460b856a135056bd0897"/>
              <w:id w:val="1816521188"/>
              <w:lock w:val="sdtLocked"/>
            </w:sdtPr>
            <w:sdtEndPr>
              <w:rPr>
                <w:rFonts w:hint="default"/>
                <w:sz w:val="20"/>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71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 </w:t>
                    </w:r>
                  </w:p>
                </w:tc>
                <w:tc>
                  <w:tcPr>
                    <w:tcW w:w="1220"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sz w:val="20"/>
                        <w:szCs w:val="20"/>
                      </w:rPr>
                    </w:pPr>
                    <w:r>
                      <w:rPr>
                        <w:sz w:val="20"/>
                        <w:szCs w:val="20"/>
                      </w:rPr>
                      <w:t>小计</w:t>
                    </w:r>
                  </w:p>
                </w:tc>
                <w:tc>
                  <w:tcPr>
                    <w:tcW w:w="138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3,369,599,431.19</w:t>
                    </w:r>
                  </w:p>
                </w:tc>
                <w:tc>
                  <w:tcPr>
                    <w:tcW w:w="1683"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right"/>
                      <w:rPr>
                        <w:sz w:val="20"/>
                        <w:szCs w:val="20"/>
                      </w:rPr>
                    </w:pPr>
                    <w:r>
                      <w:rPr>
                        <w:sz w:val="20"/>
                        <w:szCs w:val="20"/>
                      </w:rPr>
                      <w:t>3,615,059,707.48</w:t>
                    </w:r>
                  </w:p>
                </w:tc>
              </w:tr>
            </w:sdtContent>
          </w:sdt>
        </w:tbl>
        <w:p>
          <w:pPr>
            <w:overflowPunct w:val="0"/>
            <w:adjustRightInd w:val="0"/>
            <w:snapToGrid w:val="0"/>
            <w:ind w:left="851" w:hanging="851"/>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注：</w:t>
          </w:r>
          <w:r>
            <w:rPr>
              <w:rFonts w:cs="Arial" w:asciiTheme="minorEastAsia" w:hAnsiTheme="minorEastAsia" w:eastAsiaTheme="minorEastAsia"/>
              <w:color w:val="000000" w:themeColor="text1"/>
              <w14:textFill>
                <w14:solidFill>
                  <w14:schemeClr w14:val="tx1"/>
                </w14:solidFill>
              </w14:textFill>
            </w:rPr>
            <w:tab/>
          </w:r>
          <w:r>
            <w:rPr>
              <w:rFonts w:hint="eastAsia" w:cs="Arial" w:asciiTheme="minorEastAsia" w:hAnsiTheme="minorEastAsia" w:eastAsiaTheme="minorEastAsia"/>
              <w:color w:val="000000" w:themeColor="text1"/>
              <w14:textFill>
                <w14:solidFill>
                  <w14:schemeClr w14:val="tx1"/>
                </w14:solidFill>
              </w14:textFill>
            </w:rPr>
            <w:t>截至</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日，除上述应付关联方款项外，应付账款中尚包括应付其他路网内公司的通行费拆分款人民币</w:t>
          </w:r>
          <w:r>
            <w:rPr>
              <w:rFonts w:cs="Arial" w:asciiTheme="minorEastAsia" w:hAnsiTheme="minorEastAsia" w:eastAsiaTheme="minorEastAsia"/>
              <w:color w:val="000000" w:themeColor="text1"/>
              <w14:textFill>
                <w14:solidFill>
                  <w14:schemeClr w14:val="tx1"/>
                </w14:solidFill>
              </w14:textFill>
            </w:rPr>
            <w:t>1,916,799.55</w:t>
          </w:r>
          <w:r>
            <w:rPr>
              <w:rFonts w:hint="eastAsia" w:cs="Arial" w:asciiTheme="minorEastAsia" w:hAnsiTheme="minorEastAsia" w:eastAsiaTheme="minorEastAsia"/>
              <w:color w:val="000000" w:themeColor="text1"/>
              <w14:textFill>
                <w14:solidFill>
                  <w14:schemeClr w14:val="tx1"/>
                </w14:solidFill>
              </w14:textFill>
            </w:rPr>
            <w:t>元（</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31</w:t>
          </w:r>
          <w:r>
            <w:rPr>
              <w:rFonts w:hint="eastAsia" w:cs="Arial" w:asciiTheme="minorEastAsia" w:hAnsiTheme="minorEastAsia" w:eastAsiaTheme="minorEastAsia"/>
              <w:color w:val="000000" w:themeColor="text1"/>
              <w14:textFill>
                <w14:solidFill>
                  <w14:schemeClr w14:val="tx1"/>
                </w14:solidFill>
              </w14:textFill>
            </w:rPr>
            <w:t>日：人民币</w:t>
          </w:r>
          <w:r>
            <w:rPr>
              <w:rFonts w:cs="Arial" w:asciiTheme="minorEastAsia" w:hAnsiTheme="minorEastAsia" w:eastAsiaTheme="minorEastAsia"/>
              <w:color w:val="000000" w:themeColor="text1"/>
              <w14:textFill>
                <w14:solidFill>
                  <w14:schemeClr w14:val="tx1"/>
                </w14:solidFill>
              </w14:textFill>
            </w:rPr>
            <w:t>3,956,028.26</w:t>
          </w:r>
          <w:r>
            <w:rPr>
              <w:rFonts w:hint="eastAsia" w:cs="Arial" w:asciiTheme="minorEastAsia" w:hAnsiTheme="minorEastAsia" w:eastAsiaTheme="minorEastAsia"/>
              <w:color w:val="000000" w:themeColor="text1"/>
              <w14:textFill>
                <w14:solidFill>
                  <w14:schemeClr w14:val="tx1"/>
                </w14:solidFill>
              </w14:textFill>
            </w:rPr>
            <w:t>元</w:t>
          </w:r>
          <w:r>
            <w:rPr>
              <w:rFonts w:cs="Arial" w:asciiTheme="minorEastAsia" w:hAnsiTheme="minorEastAsia" w:eastAsiaTheme="minorEastAsia"/>
              <w:color w:val="000000" w:themeColor="text1"/>
              <w14:textFill>
                <w14:solidFill>
                  <w14:schemeClr w14:val="tx1"/>
                </w14:solidFill>
              </w14:textFill>
            </w:rPr>
            <w:t xml:space="preserve">) </w:t>
          </w:r>
          <w:r>
            <w:rPr>
              <w:rFonts w:hint="eastAsia" w:cs="Arial" w:asciiTheme="minorEastAsia" w:hAnsiTheme="minorEastAsia" w:eastAsiaTheme="minorEastAsia"/>
              <w:color w:val="000000" w:themeColor="text1"/>
              <w14:textFill>
                <w14:solidFill>
                  <w14:schemeClr w14:val="tx1"/>
                </w14:solidFill>
              </w14:textFill>
            </w:rPr>
            <w:t>。该等路网内公司的最终控股股东均为交通控股，除此之外，本公司与该等路网内公司并无其他控制、共同控制或重大影响的关联关系。</w:t>
          </w:r>
        </w:p>
        <w:p>
          <w:pPr>
            <w:rPr>
              <w:rFonts w:ascii="Arial" w:hAnsi="Arial" w:eastAsia="LF_Kai" w:cs="Arial"/>
              <w:color w:val="000000" w:themeColor="text1"/>
              <w14:textFill>
                <w14:solidFill>
                  <w14:schemeClr w14:val="tx1"/>
                </w14:solidFill>
              </w14:textFill>
            </w:rPr>
          </w:pPr>
          <w:r>
            <w:rPr>
              <w:rFonts w:ascii="Arial" w:hAnsi="Arial" w:eastAsia="微软雅黑" w:cs="Arial"/>
              <w:color w:val="000000" w:themeColor="text1"/>
              <w:kern w:val="2"/>
              <w14:textFill>
                <w14:solidFill>
                  <w14:schemeClr w14:val="tx1"/>
                </w14:solidFill>
              </w14:textFill>
            </w:rPr>
            <w:br w:type="page"/>
          </w:r>
        </w:p>
        <w:p>
          <w:pPr>
            <w:pStyle w:val="114"/>
          </w:pPr>
        </w:p>
      </w:sdtContent>
    </w:sdt>
    <w:sdt>
      <w:sdtPr>
        <w:rPr>
          <w:rFonts w:hint="eastAsia" w:ascii="宋体" w:hAnsi="宋体" w:cs="宋体"/>
          <w:b w:val="0"/>
          <w:bCs w:val="0"/>
          <w:kern w:val="0"/>
          <w:szCs w:val="24"/>
        </w:rPr>
        <w:alias w:val="模块:关联方承诺"/>
        <w:tag w:val="_GBC_945a5f0033de4c9786bb7245eedc88e3"/>
        <w:id w:val="410284930"/>
        <w:lock w:val="sdtLocked"/>
        <w:placeholder>
          <w:docPart w:val="GBC22222222222222222222222222222"/>
        </w:placeholder>
      </w:sdtPr>
      <w:sdtEndPr>
        <w:rPr>
          <w:rFonts w:hint="eastAsia" w:ascii="宋体" w:hAnsi="宋体" w:cs="Cambria"/>
          <w:b w:val="0"/>
          <w:bCs w:val="0"/>
          <w:kern w:val="0"/>
          <w:sz w:val="20"/>
          <w:szCs w:val="20"/>
        </w:rPr>
      </w:sdtEndPr>
      <w:sdtContent>
        <w:p>
          <w:pPr>
            <w:pStyle w:val="117"/>
            <w:numPr>
              <w:ilvl w:val="0"/>
              <w:numId w:val="91"/>
            </w:numPr>
            <w:rPr>
              <w:rFonts w:ascii="宋体" w:hAnsi="宋体" w:cs="Arial"/>
              <w:szCs w:val="21"/>
            </w:rPr>
          </w:pPr>
          <w:r>
            <w:rPr>
              <w:rFonts w:hint="eastAsia" w:ascii="宋体" w:hAnsi="宋体"/>
            </w:rPr>
            <w:t>关联方</w:t>
          </w:r>
          <w:r>
            <w:rPr>
              <w:rFonts w:hint="eastAsia" w:ascii="宋体" w:hAnsi="宋体" w:cs="Arial"/>
              <w:szCs w:val="21"/>
            </w:rPr>
            <w:t>承诺</w:t>
          </w:r>
        </w:p>
        <w:sdt>
          <w:sdtPr>
            <w:alias w:val="是否适用：关联方承诺[双击切换]"/>
            <w:tag w:val="_GBC_b906cacab2e94825966fa70e345656b5"/>
            <w:id w:val="-82813273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tabs>
              <w:tab w:val="left" w:pos="1134"/>
            </w:tabs>
            <w:rPr>
              <w:rFonts w:cs="Cambria"/>
              <w:sz w:val="20"/>
              <w:szCs w:val="20"/>
            </w:rPr>
          </w:pPr>
        </w:p>
      </w:sdtContent>
    </w:sdt>
    <w:sdt>
      <w:sdtPr>
        <w:rPr>
          <w:rFonts w:hint="eastAsia" w:ascii="宋体" w:hAnsi="宋体" w:cs="Arial"/>
          <w:b w:val="0"/>
          <w:bCs w:val="0"/>
          <w:kern w:val="0"/>
          <w:szCs w:val="21"/>
        </w:rPr>
        <w:alias w:val="模块:关联方及关联情况的其他说明"/>
        <w:tag w:val="_GBC_f467d909644e4ab6b08e0abfbea78eb8"/>
        <w:id w:val="-713878582"/>
        <w:lock w:val="sdtLocked"/>
        <w:placeholder>
          <w:docPart w:val="GBC22222222222222222222222222222"/>
        </w:placeholder>
      </w:sdtPr>
      <w:sdtEndPr>
        <w:rPr>
          <w:rFonts w:hint="eastAsia" w:ascii="宋体" w:hAnsi="宋体" w:cs="Cambria"/>
          <w:b w:val="0"/>
          <w:bCs w:val="0"/>
          <w:kern w:val="0"/>
          <w:sz w:val="20"/>
          <w:szCs w:val="20"/>
        </w:rPr>
      </w:sdtEndPr>
      <w:sdtContent>
        <w:p>
          <w:pPr>
            <w:pStyle w:val="117"/>
            <w:numPr>
              <w:ilvl w:val="0"/>
              <w:numId w:val="91"/>
            </w:numPr>
            <w:rPr>
              <w:rFonts w:ascii="宋体" w:hAnsi="宋体" w:cs="Arial"/>
              <w:szCs w:val="21"/>
            </w:rPr>
          </w:pPr>
          <w:r>
            <w:rPr>
              <w:rFonts w:hint="eastAsia" w:ascii="宋体" w:hAnsi="宋体" w:cs="Arial"/>
              <w:szCs w:val="21"/>
            </w:rPr>
            <w:t>其他</w:t>
          </w:r>
        </w:p>
        <w:sdt>
          <w:sdtPr>
            <w:alias w:val="是否适用：关联方及关联情况的其他说明[双击切换]"/>
            <w:tag w:val="_GBC_87161343db8b4a0b9e041c62c0df5e87"/>
            <w:id w:val="-189017726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Cambria"/>
              <w:b/>
              <w:sz w:val="20"/>
              <w:szCs w:val="20"/>
            </w:rPr>
            <w:alias w:val="关联方及关联情况的其他说明"/>
            <w:tag w:val="_GBC_6845e44cf1734e368534cfc0fc2ba9a1"/>
            <w:id w:val="1519662945"/>
            <w:lock w:val="sdtLocked"/>
            <w:placeholder>
              <w:docPart w:val="GBC22222222222222222222222222222"/>
            </w:placeholder>
          </w:sdtPr>
          <w:sdtEndPr>
            <w:rPr>
              <w:rFonts w:cs="Cambria"/>
              <w:b/>
              <w:sz w:val="20"/>
              <w:szCs w:val="20"/>
            </w:rPr>
          </w:sdtEndPr>
          <w:sdtContent>
            <w:p>
              <w:pPr>
                <w:tabs>
                  <w:tab w:val="left" w:pos="1134"/>
                </w:tabs>
                <w:rPr>
                  <w:rFonts w:cs="Cambria"/>
                  <w:b/>
                  <w:sz w:val="20"/>
                  <w:szCs w:val="20"/>
                </w:rPr>
              </w:pPr>
              <w:r>
                <w:rPr>
                  <w:rFonts w:hint="eastAsia" w:cs="Cambria"/>
                </w:rPr>
                <w:t>*号表示根据香港联合联交所上市规则第14A章所界定之持续关连交易</w:t>
              </w:r>
            </w:p>
          </w:sdtContent>
        </w:sdt>
      </w:sdtContent>
    </w:sdt>
    <w:p>
      <w:pPr>
        <w:pStyle w:val="3"/>
        <w:numPr>
          <w:ilvl w:val="0"/>
          <w:numId w:val="38"/>
        </w:numPr>
        <w:ind w:left="422" w:hanging="422"/>
        <w:rPr>
          <w:rFonts w:ascii="宋体" w:hAnsi="宋体"/>
        </w:rPr>
      </w:pPr>
      <w:r>
        <w:rPr>
          <w:rFonts w:hint="eastAsia" w:ascii="宋体" w:hAnsi="宋体"/>
        </w:rPr>
        <w:t>股份支付</w:t>
      </w:r>
    </w:p>
    <w:sdt>
      <w:sdtPr>
        <w:rPr>
          <w:rFonts w:hint="eastAsia" w:ascii="宋体" w:hAnsi="宋体" w:cs="宋体"/>
          <w:b w:val="0"/>
          <w:bCs w:val="0"/>
          <w:kern w:val="0"/>
          <w:szCs w:val="24"/>
        </w:rPr>
        <w:alias w:val="选项模块:股份支付总体情况（单表）"/>
        <w:tag w:val="_SEC_8f29a670afb24d6483751d12de8416ae"/>
        <w:id w:val="1711381554"/>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94"/>
            </w:numPr>
            <w:rPr>
              <w:rFonts w:ascii="宋体" w:hAnsi="宋体"/>
            </w:rPr>
          </w:pPr>
          <w:bookmarkStart w:id="253" w:name="_Hlk40787153"/>
          <w:r>
            <w:rPr>
              <w:rFonts w:hint="eastAsia" w:ascii="宋体" w:hAnsi="宋体"/>
            </w:rPr>
            <w:t>股份支付总体情况</w:t>
          </w:r>
        </w:p>
        <w:sdt>
          <w:sdtPr>
            <w:alias w:val="是否适用：股份支付总体情况[双击切换]"/>
            <w:tag w:val="_GBC_521da934e5db4c5a89b957a4a21e4749"/>
            <w:id w:val="174745699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53"/>
    <w:sdt>
      <w:sdtPr>
        <w:rPr>
          <w:rFonts w:hint="eastAsia" w:ascii="宋体" w:hAnsi="宋体" w:cs="宋体"/>
          <w:b w:val="0"/>
          <w:bCs w:val="0"/>
          <w:kern w:val="0"/>
          <w:szCs w:val="24"/>
        </w:rPr>
        <w:alias w:val="选项模块:以权益结算的股份支付情况（单表）"/>
        <w:tag w:val="_SEC_c15ad15b52d3453a922cc481e12fae53"/>
        <w:id w:val="902569081"/>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94"/>
            </w:numPr>
            <w:rPr>
              <w:rFonts w:ascii="宋体" w:hAnsi="宋体"/>
            </w:rPr>
          </w:pPr>
          <w:bookmarkStart w:id="254" w:name="_Hlk40787204"/>
          <w:bookmarkEnd w:id="254"/>
          <w:bookmarkStart w:id="255" w:name="_Hlk40787255"/>
          <w:r>
            <w:rPr>
              <w:rFonts w:hint="eastAsia" w:ascii="宋体" w:hAnsi="宋体"/>
            </w:rPr>
            <w:t>以权益结算的股份支付情况</w:t>
          </w:r>
        </w:p>
        <w:sdt>
          <w:sdtPr>
            <w:alias w:val="是否适用：以权益结算的股份支付情况[双击切换]"/>
            <w:tag w:val="_GBC_a52b60a7c3f943aea4e006f13d294cf5"/>
            <w:id w:val="213012342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rPr>
          </w:pPr>
        </w:p>
      </w:sdtContent>
    </w:sdt>
    <w:p>
      <w:pPr>
        <w:pStyle w:val="114"/>
      </w:pPr>
    </w:p>
    <w:bookmarkEnd w:id="255"/>
    <w:sdt>
      <w:sdtPr>
        <w:rPr>
          <w:rFonts w:hint="eastAsia" w:ascii="宋体" w:hAnsi="宋体" w:cs="宋体"/>
          <w:b w:val="0"/>
          <w:bCs w:val="0"/>
          <w:kern w:val="0"/>
          <w:szCs w:val="24"/>
        </w:rPr>
        <w:alias w:val="模块:以现金结算的股份支付情况"/>
        <w:tag w:val="_GBC_e8a0c7296300463994744e877be96129"/>
        <w:id w:val="1598673628"/>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94"/>
            </w:numPr>
            <w:rPr>
              <w:rFonts w:ascii="宋体" w:hAnsi="宋体"/>
            </w:rPr>
          </w:pPr>
          <w:r>
            <w:rPr>
              <w:rFonts w:hint="eastAsia" w:ascii="宋体" w:hAnsi="宋体"/>
            </w:rPr>
            <w:t>以现金结算的股份支付情况</w:t>
          </w:r>
        </w:p>
        <w:sdt>
          <w:sdtPr>
            <w:alias w:val="是否适用：以现金结算的股份支付情况[双击切换]"/>
            <w:tag w:val="_GBC_aa134f611909486bb3a2d6258058f88d"/>
            <w:id w:val="-157288193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pStyle w:val="114"/>
      </w:pPr>
    </w:p>
    <w:sdt>
      <w:sdtPr>
        <w:rPr>
          <w:rFonts w:hint="eastAsia" w:ascii="宋体" w:hAnsi="宋体" w:cs="宋体"/>
          <w:b w:val="0"/>
          <w:bCs w:val="0"/>
          <w:kern w:val="0"/>
          <w:szCs w:val="24"/>
        </w:rPr>
        <w:alias w:val="模块:股份支付的修改、终止情况"/>
        <w:tag w:val="_GBC_ae153862caea4ff5a57470b6f594f167"/>
        <w:id w:val="684635641"/>
        <w:lock w:val="sdtLocked"/>
        <w:placeholder>
          <w:docPart w:val="GBC22222222222222222222222222222"/>
        </w:placeholder>
      </w:sdtPr>
      <w:sdtEndPr>
        <w:rPr>
          <w:rFonts w:hint="default" w:ascii="宋体" w:hAnsi="宋体" w:cstheme="minorBidi"/>
          <w:b w:val="0"/>
          <w:bCs w:val="0"/>
          <w:kern w:val="0"/>
          <w:szCs w:val="21"/>
        </w:rPr>
      </w:sdtEndPr>
      <w:sdtContent>
        <w:p>
          <w:pPr>
            <w:pStyle w:val="4"/>
            <w:numPr>
              <w:ilvl w:val="0"/>
              <w:numId w:val="94"/>
            </w:numPr>
            <w:rPr>
              <w:rFonts w:ascii="宋体" w:hAnsi="宋体"/>
            </w:rPr>
          </w:pPr>
          <w:r>
            <w:rPr>
              <w:rFonts w:hint="eastAsia" w:ascii="宋体" w:hAnsi="宋体"/>
            </w:rPr>
            <w:t>股份支付的修改、终止情况</w:t>
          </w:r>
        </w:p>
        <w:sdt>
          <w:sdtPr>
            <w:alias w:val="是否适用：股份支付的修改、终止情况[双击切换]"/>
            <w:tag w:val="_GBC_794cdee9be3b4b478fa83b914d22ea66"/>
            <w:id w:val="-1695154532"/>
            <w:lock w:val="sdtLocked"/>
            <w:placeholder>
              <w:docPart w:val="GBC22222222222222222222222222222"/>
            </w:placeholder>
          </w:sdtPr>
          <w:sdtContent>
            <w:p>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ind w:firstLine="210" w:firstLineChars="100"/>
      </w:pPr>
    </w:p>
    <w:sdt>
      <w:sdtPr>
        <w:rPr>
          <w:rFonts w:ascii="宋体" w:hAnsi="宋体" w:cs="宋体"/>
          <w:b w:val="0"/>
          <w:bCs w:val="0"/>
          <w:kern w:val="0"/>
          <w:szCs w:val="21"/>
        </w:rPr>
        <w:alias w:val="模块:股份支付的其他情况说明"/>
        <w:tag w:val="_GBC_d9554f13d811474eab6fe8ab0c5c8811"/>
        <w:id w:val="453288929"/>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94"/>
            </w:numPr>
            <w:rPr>
              <w:rFonts w:ascii="宋体" w:hAnsi="宋体"/>
              <w:szCs w:val="21"/>
            </w:rPr>
          </w:pPr>
          <w:r>
            <w:rPr>
              <w:rFonts w:hint="eastAsia" w:ascii="宋体" w:hAnsi="宋体"/>
              <w:szCs w:val="21"/>
            </w:rPr>
            <w:t>其他</w:t>
          </w:r>
        </w:p>
        <w:sdt>
          <w:sdtPr>
            <w:alias w:val="是否适用：股份支付的其他情况说明[双击切换]"/>
            <w:tag w:val="_GBC_b8be1a19715949cab94dc673580d61a2"/>
            <w:id w:val="-207912294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38"/>
        </w:numPr>
        <w:ind w:left="422" w:hanging="422"/>
        <w:rPr>
          <w:rFonts w:ascii="宋体" w:hAnsi="宋体"/>
        </w:rPr>
      </w:pPr>
      <w:r>
        <w:rPr>
          <w:rFonts w:hint="eastAsia" w:ascii="宋体" w:hAnsi="宋体"/>
        </w:rPr>
        <w:t>承诺及或有事项</w:t>
      </w:r>
    </w:p>
    <w:p>
      <w:pPr>
        <w:pStyle w:val="4"/>
        <w:numPr>
          <w:ilvl w:val="0"/>
          <w:numId w:val="95"/>
        </w:numPr>
        <w:rPr>
          <w:rFonts w:ascii="宋体" w:hAnsi="宋体"/>
        </w:rPr>
      </w:pPr>
      <w:r>
        <w:rPr>
          <w:rFonts w:hint="eastAsia" w:ascii="宋体" w:hAnsi="宋体"/>
        </w:rPr>
        <w:t>重要承诺事项</w:t>
      </w:r>
    </w:p>
    <w:sdt>
      <w:sdtPr>
        <w:alias w:val="是否适用：重要承诺事项[双击切换]"/>
        <w:tag w:val="_GBC_3ee02d2bff5e4dd69f75cc6148bdda8f"/>
        <w:id w:val="1412884302"/>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资产负债表日存在的重大承诺"/>
        <w:tag w:val="_GBC_bd716a4e356044ddb7c8207f0edef471"/>
        <w:id w:val="-20239360"/>
        <w:lock w:val="sdtLocked"/>
        <w:placeholder>
          <w:docPart w:val="GBC22222222222222222222222222222"/>
        </w:placeholder>
      </w:sdtPr>
      <w:sdtEndPr>
        <w:rPr>
          <w:rFonts w:hint="eastAsia" w:cstheme="minorBidi"/>
          <w:b w:val="0"/>
          <w:bCs w:val="0"/>
        </w:rPr>
      </w:sdtEndPr>
      <w:sdtContent>
        <w:p>
          <w:pPr>
            <w:pStyle w:val="114"/>
          </w:pPr>
          <w:r>
            <w:rPr>
              <w:rFonts w:hint="eastAsia"/>
            </w:rPr>
            <w:t>资产负债表日存在的对外重要承诺、性质、金额</w:t>
          </w:r>
        </w:p>
        <w:sdt>
          <w:sdtPr>
            <w:rPr>
              <w:rFonts w:cs="Cambria"/>
              <w:bCs/>
            </w:rPr>
            <w:alias w:val="资产负债表日存在的重要承诺"/>
            <w:tag w:val="_GBC_b0cd6a8a93e142e5926c06e28f794da3"/>
            <w:id w:val="93604144"/>
            <w:lock w:val="sdtLocked"/>
            <w:placeholder>
              <w:docPart w:val="GBC22222222222222222222222222222"/>
            </w:placeholder>
          </w:sdtPr>
          <w:sdtEndPr>
            <w:rPr>
              <w:rFonts w:cs="Cambria"/>
              <w:bCs/>
            </w:rPr>
          </w:sdtEndPr>
          <w:sdtContent>
            <w:p>
              <w:pPr>
                <w:tabs>
                  <w:tab w:val="left" w:pos="566"/>
                </w:tabs>
                <w:overflowPunct w:val="0"/>
                <w:adjustRightInd w:val="0"/>
                <w:snapToGrid w:val="0"/>
                <w:ind w:hanging="851"/>
                <w:jc w:val="both"/>
                <w:rPr>
                  <w:rFonts w:cs="Arial" w:asciiTheme="minorEastAsia" w:hAnsiTheme="minorEastAsia" w:eastAsiaTheme="minorEastAsia"/>
                  <w:color w:val="000000" w:themeColor="text1"/>
                  <w:kern w:val="2"/>
                  <w14:textFill>
                    <w14:solidFill>
                      <w14:schemeClr w14:val="tx1"/>
                    </w14:solidFill>
                  </w14:textFill>
                </w:rPr>
              </w:pPr>
              <w:r>
                <w:rPr>
                  <w:rFonts w:cs="Cambria"/>
                  <w:bCs/>
                </w:rPr>
                <w:t xml:space="preserve"> </w:t>
              </w:r>
              <w:r>
                <w:rPr>
                  <w:rFonts w:cs="Cambria" w:asciiTheme="minorEastAsia" w:hAnsiTheme="minorEastAsia" w:eastAsiaTheme="minorEastAsia"/>
                  <w:bCs/>
                </w:rPr>
                <w:t xml:space="preserve">       </w:t>
              </w:r>
              <w:r>
                <w:rPr>
                  <w:rFonts w:cs="Arial" w:asciiTheme="minorEastAsia" w:hAnsiTheme="minorEastAsia" w:eastAsiaTheme="minorEastAsia"/>
                  <w:color w:val="000000" w:themeColor="text1"/>
                  <w:kern w:val="2"/>
                  <w14:textFill>
                    <w14:solidFill>
                      <w14:schemeClr w14:val="tx1"/>
                    </w14:solidFill>
                  </w14:textFill>
                </w:rPr>
                <w:t>1</w:t>
              </w:r>
              <w:r>
                <w:rPr>
                  <w:rFonts w:hint="eastAsia" w:cs="Arial" w:asciiTheme="minorEastAsia" w:hAnsiTheme="minorEastAsia" w:eastAsiaTheme="minorEastAsia"/>
                  <w:color w:val="000000" w:themeColor="text1"/>
                  <w:kern w:val="2"/>
                  <w14:textFill>
                    <w14:solidFill>
                      <w14:schemeClr w14:val="tx1"/>
                    </w14:solidFill>
                  </w14:textFill>
                </w:rPr>
                <w:t>、</w:t>
              </w:r>
              <w:r>
                <w:rPr>
                  <w:rFonts w:cs="Arial" w:asciiTheme="minorEastAsia" w:hAnsiTheme="minorEastAsia" w:eastAsiaTheme="minorEastAsia"/>
                  <w:color w:val="000000" w:themeColor="text1"/>
                  <w:kern w:val="2"/>
                  <w14:textFill>
                    <w14:solidFill>
                      <w14:schemeClr w14:val="tx1"/>
                    </w14:solidFill>
                  </w14:textFill>
                </w:rPr>
                <w:tab/>
              </w:r>
              <w:r>
                <w:rPr>
                  <w:rFonts w:hint="eastAsia" w:cs="Arial" w:asciiTheme="minorEastAsia" w:hAnsiTheme="minorEastAsia" w:eastAsiaTheme="minorEastAsia"/>
                  <w:color w:val="000000" w:themeColor="text1"/>
                  <w:kern w:val="2"/>
                  <w14:textFill>
                    <w14:solidFill>
                      <w14:schemeClr w14:val="tx1"/>
                    </w14:solidFill>
                  </w14:textFill>
                </w:rPr>
                <w:t>重要承诺事项</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tabs>
                  <w:tab w:val="left" w:pos="566"/>
                </w:tabs>
                <w:overflowPunct w:val="0"/>
                <w:adjustRightInd w:val="0"/>
                <w:snapToGrid w:val="0"/>
                <w:ind w:hanging="851"/>
                <w:jc w:val="both"/>
                <w:rPr>
                  <w:rFonts w:cs="Arial" w:asciiTheme="minorEastAsia" w:hAnsiTheme="minorEastAsia" w:eastAsiaTheme="minorEastAsia"/>
                  <w:color w:val="000000" w:themeColor="text1"/>
                  <w:kern w:val="2"/>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 xml:space="preserve">         (1)</w:t>
              </w:r>
              <w:r>
                <w:rPr>
                  <w:rFonts w:cs="Arial" w:asciiTheme="minorEastAsia" w:hAnsiTheme="minorEastAsia" w:eastAsiaTheme="minorEastAsia"/>
                  <w:color w:val="000000" w:themeColor="text1"/>
                  <w:kern w:val="2"/>
                  <w14:textFill>
                    <w14:solidFill>
                      <w14:schemeClr w14:val="tx1"/>
                    </w14:solidFill>
                  </w14:textFill>
                </w:rPr>
                <w:tab/>
              </w:r>
              <w:r>
                <w:rPr>
                  <w:rFonts w:hint="eastAsia" w:cs="Arial" w:asciiTheme="minorEastAsia" w:hAnsiTheme="minorEastAsia" w:eastAsiaTheme="minorEastAsia"/>
                  <w:color w:val="000000" w:themeColor="text1"/>
                  <w:kern w:val="2"/>
                  <w14:textFill>
                    <w14:solidFill>
                      <w14:schemeClr w14:val="tx1"/>
                    </w14:solidFill>
                  </w14:textFill>
                </w:rPr>
                <w:t>资本承诺</w:t>
              </w:r>
            </w:p>
            <w:tbl>
              <w:tblPr>
                <w:tblStyle w:val="4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1"/>
                <w:gridCol w:w="2941"/>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41" w:type="dxa"/>
                  </w:tcPr>
                  <w:p>
                    <w:pPr>
                      <w:widowControl w:val="0"/>
                      <w:jc w:val="both"/>
                      <w:rPr>
                        <w:rFonts w:ascii="Times New Roman" w:hAnsi="Times New Roman" w:cs="Cambria"/>
                        <w:bCs/>
                      </w:rPr>
                    </w:pPr>
                    <w:r>
                      <w:rPr>
                        <w:rFonts w:ascii="Times New Roman" w:hAnsi="Times New Roman"/>
                      </w:rPr>
                      <w:t> </w:t>
                    </w:r>
                  </w:p>
                </w:tc>
                <w:tc>
                  <w:tcPr>
                    <w:tcW w:w="2941" w:type="dxa"/>
                  </w:tcPr>
                  <w:p>
                    <w:pPr>
                      <w:widowControl w:val="0"/>
                      <w:jc w:val="both"/>
                      <w:rPr>
                        <w:rFonts w:ascii="Times New Roman" w:hAnsi="Times New Roman" w:cs="Cambria"/>
                        <w:bCs/>
                      </w:rPr>
                    </w:pPr>
                    <w:r>
                      <w:rPr>
                        <w:rFonts w:ascii="Times New Roman" w:hAnsi="Times New Roman"/>
                      </w:rPr>
                      <w:t>2023年6月30日</w:t>
                    </w:r>
                  </w:p>
                </w:tc>
                <w:tc>
                  <w:tcPr>
                    <w:tcW w:w="2941" w:type="dxa"/>
                  </w:tcPr>
                  <w:p>
                    <w:pPr>
                      <w:widowControl w:val="0"/>
                      <w:jc w:val="both"/>
                      <w:rPr>
                        <w:rFonts w:ascii="Times New Roman" w:hAnsi="Times New Roman" w:cs="Cambria"/>
                        <w:bCs/>
                      </w:rPr>
                    </w:pPr>
                    <w:r>
                      <w:rPr>
                        <w:rFonts w:ascii="Times New Roman" w:hAnsi="Times New Roman"/>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1" w:type="dxa"/>
                  </w:tcPr>
                  <w:p>
                    <w:pPr>
                      <w:widowControl w:val="0"/>
                      <w:jc w:val="both"/>
                      <w:rPr>
                        <w:rFonts w:ascii="Times New Roman" w:hAnsi="Times New Roman" w:cs="Cambria"/>
                        <w:bCs/>
                      </w:rPr>
                    </w:pPr>
                    <w:r>
                      <w:rPr>
                        <w:rFonts w:ascii="Times New Roman" w:hAnsi="Times New Roman"/>
                      </w:rPr>
                      <w:t>已签约但尚未于财务报表中确认的</w:t>
                    </w:r>
                  </w:p>
                </w:tc>
                <w:tc>
                  <w:tcPr>
                    <w:tcW w:w="2941" w:type="dxa"/>
                  </w:tcPr>
                  <w:p>
                    <w:pPr>
                      <w:widowControl w:val="0"/>
                      <w:jc w:val="both"/>
                      <w:rPr>
                        <w:rFonts w:ascii="Times New Roman" w:hAnsi="Times New Roman" w:cs="Cambria"/>
                        <w:bCs/>
                      </w:rPr>
                    </w:pPr>
                    <w:r>
                      <w:rPr>
                        <w:rFonts w:ascii="Times New Roman" w:hAnsi="Times New Roman"/>
                      </w:rPr>
                      <w:t> </w:t>
                    </w:r>
                  </w:p>
                </w:tc>
                <w:tc>
                  <w:tcPr>
                    <w:tcW w:w="2941" w:type="dxa"/>
                  </w:tcPr>
                  <w:p>
                    <w:pPr>
                      <w:widowControl w:val="0"/>
                      <w:jc w:val="both"/>
                      <w:rPr>
                        <w:rFonts w:ascii="Times New Roman" w:hAnsi="Times New Roman" w:cs="Cambria"/>
                        <w:bCs/>
                      </w:rPr>
                    </w:pPr>
                    <w:r>
                      <w:rPr>
                        <w:rFonts w:ascii="Times New Roman" w:hAnsi="Times New Roma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1" w:type="dxa"/>
                  </w:tcPr>
                  <w:p>
                    <w:pPr>
                      <w:widowControl w:val="0"/>
                      <w:jc w:val="both"/>
                      <w:rPr>
                        <w:rFonts w:ascii="Times New Roman" w:hAnsi="Times New Roman" w:cs="Cambria"/>
                        <w:bCs/>
                      </w:rPr>
                    </w:pPr>
                    <w:r>
                      <w:rPr>
                        <w:rFonts w:ascii="Times New Roman" w:hAnsi="Times New Roman"/>
                      </w:rPr>
                      <w:t>- 购建长期资产承诺</w:t>
                    </w:r>
                  </w:p>
                </w:tc>
                <w:tc>
                  <w:tcPr>
                    <w:tcW w:w="2941" w:type="dxa"/>
                  </w:tcPr>
                  <w:p>
                    <w:pPr>
                      <w:widowControl w:val="0"/>
                      <w:jc w:val="both"/>
                      <w:rPr>
                        <w:rFonts w:ascii="Times New Roman" w:hAnsi="Times New Roman" w:cs="Cambria"/>
                        <w:bCs/>
                      </w:rPr>
                    </w:pPr>
                    <w:r>
                      <w:rPr>
                        <w:rFonts w:ascii="Times New Roman" w:hAnsi="Times New Roman"/>
                      </w:rPr>
                      <w:t> 15,028,683,946.84</w:t>
                    </w:r>
                  </w:p>
                </w:tc>
                <w:tc>
                  <w:tcPr>
                    <w:tcW w:w="2941" w:type="dxa"/>
                  </w:tcPr>
                  <w:p>
                    <w:pPr>
                      <w:widowControl w:val="0"/>
                      <w:jc w:val="both"/>
                      <w:rPr>
                        <w:rFonts w:ascii="Times New Roman" w:hAnsi="Times New Roman" w:cs="Cambria"/>
                        <w:bCs/>
                      </w:rPr>
                    </w:pPr>
                    <w:r>
                      <w:rPr>
                        <w:rFonts w:ascii="Times New Roman" w:hAnsi="Times New Roman"/>
                      </w:rPr>
                      <w:t>15,292,496,496.36</w:t>
                    </w:r>
                  </w:p>
                </w:tc>
              </w:tr>
            </w:tbl>
            <w:p>
              <w:pPr>
                <w:rPr>
                  <w:rFonts w:cs="Cambria"/>
                  <w:bCs/>
                </w:rPr>
              </w:pPr>
            </w:p>
          </w:sdtContent>
        </w:sdt>
        <w:p>
          <w:pPr>
            <w:pStyle w:val="114"/>
          </w:pPr>
        </w:p>
      </w:sdtContent>
    </w:sdt>
    <w:p>
      <w:pPr>
        <w:pStyle w:val="4"/>
        <w:numPr>
          <w:ilvl w:val="0"/>
          <w:numId w:val="95"/>
        </w:numPr>
        <w:rPr>
          <w:rFonts w:ascii="宋体" w:hAnsi="宋体"/>
        </w:rPr>
      </w:pPr>
      <w:r>
        <w:rPr>
          <w:rFonts w:hint="eastAsia" w:ascii="宋体" w:hAnsi="宋体"/>
        </w:rPr>
        <w:t>或有事项</w:t>
      </w:r>
    </w:p>
    <w:sdt>
      <w:sdtPr>
        <w:rPr>
          <w:rFonts w:hint="eastAsia" w:ascii="宋体" w:hAnsi="宋体" w:cs="宋体"/>
          <w:b w:val="0"/>
          <w:bCs w:val="0"/>
          <w:kern w:val="0"/>
          <w:szCs w:val="24"/>
        </w:rPr>
        <w:alias w:val="模块:资产负债表日存在的或有事项"/>
        <w:tag w:val="_GBC_c667d796bd114ba58f4592903a5601f3"/>
        <w:id w:val="2092659767"/>
        <w:lock w:val="sdtLocked"/>
        <w:placeholder>
          <w:docPart w:val="GBC22222222222222222222222222222"/>
        </w:placeholder>
      </w:sdtPr>
      <w:sdtEndPr>
        <w:rPr>
          <w:rFonts w:hint="eastAsia" w:ascii="宋体" w:hAnsi="宋体" w:cstheme="minorBidi"/>
          <w:b w:val="0"/>
          <w:bCs w:val="0"/>
          <w:kern w:val="0"/>
          <w:szCs w:val="21"/>
        </w:rPr>
      </w:sdtEndPr>
      <w:sdtContent>
        <w:p>
          <w:pPr>
            <w:pStyle w:val="5"/>
            <w:numPr>
              <w:ilvl w:val="0"/>
              <w:numId w:val="96"/>
            </w:numPr>
            <w:tabs>
              <w:tab w:val="left" w:pos="616"/>
            </w:tabs>
            <w:rPr>
              <w:rFonts w:ascii="宋体" w:hAnsi="宋体"/>
            </w:rPr>
          </w:pPr>
          <w:r>
            <w:rPr>
              <w:rFonts w:hint="eastAsia" w:ascii="宋体" w:hAnsi="宋体"/>
            </w:rPr>
            <w:t>资产负债表日存在的重要或有事项</w:t>
          </w:r>
        </w:p>
        <w:sdt>
          <w:sdtPr>
            <w:alias w:val="是否适用：资产负债表日存在的重要或有事项[双击切换]"/>
            <w:tag w:val="_GBC_dea854a30b4642f6b78351afe6791c32"/>
            <w:id w:val="149252752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EastAsia" w:hAnsiTheme="minorEastAsia" w:eastAsiaTheme="minorEastAsia"/>
            </w:rPr>
            <w:alias w:val="资产负债表日存在的重要或有事项"/>
            <w:tag w:val="_GBC_9aacda4c45eb44bcb0d1f17e53741a1f"/>
            <w:id w:val="-2012592061"/>
            <w:lock w:val="sdtLocked"/>
            <w:placeholder>
              <w:docPart w:val="GBC22222222222222222222222222222"/>
            </w:placeholder>
          </w:sdtPr>
          <w:sdtEndPr>
            <w:rPr>
              <w:rFonts w:asciiTheme="minorEastAsia" w:hAnsiTheme="minorEastAsia" w:eastAsiaTheme="minorEastAsia"/>
            </w:rPr>
          </w:sdtEndPr>
          <w:sdtContent>
            <w:p>
              <w:pPr>
                <w:rPr>
                  <w:rFonts w:asciiTheme="minorEastAsia" w:hAnsiTheme="minorEastAsia" w:eastAsiaTheme="minorEastAsia"/>
                </w:rPr>
              </w:pPr>
              <w:r>
                <w:rPr>
                  <w:rFonts w:hint="eastAsia" w:cs="Arial" w:asciiTheme="minorEastAsia" w:hAnsiTheme="minorEastAsia" w:eastAsiaTheme="minorEastAsia"/>
                  <w:color w:val="000000" w:themeColor="text1"/>
                  <w14:textFill>
                    <w14:solidFill>
                      <w14:schemeClr w14:val="tx1"/>
                    </w14:solidFill>
                  </w14:textFill>
                </w:rPr>
                <w:t>本公司之子公司宁沪置业和瀚威公司按房地产行业惯例为商品房承购人按揭贷款提供连带责任的保证担保，担保责任自保证合同生效之日起，至商品房承购人所购住房的房地产抵押登记手续完成并将房屋他项权证交银行执收之日止。截至</w:t>
              </w:r>
              <w:r>
                <w:rPr>
                  <w:rFonts w:cs="Arial" w:asciiTheme="minorEastAsia" w:hAnsiTheme="minorEastAsia" w:eastAsiaTheme="minorEastAsia"/>
                  <w:color w:val="000000" w:themeColor="text1"/>
                  <w14:textFill>
                    <w14:solidFill>
                      <w14:schemeClr w14:val="tx1"/>
                    </w14:solidFill>
                  </w14:textFill>
                </w:rPr>
                <w:t>2023</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6</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30</w:t>
              </w:r>
              <w:r>
                <w:rPr>
                  <w:rFonts w:hint="eastAsia" w:cs="Arial" w:asciiTheme="minorEastAsia" w:hAnsiTheme="minorEastAsia" w:eastAsiaTheme="minorEastAsia"/>
                  <w:color w:val="000000" w:themeColor="text1"/>
                  <w14:textFill>
                    <w14:solidFill>
                      <w14:schemeClr w14:val="tx1"/>
                    </w14:solidFill>
                  </w14:textFill>
                </w:rPr>
                <w:t>日，尚未结清的担保金额约为人民币</w:t>
              </w:r>
              <w:r>
                <w:rPr>
                  <w:rFonts w:cs="Arial" w:asciiTheme="minorEastAsia" w:hAnsiTheme="minorEastAsia" w:eastAsiaTheme="minorEastAsia"/>
                  <w:color w:val="000000" w:themeColor="text1"/>
                  <w14:textFill>
                    <w14:solidFill>
                      <w14:schemeClr w14:val="tx1"/>
                    </w14:solidFill>
                  </w14:textFill>
                </w:rPr>
                <w:t>181,504,405.05</w:t>
              </w:r>
              <w:r>
                <w:rPr>
                  <w:rFonts w:hint="eastAsia" w:cs="Arial" w:asciiTheme="minorEastAsia" w:hAnsiTheme="minorEastAsia" w:eastAsiaTheme="minorEastAsia"/>
                  <w:color w:val="000000" w:themeColor="text1"/>
                  <w14:textFill>
                    <w14:solidFill>
                      <w14:schemeClr w14:val="tx1"/>
                    </w14:solidFill>
                  </w14:textFill>
                </w:rPr>
                <w:t>元（</w:t>
              </w:r>
              <w:r>
                <w:rPr>
                  <w:rFonts w:cs="Arial" w:asciiTheme="minorEastAsia" w:hAnsiTheme="minorEastAsia" w:eastAsiaTheme="minorEastAsia"/>
                  <w:color w:val="000000" w:themeColor="text1"/>
                  <w14:textFill>
                    <w14:solidFill>
                      <w14:schemeClr w14:val="tx1"/>
                    </w14:solidFill>
                  </w14:textFill>
                </w:rPr>
                <w:t>2022</w:t>
              </w:r>
              <w:r>
                <w:rPr>
                  <w:rFonts w:hint="eastAsia" w:cs="Arial" w:asciiTheme="minorEastAsia" w:hAnsiTheme="minorEastAsia" w:eastAsiaTheme="minorEastAsia"/>
                  <w:color w:val="000000" w:themeColor="text1"/>
                  <w14:textFill>
                    <w14:solidFill>
                      <w14:schemeClr w14:val="tx1"/>
                    </w14:solidFill>
                  </w14:textFill>
                </w:rPr>
                <w:t>年</w:t>
              </w:r>
              <w:r>
                <w:rPr>
                  <w:rFonts w:cs="Arial" w:asciiTheme="minorEastAsia" w:hAnsiTheme="minorEastAsia" w:eastAsiaTheme="minorEastAsia"/>
                  <w:color w:val="000000" w:themeColor="text1"/>
                  <w14:textFill>
                    <w14:solidFill>
                      <w14:schemeClr w14:val="tx1"/>
                    </w14:solidFill>
                  </w14:textFill>
                </w:rPr>
                <w:t>12</w:t>
              </w:r>
              <w:r>
                <w:rPr>
                  <w:rFonts w:hint="eastAsia" w:cs="Arial" w:asciiTheme="minorEastAsia" w:hAnsiTheme="minorEastAsia" w:eastAsiaTheme="minorEastAsia"/>
                  <w:color w:val="000000" w:themeColor="text1"/>
                  <w14:textFill>
                    <w14:solidFill>
                      <w14:schemeClr w14:val="tx1"/>
                    </w14:solidFill>
                  </w14:textFill>
                </w:rPr>
                <w:t>月</w:t>
              </w:r>
              <w:r>
                <w:rPr>
                  <w:rFonts w:cs="Arial" w:asciiTheme="minorEastAsia" w:hAnsiTheme="minorEastAsia" w:eastAsiaTheme="minorEastAsia"/>
                  <w:color w:val="000000" w:themeColor="text1"/>
                  <w14:textFill>
                    <w14:solidFill>
                      <w14:schemeClr w14:val="tx1"/>
                    </w14:solidFill>
                  </w14:textFill>
                </w:rPr>
                <w:t>31</w:t>
              </w:r>
              <w:r>
                <w:rPr>
                  <w:rFonts w:hint="eastAsia" w:cs="Arial" w:asciiTheme="minorEastAsia" w:hAnsiTheme="minorEastAsia" w:eastAsiaTheme="minorEastAsia"/>
                  <w:color w:val="000000" w:themeColor="text1"/>
                  <w14:textFill>
                    <w14:solidFill>
                      <w14:schemeClr w14:val="tx1"/>
                    </w14:solidFill>
                  </w14:textFill>
                </w:rPr>
                <w:t>日：人民币</w:t>
              </w:r>
              <w:r>
                <w:rPr>
                  <w:rFonts w:cs="Arial" w:asciiTheme="minorEastAsia" w:hAnsiTheme="minorEastAsia" w:eastAsiaTheme="minorEastAsia"/>
                  <w:color w:val="000000" w:themeColor="text1"/>
                  <w14:textFill>
                    <w14:solidFill>
                      <w14:schemeClr w14:val="tx1"/>
                    </w14:solidFill>
                  </w14:textFill>
                </w:rPr>
                <w:t>131,898,198.22</w:t>
              </w:r>
              <w:r>
                <w:rPr>
                  <w:rFonts w:hint="eastAsia" w:cs="Arial" w:asciiTheme="minorEastAsia" w:hAnsiTheme="minorEastAsia" w:eastAsiaTheme="minorEastAsia"/>
                  <w:color w:val="000000" w:themeColor="text1"/>
                  <w14:textFill>
                    <w14:solidFill>
                      <w14:schemeClr w14:val="tx1"/>
                    </w14:solidFill>
                  </w14:textFill>
                </w:rPr>
                <w:t>元）。</w:t>
              </w:r>
            </w:p>
          </w:sdtContent>
        </w:sdt>
        <w:p>
          <w:pPr>
            <w:pStyle w:val="114"/>
          </w:pPr>
        </w:p>
      </w:sdtContent>
    </w:sdt>
    <w:sdt>
      <w:sdtPr>
        <w:rPr>
          <w:rFonts w:hint="eastAsia" w:ascii="宋体" w:hAnsi="宋体" w:cs="宋体"/>
          <w:b w:val="0"/>
          <w:bCs w:val="0"/>
          <w:kern w:val="0"/>
          <w:szCs w:val="24"/>
        </w:rPr>
        <w:alias w:val="模块:公司没有需要披露的或有事项，也应予以说明"/>
        <w:tag w:val="_GBC_428b07d001974f7390d8bb4142377be9"/>
        <w:id w:val="42878477"/>
        <w:lock w:val="sdtLocked"/>
        <w:placeholder>
          <w:docPart w:val="GBC22222222222222222222222222222"/>
        </w:placeholder>
      </w:sdtPr>
      <w:sdtEndPr>
        <w:rPr>
          <w:rFonts w:hint="eastAsia" w:ascii="宋体" w:hAnsi="宋体" w:cstheme="minorBidi"/>
          <w:b w:val="0"/>
          <w:bCs w:val="0"/>
          <w:kern w:val="0"/>
          <w:szCs w:val="21"/>
        </w:rPr>
      </w:sdtEndPr>
      <w:sdtContent>
        <w:p>
          <w:pPr>
            <w:pStyle w:val="5"/>
            <w:numPr>
              <w:ilvl w:val="0"/>
              <w:numId w:val="96"/>
            </w:numPr>
            <w:tabs>
              <w:tab w:val="left" w:pos="616"/>
            </w:tabs>
            <w:rPr>
              <w:rFonts w:ascii="宋体" w:hAnsi="宋体"/>
            </w:rPr>
          </w:pPr>
          <w:r>
            <w:rPr>
              <w:rFonts w:hint="eastAsia" w:ascii="宋体" w:hAnsi="宋体"/>
            </w:rPr>
            <w:t>公司没有需要披露的重要或有事项，也应予以说明：</w:t>
          </w:r>
        </w:p>
        <w:sdt>
          <w:sdtPr>
            <w:alias w:val="是否适用：公司没有需要披露的重要或有事项，也应予以说明[双击切换]"/>
            <w:tag w:val="_GBC_a0545390a9694adcaaee8509e290303c"/>
            <w:id w:val="-8306830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rPr>
          </w:pPr>
        </w:p>
      </w:sdtContent>
    </w:sdt>
    <w:sdt>
      <w:sdtPr>
        <w:rPr>
          <w:rFonts w:ascii="宋体" w:hAnsi="宋体" w:cs="宋体"/>
          <w:b w:val="0"/>
          <w:bCs w:val="0"/>
          <w:kern w:val="0"/>
          <w:szCs w:val="24"/>
        </w:rPr>
        <w:alias w:val="模块:承诺及或有事项的其他情况说明"/>
        <w:tag w:val="_GBC_7967de77d1eb4fa3968e072c7d0d24ca"/>
        <w:id w:val="848754506"/>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95"/>
            </w:numPr>
            <w:rPr>
              <w:rFonts w:ascii="宋体" w:hAnsi="宋体"/>
            </w:rPr>
          </w:pPr>
          <w:r>
            <w:rPr>
              <w:rFonts w:hint="eastAsia" w:ascii="宋体" w:hAnsi="宋体"/>
            </w:rPr>
            <w:t>其他</w:t>
          </w:r>
        </w:p>
        <w:sdt>
          <w:sdtPr>
            <w:alias w:val="是否适用：承诺及或有事项的其他情况说明[双击切换]"/>
            <w:tag w:val="_GBC_ff33b21a56eb4d3291f2b4875be5a2b2"/>
            <w:id w:val="-101361246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38"/>
        </w:numPr>
        <w:ind w:left="422" w:hanging="422"/>
        <w:rPr>
          <w:rFonts w:ascii="宋体" w:hAnsi="宋体"/>
        </w:rPr>
      </w:pPr>
      <w:r>
        <w:rPr>
          <w:rFonts w:hint="eastAsia" w:ascii="宋体" w:hAnsi="宋体"/>
        </w:rPr>
        <w:t>资产负债表日后事项</w:t>
      </w:r>
    </w:p>
    <w:sdt>
      <w:sdtPr>
        <w:rPr>
          <w:rFonts w:hint="eastAsia" w:ascii="宋体" w:hAnsi="宋体" w:cs="宋体"/>
          <w:b w:val="0"/>
          <w:bCs w:val="0"/>
          <w:kern w:val="0"/>
          <w:szCs w:val="24"/>
        </w:rPr>
        <w:alias w:val="模块:重要的非调整事项"/>
        <w:tag w:val="_GBC_5d1bcf8f61b9443ba6ffa54897c724fc"/>
        <w:id w:val="1684626434"/>
        <w:lock w:val="sdtLocked"/>
        <w:placeholder>
          <w:docPart w:val="GBC22222222222222222222222222222"/>
        </w:placeholder>
      </w:sdtPr>
      <w:sdtEndPr>
        <w:rPr>
          <w:rFonts w:hint="eastAsia" w:ascii="宋体" w:hAnsi="宋体" w:cstheme="minorBidi"/>
          <w:b w:val="0"/>
          <w:bCs w:val="0"/>
          <w:kern w:val="0"/>
          <w:szCs w:val="22"/>
        </w:rPr>
      </w:sdtEndPr>
      <w:sdtContent>
        <w:p>
          <w:pPr>
            <w:pStyle w:val="4"/>
            <w:numPr>
              <w:ilvl w:val="0"/>
              <w:numId w:val="97"/>
            </w:numPr>
            <w:rPr>
              <w:rFonts w:ascii="宋体" w:hAnsi="宋体"/>
            </w:rPr>
          </w:pPr>
          <w:r>
            <w:rPr>
              <w:rFonts w:hint="eastAsia" w:ascii="宋体" w:hAnsi="宋体"/>
            </w:rPr>
            <w:t>重要的非调整事项</w:t>
          </w:r>
        </w:p>
        <w:sdt>
          <w:sdtPr>
            <w:alias w:val="是否适用：重要的非调整事项[双击切换]"/>
            <w:tag w:val="_GBC_ab366a8fb12748d6aa2a8401b360857c"/>
            <w:id w:val="91744651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资产负债表日后利润分配情况说明"/>
        <w:tag w:val="_GBC_0fa3d44599d34674894cec144baccd50"/>
        <w:id w:val="-1351179920"/>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97"/>
            </w:numPr>
            <w:rPr>
              <w:rFonts w:ascii="宋体" w:hAnsi="宋体"/>
            </w:rPr>
          </w:pPr>
          <w:r>
            <w:rPr>
              <w:rFonts w:hint="eastAsia" w:ascii="宋体" w:hAnsi="宋体"/>
            </w:rPr>
            <w:t>利润分配情况</w:t>
          </w:r>
        </w:p>
        <w:sdt>
          <w:sdtPr>
            <w:alias w:val="是否适用：利润分配情况[双击切换]"/>
            <w:tag w:val="_GBC_a2ea8cd0604f474db0e7e62eb7fc0435"/>
            <w:id w:val="35554951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GBC_189c429afb95427192d478a4da4061cd"/>
        <w:id w:val="-365066734"/>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97"/>
            </w:numPr>
            <w:rPr>
              <w:rFonts w:ascii="宋体" w:hAnsi="宋体"/>
            </w:rPr>
          </w:pPr>
          <w:bookmarkStart w:id="256" w:name="_Toc241636515"/>
          <w:r>
            <w:rPr>
              <w:rFonts w:hint="eastAsia" w:ascii="宋体" w:hAnsi="宋体"/>
              <w:szCs w:val="21"/>
            </w:rPr>
            <w:t>销售</w:t>
          </w:r>
          <w:r>
            <w:rPr>
              <w:rFonts w:hint="eastAsia" w:ascii="宋体" w:hAnsi="宋体"/>
            </w:rPr>
            <w:t>退回</w:t>
          </w:r>
        </w:p>
        <w:sdt>
          <w:sdtPr>
            <w:alias w:val="是否适用：销售退回[双击切换]"/>
            <w:tag w:val="_GBC_4175c0e820fa43cd98dd2d05c0dea8a8"/>
            <w:id w:val="-180452536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其他资产负债表日后事项说明"/>
        <w:tag w:val="_GBC_90d185c72bfe452398767dd3a98447a5"/>
        <w:id w:val="1630587351"/>
        <w:lock w:val="sdtLocked"/>
        <w:placeholder>
          <w:docPart w:val="GBC22222222222222222222222222222"/>
        </w:placeholder>
      </w:sdtPr>
      <w:sdtEndPr>
        <w:rPr>
          <w:rFonts w:hint="eastAsia" w:cs="宋体" w:asciiTheme="minorEastAsia" w:hAnsiTheme="minorEastAsia" w:eastAsiaTheme="minorEastAsia"/>
          <w:b w:val="0"/>
          <w:bCs w:val="0"/>
          <w:kern w:val="0"/>
          <w:szCs w:val="21"/>
        </w:rPr>
      </w:sdtEndPr>
      <w:sdtContent>
        <w:p>
          <w:pPr>
            <w:pStyle w:val="4"/>
            <w:numPr>
              <w:ilvl w:val="0"/>
              <w:numId w:val="97"/>
            </w:numPr>
            <w:rPr>
              <w:rFonts w:ascii="宋体" w:hAnsi="宋体"/>
            </w:rPr>
          </w:pPr>
          <w:r>
            <w:rPr>
              <w:rFonts w:hint="eastAsia" w:ascii="宋体" w:hAnsi="宋体"/>
            </w:rPr>
            <w:t>其他资产负债表日后事项说明</w:t>
          </w:r>
          <w:bookmarkEnd w:id="256"/>
        </w:p>
        <w:sdt>
          <w:sdtPr>
            <w:alias w:val="是否适用：其他资产负债表日后事项说明[双击切换]"/>
            <w:tag w:val="_GBC_3da0e7092a0048ed9e147e2e860785f5"/>
            <w:id w:val="-98407812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EastAsia" w:hAnsiTheme="minorEastAsia" w:eastAsiaTheme="minorEastAsia"/>
            </w:rPr>
            <w:alias w:val="资产负债表日后事项的说明"/>
            <w:tag w:val="_GBC_b095fb5e765c447f82bb8e8b5a26cbea"/>
            <w:id w:val="-1781784787"/>
            <w:lock w:val="sdtLocked"/>
            <w:placeholder>
              <w:docPart w:val="GBC22222222222222222222222222222"/>
            </w:placeholder>
          </w:sdtPr>
          <w:sdtEndPr>
            <w:rPr>
              <w:rFonts w:asciiTheme="minorEastAsia" w:hAnsiTheme="minorEastAsia" w:eastAsiaTheme="minorEastAsia"/>
            </w:rPr>
          </w:sdtEndPr>
          <w:sdtContent>
            <w:p>
              <w:pPr>
                <w:tabs>
                  <w:tab w:val="left" w:pos="566"/>
                </w:tabs>
                <w:overflowPunct w:val="0"/>
                <w:adjustRightInd w:val="0"/>
                <w:snapToGrid w:val="0"/>
                <w:ind w:hanging="851"/>
                <w:jc w:val="both"/>
                <w:rPr>
                  <w:rFonts w:asciiTheme="minorEastAsia" w:hAnsiTheme="minorEastAsia" w:eastAsiaTheme="minorEastAsia"/>
                </w:rPr>
              </w:pPr>
              <w:r>
                <w:rPr>
                  <w:rFonts w:asciiTheme="minorEastAsia" w:hAnsiTheme="minorEastAsia" w:eastAsiaTheme="minorEastAsia"/>
                </w:rPr>
                <w:t xml:space="preserve">        </w:t>
              </w:r>
            </w:p>
            <w:p>
              <w:pPr>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1</w:t>
              </w:r>
              <w:r>
                <w:rPr>
                  <w:rFonts w:hint="eastAsia" w:cs="Arial" w:asciiTheme="minorEastAsia" w:hAnsiTheme="minorEastAsia" w:eastAsiaTheme="minorEastAsia"/>
                  <w:color w:val="000000" w:themeColor="text1"/>
                  <w:kern w:val="2"/>
                  <w14:textFill>
                    <w14:solidFill>
                      <w14:schemeClr w14:val="tx1"/>
                    </w14:solidFill>
                  </w14:textFill>
                </w:rPr>
                <w:t>、处置子公司</w:t>
              </w:r>
            </w:p>
            <w:p>
              <w:pPr>
                <w:rPr>
                  <w:rFonts w:asciiTheme="minorEastAsia" w:hAnsiTheme="minorEastAsia" w:eastAsiaTheme="minorEastAsia"/>
                </w:rPr>
              </w:pPr>
              <w:r>
                <w:rPr>
                  <w:rStyle w:val="410"/>
                </w:rPr>
                <w:t>2023年2月17日，经本公司第十届董事会第十五次会议同意，本公司全资子公司宁沪投资公司将其持有的保理公司100%股权转让给江苏交控和云杉资本。2023年2月27日，本公司全资子公司宁沪投资公司、保理公司与江苏交控、云杉资本签署了《股权转让协议》，根据国有资产管理部门备案后的评估结果，本次交易价格为人民币34,600万元，其中：江苏交控80%标的股权的转让对价为人民币27,680万元；云杉资本20%标的股权的转让对价为人民币6,920万元。2023年7月，广州市地方金融监督管理局批复同意办理保理公司股东变更。截至报告日，宁沪投资公司已收到保理公司全部股权转让款人民币34,600万元，双方完成交割，目前正在办理工商变更手续。本次转让完成后，本公司不再持有保理公司的股权，不再将其纳入本公司合并报表范围</w:t>
              </w:r>
              <w:r>
                <w:rPr>
                  <w:rStyle w:val="410"/>
                  <w:rFonts w:hint="eastAsia" w:ascii="PMingLiU" w:hAnsi="PMingLiU" w:eastAsia="PMingLiU" w:cs="PMingLiU"/>
                </w:rPr>
                <w:t>。</w:t>
              </w:r>
            </w:p>
          </w:sdtContent>
        </w:sdt>
      </w:sdtContent>
    </w:sdt>
    <w:p>
      <w:pPr>
        <w:pStyle w:val="114"/>
      </w:pPr>
    </w:p>
    <w:p>
      <w:pPr>
        <w:pStyle w:val="3"/>
        <w:numPr>
          <w:ilvl w:val="0"/>
          <w:numId w:val="38"/>
        </w:numPr>
        <w:ind w:left="422" w:hanging="422"/>
        <w:rPr>
          <w:rFonts w:ascii="宋体" w:hAnsi="宋体"/>
        </w:rPr>
      </w:pPr>
      <w:r>
        <w:rPr>
          <w:rFonts w:hint="eastAsia" w:ascii="宋体" w:hAnsi="宋体"/>
        </w:rPr>
        <w:t>其他重要事项</w:t>
      </w:r>
    </w:p>
    <w:p>
      <w:pPr>
        <w:pStyle w:val="4"/>
        <w:numPr>
          <w:ilvl w:val="0"/>
          <w:numId w:val="98"/>
        </w:numPr>
        <w:rPr>
          <w:rFonts w:ascii="宋体" w:hAnsi="宋体"/>
        </w:rPr>
      </w:pPr>
      <w:r>
        <w:rPr>
          <w:rFonts w:hint="eastAsia" w:ascii="宋体" w:hAnsi="宋体"/>
        </w:rPr>
        <w:t>前期会计差错更正</w:t>
      </w:r>
    </w:p>
    <w:sdt>
      <w:sdtPr>
        <w:rPr>
          <w:rFonts w:hint="eastAsia" w:ascii="宋体" w:hAnsi="宋体" w:cs="宋体"/>
          <w:b w:val="0"/>
          <w:bCs w:val="0"/>
          <w:kern w:val="0"/>
          <w:szCs w:val="21"/>
        </w:rPr>
        <w:alias w:val="模块:会计差错更正(追溯重述)"/>
        <w:tag w:val="_GBC_cb1f61a36a2a43b0ad30697c25cce450"/>
        <w:id w:val="157563154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99"/>
            </w:numPr>
            <w:tabs>
              <w:tab w:val="left" w:pos="602"/>
            </w:tabs>
            <w:rPr>
              <w:rFonts w:ascii="宋体" w:hAnsi="宋体"/>
            </w:rPr>
          </w:pPr>
          <w:r>
            <w:rPr>
              <w:rFonts w:hint="eastAsia" w:ascii="宋体" w:hAnsi="宋体"/>
            </w:rPr>
            <w:t>追溯重述法</w:t>
          </w:r>
        </w:p>
        <w:sdt>
          <w:sdtPr>
            <w:rPr>
              <w:rFonts w:hint="eastAsia"/>
            </w:rPr>
            <w:alias w:val="是否适用：追溯重述法[双击切换]"/>
            <w:tag w:val="_GBC_9d59987ec8f64e568cc0874cd76bb5ce"/>
            <w:id w:val="-1211798810"/>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未来适用法本报告期是否发现采用未来适用法的前期会计差错：（..."/>
        <w:tag w:val="_GBC_6bd40de18d9047e48f182803eefc5581"/>
        <w:id w:val="-78203222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99"/>
            </w:numPr>
            <w:tabs>
              <w:tab w:val="left" w:pos="602"/>
            </w:tabs>
            <w:rPr>
              <w:rFonts w:ascii="宋体" w:hAnsi="宋体" w:cs="Cambria"/>
              <w:bCs w:val="0"/>
            </w:rPr>
          </w:pPr>
          <w:r>
            <w:rPr>
              <w:rFonts w:hint="eastAsia" w:ascii="宋体" w:hAnsi="宋体"/>
            </w:rPr>
            <w:t>未来</w:t>
          </w:r>
          <w:r>
            <w:rPr>
              <w:rFonts w:hint="eastAsia" w:ascii="宋体" w:hAnsi="宋体" w:cs="Cambria"/>
            </w:rPr>
            <w:t>适用法</w:t>
          </w:r>
        </w:p>
        <w:sdt>
          <w:sdtPr>
            <w:alias w:val="是否适用：未来适用法[双击切换]"/>
            <w:tag w:val="_GBC_add0977272ee43e7938e3e96c6aaa92d"/>
            <w:id w:val="167707534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4"/>
        </w:rPr>
        <w:alias w:val="模块:债务重组"/>
        <w:tag w:val="_GBC_998fd0c3432a41e5b98f1c74ffeda751"/>
        <w:id w:val="2000228903"/>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98"/>
            </w:numPr>
            <w:rPr>
              <w:rFonts w:ascii="宋体" w:hAnsi="宋体"/>
            </w:rPr>
          </w:pPr>
          <w:bookmarkStart w:id="257" w:name="_Toc241636518"/>
          <w:r>
            <w:rPr>
              <w:rFonts w:hint="eastAsia" w:ascii="宋体" w:hAnsi="宋体"/>
            </w:rPr>
            <w:t>债务重组</w:t>
          </w:r>
          <w:bookmarkEnd w:id="257"/>
        </w:p>
        <w:sdt>
          <w:sdtPr>
            <w:alias w:val="是否适用：债务重组[双击切换]"/>
            <w:tag w:val="_GBC_a39e02df9c5d42f2bd7e116f823b8615"/>
            <w:id w:val="31107168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98"/>
        </w:numPr>
        <w:rPr>
          <w:rFonts w:ascii="宋体" w:hAnsi="宋体"/>
        </w:rPr>
      </w:pPr>
      <w:r>
        <w:rPr>
          <w:rFonts w:hint="eastAsia" w:ascii="宋体" w:hAnsi="宋体"/>
        </w:rPr>
        <w:t>资产置换</w:t>
      </w:r>
    </w:p>
    <w:sdt>
      <w:sdtPr>
        <w:rPr>
          <w:rFonts w:hint="eastAsia" w:ascii="宋体" w:hAnsi="宋体" w:cs="宋体"/>
          <w:b w:val="0"/>
          <w:bCs w:val="0"/>
          <w:kern w:val="0"/>
          <w:szCs w:val="24"/>
        </w:rPr>
        <w:alias w:val="模块:非货币性资产交换"/>
        <w:tag w:val="_GBC_c8e7bc701c4e40cea43130c65dd24cdf"/>
        <w:id w:val="-1913377345"/>
        <w:lock w:val="sdtLocked"/>
        <w:placeholder>
          <w:docPart w:val="GBC22222222222222222222222222222"/>
        </w:placeholder>
      </w:sdtPr>
      <w:sdtEndPr>
        <w:rPr>
          <w:rFonts w:hint="eastAsia" w:ascii="宋体" w:hAnsi="宋体" w:cstheme="minorBidi"/>
          <w:b w:val="0"/>
          <w:bCs w:val="0"/>
          <w:kern w:val="0"/>
          <w:szCs w:val="21"/>
        </w:rPr>
      </w:sdtEndPr>
      <w:sdtContent>
        <w:p>
          <w:pPr>
            <w:pStyle w:val="5"/>
            <w:numPr>
              <w:ilvl w:val="0"/>
              <w:numId w:val="100"/>
            </w:numPr>
            <w:tabs>
              <w:tab w:val="left" w:pos="644"/>
            </w:tabs>
            <w:rPr>
              <w:rFonts w:ascii="宋体" w:hAnsi="宋体"/>
            </w:rPr>
          </w:pPr>
          <w:bookmarkStart w:id="258" w:name="_Toc241636517"/>
          <w:bookmarkStart w:id="259" w:name="_Toc161412438"/>
          <w:r>
            <w:rPr>
              <w:rFonts w:hint="eastAsia" w:ascii="宋体" w:hAnsi="宋体"/>
            </w:rPr>
            <w:t>非货币性资产交换</w:t>
          </w:r>
          <w:bookmarkEnd w:id="258"/>
          <w:bookmarkEnd w:id="259"/>
        </w:p>
        <w:sdt>
          <w:sdtPr>
            <w:alias w:val="是否适用：非货币性资产交换[双击切换]"/>
            <w:tag w:val="_GBC_1e8378570c9a4db08ad001118944af2e"/>
            <w:id w:val="-120887144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其他资产置换资产说明"/>
        <w:tag w:val="_GBC_a7d8a797c78a4fb398d42fc923a0a5dc"/>
        <w:id w:val="140233436"/>
        <w:lock w:val="sdtLocked"/>
        <w:placeholder>
          <w:docPart w:val="GBC22222222222222222222222222222"/>
        </w:placeholder>
      </w:sdtPr>
      <w:sdtEndPr>
        <w:rPr>
          <w:rFonts w:hint="eastAsia" w:ascii="宋体" w:hAnsi="宋体" w:cstheme="minorBidi"/>
          <w:b w:val="0"/>
          <w:bCs w:val="0"/>
          <w:kern w:val="0"/>
          <w:szCs w:val="21"/>
        </w:rPr>
      </w:sdtEndPr>
      <w:sdtContent>
        <w:p>
          <w:pPr>
            <w:pStyle w:val="5"/>
            <w:numPr>
              <w:ilvl w:val="0"/>
              <w:numId w:val="100"/>
            </w:numPr>
            <w:tabs>
              <w:tab w:val="left" w:pos="644"/>
            </w:tabs>
            <w:rPr>
              <w:rFonts w:ascii="宋体" w:hAnsi="宋体"/>
            </w:rPr>
          </w:pPr>
          <w:r>
            <w:rPr>
              <w:rFonts w:hint="eastAsia" w:ascii="宋体" w:hAnsi="宋体"/>
            </w:rPr>
            <w:t>其他资产置换</w:t>
          </w:r>
        </w:p>
        <w:sdt>
          <w:sdtPr>
            <w:alias w:val="是否适用：其他资产置换[双击切换]"/>
            <w:tag w:val="_GBC_e20be5fc12b94f43a4090c14cc3aec63"/>
            <w:id w:val="118401576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sdt>
      <w:sdtPr>
        <w:rPr>
          <w:rFonts w:hint="eastAsia" w:ascii="宋体" w:hAnsi="宋体" w:cs="宋体"/>
          <w:b w:val="0"/>
          <w:bCs w:val="0"/>
          <w:kern w:val="0"/>
          <w:szCs w:val="24"/>
        </w:rPr>
        <w:alias w:val="模块:年金计划主要内容及重大变化"/>
        <w:tag w:val="_GBC_868ef73c1ce14e36a7c8c41a6c9d1268"/>
        <w:id w:val="101781912"/>
        <w:lock w:val="sdtLocked"/>
        <w:placeholder>
          <w:docPart w:val="GBC22222222222222222222222222222"/>
        </w:placeholder>
      </w:sdtPr>
      <w:sdtEndPr>
        <w:rPr>
          <w:rFonts w:hint="eastAsia" w:ascii="宋体" w:hAnsi="宋体" w:cstheme="minorBidi"/>
          <w:b w:val="0"/>
          <w:bCs w:val="0"/>
          <w:kern w:val="0"/>
          <w:szCs w:val="21"/>
        </w:rPr>
      </w:sdtEndPr>
      <w:sdtContent>
        <w:p>
          <w:pPr>
            <w:pStyle w:val="4"/>
            <w:numPr>
              <w:ilvl w:val="0"/>
              <w:numId w:val="98"/>
            </w:numPr>
            <w:rPr>
              <w:rFonts w:ascii="宋体" w:hAnsi="宋体"/>
            </w:rPr>
          </w:pPr>
          <w:bookmarkStart w:id="260" w:name="_Toc247371936"/>
          <w:r>
            <w:rPr>
              <w:rFonts w:hint="eastAsia" w:ascii="宋体" w:hAnsi="宋体"/>
            </w:rPr>
            <w:t>年金计划</w:t>
          </w:r>
          <w:bookmarkEnd w:id="260"/>
        </w:p>
        <w:sdt>
          <w:sdtPr>
            <w:alias w:val="是否适用：年金计划[双击切换]"/>
            <w:tag w:val="_GBC_f69a163f78f74a54a6443aaa7388f0dd"/>
            <w:id w:val="-1003739188"/>
            <w:lock w:val="sdtLocked"/>
            <w:placeholder>
              <w:docPart w:val="GBC22222222222222222222222222222"/>
            </w:placeholder>
          </w:sdtPr>
          <w:sdtContent>
            <w:p>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终止经营"/>
        <w:tag w:val="_GBC_eb9f713a39454ce1a2b0b09086ca70cc"/>
        <w:id w:val="335043421"/>
        <w:lock w:val="sdtLocked"/>
        <w:placeholder>
          <w:docPart w:val="GBC22222222222222222222222222222"/>
        </w:placeholder>
      </w:sdtPr>
      <w:sdtEndPr>
        <w:rPr>
          <w:rFonts w:hint="eastAsia" w:ascii="宋体" w:hAnsi="宋体" w:cstheme="minorBidi"/>
          <w:b w:val="0"/>
          <w:bCs w:val="0"/>
          <w:kern w:val="2"/>
          <w:szCs w:val="21"/>
        </w:rPr>
      </w:sdtEndPr>
      <w:sdtContent>
        <w:p>
          <w:pPr>
            <w:pStyle w:val="4"/>
            <w:numPr>
              <w:ilvl w:val="0"/>
              <w:numId w:val="98"/>
            </w:numPr>
            <w:rPr>
              <w:rFonts w:ascii="宋体" w:hAnsi="宋体"/>
              <w:szCs w:val="21"/>
            </w:rPr>
          </w:pPr>
          <w:r>
            <w:rPr>
              <w:rFonts w:hint="eastAsia" w:ascii="宋体" w:hAnsi="宋体"/>
              <w:szCs w:val="21"/>
            </w:rPr>
            <w:t>终止经营</w:t>
          </w:r>
        </w:p>
        <w:sdt>
          <w:sdtPr>
            <w:alias w:val="是否适用：终止经营[双击切换]"/>
            <w:tag w:val="_GBC_8e88002e405543f593111633f63e4d8b"/>
            <w:id w:val="125539376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rPr>
              <w:rFonts w:cstheme="minorBidi"/>
              <w:kern w:val="2"/>
            </w:rPr>
          </w:pPr>
        </w:p>
      </w:sdtContent>
    </w:sdt>
    <w:p>
      <w:pPr>
        <w:pStyle w:val="4"/>
        <w:numPr>
          <w:ilvl w:val="0"/>
          <w:numId w:val="98"/>
        </w:numPr>
        <w:rPr>
          <w:rFonts w:ascii="宋体" w:hAnsi="宋体"/>
          <w:szCs w:val="21"/>
        </w:rPr>
      </w:pPr>
      <w:r>
        <w:rPr>
          <w:rFonts w:hint="eastAsia" w:ascii="宋体" w:hAnsi="宋体"/>
          <w:szCs w:val="21"/>
        </w:rPr>
        <w:t>分部信息</w:t>
      </w:r>
    </w:p>
    <w:sdt>
      <w:sdtPr>
        <w:rPr>
          <w:rFonts w:hint="eastAsia" w:ascii="宋体" w:hAnsi="宋体" w:cs="宋体"/>
          <w:b w:val="0"/>
          <w:bCs w:val="0"/>
          <w:kern w:val="0"/>
          <w:szCs w:val="21"/>
        </w:rPr>
        <w:alias w:val="模块:分部信息报告分部的确定依据与会计政策"/>
        <w:tag w:val="_GBC_a659f5b3817d4a3394d1850cd82bbbab"/>
        <w:id w:val="-797525803"/>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1"/>
              <w:numId w:val="101"/>
            </w:numPr>
            <w:tabs>
              <w:tab w:val="left" w:pos="644"/>
            </w:tabs>
            <w:ind w:left="420"/>
            <w:rPr>
              <w:rFonts w:ascii="宋体" w:hAnsi="宋体"/>
              <w:szCs w:val="21"/>
            </w:rPr>
          </w:pPr>
          <w:r>
            <w:rPr>
              <w:rFonts w:hint="eastAsia" w:ascii="宋体" w:hAnsi="宋体"/>
              <w:szCs w:val="21"/>
            </w:rPr>
            <w:t>报告分部的确定依据与会计政策</w:t>
          </w:r>
        </w:p>
        <w:sdt>
          <w:sdtPr>
            <w:alias w:val="是否适用：报告分部的确定依据与会计政策[双击切换]"/>
            <w:tag w:val="_GBC_3684a11ce06644529eba619783a75583"/>
            <w:id w:val="149760655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heme="minorEastAsia" w:hAnsiTheme="minorEastAsia" w:eastAsiaTheme="minorEastAsia"/>
            </w:rPr>
            <w:alias w:val="报告分部的确定依据与会计政策"/>
            <w:tag w:val="_GBC_025e15951a494fa2845d296cf8db1fdb"/>
            <w:id w:val="1875194757"/>
            <w:lock w:val="sdtLocked"/>
            <w:placeholder>
              <w:docPart w:val="GBC22222222222222222222222222222"/>
            </w:placeholder>
          </w:sdtPr>
          <w:sdtEndPr>
            <w:rPr>
              <w:rFonts w:ascii="宋体" w:hAnsi="宋体" w:eastAsia="宋体"/>
            </w:rPr>
          </w:sdtEndPr>
          <w:sdtContent>
            <w:p>
              <w:pPr>
                <w:tabs>
                  <w:tab w:val="left" w:pos="566"/>
                </w:tabs>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r>
                <w:rPr>
                  <w:rFonts w:hint="eastAsia" w:cs="Arial" w:asciiTheme="minorEastAsia" w:hAnsiTheme="minorEastAsia" w:eastAsiaTheme="minorEastAsia"/>
                  <w:color w:val="000000" w:themeColor="text1"/>
                  <w:kern w:val="2"/>
                  <w14:textFill>
                    <w14:solidFill>
                      <w14:schemeClr w14:val="tx1"/>
                    </w14:solidFill>
                  </w14:textFill>
                </w:rPr>
                <w:t>本集团拥有沪宁高速、宁常高速和镇溧高速、广靖高速和锡澄高速、锡宜高速和无锡环太湖公路、镇丹高速、五峰山大桥、常宜高速、宜长高速、龙潭大桥、公路配套服务</w:t>
              </w:r>
              <w:r>
                <w:rPr>
                  <w:rFonts w:cs="Arial" w:asciiTheme="minorEastAsia" w:hAnsiTheme="minorEastAsia" w:eastAsiaTheme="minorEastAsia"/>
                  <w:color w:val="000000" w:themeColor="text1"/>
                  <w:kern w:val="2"/>
                  <w14:textFill>
                    <w14:solidFill>
                      <w14:schemeClr w14:val="tx1"/>
                    </w14:solidFill>
                  </w14:textFill>
                </w:rPr>
                <w:t xml:space="preserve"> (</w:t>
              </w:r>
              <w:r>
                <w:rPr>
                  <w:rFonts w:hint="eastAsia" w:cs="Arial" w:asciiTheme="minorEastAsia" w:hAnsiTheme="minorEastAsia" w:eastAsiaTheme="minorEastAsia"/>
                  <w:color w:val="000000" w:themeColor="text1"/>
                  <w:kern w:val="2"/>
                  <w14:textFill>
                    <w14:solidFill>
                      <w14:schemeClr w14:val="tx1"/>
                    </w14:solidFill>
                  </w14:textFill>
                </w:rPr>
                <w:t>包括高速公路服务区的加油，餐饮，零售业务</w:t>
              </w:r>
              <w:r>
                <w:rPr>
                  <w:rFonts w:cs="Arial" w:asciiTheme="minorEastAsia" w:hAnsiTheme="minorEastAsia" w:eastAsiaTheme="minorEastAsia"/>
                  <w:color w:val="000000" w:themeColor="text1"/>
                  <w:kern w:val="2"/>
                  <w14:textFill>
                    <w14:solidFill>
                      <w14:schemeClr w14:val="tx1"/>
                    </w14:solidFill>
                  </w14:textFill>
                </w:rPr>
                <w:t xml:space="preserve">) </w:t>
              </w:r>
              <w:r>
                <w:rPr>
                  <w:rFonts w:hint="eastAsia" w:cs="Arial" w:asciiTheme="minorEastAsia" w:hAnsiTheme="minorEastAsia" w:eastAsiaTheme="minorEastAsia"/>
                  <w:color w:val="000000" w:themeColor="text1"/>
                  <w:kern w:val="2"/>
                  <w14:textFill>
                    <w14:solidFill>
                      <w14:schemeClr w14:val="tx1"/>
                    </w14:solidFill>
                  </w14:textFill>
                </w:rPr>
                <w:t>、房地产开发、电力销售、广告及其他共</w:t>
              </w:r>
              <w:r>
                <w:rPr>
                  <w:rFonts w:cs="Arial" w:asciiTheme="minorEastAsia" w:hAnsiTheme="minorEastAsia" w:eastAsiaTheme="minorEastAsia"/>
                  <w:color w:val="000000" w:themeColor="text1"/>
                  <w:kern w:val="2"/>
                  <w14:textFill>
                    <w14:solidFill>
                      <w14:schemeClr w14:val="tx1"/>
                    </w14:solidFill>
                  </w14:textFill>
                </w:rPr>
                <w:t>13</w:t>
              </w:r>
              <w:r>
                <w:rPr>
                  <w:rFonts w:hint="eastAsia" w:cs="Arial" w:asciiTheme="minorEastAsia" w:hAnsiTheme="minorEastAsia" w:eastAsiaTheme="minorEastAsia"/>
                  <w:color w:val="000000" w:themeColor="text1"/>
                  <w:kern w:val="2"/>
                  <w14:textFill>
                    <w14:solidFill>
                      <w14:schemeClr w14:val="tx1"/>
                    </w14:solidFill>
                  </w14:textFill>
                </w:rPr>
                <w:t>个报告分部。本集团管理层定期审阅不同分部的财务信息以决定向其配置资源、评价业绩。</w:t>
              </w:r>
            </w:p>
            <w:p>
              <w:pPr>
                <w:tabs>
                  <w:tab w:val="left" w:pos="851"/>
                </w:tabs>
                <w:overflowPunct w:val="0"/>
                <w:adjustRightInd w:val="0"/>
                <w:snapToGrid w:val="0"/>
                <w:ind w:hanging="851"/>
                <w:jc w:val="both"/>
                <w:rPr>
                  <w:rFonts w:cs="Arial" w:asciiTheme="minorEastAsia" w:hAnsiTheme="minorEastAsia" w:eastAsiaTheme="minorEastAsia"/>
                  <w:iCs/>
                  <w:color w:val="000000" w:themeColor="text1"/>
                  <w14:textFill>
                    <w14:solidFill>
                      <w14:schemeClr w14:val="tx1"/>
                    </w14:solidFill>
                  </w14:textFill>
                </w:rPr>
              </w:pPr>
              <w:r>
                <w:rPr>
                  <w:rFonts w:cs="Arial" w:asciiTheme="minorEastAsia" w:hAnsiTheme="minorEastAsia" w:eastAsiaTheme="minorEastAsia"/>
                  <w:iCs/>
                  <w:color w:val="000000" w:themeColor="text1"/>
                  <w14:textFill>
                    <w14:solidFill>
                      <w14:schemeClr w14:val="tx1"/>
                    </w14:solidFill>
                  </w14:textFill>
                </w:rPr>
                <w:t xml:space="preserve">        (1) </w:t>
              </w:r>
              <w:r>
                <w:rPr>
                  <w:rFonts w:hint="eastAsia" w:cs="Arial" w:asciiTheme="minorEastAsia" w:hAnsiTheme="minorEastAsia" w:eastAsiaTheme="minorEastAsia"/>
                  <w:iCs/>
                  <w:color w:val="000000" w:themeColor="text1"/>
                  <w14:textFill>
                    <w14:solidFill>
                      <w14:schemeClr w14:val="tx1"/>
                    </w14:solidFill>
                  </w14:textFill>
                </w:rPr>
                <w:t>报告分部的利润或亏损及资产的信息</w:t>
              </w:r>
            </w:p>
            <w:p>
              <w:pPr>
                <w:tabs>
                  <w:tab w:val="left" w:pos="566"/>
                </w:tabs>
                <w:overflowPunct w:val="0"/>
                <w:adjustRightInd w:val="0"/>
                <w:snapToGrid w:val="0"/>
                <w:jc w:val="both"/>
                <w:rPr>
                  <w:rFonts w:cs="Arial" w:asciiTheme="minorEastAsia" w:hAnsiTheme="minorEastAsia" w:eastAsiaTheme="minorEastAsia"/>
                  <w:color w:val="000000" w:themeColor="text1"/>
                  <w:kern w:val="2"/>
                  <w14:textFill>
                    <w14:solidFill>
                      <w14:schemeClr w14:val="tx1"/>
                    </w14:solidFill>
                  </w14:textFill>
                </w:rPr>
              </w:pPr>
            </w:p>
            <w:p>
              <w:pPr>
                <w:overflowPunct w:val="0"/>
                <w:adjustRightInd w:val="0"/>
                <w:snapToGrid w:val="0"/>
                <w:jc w:val="both"/>
                <w:rPr>
                  <w:rFonts w:cs="Arial" w:asciiTheme="minorEastAsia" w:hAnsiTheme="minorEastAsia" w:eastAsiaTheme="minorEastAsia"/>
                  <w:iCs/>
                  <w:color w:val="000000" w:themeColor="text1"/>
                  <w:lang w:val="en-GB"/>
                  <w14:textFill>
                    <w14:solidFill>
                      <w14:schemeClr w14:val="tx1"/>
                    </w14:solidFill>
                  </w14:textFill>
                </w:rPr>
              </w:pPr>
              <w:r>
                <w:rPr>
                  <w:rFonts w:hint="eastAsia" w:cs="Arial" w:asciiTheme="minorEastAsia" w:hAnsiTheme="minorEastAsia" w:eastAsiaTheme="minorEastAsia"/>
                  <w:iCs/>
                  <w:color w:val="000000" w:themeColor="text1"/>
                  <w14:textFill>
                    <w14:solidFill>
                      <w14:schemeClr w14:val="tx1"/>
                    </w14:solidFill>
                  </w14:textFill>
                </w:rPr>
                <w:t>为了评价各个分部的业绩及向其配置资源，本集团管理层会定期审阅归属于各分部资产、负债、收入、费用及经营成果，这些信息的编制基础如下：</w:t>
              </w:r>
            </w:p>
            <w:p>
              <w:pPr>
                <w:overflowPunct w:val="0"/>
                <w:adjustRightInd w:val="0"/>
                <w:snapToGrid w:val="0"/>
                <w:jc w:val="both"/>
                <w:rPr>
                  <w:rFonts w:cs="Arial" w:asciiTheme="minorEastAsia" w:hAnsiTheme="minorEastAsia" w:eastAsiaTheme="minorEastAsia"/>
                  <w:iCs/>
                  <w:color w:val="000000" w:themeColor="text1"/>
                  <w14:textFill>
                    <w14:solidFill>
                      <w14:schemeClr w14:val="tx1"/>
                    </w14:solidFill>
                  </w14:textFill>
                </w:rPr>
              </w:pPr>
            </w:p>
            <w:p>
              <w:pPr>
                <w:overflowPunct w:val="0"/>
                <w:adjustRightInd w:val="0"/>
                <w:snapToGrid w:val="0"/>
                <w:jc w:val="both"/>
                <w:rPr>
                  <w:rFonts w:cs="Arial" w:asciiTheme="minorEastAsia" w:hAnsiTheme="minorEastAsia" w:eastAsiaTheme="minorEastAsia"/>
                  <w:iCs/>
                  <w:color w:val="000000" w:themeColor="text1"/>
                  <w14:textFill>
                    <w14:solidFill>
                      <w14:schemeClr w14:val="tx1"/>
                    </w14:solidFill>
                  </w14:textFill>
                </w:rPr>
              </w:pPr>
              <w:r>
                <w:rPr>
                  <w:rFonts w:hint="eastAsia" w:cs="Arial" w:asciiTheme="minorEastAsia" w:hAnsiTheme="minorEastAsia" w:eastAsiaTheme="minorEastAsia"/>
                  <w:iCs/>
                  <w:color w:val="000000" w:themeColor="text1"/>
                  <w14:textFill>
                    <w14:solidFill>
                      <w14:schemeClr w14:val="tx1"/>
                    </w14:solidFill>
                  </w14:textFill>
                </w:rPr>
                <w:t>分部资产包括归属于各分部的所有的有形资产、无形资产、其他长期资产及应收款项等流动资产，但不包括递延所得税资产及其他未分配的总部资产。</w:t>
              </w:r>
            </w:p>
            <w:p>
              <w:pPr>
                <w:overflowPunct w:val="0"/>
                <w:adjustRightInd w:val="0"/>
                <w:snapToGrid w:val="0"/>
                <w:jc w:val="both"/>
                <w:rPr>
                  <w:rFonts w:cs="Arial" w:asciiTheme="minorEastAsia" w:hAnsiTheme="minorEastAsia" w:eastAsiaTheme="minorEastAsia"/>
                  <w:color w:val="000000" w:themeColor="text1"/>
                  <w14:textFill>
                    <w14:solidFill>
                      <w14:schemeClr w14:val="tx1"/>
                    </w14:solidFill>
                  </w14:textFill>
                </w:rPr>
              </w:pPr>
            </w:p>
            <w:p>
              <w:pPr>
                <w:overflowPunct w:val="0"/>
                <w:adjustRightInd w:val="0"/>
                <w:snapToGrid w:val="0"/>
                <w:jc w:val="both"/>
                <w:rPr>
                  <w:rFonts w:cs="Arial" w:asciiTheme="minorEastAsia" w:hAnsiTheme="minorEastAsia" w:eastAsiaTheme="minorEastAsia"/>
                  <w:iCs/>
                  <w:color w:val="000000" w:themeColor="text1"/>
                  <w:lang w:val="en-GB"/>
                  <w14:textFill>
                    <w14:solidFill>
                      <w14:schemeClr w14:val="tx1"/>
                    </w14:solidFill>
                  </w14:textFill>
                </w:rPr>
              </w:pPr>
              <w:r>
                <w:rPr>
                  <w:rFonts w:hint="eastAsia" w:cs="Arial" w:asciiTheme="minorEastAsia" w:hAnsiTheme="minorEastAsia" w:eastAsiaTheme="minorEastAsia"/>
                  <w:iCs/>
                  <w:color w:val="000000" w:themeColor="text1"/>
                  <w14:textFill>
                    <w14:solidFill>
                      <w14:schemeClr w14:val="tx1"/>
                    </w14:solidFill>
                  </w14:textFill>
                </w:rPr>
                <w:t>分部经营成果是指各个分部产生的收入</w:t>
              </w:r>
              <w:r>
                <w:rPr>
                  <w:rFonts w:cs="Arial" w:asciiTheme="minorEastAsia" w:hAnsiTheme="minorEastAsia" w:eastAsiaTheme="minorEastAsia"/>
                  <w:iCs/>
                  <w:color w:val="000000" w:themeColor="text1"/>
                  <w14:textFill>
                    <w14:solidFill>
                      <w14:schemeClr w14:val="tx1"/>
                    </w14:solidFill>
                  </w14:textFill>
                </w:rPr>
                <w:t xml:space="preserve"> (</w:t>
              </w:r>
              <w:r>
                <w:rPr>
                  <w:rFonts w:hint="eastAsia" w:cs="Arial" w:asciiTheme="minorEastAsia" w:hAnsiTheme="minorEastAsia" w:eastAsiaTheme="minorEastAsia"/>
                  <w:iCs/>
                  <w:color w:val="000000" w:themeColor="text1"/>
                  <w14:textFill>
                    <w14:solidFill>
                      <w14:schemeClr w14:val="tx1"/>
                    </w14:solidFill>
                  </w14:textFill>
                </w:rPr>
                <w:t>包括对外交易收入及分部间的交易收入</w:t>
              </w:r>
              <w:r>
                <w:rPr>
                  <w:rFonts w:cs="Arial" w:asciiTheme="minorEastAsia" w:hAnsiTheme="minorEastAsia" w:eastAsiaTheme="minorEastAsia"/>
                  <w:iCs/>
                  <w:color w:val="000000" w:themeColor="text1"/>
                  <w14:textFill>
                    <w14:solidFill>
                      <w14:schemeClr w14:val="tx1"/>
                    </w14:solidFill>
                  </w14:textFill>
                </w:rPr>
                <w:t>)</w:t>
              </w:r>
              <w:r>
                <w:rPr>
                  <w:rFonts w:hint="eastAsia" w:cs="Arial" w:asciiTheme="minorEastAsia" w:hAnsiTheme="minorEastAsia" w:eastAsiaTheme="minorEastAsia"/>
                  <w:iCs/>
                  <w:color w:val="000000" w:themeColor="text1"/>
                  <w14:textFill>
                    <w14:solidFill>
                      <w14:schemeClr w14:val="tx1"/>
                    </w14:solidFill>
                  </w14:textFill>
                </w:rPr>
                <w:t>，扣除各个分部发生的费用、归属于各分部的资产发生的折旧和摊销及减值损失后的净额。分部之间收入的转移定价按照与其他对外交易相似的条款计算。本集团并没有将财务费用，</w:t>
              </w:r>
              <w:r>
                <w:rPr>
                  <w:rFonts w:hint="eastAsia" w:cs="Arial" w:asciiTheme="minorEastAsia" w:hAnsiTheme="minorEastAsia" w:eastAsiaTheme="minorEastAsia"/>
                  <w:color w:val="000000" w:themeColor="text1"/>
                  <w:kern w:val="2"/>
                  <w14:textFill>
                    <w14:solidFill>
                      <w14:schemeClr w14:val="tx1"/>
                    </w14:solidFill>
                  </w14:textFill>
                </w:rPr>
                <w:t>投资收益、公允价值变动损益、部分管理费用、部分</w:t>
              </w:r>
              <w:r>
                <w:rPr>
                  <w:rFonts w:hint="eastAsia" w:cs="Arial" w:asciiTheme="minorEastAsia" w:hAnsiTheme="minorEastAsia" w:eastAsiaTheme="minorEastAsia"/>
                  <w:iCs/>
                  <w:color w:val="000000" w:themeColor="text1"/>
                  <w14:textFill>
                    <w14:solidFill>
                      <w14:schemeClr w14:val="tx1"/>
                    </w14:solidFill>
                  </w14:textFill>
                </w:rPr>
                <w:t>营业外收入及所得税费用分配给各分部。</w:t>
              </w:r>
            </w:p>
            <w:p>
              <w:pPr>
                <w:pStyle w:val="114"/>
              </w:pPr>
            </w:p>
          </w:sdtContent>
        </w:sdt>
      </w:sdtContent>
    </w:sdt>
    <w:sdt>
      <w:sdtPr>
        <w:rPr>
          <w:rFonts w:hint="eastAsia" w:ascii="宋体" w:hAnsi="宋体" w:cs="宋体"/>
          <w:b w:val="0"/>
          <w:bCs w:val="0"/>
          <w:kern w:val="0"/>
          <w:szCs w:val="24"/>
        </w:rPr>
        <w:alias w:val="模块:报告分部的财务信息"/>
        <w:tag w:val="_GBC_7bcfc6b35dea4597b05ae9db882c542b"/>
        <w:id w:val="8065395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1"/>
              <w:numId w:val="101"/>
            </w:numPr>
            <w:tabs>
              <w:tab w:val="left" w:pos="644"/>
            </w:tabs>
            <w:ind w:left="420"/>
            <w:rPr>
              <w:rFonts w:ascii="宋体" w:hAnsi="宋体"/>
            </w:rPr>
          </w:pPr>
          <w:r>
            <w:rPr>
              <w:rFonts w:hint="eastAsia" w:ascii="宋体" w:hAnsi="宋体"/>
            </w:rPr>
            <w:t>报告分部的财务信息</w:t>
          </w:r>
        </w:p>
        <w:sdt>
          <w:sdtPr>
            <w:alias w:val="是否适用：报告分部的财务信息[双击切换]"/>
            <w:tag w:val="_GBC_25e6ee3686524d959ae273bb5aaa9cfb"/>
            <w:id w:val="572088254"/>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wordWrap w:val="0"/>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财务附注：报告分部的财务信息"/>
              <w:tag w:val="_GBC_bed196c2a65649e69e8eda77c9168933"/>
              <w:id w:val="1215158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财务附注：报告分部的财务信息"/>
              <w:tag w:val="_GBC_22cbe62652b3461e90f84a6c3cef03c1"/>
              <w:id w:val="-15691009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
            <w:gridCol w:w="582"/>
            <w:gridCol w:w="536"/>
            <w:gridCol w:w="582"/>
            <w:gridCol w:w="583"/>
            <w:gridCol w:w="583"/>
            <w:gridCol w:w="583"/>
            <w:gridCol w:w="583"/>
            <w:gridCol w:w="606"/>
            <w:gridCol w:w="583"/>
            <w:gridCol w:w="537"/>
            <w:gridCol w:w="583"/>
            <w:gridCol w:w="583"/>
            <w:gridCol w:w="583"/>
            <w:gridCol w:w="629"/>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heme="minorEastAsia" w:hAnsiTheme="minorEastAsia"/>
                  <w:sz w:val="10"/>
                  <w:szCs w:val="10"/>
                </w:rPr>
                <w:tag w:val="_PLD_2124bd1595e9432ab250a15c084078c3"/>
                <w:id w:val="-2091228318"/>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项目</w:t>
                    </w:r>
                  </w:p>
                </w:tc>
              </w:sdtContent>
            </w:sdt>
            <w:sdt>
              <w:sdtPr>
                <w:rPr>
                  <w:rFonts w:asciiTheme="minorEastAsia" w:hAnsiTheme="minorEastAsia"/>
                  <w:sz w:val="10"/>
                  <w:szCs w:val="10"/>
                </w:rPr>
                <w:alias w:val="分部报告科目名称"/>
                <w:tag w:val="_GBC_24843a4914494260b42de1b13e529c2d"/>
                <w:id w:val="-336614948"/>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沪宁高速</w:t>
                    </w:r>
                  </w:p>
                </w:tc>
              </w:sdtContent>
            </w:sdt>
            <w:sdt>
              <w:sdtPr>
                <w:rPr>
                  <w:rFonts w:asciiTheme="minorEastAsia" w:hAnsiTheme="minorEastAsia"/>
                  <w:sz w:val="10"/>
                  <w:szCs w:val="10"/>
                </w:rPr>
                <w:alias w:val="分部报告科目名称"/>
                <w:tag w:val="_GBC_24843a4914494260b42de1b13e529c2d"/>
                <w:id w:val="-1015154461"/>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广靖高速和锡澄高速</w:t>
                    </w:r>
                  </w:p>
                </w:tc>
              </w:sdtContent>
            </w:sdt>
            <w:sdt>
              <w:sdtPr>
                <w:rPr>
                  <w:rFonts w:asciiTheme="minorEastAsia" w:hAnsiTheme="minorEastAsia"/>
                  <w:sz w:val="10"/>
                  <w:szCs w:val="10"/>
                </w:rPr>
                <w:alias w:val="分部报告科目名称"/>
                <w:tag w:val="_GBC_24843a4914494260b42de1b13e529c2d"/>
                <w:id w:val="-1863740164"/>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锡宜高速和无锡环太湖公路</w:t>
                    </w:r>
                  </w:p>
                </w:tc>
              </w:sdtContent>
            </w:sdt>
            <w:sdt>
              <w:sdtPr>
                <w:rPr>
                  <w:rFonts w:asciiTheme="minorEastAsia" w:hAnsiTheme="minorEastAsia"/>
                  <w:sz w:val="10"/>
                  <w:szCs w:val="10"/>
                </w:rPr>
                <w:alias w:val="分部报告科目名称"/>
                <w:tag w:val="_GBC_24843a4914494260b42de1b13e529c2d"/>
                <w:id w:val="-334146493"/>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常宜高速</w:t>
                    </w:r>
                  </w:p>
                </w:tc>
              </w:sdtContent>
            </w:sdt>
            <w:sdt>
              <w:sdtPr>
                <w:rPr>
                  <w:rFonts w:asciiTheme="minorEastAsia" w:hAnsiTheme="minorEastAsia"/>
                  <w:sz w:val="10"/>
                  <w:szCs w:val="10"/>
                </w:rPr>
                <w:alias w:val="分部报告科目名称"/>
                <w:tag w:val="_GBC_24843a4914494260b42de1b13e529c2d"/>
                <w:id w:val="-776558896"/>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宜长高速</w:t>
                    </w:r>
                  </w:p>
                </w:tc>
              </w:sdtContent>
            </w:sdt>
            <w:sdt>
              <w:sdtPr>
                <w:rPr>
                  <w:rFonts w:asciiTheme="minorEastAsia" w:hAnsiTheme="minorEastAsia"/>
                  <w:sz w:val="10"/>
                  <w:szCs w:val="10"/>
                </w:rPr>
                <w:alias w:val="分部报告科目名称"/>
                <w:tag w:val="_GBC_24843a4914494260b42de1b13e529c2d"/>
                <w:id w:val="-544441844"/>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宁常高速和镇溧高速</w:t>
                    </w:r>
                  </w:p>
                </w:tc>
              </w:sdtContent>
            </w:sdt>
            <w:sdt>
              <w:sdtPr>
                <w:rPr>
                  <w:rFonts w:asciiTheme="minorEastAsia" w:hAnsiTheme="minorEastAsia"/>
                  <w:sz w:val="10"/>
                  <w:szCs w:val="10"/>
                </w:rPr>
                <w:alias w:val="分部报告科目名称"/>
                <w:tag w:val="_GBC_24843a4914494260b42de1b13e529c2d"/>
                <w:id w:val="-2027245987"/>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镇丹高速</w:t>
                    </w:r>
                  </w:p>
                </w:tc>
              </w:sdtContent>
            </w:sdt>
            <w:sdt>
              <w:sdtPr>
                <w:rPr>
                  <w:rFonts w:asciiTheme="minorEastAsia" w:hAnsiTheme="minorEastAsia"/>
                  <w:sz w:val="10"/>
                  <w:szCs w:val="10"/>
                </w:rPr>
                <w:alias w:val="分部报告科目名称"/>
                <w:tag w:val="_GBC_24843a4914494260b42de1b13e529c2d"/>
                <w:id w:val="-1931807182"/>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五峰山大桥</w:t>
                    </w:r>
                  </w:p>
                </w:tc>
              </w:sdtContent>
            </w:sdt>
            <w:sdt>
              <w:sdtPr>
                <w:rPr>
                  <w:rFonts w:asciiTheme="minorEastAsia" w:hAnsiTheme="minorEastAsia"/>
                  <w:sz w:val="10"/>
                  <w:szCs w:val="10"/>
                </w:rPr>
                <w:alias w:val="分部报告科目名称"/>
                <w:tag w:val="_GBC_24843a4914494260b42de1b13e529c2d"/>
                <w:id w:val="1474106782"/>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龙潭大桥</w:t>
                    </w:r>
                  </w:p>
                </w:tc>
              </w:sdtContent>
            </w:sdt>
            <w:sdt>
              <w:sdtPr>
                <w:rPr>
                  <w:rFonts w:asciiTheme="minorEastAsia" w:hAnsiTheme="minorEastAsia"/>
                  <w:sz w:val="10"/>
                  <w:szCs w:val="10"/>
                </w:rPr>
                <w:alias w:val="分部报告科目名称"/>
                <w:tag w:val="_GBC_24843a4914494260b42de1b13e529c2d"/>
                <w:id w:val="-1783871182"/>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公路配套服务</w:t>
                    </w:r>
                  </w:p>
                </w:tc>
              </w:sdtContent>
            </w:sdt>
            <w:sdt>
              <w:sdtPr>
                <w:rPr>
                  <w:rFonts w:asciiTheme="minorEastAsia" w:hAnsiTheme="minorEastAsia"/>
                  <w:sz w:val="10"/>
                  <w:szCs w:val="10"/>
                </w:rPr>
                <w:alias w:val="分部报告科目名称"/>
                <w:tag w:val="_GBC_24843a4914494260b42de1b13e529c2d"/>
                <w:id w:val="1628899541"/>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房地产开发</w:t>
                    </w:r>
                  </w:p>
                </w:tc>
              </w:sdtContent>
            </w:sdt>
            <w:sdt>
              <w:sdtPr>
                <w:rPr>
                  <w:rFonts w:asciiTheme="minorEastAsia" w:hAnsiTheme="minorEastAsia"/>
                  <w:sz w:val="10"/>
                  <w:szCs w:val="10"/>
                </w:rPr>
                <w:alias w:val="分部报告科目名称"/>
                <w:tag w:val="_GBC_24843a4914494260b42de1b13e529c2d"/>
                <w:id w:val="713707873"/>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电力销售</w:t>
                    </w:r>
                  </w:p>
                </w:tc>
              </w:sdtContent>
            </w:sdt>
            <w:sdt>
              <w:sdtPr>
                <w:rPr>
                  <w:rFonts w:asciiTheme="minorEastAsia" w:hAnsiTheme="minorEastAsia"/>
                  <w:sz w:val="10"/>
                  <w:szCs w:val="10"/>
                </w:rPr>
                <w:alias w:val="分部报告科目名称"/>
                <w:tag w:val="_GBC_24843a4914494260b42de1b13e529c2d"/>
                <w:id w:val="1024673178"/>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广告及其他</w:t>
                    </w:r>
                  </w:p>
                </w:tc>
              </w:sdtContent>
            </w:sdt>
            <w:sdt>
              <w:sdtPr>
                <w:rPr>
                  <w:rFonts w:asciiTheme="minorEastAsia" w:hAnsiTheme="minorEastAsia"/>
                  <w:sz w:val="10"/>
                  <w:szCs w:val="10"/>
                </w:rPr>
                <w:tag w:val="_PLD_bbb5338509514804b5ec1d4ec145b14b"/>
                <w:id w:val="-1995179770"/>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分部间抵销</w:t>
                    </w:r>
                  </w:p>
                </w:tc>
              </w:sdtContent>
            </w:sdt>
            <w:sdt>
              <w:sdtPr>
                <w:rPr>
                  <w:rFonts w:asciiTheme="minorEastAsia" w:hAnsiTheme="minorEastAsia"/>
                  <w:sz w:val="10"/>
                  <w:szCs w:val="10"/>
                </w:rPr>
                <w:tag w:val="_PLD_fa3be9e49ff54f5f94b69f487029a441"/>
                <w:id w:val="-951864497"/>
                <w:lock w:val="sdtLocked"/>
              </w:sdtPr>
              <w:sdtEndPr>
                <w:rPr>
                  <w:rFonts w:asciiTheme="minorEastAsia" w:hAnsiTheme="minorEastAsia"/>
                  <w:sz w:val="10"/>
                  <w:szCs w:val="10"/>
                </w:rPr>
              </w:sdtEndPr>
              <w:sdtContent>
                <w:tc>
                  <w:tcPr>
                    <w:tcW w:w="0" w:type="auto"/>
                    <w:tcBorders>
                      <w:top w:val="single" w:color="auto" w:sz="4" w:space="0"/>
                      <w:left w:val="single" w:color="auto" w:sz="4" w:space="0"/>
                      <w:bottom w:val="single" w:color="auto" w:sz="4" w:space="0"/>
                      <w:right w:val="single" w:color="auto" w:sz="4" w:space="0"/>
                    </w:tcBorders>
                    <w:shd w:val="clear" w:color="auto" w:fill="auto"/>
                  </w:tcPr>
                  <w:p>
                    <w:pPr>
                      <w:jc w:val="center"/>
                      <w:rPr>
                        <w:rFonts w:asciiTheme="minorEastAsia" w:hAnsiTheme="minorEastAsia"/>
                        <w:sz w:val="10"/>
                        <w:szCs w:val="10"/>
                      </w:rPr>
                    </w:pPr>
                    <w:r>
                      <w:rPr>
                        <w:rFonts w:hint="eastAsia" w:asciiTheme="minorEastAsia" w:hAnsiTheme="minorEastAsia"/>
                        <w:sz w:val="10"/>
                        <w:szCs w:val="10"/>
                      </w:rPr>
                      <w:t>合计</w:t>
                    </w:r>
                  </w:p>
                </w:tc>
              </w:sdtContent>
            </w:sdt>
          </w:tr>
          <w:sdt>
            <w:sdtPr>
              <w:rPr>
                <w:rFonts w:asciiTheme="minorEastAsia" w:hAnsiTheme="minorEastAsia" w:eastAsiaTheme="minorEastAsia" w:cstheme="minorBidi"/>
                <w:sz w:val="10"/>
                <w:szCs w:val="10"/>
                <w:lang w:val="en-GB"/>
              </w:rPr>
              <w:alias w:val="报告分部的财务信息明细"/>
              <w:tag w:val="_GBC_435f11a5acef4777992074d40da0f5c0"/>
              <w:id w:val="1395850356"/>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分部营业收入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2,587,561,515.16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428,290,778.80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293,529,522.24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62,422,260.18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64,826,188.79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662,912,930.57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44,766,021.04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378,076,286.10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900,406,623.93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245,487,117.95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351,427,537.00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112,463,005.98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1,003,842,165.73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7,136,011,953.47</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769348933"/>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营业成本</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819,032,856.47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100,115,895.57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187,787,993.95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51,664,516.37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47,053,251.95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227,251,943.36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35,468,758.43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136,789,514.45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892,236,576.39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168,806,371.56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171,257,113.09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85,355,320.38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1,003,842,165.73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3,926,662,277.70</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557774317"/>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其中：公路经营权摊销</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343,558,570.66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45,247,938.46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94,106,183.38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44,415,889.15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35,295,736.87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154,278,552.83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20,278,482.31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46,532,099.19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783,713,452.85</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909538010"/>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油品及服务区零售商品成本</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730,382,066.86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730,382,066.86</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012649464"/>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分部营业利润</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1,768,528,658.69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328,174,883.23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105,741,528.29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10,757,743.81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17,772,936.84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435,660,987.21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9,297,262.61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241,286,771.65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8,170,047.54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76,680,746.39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180,170,423.91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27,107,685.60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3,209,349,675.77</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23000043"/>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调节项目：</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325637071"/>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减：税金及附加</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9,315,221.45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1,541,846.80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1,056,706.28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224,720.14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233,374.28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2,386,486.55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161,157.68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1,361,074.63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2,528,128.44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18,399,544.68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570,881.89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682,204.43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38,461,347.25</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551966476"/>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销售费用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5,803,128.77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5,803,128.77</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862818532"/>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asciiTheme="minorEastAsia" w:hAnsiTheme="minorEastAsia"/>
                        <w:sz w:val="10"/>
                        <w:szCs w:val="10"/>
                      </w:rPr>
                      <w:t xml:space="preserve">    管理费用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31,473,447.42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78,153,948.57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109,627,395.99</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493959475"/>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财务费用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533,463,186.75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533,463,186.75</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47419321"/>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加：其他收益</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8,507,890.11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2,104,878.01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65,202.49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1,128,423.39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11,806,394.00</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297271627"/>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投资收益</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613,519,419.63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613,519,419.63</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220530772"/>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公允价值变动损益</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75,602,122.87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75,602,122.87</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402442388"/>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信用减值损失</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8,941,646.00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8,941,646.00</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875349408"/>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asciiTheme="minorEastAsia" w:hAnsiTheme="minorEastAsia"/>
                        <w:sz w:val="10"/>
                        <w:szCs w:val="10"/>
                      </w:rPr>
                      <w:t xml:space="preserve">    资产减值损失</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0.00</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566834259"/>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asciiTheme="minorEastAsia" w:hAnsiTheme="minorEastAsia"/>
                        <w:sz w:val="10"/>
                        <w:szCs w:val="10"/>
                      </w:rPr>
                      <w:t xml:space="preserve">    资产处置收益(损失)</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4,789,530.84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4,789,530.84</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328492903"/>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营业利润</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1,736,247,879.93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326,633,036.43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104,684,822.01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10,533,023.67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17,539,562.56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435,379,378.67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9,136,104.93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239,925,697.02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  </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5,641,919.10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52,543,275.43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179,599,542.02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26,425,481.17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74,480,715.41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3,218,770,438.35</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822630213"/>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营业外收入</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8,158,797.75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8,158,797.75</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330481833"/>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营业外支出</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10,813,382.08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10,813,382.08</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521013450"/>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利润总额</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1,736,247,879.93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326,633,036.43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104,684,822.01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10,533,023.67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17,539,562.56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435,379,378.67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9,136,104.93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239,925,697.02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5,641,919.10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52,543,275.43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179,599,542.02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26,425,481.17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71,826,131.08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3,216,115,854.02</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348596318"/>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所得税</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628,491,894.66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628,491,894.66</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725097036"/>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净利润</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1,736,247,879.93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326,633,036.43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104,684,822.01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10,533,023.67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17,539,562.56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435,379,378.67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9,136,104.93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239,925,697.02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 xml:space="preserve"> -  </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5,641,919.10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52,543,275.43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179,599,542.02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26,425,481.17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556,665,763.58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2,587,623,959.36</w:t>
                    </w: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1388869000"/>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p>
                </w:tc>
              </w:tr>
            </w:sdtContent>
          </w:sdt>
          <w:sdt>
            <w:sdtPr>
              <w:rPr>
                <w:rFonts w:asciiTheme="minorEastAsia" w:hAnsiTheme="minorEastAsia" w:eastAsiaTheme="minorEastAsia" w:cstheme="minorBidi"/>
                <w:sz w:val="10"/>
                <w:szCs w:val="10"/>
                <w:lang w:val="en-GB"/>
              </w:rPr>
              <w:alias w:val="报告分部的财务信息明细"/>
              <w:tag w:val="_GBC_435f11a5acef4777992074d40da0f5c0"/>
              <w:id w:val="-2112654319"/>
              <w:lock w:val="sdtLocked"/>
            </w:sdtPr>
            <w:sdtEndPr>
              <w:rPr>
                <w:rFonts w:asciiTheme="minorEastAsia" w:hAnsiTheme="minorEastAsia" w:eastAsiaTheme="minorEastAsia" w:cstheme="minorBidi"/>
                <w:sz w:val="10"/>
                <w:szCs w:val="10"/>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tcPr>
                  <w:p>
                    <w:pPr>
                      <w:rPr>
                        <w:rFonts w:asciiTheme="minorEastAsia" w:hAnsiTheme="minorEastAsia"/>
                        <w:sz w:val="10"/>
                        <w:szCs w:val="10"/>
                      </w:rPr>
                    </w:pPr>
                    <w:r>
                      <w:rPr>
                        <w:rFonts w:hint="eastAsia" w:asciiTheme="minorEastAsia" w:hAnsiTheme="minorEastAsia"/>
                        <w:sz w:val="10"/>
                        <w:szCs w:val="10"/>
                      </w:rPr>
                      <w:t>分部资产总额</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7,363,914,940.52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646,336,370.55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1,314,088,060.71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3,603,820,139.74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3,717,850,651.82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4,058,971,753.60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1,621,916,771.62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11,881,199,332.89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5,527,311,168.23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401,531,142.48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2,315,882,104.44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4,592,355,612.81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1,276,697,123.95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hint="eastAsia" w:asciiTheme="minorEastAsia" w:hAnsiTheme="minorEastAsia" w:eastAsiaTheme="minorEastAsia"/>
                        <w:sz w:val="10"/>
                        <w:szCs w:val="10"/>
                      </w:rPr>
                      <w:t>-</w:t>
                    </w:r>
                    <w:r>
                      <w:rPr>
                        <w:rFonts w:asciiTheme="minorEastAsia" w:hAnsiTheme="minorEastAsia" w:eastAsiaTheme="minorEastAsia"/>
                        <w:sz w:val="10"/>
                        <w:szCs w:val="10"/>
                      </w:rPr>
                      <w:t>31,465,810,317.98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0"/>
                        <w:szCs w:val="10"/>
                      </w:rPr>
                    </w:pPr>
                    <w:r>
                      <w:rPr>
                        <w:rFonts w:asciiTheme="minorEastAsia" w:hAnsiTheme="minorEastAsia" w:eastAsiaTheme="minorEastAsia"/>
                        <w:sz w:val="10"/>
                        <w:szCs w:val="10"/>
                      </w:rPr>
                      <w:t>79,787,685,491.34</w:t>
                    </w:r>
                  </w:p>
                </w:tc>
              </w:tr>
            </w:sdtContent>
          </w:sdt>
        </w:tbl>
        <w:p/>
      </w:sdtContent>
    </w:sdt>
    <w:sdt>
      <w:sdtPr>
        <w:rPr>
          <w:rFonts w:hint="eastAsia" w:ascii="宋体" w:hAnsi="宋体" w:cs="宋体"/>
          <w:b w:val="0"/>
          <w:bCs w:val="0"/>
          <w:kern w:val="0"/>
          <w:szCs w:val="21"/>
        </w:rPr>
        <w:alias w:val="模块:公司无报告分部的，或者不能披露各报告分部的资产总额和负债总额的，应说明原因"/>
        <w:tag w:val="_GBC_0a73290869524182a42675dee97eaa48"/>
        <w:id w:val="-52463787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1"/>
              <w:numId w:val="101"/>
            </w:numPr>
            <w:tabs>
              <w:tab w:val="left" w:pos="644"/>
            </w:tabs>
            <w:ind w:left="420"/>
            <w:rPr>
              <w:rFonts w:ascii="宋体" w:hAnsi="宋体"/>
              <w:szCs w:val="21"/>
            </w:rPr>
          </w:pPr>
          <w:r>
            <w:rPr>
              <w:rFonts w:ascii="宋体" w:hAnsi="宋体"/>
              <w:szCs w:val="21"/>
            </w:rPr>
            <w:t>公司无报告分部的，或者不能披露各报告分部的资产总额和负债总额的，应说明原因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1728070628"/>
            <w:lock w:val="sdtLocked"/>
            <w:placeholder>
              <w:docPart w:val="GBC22222222222222222222222222222"/>
            </w:placeholder>
          </w:sdtPr>
          <w:sdtEndPr>
            <w:rPr>
              <w:rFonts w:hint="eastAsia"/>
            </w:rPr>
          </w:sdtEnd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1"/>
        </w:rPr>
        <w:alias w:val="模块:分部信息其他说明"/>
        <w:tag w:val="_GBC_bf8b759cb5b84035861b501b67f52f53"/>
        <w:id w:val="-2072339146"/>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1"/>
              <w:numId w:val="101"/>
            </w:numPr>
            <w:tabs>
              <w:tab w:val="left" w:pos="644"/>
            </w:tabs>
            <w:ind w:left="420"/>
            <w:rPr>
              <w:rFonts w:ascii="宋体" w:hAnsi="宋体"/>
              <w:szCs w:val="21"/>
            </w:rPr>
          </w:pPr>
          <w:r>
            <w:rPr>
              <w:rFonts w:hint="eastAsia" w:ascii="宋体" w:hAnsi="宋体"/>
              <w:szCs w:val="21"/>
            </w:rPr>
            <w:t>其他</w:t>
          </w:r>
          <w:r>
            <w:rPr>
              <w:rFonts w:hint="eastAsia" w:ascii="宋体" w:hAnsi="宋体"/>
            </w:rPr>
            <w:t>说明</w:t>
          </w:r>
        </w:p>
        <w:sdt>
          <w:sdtPr>
            <w:alias w:val="是否适用：分部信息的其他说明[双击切换]"/>
            <w:tag w:val="_GBC_d4186588d0fd49e5b2642a9422c2353f"/>
            <w:id w:val="-61598879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分部信息的其他说明"/>
            <w:tag w:val="_GBC_333753eb3ff7499fa22dfb068e000940"/>
            <w:id w:val="-833218203"/>
            <w:lock w:val="sdtLocked"/>
            <w:placeholder>
              <w:docPart w:val="GBC22222222222222222222222222222"/>
            </w:placeholder>
          </w:sdtPr>
          <w:sdtContent>
            <w:p>
              <w:pPr>
                <w:rPr>
                  <w:rFonts w:cs="Arial" w:asciiTheme="minorEastAsia" w:hAnsiTheme="minorEastAsia" w:eastAsiaTheme="minorEastAsia"/>
                  <w:color w:val="000000" w:themeColor="text1"/>
                  <w:kern w:val="2"/>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(1)</w:t>
              </w:r>
              <w:r>
                <w:rPr>
                  <w:rFonts w:cs="Arial" w:asciiTheme="minorEastAsia" w:hAnsiTheme="minorEastAsia" w:eastAsiaTheme="minorEastAsia"/>
                  <w:color w:val="000000" w:themeColor="text1"/>
                  <w:kern w:val="2"/>
                  <w14:textFill>
                    <w14:solidFill>
                      <w14:schemeClr w14:val="tx1"/>
                    </w14:solidFill>
                  </w14:textFill>
                </w:rPr>
                <w:tab/>
              </w:r>
              <w:r>
                <w:rPr>
                  <w:rFonts w:hint="eastAsia" w:cs="Arial" w:asciiTheme="minorEastAsia" w:hAnsiTheme="minorEastAsia" w:eastAsiaTheme="minorEastAsia"/>
                  <w:color w:val="000000" w:themeColor="text1"/>
                  <w:kern w:val="2"/>
                  <w14:textFill>
                    <w14:solidFill>
                      <w14:schemeClr w14:val="tx1"/>
                    </w14:solidFill>
                  </w14:textFill>
                </w:rPr>
                <w:t>地区信息</w:t>
              </w:r>
            </w:p>
            <w:p>
              <w:pPr>
                <w:overflowPunct w:val="0"/>
                <w:adjustRightInd w:val="0"/>
                <w:snapToGrid w:val="0"/>
                <w:jc w:val="both"/>
                <w:textAlignment w:val="baseline"/>
                <w:rPr>
                  <w:rFonts w:cs="Arial" w:asciiTheme="minorEastAsia" w:hAnsiTheme="minorEastAsia" w:eastAsiaTheme="minorEastAsia"/>
                  <w:color w:val="000000" w:themeColor="text1"/>
                  <w:sz w:val="22"/>
                  <w:szCs w:val="22"/>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本集团的收入来源及非流动资产均位于江苏省境内。</w:t>
              </w:r>
            </w:p>
            <w:p>
              <w:pPr>
                <w:tabs>
                  <w:tab w:val="left" w:pos="566"/>
                </w:tabs>
                <w:overflowPunct w:val="0"/>
                <w:adjustRightInd w:val="0"/>
                <w:snapToGrid w:val="0"/>
                <w:jc w:val="both"/>
                <w:rPr>
                  <w:rFonts w:cs="Arial" w:asciiTheme="minorEastAsia" w:hAnsiTheme="minorEastAsia" w:eastAsiaTheme="minorEastAsia"/>
                  <w:color w:val="000000" w:themeColor="text1"/>
                  <w:kern w:val="2"/>
                  <w:sz w:val="22"/>
                  <w:szCs w:val="22"/>
                  <w14:textFill>
                    <w14:solidFill>
                      <w14:schemeClr w14:val="tx1"/>
                    </w14:solidFill>
                  </w14:textFill>
                </w:rPr>
              </w:pPr>
              <w:r>
                <w:rPr>
                  <w:rFonts w:cs="Arial" w:asciiTheme="minorEastAsia" w:hAnsiTheme="minorEastAsia" w:eastAsiaTheme="minorEastAsia"/>
                  <w:color w:val="000000" w:themeColor="text1"/>
                  <w:kern w:val="2"/>
                  <w14:textFill>
                    <w14:solidFill>
                      <w14:schemeClr w14:val="tx1"/>
                    </w14:solidFill>
                  </w14:textFill>
                </w:rPr>
                <w:t xml:space="preserve"> (2)</w:t>
              </w:r>
              <w:r>
                <w:rPr>
                  <w:rFonts w:cs="Arial" w:asciiTheme="minorEastAsia" w:hAnsiTheme="minorEastAsia" w:eastAsiaTheme="minorEastAsia"/>
                  <w:color w:val="000000" w:themeColor="text1"/>
                  <w:kern w:val="2"/>
                  <w14:textFill>
                    <w14:solidFill>
                      <w14:schemeClr w14:val="tx1"/>
                    </w14:solidFill>
                  </w14:textFill>
                </w:rPr>
                <w:tab/>
              </w:r>
              <w:r>
                <w:rPr>
                  <w:rFonts w:hint="eastAsia" w:cs="Arial" w:asciiTheme="minorEastAsia" w:hAnsiTheme="minorEastAsia" w:eastAsiaTheme="minorEastAsia"/>
                  <w:color w:val="000000" w:themeColor="text1"/>
                  <w:kern w:val="2"/>
                  <w14:textFill>
                    <w14:solidFill>
                      <w14:schemeClr w14:val="tx1"/>
                    </w14:solidFill>
                  </w14:textFill>
                </w:rPr>
                <w:t>主要客户</w:t>
              </w:r>
            </w:p>
            <w:p>
              <w:pPr>
                <w:overflowPunct w:val="0"/>
                <w:adjustRightInd w:val="0"/>
                <w:snapToGrid w:val="0"/>
                <w:jc w:val="both"/>
                <w:textAlignment w:val="baseline"/>
                <w:rPr>
                  <w:rFonts w:cs="Arial" w:asciiTheme="minorEastAsia" w:hAnsiTheme="minorEastAsia" w:eastAsiaTheme="minorEastAsia"/>
                  <w:color w:val="000000" w:themeColor="text1"/>
                  <w14:textFill>
                    <w14:solidFill>
                      <w14:schemeClr w14:val="tx1"/>
                    </w14:solidFill>
                  </w14:textFill>
                </w:rPr>
              </w:pPr>
              <w:r>
                <w:rPr>
                  <w:rFonts w:hint="eastAsia" w:cs="Arial" w:asciiTheme="minorEastAsia" w:hAnsiTheme="minorEastAsia" w:eastAsiaTheme="minorEastAsia"/>
                  <w:color w:val="000000" w:themeColor="text1"/>
                  <w14:textFill>
                    <w14:solidFill>
                      <w14:schemeClr w14:val="tx1"/>
                    </w14:solidFill>
                  </w14:textFill>
                </w:rPr>
                <w:t>本集团本期不存在对单一客户的重大依赖。</w:t>
              </w:r>
            </w:p>
          </w:sdtContent>
        </w:sdt>
        <w:p>
          <w:pPr>
            <w:pStyle w:val="114"/>
          </w:pPr>
        </w:p>
      </w:sdtContent>
    </w:sdt>
    <w:sdt>
      <w:sdtPr>
        <w:rPr>
          <w:rFonts w:hint="eastAsia" w:ascii="宋体" w:hAnsi="宋体" w:cs="宋体"/>
          <w:b w:val="0"/>
          <w:bCs w:val="0"/>
          <w:kern w:val="0"/>
          <w:szCs w:val="21"/>
        </w:rPr>
        <w:alias w:val="模块:其他重要事项说明"/>
        <w:tag w:val="_GBC_0e2af5e32a53408bb340218a0c352be0"/>
        <w:id w:val="1825540338"/>
        <w:lock w:val="sdtLocked"/>
        <w:placeholder>
          <w:docPart w:val="GBC22222222222222222222222222222"/>
        </w:placeholder>
      </w:sdtPr>
      <w:sdtEndPr>
        <w:rPr>
          <w:rFonts w:hint="eastAsia" w:ascii="宋体" w:hAnsi="宋体" w:cstheme="minorBidi"/>
          <w:b w:val="0"/>
          <w:bCs w:val="0"/>
          <w:kern w:val="2"/>
          <w:szCs w:val="21"/>
        </w:rPr>
      </w:sdtEndPr>
      <w:sdtContent>
        <w:p>
          <w:pPr>
            <w:pStyle w:val="4"/>
            <w:numPr>
              <w:ilvl w:val="0"/>
              <w:numId w:val="98"/>
            </w:numPr>
            <w:rPr>
              <w:rFonts w:ascii="宋体" w:hAnsi="宋体" w:cs="宋体"/>
              <w:bCs w:val="0"/>
              <w:kern w:val="0"/>
              <w:szCs w:val="21"/>
            </w:rPr>
          </w:pPr>
          <w:bookmarkStart w:id="261" w:name="_Toc241636520"/>
          <w:bookmarkEnd w:id="261"/>
          <w:r>
            <w:rPr>
              <w:rFonts w:hint="eastAsia" w:ascii="宋体" w:hAnsi="宋体" w:cs="宋体"/>
              <w:kern w:val="0"/>
              <w:szCs w:val="21"/>
            </w:rPr>
            <w:t>其他对投资者决策有影响的重要交易和事项</w:t>
          </w:r>
        </w:p>
        <w:sdt>
          <w:sdtPr>
            <w:alias w:val="是否适用：其他对投资者决策有影响的重要交易和事项[双击切换]"/>
            <w:tag w:val="_GBC_6bb0ea1e73f644b99b2bccc9d2ea19e9"/>
            <w:id w:val="206358862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ascii="宋体" w:hAnsi="宋体" w:cs="宋体"/>
          <w:b w:val="0"/>
          <w:bCs w:val="0"/>
          <w:kern w:val="0"/>
          <w:szCs w:val="21"/>
        </w:rPr>
        <w:alias w:val="模块:其他重要事项的说明"/>
        <w:tag w:val="_GBC_a9d998641356411784b3ec54387f322d"/>
        <w:id w:val="1350992857"/>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98"/>
            </w:numPr>
            <w:rPr>
              <w:rFonts w:ascii="宋体" w:hAnsi="宋体"/>
              <w:szCs w:val="21"/>
            </w:rPr>
          </w:pPr>
          <w:r>
            <w:rPr>
              <w:rFonts w:hint="eastAsia" w:ascii="宋体" w:hAnsi="宋体"/>
              <w:szCs w:val="21"/>
            </w:rPr>
            <w:t>其他</w:t>
          </w:r>
        </w:p>
        <w:sdt>
          <w:sdtPr>
            <w:alias w:val="是否适用：其他重要事项的说明[双击切换]"/>
            <w:tag w:val="_GBC_518cb9b615c44ff597f57c3bba95c7fa"/>
            <w:id w:val="32162358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38"/>
        </w:numPr>
        <w:ind w:left="422" w:hanging="422"/>
        <w:rPr>
          <w:rFonts w:ascii="宋体" w:hAnsi="宋体"/>
        </w:rPr>
      </w:pPr>
      <w:r>
        <w:rPr>
          <w:rFonts w:hint="eastAsia" w:ascii="宋体" w:hAnsi="宋体"/>
        </w:rPr>
        <w:t>母公司财务报表主要项目注释</w:t>
      </w:r>
    </w:p>
    <w:p>
      <w:pPr>
        <w:pStyle w:val="4"/>
        <w:numPr>
          <w:ilvl w:val="0"/>
          <w:numId w:val="102"/>
        </w:numPr>
        <w:rPr>
          <w:rFonts w:ascii="宋体" w:hAnsi="宋体"/>
          <w:szCs w:val="21"/>
        </w:rPr>
      </w:pPr>
      <w:r>
        <w:rPr>
          <w:rFonts w:hint="eastAsia" w:ascii="宋体" w:hAnsi="宋体"/>
          <w:szCs w:val="21"/>
        </w:rPr>
        <w:t>应收账款</w:t>
      </w:r>
    </w:p>
    <w:sdt>
      <w:sdtPr>
        <w:rPr>
          <w:rFonts w:hint="eastAsia" w:ascii="宋体" w:hAnsi="宋体" w:cs="宋体"/>
          <w:b w:val="0"/>
          <w:bCs w:val="0"/>
          <w:kern w:val="0"/>
          <w:szCs w:val="21"/>
        </w:rPr>
        <w:alias w:val="模块:组合中，按账龄分析法计提坏账准备的应收账款"/>
        <w:tag w:val="_GBC_f44cec1af5094a96a29dd8e92ee27b70"/>
        <w:id w:val="-82582461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3"/>
            </w:numPr>
            <w:tabs>
              <w:tab w:val="left" w:pos="644"/>
            </w:tabs>
            <w:ind w:left="0" w:firstLine="0"/>
            <w:rPr>
              <w:rFonts w:ascii="宋体" w:hAnsi="宋体"/>
              <w:szCs w:val="21"/>
            </w:rPr>
          </w:pPr>
          <w:r>
            <w:rPr>
              <w:rFonts w:hint="eastAsia" w:ascii="宋体" w:hAnsi="宋体"/>
              <w:szCs w:val="21"/>
            </w:rPr>
            <w:t>按账龄披露</w:t>
          </w:r>
        </w:p>
        <w:sdt>
          <w:sdtPr>
            <w:alias w:val="是否适用：母公司组合中，按账龄分析法计提坏账准备的应收账款[双击切换]"/>
            <w:tag w:val="_GBC_0a11a3bd15dd4fa882e7b9f16b5e3b07"/>
            <w:id w:val="1842121412"/>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845399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17994461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0"/>
            <w:gridCol w:w="4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sdt>
              <w:sdtPr>
                <w:tag w:val="_PLD_4026a1c8ce2b4be2bd188240c5c6b81c"/>
                <w:id w:val="-1853091950"/>
                <w:lock w:val="sdtLocked"/>
              </w:sdtPr>
              <w:sdtContent>
                <w:tc>
                  <w:tcPr>
                    <w:tcW w:w="2641" w:type="pct"/>
                    <w:tcBorders>
                      <w:bottom w:val="single" w:color="auto" w:sz="4" w:space="0"/>
                    </w:tcBorders>
                    <w:shd w:val="clear" w:color="auto" w:fill="auto"/>
                    <w:vAlign w:val="center"/>
                  </w:tcPr>
                  <w:p>
                    <w:pPr>
                      <w:jc w:val="center"/>
                    </w:pPr>
                    <w:r>
                      <w:t>账龄</w:t>
                    </w:r>
                  </w:p>
                </w:tc>
              </w:sdtContent>
            </w:sdt>
            <w:sdt>
              <w:sdtPr>
                <w:tag w:val="_PLD_fe83f44c599f47c3bdf1b2e0ce971295"/>
                <w:id w:val="-1357809481"/>
                <w:lock w:val="sdtLocked"/>
              </w:sdtPr>
              <w:sdtContent>
                <w:tc>
                  <w:tcPr>
                    <w:tcW w:w="2359" w:type="pct"/>
                    <w:tcBorders>
                      <w:bottom w:val="single" w:color="auto" w:sz="4" w:space="0"/>
                    </w:tcBorders>
                    <w:shd w:val="clear" w:color="auto" w:fill="auto"/>
                    <w:vAlign w:val="center"/>
                  </w:tcPr>
                  <w:p>
                    <w:pPr>
                      <w:jc w:val="center"/>
                    </w:pPr>
                    <w:r>
                      <w:t>期末</w:t>
                    </w:r>
                    <w:r>
                      <w:rPr>
                        <w:rFonts w:hint="eastAsia"/>
                      </w:rPr>
                      <w:t>账面</w:t>
                    </w:r>
                    <w:r>
                      <w:t>余额</w:t>
                    </w:r>
                  </w:p>
                </w:tc>
              </w:sdtContent>
            </w:sdt>
          </w:tr>
          <w:sdt>
            <w:sdtPr>
              <w:rPr>
                <w:rFonts w:asciiTheme="minorHAnsi" w:hAnsiTheme="minorHAnsi" w:eastAsiaTheme="minorEastAsia" w:cstheme="minorBidi"/>
                <w:sz w:val="22"/>
                <w:szCs w:val="22"/>
                <w:lang w:val="en-GB"/>
              </w:rPr>
              <w:alias w:val="一年以内应收账款金额明细"/>
              <w:tag w:val="_GBC_58a8ae94fc284eb6b1f51702547a5032"/>
              <w:id w:val="1335266282"/>
              <w:lock w:val="sdtLocked"/>
            </w:sdtPr>
            <w:sdtEndPr>
              <w:rPr>
                <w:rFonts w:asciiTheme="minorHAnsi" w:hAnsiTheme="minorHAnsi" w:eastAsiaTheme="minorEastAsia" w:cstheme="minorBidi"/>
                <w:sz w:val="22"/>
                <w:szCs w:val="22"/>
                <w:lang w:val="en-GB"/>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1" w:type="pct"/>
                    <w:shd w:val="clear" w:color="auto" w:fill="auto"/>
                  </w:tcPr>
                  <w:p>
                    <w:r>
                      <w:t>1</w:t>
                    </w:r>
                    <w:r>
                      <w:rPr>
                        <w:rFonts w:hint="eastAsia"/>
                      </w:rPr>
                      <w:t>年以内</w:t>
                    </w:r>
                  </w:p>
                </w:tc>
                <w:tc>
                  <w:tcPr>
                    <w:tcW w:w="2359" w:type="pct"/>
                    <w:shd w:val="clear" w:color="auto" w:fill="auto"/>
                  </w:tcPr>
                  <w:p>
                    <w:pPr>
                      <w:jc w:val="right"/>
                    </w:pPr>
                    <w:r>
                      <w:t>426,008,639.49</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8074f2321fd640f1a4a8fa6c86ad1e9b"/>
                <w:id w:val="-337468118"/>
                <w:lock w:val="sdtLocked"/>
              </w:sdtPr>
              <w:sdtContent>
                <w:tc>
                  <w:tcPr>
                    <w:tcW w:w="2641" w:type="pct"/>
                    <w:shd w:val="clear" w:color="auto" w:fill="auto"/>
                  </w:tcPr>
                  <w:p>
                    <w:r>
                      <w:rPr>
                        <w:rFonts w:hint="eastAsia"/>
                      </w:rPr>
                      <w:t>1年以内小计</w:t>
                    </w:r>
                  </w:p>
                </w:tc>
              </w:sdtContent>
            </w:sdt>
            <w:tc>
              <w:tcPr>
                <w:tcW w:w="2359" w:type="pct"/>
                <w:shd w:val="clear" w:color="auto" w:fill="auto"/>
              </w:tcPr>
              <w:p>
                <w:pPr>
                  <w:jc w:val="right"/>
                </w:pPr>
                <w:r>
                  <w:t>426,008,639.49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0aaa32d7ecc44007a6fdfe2ba5a15150"/>
                <w:id w:val="-1505508208"/>
                <w:lock w:val="sdtLocked"/>
              </w:sdtPr>
              <w:sdtContent>
                <w:tc>
                  <w:tcPr>
                    <w:tcW w:w="2641" w:type="pct"/>
                    <w:shd w:val="clear" w:color="auto" w:fill="auto"/>
                  </w:tcPr>
                  <w:p>
                    <w:r>
                      <w:rPr>
                        <w:rFonts w:hint="eastAsia"/>
                      </w:rPr>
                      <w:t>1</w:t>
                    </w:r>
                    <w:r>
                      <w:t>至</w:t>
                    </w:r>
                    <w:r>
                      <w:rPr>
                        <w:rFonts w:hint="eastAsia"/>
                      </w:rPr>
                      <w:t>2</w:t>
                    </w:r>
                    <w:r>
                      <w:t>年</w:t>
                    </w:r>
                  </w:p>
                </w:tc>
              </w:sdtContent>
            </w:sdt>
            <w:tc>
              <w:tcPr>
                <w:tcW w:w="2359" w:type="pct"/>
                <w:shd w:val="clear" w:color="auto" w:fill="auto"/>
              </w:tcPr>
              <w:p>
                <w:pPr>
                  <w:jc w:val="right"/>
                </w:pPr>
                <w:r>
                  <w:t>301,715.00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461abed3956d480b918c3859e2a0e880"/>
                <w:id w:val="932934789"/>
                <w:lock w:val="sdtLocked"/>
              </w:sdtPr>
              <w:sdtContent>
                <w:tc>
                  <w:tcPr>
                    <w:tcW w:w="2641" w:type="pct"/>
                    <w:shd w:val="clear" w:color="auto" w:fill="auto"/>
                  </w:tcPr>
                  <w:p>
                    <w:r>
                      <w:rPr>
                        <w:rFonts w:hint="eastAsia"/>
                      </w:rPr>
                      <w:t>2</w:t>
                    </w:r>
                    <w:r>
                      <w:t>至</w:t>
                    </w:r>
                    <w:r>
                      <w:rPr>
                        <w:rFonts w:hint="eastAsia"/>
                      </w:rPr>
                      <w:t>3</w:t>
                    </w:r>
                    <w:r>
                      <w:t>年</w:t>
                    </w:r>
                  </w:p>
                </w:tc>
              </w:sdtContent>
            </w:sdt>
            <w:tc>
              <w:tcPr>
                <w:tcW w:w="2359" w:type="pct"/>
                <w:shd w:val="clear" w:color="auto" w:fill="auto"/>
              </w:tcPr>
              <w:p>
                <w:pPr>
                  <w:jc w:val="right"/>
                </w:pPr>
                <w:r>
                  <w:t>2,259,268.99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b8d2a9cd21d944ea8f8433cfaeb85cb3"/>
                <w:id w:val="1870341557"/>
                <w:lock w:val="sdtLocked"/>
              </w:sdtPr>
              <w:sdtContent>
                <w:tc>
                  <w:tcPr>
                    <w:tcW w:w="2641" w:type="pct"/>
                    <w:shd w:val="clear" w:color="auto" w:fill="auto"/>
                    <w:vAlign w:val="center"/>
                  </w:tcPr>
                  <w:p>
                    <w:pPr>
                      <w:jc w:val="center"/>
                    </w:pPr>
                    <w:r>
                      <w:t>合计</w:t>
                    </w:r>
                  </w:p>
                </w:tc>
              </w:sdtContent>
            </w:sdt>
            <w:tc>
              <w:tcPr>
                <w:tcW w:w="2359" w:type="pct"/>
                <w:shd w:val="clear" w:color="auto" w:fill="auto"/>
              </w:tcPr>
              <w:p>
                <w:pPr>
                  <w:jc w:val="right"/>
                </w:pPr>
                <w:r>
                  <w:t>428,569,623.48</w:t>
                </w:r>
              </w:p>
            </w:tc>
          </w:tr>
        </w:tbl>
        <w:p/>
      </w:sdtContent>
    </w:sdt>
    <w:p>
      <w:pPr>
        <w:pStyle w:val="5"/>
        <w:numPr>
          <w:ilvl w:val="0"/>
          <w:numId w:val="103"/>
        </w:numPr>
        <w:tabs>
          <w:tab w:val="left" w:pos="644"/>
        </w:tabs>
        <w:ind w:left="0" w:firstLine="0"/>
        <w:rPr>
          <w:rFonts w:ascii="宋体" w:hAnsi="宋体"/>
          <w:szCs w:val="21"/>
        </w:rPr>
      </w:pPr>
      <w:bookmarkStart w:id="262" w:name="_Hlk10540024"/>
      <w:r>
        <w:rPr>
          <w:rFonts w:hint="eastAsia" w:ascii="宋体" w:hAnsi="宋体"/>
          <w:szCs w:val="21"/>
        </w:rPr>
        <w:t>按坏账计提方法分类披露</w:t>
      </w:r>
    </w:p>
    <w:sdt>
      <w:sdtPr>
        <w:alias w:val="是否适用：母公司应收账款按坏账计提方法分类披露[双击切换]"/>
        <w:tag w:val="_GBC_bd7fb52eb7f647d5aa6c10677b261ee1"/>
        <w:id w:val="-1823424045"/>
        <w:lock w:val="sdtConten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ascii="宋体" w:hAnsi="宋体" w:cs="宋体"/>
          <w:kern w:val="0"/>
          <w:szCs w:val="21"/>
        </w:rPr>
        <w:alias w:val="模块:(2).  按坏账计提方法分类披露"/>
        <w:tag w:val="_SEC_22b53fc701704bd9858f1a601e7a3144"/>
        <w:id w:val="1798797677"/>
        <w:lock w:val="sdtLocked"/>
        <w:placeholder>
          <w:docPart w:val="GBC22222222222222222222222222222"/>
        </w:placeholder>
      </w:sdtPr>
      <w:sdtEndPr>
        <w:rPr>
          <w:rFonts w:hint="default" w:ascii="宋体" w:hAnsi="宋体" w:cs="宋体"/>
          <w:kern w:val="0"/>
          <w:szCs w:val="21"/>
        </w:rPr>
      </w:sdtEndPr>
      <w:sdtContent>
        <w:p>
          <w:pPr>
            <w:pStyle w:val="55"/>
            <w:autoSpaceDE w:val="0"/>
            <w:autoSpaceDN w:val="0"/>
            <w:adjustRightInd w:val="0"/>
            <w:ind w:left="425" w:right="105"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母公司应收账款按坏账计提方法分类披露"/>
              <w:tag w:val="_GBC_03786e76a9b246d5a93eac5a8936de3a"/>
              <w:id w:val="6512611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母公司应收账款按坏账计提方法分类披露"/>
              <w:tag w:val="_GBC_1360c31492654a38991cae4cf45e7b4a"/>
              <w:id w:val="2098677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241"/>
            <w:gridCol w:w="1311"/>
            <w:gridCol w:w="329"/>
            <w:gridCol w:w="955"/>
            <w:gridCol w:w="420"/>
            <w:gridCol w:w="1311"/>
            <w:gridCol w:w="1311"/>
            <w:gridCol w:w="331"/>
            <w:gridCol w:w="955"/>
            <w:gridCol w:w="420"/>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59" w:hRule="atLeast"/>
            </w:trPr>
            <w:sdt>
              <w:sdtPr>
                <w:rPr>
                  <w:sz w:val="14"/>
                  <w:szCs w:val="14"/>
                </w:rPr>
                <w:tag w:val="_PLD_2f021e03341f49af95f8857da6272a92"/>
                <w:id w:val="-560408127"/>
                <w:lock w:val="sdtLocked"/>
              </w:sdtPr>
              <w:sdtEndPr>
                <w:rPr>
                  <w:sz w:val="14"/>
                  <w:szCs w:val="14"/>
                </w:rPr>
              </w:sdtEndPr>
              <w:sdtContent>
                <w:tc>
                  <w:tcPr>
                    <w:tcW w:w="135" w:type="pct"/>
                    <w:vMerge w:val="restart"/>
                    <w:tcBorders>
                      <w:top w:val="single" w:color="auto" w:sz="4" w:space="0"/>
                      <w:left w:val="single" w:color="auto" w:sz="4" w:space="0"/>
                      <w:right w:val="single" w:color="auto" w:sz="4" w:space="0"/>
                    </w:tcBorders>
                    <w:vAlign w:val="center"/>
                  </w:tcPr>
                  <w:p>
                    <w:pPr>
                      <w:jc w:val="center"/>
                      <w:rPr>
                        <w:sz w:val="14"/>
                        <w:szCs w:val="14"/>
                      </w:rPr>
                    </w:pPr>
                    <w:r>
                      <w:rPr>
                        <w:rFonts w:hint="eastAsia"/>
                        <w:sz w:val="14"/>
                        <w:szCs w:val="14"/>
                      </w:rPr>
                      <w:t>类别</w:t>
                    </w:r>
                  </w:p>
                </w:tc>
              </w:sdtContent>
            </w:sdt>
            <w:sdt>
              <w:sdtPr>
                <w:rPr>
                  <w:sz w:val="14"/>
                  <w:szCs w:val="14"/>
                </w:rPr>
                <w:tag w:val="_PLD_468e18ccdf48449f8e43799e7c3f622e"/>
                <w:id w:val="1034775315"/>
                <w:lock w:val="sdtLocked"/>
              </w:sdtPr>
              <w:sdtEndPr>
                <w:rPr>
                  <w:sz w:val="14"/>
                  <w:szCs w:val="14"/>
                </w:rPr>
              </w:sdtEndPr>
              <w:sdtContent>
                <w:tc>
                  <w:tcPr>
                    <w:tcW w:w="2432" w:type="pct"/>
                    <w:gridSpan w:val="5"/>
                    <w:tcBorders>
                      <w:top w:val="single" w:color="auto" w:sz="4" w:space="0"/>
                      <w:left w:val="single" w:color="auto" w:sz="4" w:space="0"/>
                      <w:right w:val="single" w:color="auto" w:sz="4" w:space="0"/>
                    </w:tcBorders>
                    <w:vAlign w:val="center"/>
                  </w:tcPr>
                  <w:p>
                    <w:pPr>
                      <w:autoSpaceDE w:val="0"/>
                      <w:autoSpaceDN w:val="0"/>
                      <w:adjustRightInd w:val="0"/>
                      <w:snapToGrid w:val="0"/>
                      <w:spacing w:line="240" w:lineRule="atLeast"/>
                      <w:jc w:val="center"/>
                      <w:rPr>
                        <w:sz w:val="14"/>
                        <w:szCs w:val="14"/>
                      </w:rPr>
                    </w:pPr>
                    <w:r>
                      <w:rPr>
                        <w:rFonts w:hint="eastAsia"/>
                        <w:sz w:val="14"/>
                        <w:szCs w:val="14"/>
                      </w:rPr>
                      <w:t>期末余额</w:t>
                    </w:r>
                  </w:p>
                </w:tc>
              </w:sdtContent>
            </w:sdt>
            <w:sdt>
              <w:sdtPr>
                <w:rPr>
                  <w:sz w:val="14"/>
                  <w:szCs w:val="14"/>
                </w:rPr>
                <w:tag w:val="_PLD_e387c0f70bd6484cafb1ada234d075bd"/>
                <w:id w:val="227354216"/>
                <w:lock w:val="sdtLocked"/>
              </w:sdtPr>
              <w:sdtEndPr>
                <w:rPr>
                  <w:sz w:val="14"/>
                  <w:szCs w:val="14"/>
                </w:rPr>
              </w:sdtEndPr>
              <w:sdtContent>
                <w:tc>
                  <w:tcPr>
                    <w:tcW w:w="2433" w:type="pct"/>
                    <w:gridSpan w:val="5"/>
                    <w:tcBorders>
                      <w:top w:val="single" w:color="auto" w:sz="4" w:space="0"/>
                      <w:left w:val="single" w:color="auto" w:sz="4" w:space="0"/>
                      <w:right w:val="single" w:color="auto" w:sz="4" w:space="0"/>
                    </w:tcBorders>
                    <w:vAlign w:val="center"/>
                  </w:tcPr>
                  <w:p>
                    <w:pPr>
                      <w:autoSpaceDE w:val="0"/>
                      <w:autoSpaceDN w:val="0"/>
                      <w:adjustRightInd w:val="0"/>
                      <w:snapToGrid w:val="0"/>
                      <w:spacing w:line="240" w:lineRule="atLeast"/>
                      <w:jc w:val="center"/>
                      <w:rPr>
                        <w:sz w:val="14"/>
                        <w:szCs w:val="14"/>
                      </w:rPr>
                    </w:pPr>
                    <w:r>
                      <w:rPr>
                        <w:rFonts w:hint="eastAsia"/>
                        <w:sz w:val="14"/>
                        <w:szCs w:val="14"/>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227" w:hRule="atLeast"/>
            </w:trPr>
            <w:tc>
              <w:tcPr>
                <w:tcW w:w="135" w:type="pct"/>
                <w:vMerge w:val="continue"/>
                <w:tcBorders>
                  <w:left w:val="single" w:color="auto" w:sz="4" w:space="0"/>
                  <w:right w:val="single" w:color="auto" w:sz="4" w:space="0"/>
                </w:tcBorders>
                <w:vAlign w:val="center"/>
              </w:tcPr>
              <w:p>
                <w:pPr>
                  <w:rPr>
                    <w:sz w:val="14"/>
                    <w:szCs w:val="14"/>
                  </w:rPr>
                </w:pPr>
              </w:p>
            </w:tc>
            <w:sdt>
              <w:sdtPr>
                <w:rPr>
                  <w:sz w:val="14"/>
                  <w:szCs w:val="14"/>
                </w:rPr>
                <w:tag w:val="_PLD_73365edbfe354cb683cc42de4c1c9f49"/>
                <w:id w:val="-1170094182"/>
                <w:lock w:val="sdtLocked"/>
              </w:sdtPr>
              <w:sdtEndPr>
                <w:rPr>
                  <w:sz w:val="14"/>
                  <w:szCs w:val="14"/>
                </w:rPr>
              </w:sdtEndPr>
              <w:sdtContent>
                <w:tc>
                  <w:tcPr>
                    <w:tcW w:w="922" w:type="pct"/>
                    <w:gridSpan w:val="2"/>
                    <w:tcBorders>
                      <w:top w:val="single" w:color="auto" w:sz="4" w:space="0"/>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账面余额</w:t>
                    </w:r>
                  </w:p>
                </w:tc>
              </w:sdtContent>
            </w:sdt>
            <w:sdt>
              <w:sdtPr>
                <w:rPr>
                  <w:sz w:val="14"/>
                  <w:szCs w:val="14"/>
                </w:rPr>
                <w:tag w:val="_PLD_11f34c9ee2d5429280d0d85b2c50756a"/>
                <w:id w:val="-1029720526"/>
                <w:lock w:val="sdtLocked"/>
              </w:sdtPr>
              <w:sdtEndPr>
                <w:rPr>
                  <w:sz w:val="14"/>
                  <w:szCs w:val="14"/>
                </w:rPr>
              </w:sdtEndPr>
              <w:sdtContent>
                <w:tc>
                  <w:tcPr>
                    <w:tcW w:w="772" w:type="pct"/>
                    <w:gridSpan w:val="2"/>
                    <w:tcBorders>
                      <w:top w:val="single" w:color="auto" w:sz="4" w:space="0"/>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坏账准备</w:t>
                    </w:r>
                  </w:p>
                </w:tc>
              </w:sdtContent>
            </w:sdt>
            <w:sdt>
              <w:sdtPr>
                <w:rPr>
                  <w:sz w:val="14"/>
                  <w:szCs w:val="14"/>
                </w:rPr>
                <w:tag w:val="_PLD_6ade046afd0c47c0aae9506cc9d47486"/>
                <w:id w:val="212698933"/>
                <w:lock w:val="sdtLocked"/>
              </w:sdtPr>
              <w:sdtEndPr>
                <w:rPr>
                  <w:sz w:val="14"/>
                  <w:szCs w:val="14"/>
                </w:rPr>
              </w:sdtEndPr>
              <w:sdtContent>
                <w:tc>
                  <w:tcPr>
                    <w:tcW w:w="737" w:type="pct"/>
                    <w:vMerge w:val="restart"/>
                    <w:tcBorders>
                      <w:top w:val="single" w:color="auto" w:sz="4" w:space="0"/>
                      <w:left w:val="single" w:color="auto" w:sz="4" w:space="0"/>
                      <w:right w:val="single" w:color="auto" w:sz="4" w:space="0"/>
                    </w:tcBorders>
                    <w:vAlign w:val="center"/>
                  </w:tcPr>
                  <w:p>
                    <w:pPr>
                      <w:jc w:val="center"/>
                      <w:rPr>
                        <w:sz w:val="14"/>
                        <w:szCs w:val="14"/>
                      </w:rPr>
                    </w:pPr>
                    <w:r>
                      <w:rPr>
                        <w:rFonts w:hint="eastAsia"/>
                        <w:sz w:val="14"/>
                        <w:szCs w:val="14"/>
                      </w:rPr>
                      <w:t>账面</w:t>
                    </w:r>
                  </w:p>
                  <w:p>
                    <w:pPr>
                      <w:jc w:val="center"/>
                      <w:rPr>
                        <w:sz w:val="14"/>
                        <w:szCs w:val="14"/>
                      </w:rPr>
                    </w:pPr>
                    <w:r>
                      <w:rPr>
                        <w:rFonts w:hint="eastAsia"/>
                        <w:sz w:val="14"/>
                        <w:szCs w:val="14"/>
                      </w:rPr>
                      <w:t>价值</w:t>
                    </w:r>
                  </w:p>
                </w:tc>
              </w:sdtContent>
            </w:sdt>
            <w:sdt>
              <w:sdtPr>
                <w:rPr>
                  <w:sz w:val="14"/>
                  <w:szCs w:val="14"/>
                </w:rPr>
                <w:tag w:val="_PLD_abd9bd4831b9473aabae7411a299a204"/>
                <w:id w:val="1498534831"/>
                <w:lock w:val="sdtLocked"/>
              </w:sdtPr>
              <w:sdtEndPr>
                <w:rPr>
                  <w:sz w:val="14"/>
                  <w:szCs w:val="14"/>
                </w:rPr>
              </w:sdtEndPr>
              <w:sdtContent>
                <w:tc>
                  <w:tcPr>
                    <w:tcW w:w="923" w:type="pct"/>
                    <w:gridSpan w:val="2"/>
                    <w:tcBorders>
                      <w:top w:val="single" w:color="auto" w:sz="4" w:space="0"/>
                      <w:left w:val="single" w:color="auto" w:sz="4" w:space="0"/>
                      <w:right w:val="single" w:color="auto" w:sz="4" w:space="0"/>
                    </w:tcBorders>
                    <w:vAlign w:val="center"/>
                  </w:tcPr>
                  <w:p>
                    <w:pPr>
                      <w:jc w:val="center"/>
                      <w:rPr>
                        <w:sz w:val="14"/>
                        <w:szCs w:val="14"/>
                      </w:rPr>
                    </w:pPr>
                    <w:r>
                      <w:rPr>
                        <w:rFonts w:hint="eastAsia"/>
                        <w:sz w:val="14"/>
                        <w:szCs w:val="14"/>
                      </w:rPr>
                      <w:t>账面余额</w:t>
                    </w:r>
                  </w:p>
                </w:tc>
              </w:sdtContent>
            </w:sdt>
            <w:sdt>
              <w:sdtPr>
                <w:rPr>
                  <w:sz w:val="14"/>
                  <w:szCs w:val="14"/>
                </w:rPr>
                <w:tag w:val="_PLD_76d8f3a48cba41949b5870f6cbb124af"/>
                <w:id w:val="1009024784"/>
                <w:lock w:val="sdtLocked"/>
              </w:sdtPr>
              <w:sdtEndPr>
                <w:rPr>
                  <w:sz w:val="14"/>
                  <w:szCs w:val="14"/>
                </w:rPr>
              </w:sdtEndPr>
              <w:sdtContent>
                <w:tc>
                  <w:tcPr>
                    <w:tcW w:w="772" w:type="pct"/>
                    <w:gridSpan w:val="2"/>
                    <w:tcBorders>
                      <w:top w:val="single" w:color="auto" w:sz="4" w:space="0"/>
                      <w:left w:val="single" w:color="auto" w:sz="4" w:space="0"/>
                      <w:right w:val="single" w:color="auto" w:sz="4" w:space="0"/>
                    </w:tcBorders>
                    <w:vAlign w:val="center"/>
                  </w:tcPr>
                  <w:p>
                    <w:pPr>
                      <w:jc w:val="center"/>
                      <w:rPr>
                        <w:sz w:val="14"/>
                        <w:szCs w:val="14"/>
                      </w:rPr>
                    </w:pPr>
                    <w:r>
                      <w:rPr>
                        <w:rFonts w:hint="eastAsia"/>
                        <w:sz w:val="14"/>
                        <w:szCs w:val="14"/>
                      </w:rPr>
                      <w:t>坏账准备</w:t>
                    </w:r>
                  </w:p>
                </w:tc>
              </w:sdtContent>
            </w:sdt>
            <w:sdt>
              <w:sdtPr>
                <w:rPr>
                  <w:sz w:val="14"/>
                  <w:szCs w:val="14"/>
                </w:rPr>
                <w:tag w:val="_PLD_5062ab8e678b49c0bba488dc029ff27b"/>
                <w:id w:val="-364748609"/>
                <w:lock w:val="sdtLocked"/>
              </w:sdtPr>
              <w:sdtEndPr>
                <w:rPr>
                  <w:sz w:val="14"/>
                  <w:szCs w:val="14"/>
                </w:rPr>
              </w:sdtEndPr>
              <w:sdtContent>
                <w:tc>
                  <w:tcPr>
                    <w:tcW w:w="737" w:type="pct"/>
                    <w:vMerge w:val="restart"/>
                    <w:tcBorders>
                      <w:top w:val="single" w:color="auto" w:sz="4" w:space="0"/>
                      <w:left w:val="single" w:color="auto" w:sz="4" w:space="0"/>
                      <w:right w:val="single" w:color="auto" w:sz="4" w:space="0"/>
                    </w:tcBorders>
                    <w:vAlign w:val="center"/>
                  </w:tcPr>
                  <w:p>
                    <w:pPr>
                      <w:jc w:val="center"/>
                      <w:rPr>
                        <w:sz w:val="14"/>
                        <w:szCs w:val="14"/>
                      </w:rPr>
                    </w:pPr>
                    <w:r>
                      <w:rPr>
                        <w:rFonts w:hint="eastAsia"/>
                        <w:sz w:val="14"/>
                        <w:szCs w:val="14"/>
                      </w:rPr>
                      <w:t>账面</w:t>
                    </w:r>
                  </w:p>
                  <w:p>
                    <w:pPr>
                      <w:jc w:val="center"/>
                      <w:rPr>
                        <w:sz w:val="14"/>
                        <w:szCs w:val="14"/>
                      </w:rPr>
                    </w:pPr>
                    <w:r>
                      <w:rPr>
                        <w:rFonts w:hint="eastAsia"/>
                        <w:sz w:val="14"/>
                        <w:szCs w:val="14"/>
                      </w:rPr>
                      <w:t>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Height w:val="375" w:hRule="atLeast"/>
            </w:trPr>
            <w:tc>
              <w:tcPr>
                <w:tcW w:w="135" w:type="pct"/>
                <w:vMerge w:val="continue"/>
                <w:tcBorders>
                  <w:left w:val="single" w:color="auto" w:sz="4" w:space="0"/>
                  <w:bottom w:val="single" w:color="auto" w:sz="4" w:space="0"/>
                  <w:right w:val="single" w:color="auto" w:sz="4" w:space="0"/>
                </w:tcBorders>
                <w:vAlign w:val="center"/>
              </w:tcPr>
              <w:p>
                <w:pPr>
                  <w:rPr>
                    <w:sz w:val="14"/>
                    <w:szCs w:val="14"/>
                  </w:rPr>
                </w:pPr>
              </w:p>
            </w:tc>
            <w:sdt>
              <w:sdtPr>
                <w:rPr>
                  <w:sz w:val="14"/>
                  <w:szCs w:val="14"/>
                </w:rPr>
                <w:tag w:val="_PLD_f6bdd572740240b5a7a2e643c29db5eb"/>
                <w:id w:val="-611523072"/>
                <w:lock w:val="sdtLocked"/>
              </w:sdtPr>
              <w:sdtEndPr>
                <w:rPr>
                  <w:sz w:val="14"/>
                  <w:szCs w:val="14"/>
                </w:rPr>
              </w:sdtEndPr>
              <w:sdtContent>
                <w:tc>
                  <w:tcPr>
                    <w:tcW w:w="737"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金额</w:t>
                    </w:r>
                  </w:p>
                </w:tc>
              </w:sdtContent>
            </w:sdt>
            <w:sdt>
              <w:sdtPr>
                <w:rPr>
                  <w:sz w:val="14"/>
                  <w:szCs w:val="14"/>
                </w:rPr>
                <w:tag w:val="_PLD_0a09779b6e354e32b6df9b1e891e1509"/>
                <w:id w:val="-270089135"/>
                <w:lock w:val="sdtLocked"/>
              </w:sdtPr>
              <w:sdtEndPr>
                <w:rPr>
                  <w:sz w:val="14"/>
                  <w:szCs w:val="14"/>
                </w:rPr>
              </w:sdtEndPr>
              <w:sdtContent>
                <w:tc>
                  <w:tcPr>
                    <w:tcW w:w="185"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比例</w:t>
                    </w:r>
                    <w:r>
                      <w:rPr>
                        <w:sz w:val="14"/>
                        <w:szCs w:val="14"/>
                      </w:rPr>
                      <w:t>(%)</w:t>
                    </w:r>
                  </w:p>
                </w:tc>
              </w:sdtContent>
            </w:sdt>
            <w:sdt>
              <w:sdtPr>
                <w:rPr>
                  <w:sz w:val="14"/>
                  <w:szCs w:val="14"/>
                </w:rPr>
                <w:tag w:val="_PLD_dd9c9061f11b453c8775ca1a11382d92"/>
                <w:id w:val="-1069341187"/>
                <w:lock w:val="sdtLocked"/>
              </w:sdtPr>
              <w:sdtEndPr>
                <w:rPr>
                  <w:sz w:val="14"/>
                  <w:szCs w:val="14"/>
                </w:rPr>
              </w:sdtEndPr>
              <w:sdtContent>
                <w:tc>
                  <w:tcPr>
                    <w:tcW w:w="537"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金额</w:t>
                    </w:r>
                  </w:p>
                </w:tc>
              </w:sdtContent>
            </w:sdt>
            <w:sdt>
              <w:sdtPr>
                <w:rPr>
                  <w:sz w:val="14"/>
                  <w:szCs w:val="14"/>
                </w:rPr>
                <w:tag w:val="_PLD_988b69362ac14c0e94c26191e76b1e3a"/>
                <w:id w:val="-1663005346"/>
                <w:lock w:val="sdtLocked"/>
              </w:sdtPr>
              <w:sdtEndPr>
                <w:rPr>
                  <w:sz w:val="14"/>
                  <w:szCs w:val="14"/>
                </w:rPr>
              </w:sdtEndPr>
              <w:sdtContent>
                <w:tc>
                  <w:tcPr>
                    <w:tcW w:w="236"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计提比例</w:t>
                    </w:r>
                    <w:r>
                      <w:rPr>
                        <w:sz w:val="14"/>
                        <w:szCs w:val="14"/>
                      </w:rPr>
                      <w:t>(%)</w:t>
                    </w:r>
                  </w:p>
                </w:tc>
              </w:sdtContent>
            </w:sdt>
            <w:tc>
              <w:tcPr>
                <w:tcW w:w="737" w:type="pct"/>
                <w:vMerge w:val="continue"/>
                <w:tcBorders>
                  <w:left w:val="single" w:color="auto" w:sz="4" w:space="0"/>
                  <w:bottom w:val="single" w:color="auto" w:sz="4" w:space="0"/>
                  <w:right w:val="single" w:color="auto" w:sz="4" w:space="0"/>
                </w:tcBorders>
                <w:vAlign w:val="center"/>
              </w:tcPr>
              <w:p>
                <w:pPr>
                  <w:jc w:val="center"/>
                  <w:rPr>
                    <w:sz w:val="14"/>
                    <w:szCs w:val="14"/>
                  </w:rPr>
                </w:pPr>
              </w:p>
            </w:tc>
            <w:sdt>
              <w:sdtPr>
                <w:rPr>
                  <w:sz w:val="14"/>
                  <w:szCs w:val="14"/>
                </w:rPr>
                <w:tag w:val="_PLD_a5c1af5c86d545b993971c3da029159d"/>
                <w:id w:val="-1600484716"/>
                <w:lock w:val="sdtLocked"/>
              </w:sdtPr>
              <w:sdtEndPr>
                <w:rPr>
                  <w:sz w:val="14"/>
                  <w:szCs w:val="14"/>
                </w:rPr>
              </w:sdtEndPr>
              <w:sdtContent>
                <w:tc>
                  <w:tcPr>
                    <w:tcW w:w="737"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金额</w:t>
                    </w:r>
                  </w:p>
                </w:tc>
              </w:sdtContent>
            </w:sdt>
            <w:sdt>
              <w:sdtPr>
                <w:rPr>
                  <w:sz w:val="14"/>
                  <w:szCs w:val="14"/>
                </w:rPr>
                <w:tag w:val="_PLD_fd80073c74724a799d0de2171d95f241"/>
                <w:id w:val="-1184827651"/>
                <w:lock w:val="sdtLocked"/>
              </w:sdtPr>
              <w:sdtEndPr>
                <w:rPr>
                  <w:sz w:val="14"/>
                  <w:szCs w:val="14"/>
                </w:rPr>
              </w:sdtEndPr>
              <w:sdtContent>
                <w:tc>
                  <w:tcPr>
                    <w:tcW w:w="185"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比例</w:t>
                    </w:r>
                    <w:r>
                      <w:rPr>
                        <w:sz w:val="14"/>
                        <w:szCs w:val="14"/>
                      </w:rPr>
                      <w:t>(%)</w:t>
                    </w:r>
                  </w:p>
                </w:tc>
              </w:sdtContent>
            </w:sdt>
            <w:sdt>
              <w:sdtPr>
                <w:rPr>
                  <w:sz w:val="14"/>
                  <w:szCs w:val="14"/>
                </w:rPr>
                <w:tag w:val="_PLD_917059b3ee7f4b52afe8c3fa58f3e369"/>
                <w:id w:val="-954094813"/>
                <w:lock w:val="sdtLocked"/>
              </w:sdtPr>
              <w:sdtEndPr>
                <w:rPr>
                  <w:sz w:val="14"/>
                  <w:szCs w:val="14"/>
                </w:rPr>
              </w:sdtEndPr>
              <w:sdtContent>
                <w:tc>
                  <w:tcPr>
                    <w:tcW w:w="537"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金额</w:t>
                    </w:r>
                  </w:p>
                </w:tc>
              </w:sdtContent>
            </w:sdt>
            <w:sdt>
              <w:sdtPr>
                <w:rPr>
                  <w:sz w:val="14"/>
                  <w:szCs w:val="14"/>
                </w:rPr>
                <w:tag w:val="_PLD_ea90ccc029834397956c79bbe869d343"/>
                <w:id w:val="-834067577"/>
                <w:lock w:val="sdtLocked"/>
              </w:sdtPr>
              <w:sdtEndPr>
                <w:rPr>
                  <w:sz w:val="14"/>
                  <w:szCs w:val="14"/>
                </w:rPr>
              </w:sdtEndPr>
              <w:sdtContent>
                <w:tc>
                  <w:tcPr>
                    <w:tcW w:w="236" w:type="pct"/>
                    <w:tcBorders>
                      <w:left w:val="single" w:color="auto" w:sz="4" w:space="0"/>
                      <w:bottom w:val="single" w:color="auto" w:sz="4" w:space="0"/>
                      <w:right w:val="single" w:color="auto" w:sz="4" w:space="0"/>
                    </w:tcBorders>
                    <w:vAlign w:val="center"/>
                  </w:tcPr>
                  <w:p>
                    <w:pPr>
                      <w:jc w:val="center"/>
                      <w:rPr>
                        <w:sz w:val="14"/>
                        <w:szCs w:val="14"/>
                      </w:rPr>
                    </w:pPr>
                    <w:r>
                      <w:rPr>
                        <w:rFonts w:hint="eastAsia"/>
                        <w:sz w:val="14"/>
                        <w:szCs w:val="14"/>
                      </w:rPr>
                      <w:t>计提比例</w:t>
                    </w:r>
                    <w:r>
                      <w:rPr>
                        <w:sz w:val="14"/>
                        <w:szCs w:val="14"/>
                      </w:rPr>
                      <w:t>(%)</w:t>
                    </w:r>
                  </w:p>
                </w:tc>
              </w:sdtContent>
            </w:sdt>
            <w:tc>
              <w:tcPr>
                <w:tcW w:w="737" w:type="pct"/>
                <w:vMerge w:val="continue"/>
                <w:tcBorders>
                  <w:left w:val="single" w:color="auto" w:sz="4" w:space="0"/>
                  <w:bottom w:val="single" w:color="auto" w:sz="4" w:space="0"/>
                  <w:right w:val="single" w:color="auto" w:sz="4" w:space="0"/>
                </w:tcBorders>
              </w:tcPr>
              <w:p>
                <w:pPr>
                  <w:jc w:val="center"/>
                  <w:rPr>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4"/>
                  <w:szCs w:val="14"/>
                </w:rPr>
                <w:tag w:val="_PLD_c2fb108392ea494fbb3dda9bd8528dd0"/>
                <w:id w:val="1334653490"/>
                <w:lock w:val="sdtLocked"/>
              </w:sdtPr>
              <w:sdtEndPr>
                <w:rPr>
                  <w:sz w:val="14"/>
                  <w:szCs w:val="14"/>
                </w:rPr>
              </w:sdtEndPr>
              <w:sdtContent>
                <w:tc>
                  <w:tcPr>
                    <w:tcW w:w="135" w:type="pct"/>
                    <w:tcBorders>
                      <w:top w:val="single" w:color="auto" w:sz="4" w:space="0"/>
                      <w:left w:val="single" w:color="auto" w:sz="4" w:space="0"/>
                      <w:bottom w:val="single" w:color="auto" w:sz="4" w:space="0"/>
                      <w:right w:val="single" w:color="auto" w:sz="4" w:space="0"/>
                    </w:tcBorders>
                    <w:vAlign w:val="center"/>
                  </w:tcPr>
                  <w:p>
                    <w:pPr>
                      <w:jc w:val="both"/>
                      <w:rPr>
                        <w:sz w:val="14"/>
                        <w:szCs w:val="14"/>
                      </w:rPr>
                    </w:pPr>
                    <w:r>
                      <w:rPr>
                        <w:rFonts w:hint="eastAsia"/>
                        <w:sz w:val="14"/>
                        <w:szCs w:val="14"/>
                      </w:rPr>
                      <w:t>按组合计提坏账准备</w:t>
                    </w:r>
                  </w:p>
                </w:tc>
              </w:sdtContent>
            </w:sdt>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428,569,623.48</w:t>
                </w: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100</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0.14</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427,973,265.22</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411,223,001.89</w:t>
                </w: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100</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0.15</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410,626,643.63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4"/>
                  <w:szCs w:val="14"/>
                </w:rPr>
                <w:tag w:val="_PLD_bd68cdc38a0e426ea1ec99be844140b3"/>
                <w:id w:val="-346480321"/>
                <w:lock w:val="sdtLocked"/>
              </w:sdtPr>
              <w:sdtEndPr>
                <w:rPr>
                  <w:sz w:val="14"/>
                  <w:szCs w:val="14"/>
                </w:rPr>
              </w:sdtEndPr>
              <w:sdtContent>
                <w:tc>
                  <w:tcPr>
                    <w:tcW w:w="5000" w:type="pct"/>
                    <w:gridSpan w:val="11"/>
                    <w:tcBorders>
                      <w:top w:val="single" w:color="auto" w:sz="4" w:space="0"/>
                      <w:left w:val="single" w:color="auto" w:sz="4" w:space="0"/>
                      <w:bottom w:val="single" w:color="auto" w:sz="4" w:space="0"/>
                      <w:right w:val="single" w:color="auto" w:sz="4" w:space="0"/>
                    </w:tcBorders>
                  </w:tcPr>
                  <w:p>
                    <w:pPr>
                      <w:rPr>
                        <w:sz w:val="14"/>
                        <w:szCs w:val="14"/>
                      </w:rPr>
                    </w:pPr>
                    <w:r>
                      <w:rPr>
                        <w:rFonts w:hint="eastAsia"/>
                        <w:sz w:val="14"/>
                        <w:szCs w:val="14"/>
                      </w:rPr>
                      <w:t>其中：</w:t>
                    </w:r>
                  </w:p>
                </w:tc>
              </w:sdtContent>
            </w:sdt>
          </w:tr>
          <w:sdt>
            <w:sdtPr>
              <w:rPr>
                <w:sz w:val="14"/>
                <w:szCs w:val="14"/>
              </w:rPr>
              <w:alias w:val="按组合计提坏账准备的应收账款明细"/>
              <w:tag w:val="_TUP_d12105eecf1f43bb9d549b5dd7af65bd"/>
              <w:id w:val="1099138687"/>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4"/>
                      <w:szCs w:val="14"/>
                    </w:rPr>
                    <w:alias w:val="按组合计提坏账准备的应收账款明细-组合名称"/>
                    <w:tag w:val="_GBC_1d1150cff5254d829cba03da56c2e941"/>
                    <w:id w:val="-1095624883"/>
                    <w:lock w:val="sdtLocked"/>
                  </w:sdtPr>
                  <w:sdtEndPr>
                    <w:rPr>
                      <w:sz w:val="14"/>
                      <w:szCs w:val="14"/>
                    </w:rPr>
                  </w:sdtEndPr>
                  <w:sdtContent>
                    <w:tc>
                      <w:tcPr>
                        <w:tcW w:w="135" w:type="pct"/>
                        <w:tcBorders>
                          <w:top w:val="single" w:color="auto" w:sz="4" w:space="0"/>
                          <w:left w:val="single" w:color="auto" w:sz="4" w:space="0"/>
                          <w:bottom w:val="single" w:color="auto" w:sz="4" w:space="0"/>
                          <w:right w:val="single" w:color="auto" w:sz="4" w:space="0"/>
                        </w:tcBorders>
                      </w:tcPr>
                      <w:p>
                        <w:pPr>
                          <w:jc w:val="both"/>
                          <w:rPr>
                            <w:color w:val="808080"/>
                            <w:sz w:val="14"/>
                            <w:szCs w:val="14"/>
                          </w:rPr>
                        </w:pPr>
                        <w:r>
                          <w:rPr>
                            <w:rFonts w:hint="eastAsia"/>
                            <w:sz w:val="14"/>
                            <w:szCs w:val="14"/>
                          </w:rPr>
                          <w:t>按组合计提坏账准备</w:t>
                        </w:r>
                      </w:p>
                    </w:tc>
                  </w:sdtContent>
                </w:sdt>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428,569,623.48</w:t>
                    </w: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100</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0.14</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427,973,265.22</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411,223,001.89</w:t>
                    </w: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100</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0.15</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410,626,643.63</w:t>
                    </w:r>
                  </w:p>
                </w:tc>
              </w:tr>
            </w:sdtContent>
          </w:sdt>
          <w:sdt>
            <w:sdtPr>
              <w:rPr>
                <w:sz w:val="14"/>
                <w:szCs w:val="14"/>
              </w:rPr>
              <w:alias w:val="按组合计提坏账准备的应收账款明细"/>
              <w:tag w:val="_TUP_d12105eecf1f43bb9d549b5dd7af65bd"/>
              <w:id w:val="1892155591"/>
              <w:lock w:val="sdtLocked"/>
            </w:sdtPr>
            <w:sdtEndPr>
              <w:rPr>
                <w:sz w:val="14"/>
                <w:szCs w:val="1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4"/>
                      <w:szCs w:val="14"/>
                    </w:rPr>
                    <w:alias w:val="按组合计提坏账准备的应收账款明细-组合名称"/>
                    <w:tag w:val="_GBC_1d1150cff5254d829cba03da56c2e941"/>
                    <w:id w:val="74405876"/>
                    <w:lock w:val="sdtLocked"/>
                    <w:showingPlcHdr/>
                  </w:sdtPr>
                  <w:sdtEndPr>
                    <w:rPr>
                      <w:sz w:val="14"/>
                      <w:szCs w:val="14"/>
                    </w:rPr>
                  </w:sdtEndPr>
                  <w:sdtContent>
                    <w:tc>
                      <w:tcPr>
                        <w:tcW w:w="135" w:type="pct"/>
                        <w:tcBorders>
                          <w:top w:val="single" w:color="auto" w:sz="4" w:space="0"/>
                          <w:left w:val="single" w:color="auto" w:sz="4" w:space="0"/>
                          <w:bottom w:val="single" w:color="auto" w:sz="4" w:space="0"/>
                          <w:right w:val="single" w:color="auto" w:sz="4" w:space="0"/>
                        </w:tcBorders>
                      </w:tcPr>
                      <w:p>
                        <w:pPr>
                          <w:jc w:val="both"/>
                          <w:rPr>
                            <w:color w:val="808080"/>
                            <w:sz w:val="14"/>
                            <w:szCs w:val="14"/>
                          </w:rPr>
                        </w:pPr>
                        <w:r>
                          <w:rPr>
                            <w:rFonts w:hint="eastAsia"/>
                            <w:sz w:val="14"/>
                            <w:szCs w:val="14"/>
                          </w:rPr>
                          <w:t>　</w:t>
                        </w:r>
                      </w:p>
                    </w:tc>
                  </w:sdtContent>
                </w:sdt>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rFonts w:hint="eastAsia"/>
                        <w:sz w:val="14"/>
                        <w:szCs w:val="14"/>
                      </w:rPr>
                      <w:t>　</w:t>
                    </w:r>
                  </w:p>
                </w:tc>
                <w:tc>
                  <w:tcPr>
                    <w:tcW w:w="185"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236" w:type="pct"/>
                    <w:tcBorders>
                      <w:top w:val="single" w:color="auto" w:sz="4" w:space="0"/>
                      <w:left w:val="single" w:color="auto" w:sz="4" w:space="0"/>
                      <w:bottom w:val="single" w:color="auto" w:sz="4" w:space="0"/>
                      <w:right w:val="single" w:color="auto" w:sz="4" w:space="0"/>
                    </w:tcBorders>
                  </w:tcPr>
                  <w:p>
                    <w:pPr>
                      <w:jc w:val="right"/>
                      <w:rPr>
                        <w:sz w:val="14"/>
                        <w:szCs w:val="14"/>
                      </w:rPr>
                    </w:pP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4"/>
                  <w:szCs w:val="14"/>
                </w:rPr>
                <w:tag w:val="_PLD_da40eb921a044acabfd44df1104701c2"/>
                <w:id w:val="651109063"/>
                <w:lock w:val="sdtLocked"/>
              </w:sdtPr>
              <w:sdtEndPr>
                <w:rPr>
                  <w:sz w:val="14"/>
                  <w:szCs w:val="14"/>
                </w:rPr>
              </w:sdtEndPr>
              <w:sdtContent>
                <w:tc>
                  <w:tcPr>
                    <w:tcW w:w="135"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sz w:val="14"/>
                        <w:szCs w:val="14"/>
                      </w:rPr>
                    </w:pPr>
                    <w:r>
                      <w:rPr>
                        <w:rFonts w:hint="eastAsia"/>
                        <w:sz w:val="14"/>
                        <w:szCs w:val="14"/>
                      </w:rPr>
                      <w:t>合计</w:t>
                    </w:r>
                  </w:p>
                </w:tc>
              </w:sdtContent>
            </w:sdt>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428,569,623.48</w:t>
                </w:r>
              </w:p>
            </w:tc>
            <w:tc>
              <w:tcPr>
                <w:tcW w:w="185" w:type="pct"/>
                <w:tcBorders>
                  <w:top w:val="single" w:color="auto" w:sz="4" w:space="0"/>
                  <w:left w:val="single" w:color="auto" w:sz="4" w:space="0"/>
                  <w:bottom w:val="single" w:color="auto" w:sz="4" w:space="0"/>
                  <w:right w:val="single" w:color="auto" w:sz="4" w:space="0"/>
                </w:tcBorders>
              </w:tcPr>
              <w:p>
                <w:pPr>
                  <w:jc w:val="center"/>
                  <w:rPr>
                    <w:sz w:val="14"/>
                    <w:szCs w:val="14"/>
                  </w:rPr>
                </w:pPr>
                <w:r>
                  <w:rPr>
                    <w:rFonts w:hint="eastAsia"/>
                    <w:sz w:val="14"/>
                    <w:szCs w:val="14"/>
                  </w:rPr>
                  <w:t>/</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center"/>
                  <w:rPr>
                    <w:sz w:val="14"/>
                    <w:szCs w:val="14"/>
                  </w:rPr>
                </w:pPr>
                <w:r>
                  <w:rPr>
                    <w:rFonts w:hint="eastAsia"/>
                    <w:sz w:val="14"/>
                    <w:szCs w:val="14"/>
                  </w:rPr>
                  <w:t>/</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427,973,265.22</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411,223,001.89</w:t>
                </w:r>
              </w:p>
            </w:tc>
            <w:tc>
              <w:tcPr>
                <w:tcW w:w="185" w:type="pct"/>
                <w:tcBorders>
                  <w:top w:val="single" w:color="auto" w:sz="4" w:space="0"/>
                  <w:left w:val="single" w:color="auto" w:sz="4" w:space="0"/>
                  <w:bottom w:val="single" w:color="auto" w:sz="4" w:space="0"/>
                  <w:right w:val="single" w:color="auto" w:sz="4" w:space="0"/>
                </w:tcBorders>
              </w:tcPr>
              <w:p>
                <w:pPr>
                  <w:jc w:val="center"/>
                  <w:rPr>
                    <w:sz w:val="14"/>
                    <w:szCs w:val="14"/>
                  </w:rPr>
                </w:pPr>
                <w:r>
                  <w:rPr>
                    <w:rFonts w:hint="eastAsia"/>
                    <w:sz w:val="14"/>
                    <w:szCs w:val="14"/>
                  </w:rPr>
                  <w:t>/</w:t>
                </w:r>
              </w:p>
            </w:tc>
            <w:tc>
              <w:tcPr>
                <w:tcW w:w="5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596,358.26</w:t>
                </w:r>
              </w:p>
            </w:tc>
            <w:tc>
              <w:tcPr>
                <w:tcW w:w="236" w:type="pct"/>
                <w:tcBorders>
                  <w:top w:val="single" w:color="auto" w:sz="4" w:space="0"/>
                  <w:left w:val="single" w:color="auto" w:sz="4" w:space="0"/>
                  <w:bottom w:val="single" w:color="auto" w:sz="4" w:space="0"/>
                  <w:right w:val="single" w:color="auto" w:sz="4" w:space="0"/>
                </w:tcBorders>
              </w:tcPr>
              <w:p>
                <w:pPr>
                  <w:jc w:val="center"/>
                  <w:rPr>
                    <w:sz w:val="14"/>
                    <w:szCs w:val="14"/>
                  </w:rPr>
                </w:pPr>
                <w:r>
                  <w:rPr>
                    <w:rFonts w:hint="eastAsia"/>
                    <w:sz w:val="14"/>
                    <w:szCs w:val="14"/>
                  </w:rPr>
                  <w:t>/</w:t>
                </w:r>
              </w:p>
            </w:tc>
            <w:tc>
              <w:tcPr>
                <w:tcW w:w="737" w:type="pct"/>
                <w:tcBorders>
                  <w:top w:val="single" w:color="auto" w:sz="4" w:space="0"/>
                  <w:left w:val="single" w:color="auto" w:sz="4" w:space="0"/>
                  <w:bottom w:val="single" w:color="auto" w:sz="4" w:space="0"/>
                  <w:right w:val="single" w:color="auto" w:sz="4" w:space="0"/>
                </w:tcBorders>
              </w:tcPr>
              <w:p>
                <w:pPr>
                  <w:jc w:val="right"/>
                  <w:rPr>
                    <w:sz w:val="14"/>
                    <w:szCs w:val="14"/>
                  </w:rPr>
                </w:pPr>
                <w:r>
                  <w:rPr>
                    <w:sz w:val="14"/>
                    <w:szCs w:val="14"/>
                  </w:rPr>
                  <w:t>410,626,643.63</w:t>
                </w:r>
              </w:p>
            </w:tc>
          </w:tr>
        </w:tbl>
        <w:p/>
      </w:sdtContent>
    </w:sdt>
    <w:bookmarkEnd w:id="262"/>
    <w:sdt>
      <w:sdtPr>
        <w:rPr>
          <w:rFonts w:hint="eastAsia"/>
        </w:rPr>
        <w:alias w:val="模块:按单项计提坏账准备："/>
        <w:tag w:val="_SEC_25fdb1db4e684b509f2d87c2a7766da9"/>
        <w:id w:val="-711496647"/>
        <w:lock w:val="sdtLocked"/>
        <w:placeholder>
          <w:docPart w:val="GBC22222222222222222222222222222"/>
        </w:placeholder>
      </w:sdtPr>
      <w:sdtEndPr>
        <w:rPr>
          <w:rFonts w:hint="default"/>
        </w:rPr>
      </w:sdtEndPr>
      <w:sdtContent>
        <w:p>
          <w:bookmarkStart w:id="263" w:name="_Hlk10540045"/>
          <w:bookmarkStart w:id="264" w:name="_Hlk10540056"/>
          <w:r>
            <w:rPr>
              <w:rFonts w:hint="eastAsia"/>
            </w:rPr>
            <w:t>按单项计提坏账准备：</w:t>
          </w:r>
          <w:bookmarkEnd w:id="263"/>
        </w:p>
        <w:sdt>
          <w:sdtPr>
            <w:alias w:val="是否适用：母公司应收账款按单项计提坏账准备[双击切换]"/>
            <w:tag w:val="_GBC_6aa7698e624f4481b0cf894058a63961"/>
            <w:id w:val="-1482149567"/>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sdtContent>
    </w:sdt>
    <w:bookmarkEnd w:id="264"/>
    <w:p>
      <w:bookmarkStart w:id="265" w:name="_Hlk10540079"/>
      <w:r>
        <w:rPr>
          <w:rFonts w:hint="eastAsia"/>
        </w:rPr>
        <w:t>按组合计提坏账准备：</w:t>
      </w:r>
    </w:p>
    <w:sdt>
      <w:sdtPr>
        <w:alias w:val="是否适用：母公司应收账款按组合计提坏账准备[双击切换]"/>
        <w:tag w:val="_GBC_bf96e631f2cf4f6a876dff49863ee9d3"/>
        <w:id w:val="529070844"/>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65"/>
    <w:p/>
    <w:sdt>
      <w:sdtPr>
        <w:rPr>
          <w:rFonts w:hint="eastAsia"/>
        </w:rPr>
        <w:alias w:val="模块:如按预期信用损失一般模型计提坏账准备，请参照其他应收款披露："/>
        <w:tag w:val="_SEC_0daf1df16ecd4ddb95ab2ba88474abac"/>
        <w:id w:val="417445731"/>
        <w:lock w:val="sdtLocked"/>
        <w:placeholder>
          <w:docPart w:val="GBC22222222222222222222222222222"/>
        </w:placeholder>
      </w:sdtPr>
      <w:sdtEndPr>
        <w:rPr>
          <w:rFonts w:hint="default"/>
        </w:rPr>
      </w:sdtEndPr>
      <w:sdtContent>
        <w:p>
          <w:bookmarkStart w:id="266" w:name="_Hlk10540115"/>
          <w:bookmarkStart w:id="267" w:name="_Hlk10540132"/>
          <w:r>
            <w:rPr>
              <w:rFonts w:hint="eastAsia"/>
            </w:rPr>
            <w:t>如按预期信用损失一般模型计提坏账准备，请参照其他应收款披露：</w:t>
          </w:r>
          <w:bookmarkEnd w:id="266"/>
        </w:p>
        <w:sdt>
          <w:sdtPr>
            <w:alias w:val="是否适用：母公司应收账款按一般预计信用损失模型计提坏账[双击切换]"/>
            <w:tag w:val="_GBC_549d8a07d3e545ee8ada79b15a8ba3e9"/>
            <w:id w:val="17664896"/>
            <w:lock w:val="sd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sdtContent>
    </w:sdt>
    <w:bookmarkEnd w:id="267"/>
    <w:p>
      <w:pPr>
        <w:pStyle w:val="5"/>
        <w:numPr>
          <w:ilvl w:val="0"/>
          <w:numId w:val="103"/>
        </w:numPr>
        <w:tabs>
          <w:tab w:val="left" w:pos="644"/>
        </w:tabs>
        <w:ind w:left="0" w:firstLine="0"/>
        <w:rPr>
          <w:rFonts w:ascii="宋体" w:hAnsi="宋体"/>
          <w:szCs w:val="21"/>
        </w:rPr>
      </w:pPr>
      <w:bookmarkStart w:id="268" w:name="_Hlk10540190"/>
      <w:bookmarkStart w:id="269" w:name="_Hlk10540207"/>
      <w:r>
        <w:rPr>
          <w:rFonts w:hint="eastAsia" w:ascii="宋体" w:hAnsi="宋体"/>
          <w:szCs w:val="21"/>
        </w:rPr>
        <w:t>坏账准备的情况</w:t>
      </w:r>
      <w:bookmarkEnd w:id="268"/>
    </w:p>
    <w:sdt>
      <w:sdtPr>
        <w:alias w:val="是否适用：母公司应收账款坏账准备情况[双击切换]"/>
        <w:tag w:val="_GBC_f73789de2ecf49c4bad380c8767c93cf"/>
        <w:id w:val="-1111435157"/>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69"/>
    <w:sdt>
      <w:sdtPr>
        <w:rPr>
          <w:rFonts w:hint="eastAsia" w:ascii="Calibri" w:hAnsi="Calibri" w:cs="Times New Roman"/>
          <w:kern w:val="2"/>
          <w:szCs w:val="22"/>
        </w:rPr>
        <w:alias w:val="模块:计提坏账准备情况"/>
        <w:tag w:val="_SEC_1d771df7b6f44c3999ed9d4bceb75d3a"/>
        <w:id w:val="-510686402"/>
        <w:lock w:val="sdtLocked"/>
      </w:sdtPr>
      <w:sdtEndPr>
        <w:rPr>
          <w:rFonts w:hint="default" w:ascii="Calibri" w:hAnsi="Calibri" w:cs="Times New Roman"/>
          <w:kern w:val="2"/>
          <w:szCs w:val="22"/>
        </w:rPr>
      </w:sdtEndPr>
      <w:sdtContent>
        <w:p>
          <w:pPr>
            <w:snapToGrid w:val="0"/>
            <w:spacing w:line="240" w:lineRule="atLeast"/>
            <w:ind w:left="425"/>
            <w:jc w:val="right"/>
          </w:pPr>
          <w:r>
            <w:rPr>
              <w:rFonts w:hint="eastAsia"/>
            </w:rPr>
            <w:t>单位：</w:t>
          </w:r>
          <w:sdt>
            <w:sdtPr>
              <w:rPr>
                <w:rFonts w:hint="eastAsia"/>
              </w:rPr>
              <w:alias w:val="单位：母公司应收账款坏账准备情况"/>
              <w:tag w:val="_GBC_b1cb6a2ed32f4cbba0ff71c0724458cf"/>
              <w:id w:val="-133021393"/>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应收账款坏账准备情况"/>
              <w:tag w:val="_GBC_d354bf362fbe459f823a08ebfd7e3967"/>
              <w:id w:val="14724743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3" w:type="dxa"/>
              <w:bottom w:w="0" w:type="dxa"/>
              <w:right w:w="113" w:type="dxa"/>
            </w:tblCellMar>
          </w:tblPr>
          <w:tblGrid>
            <w:gridCol w:w="1455"/>
            <w:gridCol w:w="1310"/>
            <w:gridCol w:w="1324"/>
            <w:gridCol w:w="1218"/>
            <w:gridCol w:w="1223"/>
            <w:gridCol w:w="1219"/>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jc w:val="center"/>
            </w:trPr>
            <w:sdt>
              <w:sdtPr>
                <w:tag w:val="_PLD_f6bf13992bdc4b06bd6f364458e0df47"/>
                <w:id w:val="1243296097"/>
                <w:lock w:val="sdtLocked"/>
              </w:sdtPr>
              <w:sdtContent>
                <w:tc>
                  <w:tcPr>
                    <w:tcW w:w="803" w:type="pct"/>
                    <w:vMerge w:val="restart"/>
                    <w:shd w:val="clear" w:color="auto" w:fill="FFFFFF"/>
                    <w:vAlign w:val="center"/>
                  </w:tcPr>
                  <w:p>
                    <w:pPr>
                      <w:widowControl w:val="0"/>
                      <w:jc w:val="center"/>
                    </w:pPr>
                    <w:r>
                      <w:t>类别</w:t>
                    </w:r>
                  </w:p>
                </w:tc>
              </w:sdtContent>
            </w:sdt>
            <w:sdt>
              <w:sdtPr>
                <w:tag w:val="_PLD_579b33cd0d7e490d998a64c9f202ccfb"/>
                <w:id w:val="-1659216464"/>
                <w:lock w:val="sdtLocked"/>
              </w:sdtPr>
              <w:sdtContent>
                <w:tc>
                  <w:tcPr>
                    <w:tcW w:w="723" w:type="pct"/>
                    <w:vMerge w:val="restart"/>
                    <w:shd w:val="clear" w:color="auto" w:fill="FFFFFF"/>
                    <w:vAlign w:val="center"/>
                  </w:tcPr>
                  <w:p>
                    <w:pPr>
                      <w:widowControl w:val="0"/>
                      <w:jc w:val="center"/>
                    </w:pPr>
                    <w:r>
                      <w:t>期初余额</w:t>
                    </w:r>
                  </w:p>
                </w:tc>
              </w:sdtContent>
            </w:sdt>
            <w:sdt>
              <w:sdtPr>
                <w:tag w:val="_PLD_2cbc55bce2ef44bbb40e4050dfe846f1"/>
                <w:id w:val="-2115441566"/>
                <w:lock w:val="sdtLocked"/>
              </w:sdtPr>
              <w:sdtContent>
                <w:tc>
                  <w:tcPr>
                    <w:tcW w:w="2751" w:type="pct"/>
                    <w:gridSpan w:val="4"/>
                    <w:shd w:val="clear" w:color="auto" w:fill="FFFFFF"/>
                    <w:vAlign w:val="center"/>
                  </w:tcPr>
                  <w:p>
                    <w:pPr>
                      <w:widowControl w:val="0"/>
                      <w:jc w:val="center"/>
                    </w:pPr>
                    <w:r>
                      <w:rPr>
                        <w:rFonts w:hint="eastAsia"/>
                      </w:rPr>
                      <w:t>本期变动</w:t>
                    </w:r>
                    <w:r>
                      <w:t>金额</w:t>
                    </w:r>
                  </w:p>
                </w:tc>
              </w:sdtContent>
            </w:sdt>
            <w:sdt>
              <w:sdtPr>
                <w:tag w:val="_PLD_dcc9f714adf8465eb1a49da61466de1f"/>
                <w:id w:val="-908525092"/>
                <w:lock w:val="sdtLocked"/>
              </w:sdtPr>
              <w:sdtContent>
                <w:tc>
                  <w:tcPr>
                    <w:tcW w:w="723" w:type="pct"/>
                    <w:vMerge w:val="restart"/>
                    <w:shd w:val="clear" w:color="auto" w:fill="FFFFFF"/>
                    <w:vAlign w:val="center"/>
                  </w:tcPr>
                  <w:p>
                    <w:pPr>
                      <w:widowControl w:val="0"/>
                      <w:jc w:val="center"/>
                    </w:pPr>
                    <w:r>
                      <w:t>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jc w:val="center"/>
            </w:trPr>
            <w:tc>
              <w:tcPr>
                <w:tcW w:w="803" w:type="pct"/>
                <w:vMerge w:val="continue"/>
                <w:shd w:val="clear" w:color="auto" w:fill="FFFFFF"/>
              </w:tcPr>
              <w:p>
                <w:pPr>
                  <w:widowControl w:val="0"/>
                  <w:jc w:val="center"/>
                </w:pPr>
              </w:p>
            </w:tc>
            <w:tc>
              <w:tcPr>
                <w:tcW w:w="723" w:type="pct"/>
                <w:vMerge w:val="continue"/>
                <w:shd w:val="clear" w:color="auto" w:fill="FFFFFF"/>
              </w:tcPr>
              <w:p>
                <w:pPr>
                  <w:widowControl w:val="0"/>
                  <w:jc w:val="center"/>
                </w:pPr>
              </w:p>
            </w:tc>
            <w:sdt>
              <w:sdtPr>
                <w:tag w:val="_PLD_e4e43f7257b14faaaaf4b09b161bf7b7"/>
                <w:id w:val="-1507973914"/>
                <w:lock w:val="sdtLocked"/>
              </w:sdtPr>
              <w:sdtContent>
                <w:tc>
                  <w:tcPr>
                    <w:tcW w:w="731" w:type="pct"/>
                    <w:shd w:val="clear" w:color="auto" w:fill="FFFFFF"/>
                    <w:vAlign w:val="center"/>
                  </w:tcPr>
                  <w:p>
                    <w:pPr>
                      <w:widowControl w:val="0"/>
                      <w:jc w:val="center"/>
                    </w:pPr>
                    <w:r>
                      <w:t>计提</w:t>
                    </w:r>
                  </w:p>
                </w:tc>
              </w:sdtContent>
            </w:sdt>
            <w:sdt>
              <w:sdtPr>
                <w:tag w:val="_PLD_bf7fb55a6c2a4d18926896fd921fc857"/>
                <w:id w:val="-436519532"/>
                <w:lock w:val="sdtLocked"/>
              </w:sdtPr>
              <w:sdtContent>
                <w:tc>
                  <w:tcPr>
                    <w:tcW w:w="672" w:type="pct"/>
                    <w:shd w:val="clear" w:color="auto" w:fill="FFFFFF"/>
                    <w:vAlign w:val="center"/>
                  </w:tcPr>
                  <w:p>
                    <w:pPr>
                      <w:widowControl w:val="0"/>
                      <w:jc w:val="center"/>
                    </w:pPr>
                    <w:r>
                      <w:rPr>
                        <w:rFonts w:hint="eastAsia"/>
                      </w:rPr>
                      <w:t>收回或转回</w:t>
                    </w:r>
                  </w:p>
                </w:tc>
              </w:sdtContent>
            </w:sdt>
            <w:tc>
              <w:tcPr>
                <w:tcW w:w="675" w:type="pct"/>
                <w:shd w:val="clear" w:color="auto" w:fill="FFFFFF"/>
                <w:vAlign w:val="center"/>
              </w:tcPr>
              <w:sdt>
                <w:sdtPr>
                  <w:rPr>
                    <w:rFonts w:hint="eastAsia"/>
                  </w:rPr>
                  <w:tag w:val="_PLD_536d31c824d74db3baaa7f5b6cd0a9ec"/>
                  <w:id w:val="-1534181077"/>
                  <w:lock w:val="sdtLocked"/>
                </w:sdtPr>
                <w:sdtEndPr>
                  <w:rPr>
                    <w:rFonts w:hint="eastAsia"/>
                  </w:rPr>
                </w:sdtEndPr>
                <w:sdtContent>
                  <w:p>
                    <w:pPr>
                      <w:widowControl w:val="0"/>
                      <w:jc w:val="center"/>
                    </w:pPr>
                    <w:r>
                      <w:rPr>
                        <w:rFonts w:hint="eastAsia"/>
                      </w:rPr>
                      <w:t>转销或核销</w:t>
                    </w:r>
                  </w:p>
                </w:sdtContent>
              </w:sdt>
            </w:tc>
            <w:tc>
              <w:tcPr>
                <w:tcW w:w="673" w:type="pct"/>
                <w:shd w:val="clear" w:color="auto" w:fill="FFFFFF"/>
                <w:vAlign w:val="center"/>
              </w:tcPr>
              <w:sdt>
                <w:sdtPr>
                  <w:rPr>
                    <w:rFonts w:hint="eastAsia"/>
                  </w:rPr>
                  <w:tag w:val="_PLD_32a7ce101f6b48d68c39e1edb6e78b82"/>
                  <w:id w:val="1573846903"/>
                  <w:lock w:val="sdtLocked"/>
                </w:sdtPr>
                <w:sdtEndPr>
                  <w:rPr>
                    <w:rFonts w:hint="eastAsia"/>
                  </w:rPr>
                </w:sdtEndPr>
                <w:sdtContent>
                  <w:p>
                    <w:pPr>
                      <w:widowControl w:val="0"/>
                      <w:jc w:val="right"/>
                    </w:pPr>
                    <w:r>
                      <w:rPr>
                        <w:rFonts w:hint="eastAsia"/>
                      </w:rPr>
                      <w:t>其他变动</w:t>
                    </w:r>
                  </w:p>
                </w:sdtContent>
              </w:sdt>
            </w:tc>
            <w:tc>
              <w:tcPr>
                <w:tcW w:w="723" w:type="pct"/>
                <w:vMerge w:val="continue"/>
                <w:shd w:val="clear" w:color="auto" w:fill="FFFFFF"/>
              </w:tcPr>
              <w:p>
                <w:pPr>
                  <w:widowControl w:val="0"/>
                  <w:jc w:val="right"/>
                </w:pPr>
              </w:p>
            </w:tc>
          </w:tr>
          <w:sdt>
            <w:sdtPr>
              <w:alias w:val="应收账款坏账准备明细"/>
              <w:tag w:val="_TUP_b4b5569b724a48fcad53c89b4a37cb1c"/>
              <w:id w:val="-33963024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jc w:val="center"/>
                </w:trPr>
                <w:tc>
                  <w:tcPr>
                    <w:tcW w:w="803" w:type="pct"/>
                    <w:shd w:val="clear" w:color="auto" w:fill="auto"/>
                  </w:tcPr>
                  <w:p>
                    <w:pPr>
                      <w:widowControl w:val="0"/>
                    </w:pPr>
                    <w:r>
                      <w:rPr>
                        <w:rFonts w:hint="eastAsia"/>
                      </w:rPr>
                      <w:t>按组合计提坏账准备</w:t>
                    </w:r>
                  </w:p>
                </w:tc>
                <w:tc>
                  <w:tcPr>
                    <w:tcW w:w="723" w:type="pct"/>
                    <w:shd w:val="clear" w:color="auto" w:fill="auto"/>
                  </w:tcPr>
                  <w:p>
                    <w:pPr>
                      <w:widowControl w:val="0"/>
                      <w:jc w:val="right"/>
                    </w:pPr>
                    <w:r>
                      <w:t>596,358.26</w:t>
                    </w:r>
                  </w:p>
                </w:tc>
                <w:tc>
                  <w:tcPr>
                    <w:tcW w:w="731" w:type="pct"/>
                    <w:shd w:val="clear" w:color="auto" w:fill="auto"/>
                  </w:tcPr>
                  <w:p>
                    <w:pPr>
                      <w:widowControl w:val="0"/>
                      <w:jc w:val="right"/>
                    </w:pPr>
                    <w:r>
                      <w:t>-</w:t>
                    </w:r>
                  </w:p>
                </w:tc>
                <w:tc>
                  <w:tcPr>
                    <w:tcW w:w="672" w:type="pct"/>
                    <w:shd w:val="clear" w:color="auto" w:fill="auto"/>
                  </w:tcPr>
                  <w:p>
                    <w:pPr>
                      <w:widowControl w:val="0"/>
                      <w:jc w:val="right"/>
                    </w:pPr>
                    <w:r>
                      <w:t>-</w:t>
                    </w:r>
                  </w:p>
                </w:tc>
                <w:tc>
                  <w:tcPr>
                    <w:tcW w:w="675" w:type="pct"/>
                  </w:tcPr>
                  <w:p>
                    <w:pPr>
                      <w:widowControl w:val="0"/>
                      <w:jc w:val="right"/>
                    </w:pPr>
                    <w:r>
                      <w:t>-</w:t>
                    </w:r>
                  </w:p>
                </w:tc>
                <w:tc>
                  <w:tcPr>
                    <w:tcW w:w="673" w:type="pct"/>
                  </w:tcPr>
                  <w:p>
                    <w:pPr>
                      <w:widowControl w:val="0"/>
                      <w:jc w:val="right"/>
                    </w:pPr>
                    <w:r>
                      <w:t>-</w:t>
                    </w:r>
                  </w:p>
                </w:tc>
                <w:tc>
                  <w:tcPr>
                    <w:tcW w:w="723" w:type="pct"/>
                    <w:shd w:val="clear" w:color="auto" w:fill="auto"/>
                  </w:tcPr>
                  <w:p>
                    <w:pPr>
                      <w:widowControl w:val="0"/>
                      <w:jc w:val="right"/>
                    </w:pPr>
                    <w:r>
                      <w:t>596,358.26</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jc w:val="center"/>
            </w:trPr>
            <w:sdt>
              <w:sdtPr>
                <w:tag w:val="_PLD_305ead24b9654c709cb715b961cef894"/>
                <w:id w:val="-816415908"/>
                <w:lock w:val="sdtLocked"/>
              </w:sdtPr>
              <w:sdtContent>
                <w:tc>
                  <w:tcPr>
                    <w:tcW w:w="803" w:type="pct"/>
                    <w:shd w:val="clear" w:color="auto" w:fill="auto"/>
                  </w:tcPr>
                  <w:p>
                    <w:pPr>
                      <w:widowControl w:val="0"/>
                      <w:jc w:val="center"/>
                    </w:pPr>
                    <w:r>
                      <w:rPr>
                        <w:rFonts w:hint="eastAsia"/>
                      </w:rPr>
                      <w:t>合计</w:t>
                    </w:r>
                  </w:p>
                </w:tc>
              </w:sdtContent>
            </w:sdt>
            <w:tc>
              <w:tcPr>
                <w:tcW w:w="723" w:type="pct"/>
                <w:shd w:val="clear" w:color="auto" w:fill="auto"/>
              </w:tcPr>
              <w:p>
                <w:pPr>
                  <w:widowControl w:val="0"/>
                  <w:jc w:val="right"/>
                </w:pPr>
                <w:r>
                  <w:t>596,358.26</w:t>
                </w:r>
              </w:p>
            </w:tc>
            <w:tc>
              <w:tcPr>
                <w:tcW w:w="731" w:type="pct"/>
                <w:shd w:val="clear" w:color="auto" w:fill="auto"/>
              </w:tcPr>
              <w:p>
                <w:pPr>
                  <w:widowControl w:val="0"/>
                  <w:jc w:val="right"/>
                </w:pPr>
                <w:r>
                  <w:t>-</w:t>
                </w:r>
              </w:p>
            </w:tc>
            <w:tc>
              <w:tcPr>
                <w:tcW w:w="672" w:type="pct"/>
                <w:shd w:val="clear" w:color="auto" w:fill="auto"/>
              </w:tcPr>
              <w:p>
                <w:pPr>
                  <w:widowControl w:val="0"/>
                  <w:jc w:val="right"/>
                </w:pPr>
                <w:r>
                  <w:t>-</w:t>
                </w:r>
              </w:p>
            </w:tc>
            <w:tc>
              <w:tcPr>
                <w:tcW w:w="675" w:type="pct"/>
              </w:tcPr>
              <w:p>
                <w:pPr>
                  <w:widowControl w:val="0"/>
                  <w:jc w:val="right"/>
                </w:pPr>
                <w:r>
                  <w:t>-</w:t>
                </w:r>
              </w:p>
            </w:tc>
            <w:tc>
              <w:tcPr>
                <w:tcW w:w="673" w:type="pct"/>
              </w:tcPr>
              <w:p>
                <w:pPr>
                  <w:widowControl w:val="0"/>
                  <w:jc w:val="right"/>
                </w:pPr>
                <w:r>
                  <w:t>-</w:t>
                </w:r>
              </w:p>
            </w:tc>
            <w:tc>
              <w:tcPr>
                <w:tcW w:w="723" w:type="pct"/>
                <w:shd w:val="clear" w:color="auto" w:fill="auto"/>
              </w:tcPr>
              <w:p>
                <w:pPr>
                  <w:widowControl w:val="0"/>
                  <w:jc w:val="right"/>
                </w:pPr>
                <w:r>
                  <w:t>596,358.26</w:t>
                </w:r>
              </w:p>
            </w:tc>
          </w:tr>
        </w:tbl>
        <w:p>
          <w:pPr>
            <w:pStyle w:val="55"/>
            <w:snapToGrid w:val="0"/>
            <w:spacing w:line="240" w:lineRule="atLeast"/>
            <w:ind w:left="425" w:firstLine="0" w:firstLineChars="0"/>
            <w:jc w:val="left"/>
            <w:rPr>
              <w:rFonts w:ascii="宋体" w:hAnsi="宋体"/>
              <w:szCs w:val="21"/>
            </w:rPr>
          </w:pPr>
        </w:p>
      </w:sdtContent>
    </w:sdt>
    <w:p>
      <w:pPr>
        <w:pStyle w:val="114"/>
      </w:pPr>
    </w:p>
    <w:sdt>
      <w:sdtPr>
        <w:rPr>
          <w:rFonts w:hint="eastAsia"/>
        </w:rPr>
        <w:alias w:val="模块:其中本期坏账准备收回或转回金额重要的："/>
        <w:tag w:val="_SEC_cfbe6c51f19042a4ad507f8066423e41"/>
        <w:id w:val="1848746176"/>
        <w:lock w:val="sdtLocked"/>
        <w:placeholder>
          <w:docPart w:val="GBC22222222222222222222222222222"/>
        </w:placeholder>
      </w:sdtPr>
      <w:sdtEndPr>
        <w:rPr>
          <w:rFonts w:hint="default"/>
        </w:rPr>
      </w:sdtEndPr>
      <w:sdtContent>
        <w:p>
          <w:pPr>
            <w:pStyle w:val="114"/>
          </w:pPr>
          <w:bookmarkStart w:id="270" w:name="_Hlk10540223"/>
          <w:bookmarkStart w:id="271" w:name="_Hlk10540234"/>
          <w:r>
            <w:rPr>
              <w:rFonts w:hint="eastAsia"/>
            </w:rPr>
            <w:t>其中本期坏账准备收回或转回金额重要的：</w:t>
          </w:r>
          <w:bookmarkEnd w:id="270"/>
        </w:p>
        <w:sdt>
          <w:sdtPr>
            <w:alias w:val="是否适用：母公司其中本期坏账准备收回或转回金额重要的[双击切换]"/>
            <w:tag w:val="_GBC_a6aa75dceb1749caaf0ac8239ed005c1"/>
            <w:id w:val="443353343"/>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1"/>
    <w:p>
      <w:pPr>
        <w:pStyle w:val="114"/>
      </w:pPr>
    </w:p>
    <w:sdt>
      <w:sdtPr>
        <w:rPr>
          <w:rFonts w:hint="eastAsia" w:ascii="宋体" w:hAnsi="宋体" w:cs="宋体"/>
          <w:b w:val="0"/>
          <w:bCs w:val="0"/>
          <w:kern w:val="0"/>
          <w:szCs w:val="24"/>
        </w:rPr>
        <w:alias w:val="模块:本报告期实际核销的应收账款情况"/>
        <w:tag w:val="_GBC_72fe1bcd09e2470f910107f1e159af49"/>
        <w:id w:val="-1881459986"/>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3"/>
            </w:numPr>
            <w:tabs>
              <w:tab w:val="left" w:pos="630"/>
            </w:tabs>
            <w:ind w:left="0" w:firstLine="0"/>
            <w:rPr>
              <w:rFonts w:ascii="宋体" w:hAnsi="宋体"/>
            </w:rPr>
          </w:pPr>
          <w:r>
            <w:rPr>
              <w:rFonts w:ascii="宋体" w:hAnsi="宋体"/>
            </w:rPr>
            <w:t>本期实际核销的应收</w:t>
          </w:r>
          <w:r>
            <w:rPr>
              <w:rFonts w:hint="eastAsia" w:ascii="宋体" w:hAnsi="宋体"/>
            </w:rPr>
            <w:t>账款</w:t>
          </w:r>
          <w:r>
            <w:rPr>
              <w:rFonts w:ascii="宋体" w:hAnsi="宋体"/>
            </w:rPr>
            <w:t>情况</w:t>
          </w:r>
        </w:p>
        <w:sdt>
          <w:sdtPr>
            <w:alias w:val="是否适用：母公司本期实际核销的应收账款情况[双击切换]"/>
            <w:tag w:val="_GBC_a8b9861b74fa43bdb4a98d13449f8f5e"/>
            <w:id w:val="100934019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p>
      <w:pPr>
        <w:snapToGrid w:val="0"/>
        <w:spacing w:line="240" w:lineRule="atLeast"/>
        <w:ind w:left="-105" w:leftChars="-50"/>
      </w:pPr>
    </w:p>
    <w:sdt>
      <w:sdtPr>
        <w:rPr>
          <w:rFonts w:hint="eastAsia" w:ascii="宋体" w:hAnsi="宋体" w:cs="宋体"/>
          <w:b w:val="0"/>
          <w:bCs w:val="0"/>
          <w:kern w:val="0"/>
          <w:szCs w:val="24"/>
        </w:rPr>
        <w:alias w:val="模块:按欠款方归集的期末余额前五名的应收账款情况"/>
        <w:tag w:val="_GBC_60192a235b1d4a9bb5f69fafe3ab6f87"/>
        <w:id w:val="-91543933"/>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3"/>
            </w:numPr>
            <w:tabs>
              <w:tab w:val="left" w:pos="630"/>
            </w:tabs>
            <w:ind w:left="0" w:firstLine="0"/>
            <w:rPr>
              <w:rFonts w:ascii="宋体" w:hAnsi="宋体"/>
            </w:rPr>
          </w:pPr>
          <w:r>
            <w:rPr>
              <w:rFonts w:hint="eastAsia" w:ascii="宋体" w:hAnsi="宋体"/>
            </w:rPr>
            <w:t>按欠款方归集的期末余额前五名的应收账款情况</w:t>
          </w:r>
        </w:p>
        <w:sdt>
          <w:sdtPr>
            <w:alias w:val="是否适用：母公司按欠款方归集的期末余额前五名的应收账款情况[双击切换]"/>
            <w:tag w:val="_GBC_6ebf56800d554857af86eb226ac98f28"/>
            <w:id w:val="84320583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1854448673"/>
            <w:lock w:val="sdtLocked"/>
            <w:placeholder>
              <w:docPart w:val="GBC22222222222222222222222222222"/>
            </w:placeholder>
          </w:sdtPr>
          <w:sdtContent>
            <w:p>
              <w:pPr>
                <w:tabs>
                  <w:tab w:val="left" w:pos="566"/>
                </w:tabs>
                <w:overflowPunct w:val="0"/>
                <w:adjustRightInd w:val="0"/>
                <w:snapToGrid w:val="0"/>
                <w:ind w:hanging="851"/>
                <w:jc w:val="both"/>
                <w:rPr>
                  <w:rFonts w:ascii="Arial" w:hAnsi="Arial" w:eastAsia="微软雅黑" w:cs="Arial"/>
                  <w:color w:val="000000" w:themeColor="text1"/>
                  <w:kern w:val="2"/>
                  <w14:textFill>
                    <w14:solidFill>
                      <w14:schemeClr w14:val="tx1"/>
                    </w14:solidFill>
                  </w14:textFill>
                </w:rPr>
              </w:pPr>
            </w:p>
            <w:p>
              <w:r>
                <w:rPr>
                  <w:rFonts w:hint="eastAsia"/>
                </w:rPr>
                <w:t>本公司期末余额前五名的应收账款合计人民币</w:t>
              </w:r>
              <w:r>
                <w:t>119,776,782.44 元，占应收账款期末余额合计数的27.95%，相应计提的坏账准备期末余额合计人民币0元。</w:t>
              </w:r>
            </w:p>
          </w:sdtContent>
        </w:sdt>
        <w:p>
          <w:pPr>
            <w:snapToGrid w:val="0"/>
            <w:spacing w:line="240" w:lineRule="atLeast"/>
          </w:pPr>
        </w:p>
      </w:sdtContent>
    </w:sdt>
    <w:sdt>
      <w:sdtPr>
        <w:rPr>
          <w:rFonts w:hint="eastAsia" w:ascii="宋体" w:hAnsi="宋体" w:cs="宋体"/>
          <w:b w:val="0"/>
          <w:bCs w:val="0"/>
          <w:kern w:val="0"/>
          <w:szCs w:val="24"/>
        </w:rPr>
        <w:alias w:val="模块:因金融资产转移而终止确认的应收账款"/>
        <w:tag w:val="_GBC_ab73666b561d47cbb383aa21715b406f"/>
        <w:id w:val="163621328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03"/>
            </w:numPr>
            <w:tabs>
              <w:tab w:val="left" w:pos="630"/>
            </w:tabs>
            <w:ind w:left="0" w:firstLine="0"/>
            <w:rPr>
              <w:rFonts w:ascii="宋体" w:hAnsi="宋体"/>
              <w:kern w:val="0"/>
            </w:rPr>
          </w:pPr>
          <w:r>
            <w:rPr>
              <w:rFonts w:hint="eastAsia" w:ascii="宋体" w:hAnsi="宋体"/>
              <w:kern w:val="0"/>
            </w:rPr>
            <w:t>因</w:t>
          </w:r>
          <w:r>
            <w:rPr>
              <w:rFonts w:hint="eastAsia" w:ascii="宋体" w:hAnsi="宋体"/>
            </w:rPr>
            <w:t>金融资产转移</w:t>
          </w:r>
          <w:r>
            <w:rPr>
              <w:rFonts w:hint="eastAsia" w:ascii="宋体" w:hAnsi="宋体"/>
              <w:kern w:val="0"/>
            </w:rPr>
            <w:t>而终止确认的应收账款</w:t>
          </w:r>
        </w:p>
        <w:sdt>
          <w:sdtPr>
            <w:rPr>
              <w:rFonts w:hint="eastAsia"/>
            </w:rPr>
            <w:alias w:val="是否适用：母公司因金融资产转移而终止确认的应收账款[双击切换]"/>
            <w:tag w:val="_GBC_452701102453497e8ab0df8e4c523df9"/>
            <w:id w:val="-1072895715"/>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sdt>
      <w:sdtPr>
        <w:rPr>
          <w:rFonts w:hint="eastAsia" w:ascii="宋体" w:hAnsi="宋体" w:cs="宋体"/>
          <w:b w:val="0"/>
          <w:bCs w:val="0"/>
          <w:kern w:val="0"/>
          <w:szCs w:val="24"/>
        </w:rPr>
        <w:alias w:val="模块:转移应收账款且继续涉入的，分项列示继续涉入形成的资产、负债的金额"/>
        <w:tag w:val="_GBC_0fefb2630375419f8e496c310f6ec9ee"/>
        <w:id w:val="-1065403844"/>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03"/>
            </w:numPr>
            <w:tabs>
              <w:tab w:val="left" w:pos="630"/>
            </w:tabs>
            <w:ind w:left="0" w:firstLine="0"/>
            <w:rPr>
              <w:rFonts w:ascii="宋体" w:hAnsi="宋体"/>
            </w:rPr>
          </w:pPr>
          <w:r>
            <w:rPr>
              <w:rFonts w:hint="eastAsia" w:ascii="宋体" w:hAnsi="宋体"/>
              <w:kern w:val="0"/>
              <w:szCs w:val="21"/>
            </w:rPr>
            <w:t>转移应收账款且</w:t>
          </w:r>
          <w:r>
            <w:rPr>
              <w:rFonts w:hint="eastAsia" w:ascii="宋体" w:hAnsi="宋体"/>
            </w:rPr>
            <w:t>继续</w:t>
          </w:r>
          <w:r>
            <w:rPr>
              <w:rFonts w:hint="eastAsia" w:ascii="宋体" w:hAnsi="宋体"/>
              <w:kern w:val="0"/>
              <w:szCs w:val="21"/>
            </w:rPr>
            <w:t>涉入形成的资产、负债金额</w:t>
          </w:r>
        </w:p>
        <w:sdt>
          <w:sdtPr>
            <w:rPr>
              <w:rFonts w:hint="eastAsia"/>
            </w:rPr>
            <w:alias w:val="是否适用：母公司转移应收账款且继续涉入形成的资产、负债金额[双击切换]"/>
            <w:tag w:val="_GBC_18ab0f336ea34b009b496f240cc35a39"/>
            <w:id w:val="421064872"/>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snapToGrid w:val="0"/>
        <w:spacing w:line="240" w:lineRule="atLeast"/>
        <w:ind w:left="-105" w:leftChars="-50"/>
      </w:pPr>
    </w:p>
    <w:sdt>
      <w:sdtPr>
        <w:rPr>
          <w:rFonts w:hint="eastAsia"/>
          <w:b/>
          <w:bCs/>
        </w:rPr>
        <w:alias w:val="模块:其他说明："/>
        <w:tag w:val="_GBC_eac4abdf299a4312a10e680c5fc79ef9"/>
        <w:id w:val="2136297061"/>
        <w:lock w:val="sdtLocked"/>
        <w:placeholder>
          <w:docPart w:val="GBC22222222222222222222222222222"/>
        </w:placeholder>
      </w:sdtPr>
      <w:sdtEndPr>
        <w:rPr>
          <w:rFonts w:hint="default"/>
          <w:b w:val="0"/>
          <w:bCs w:val="0"/>
        </w:rPr>
      </w:sdtEndPr>
      <w:sdtContent>
        <w:p>
          <w:pPr>
            <w:pStyle w:val="114"/>
          </w:pPr>
          <w:r>
            <w:rPr>
              <w:rFonts w:hint="eastAsia"/>
            </w:rPr>
            <w:t>其他</w:t>
          </w:r>
          <w:r>
            <w:t>说明：</w:t>
          </w:r>
        </w:p>
        <w:sdt>
          <w:sdtPr>
            <w:rPr>
              <w:rFonts w:hint="eastAsia"/>
            </w:rPr>
            <w:alias w:val="是否适用：母公司应收账款其他说明[双击切换]"/>
            <w:tag w:val="_GBC_22a2c0a255e04aacadf1c076323bc980"/>
            <w:id w:val="1683634282"/>
            <w:lock w:val="sdtLocked"/>
            <w:placeholder>
              <w:docPart w:val="GBC22222222222222222222222222222"/>
            </w:placeholder>
          </w:sdtPr>
          <w:sdtEndPr>
            <w:rPr>
              <w:rFonts w:hint="eastAsia"/>
            </w:rPr>
          </w:sdtEndPr>
          <w:sdtContent>
            <w:p>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napToGrid w:val="0"/>
            <w:spacing w:line="240" w:lineRule="atLeast"/>
          </w:pPr>
        </w:p>
      </w:sdtContent>
    </w:sdt>
    <w:p>
      <w:pPr>
        <w:pStyle w:val="4"/>
        <w:numPr>
          <w:ilvl w:val="0"/>
          <w:numId w:val="102"/>
        </w:numPr>
        <w:rPr>
          <w:rFonts w:ascii="宋体" w:hAnsi="宋体"/>
          <w:szCs w:val="21"/>
        </w:rPr>
      </w:pPr>
      <w:r>
        <w:rPr>
          <w:rFonts w:hint="eastAsia" w:ascii="宋体" w:hAnsi="宋体"/>
          <w:szCs w:val="21"/>
        </w:rPr>
        <w:t>其他应收款</w:t>
      </w:r>
    </w:p>
    <w:sdt>
      <w:sdtPr>
        <w:rPr>
          <w:rFonts w:hint="eastAsia" w:ascii="宋体" w:hAnsi="宋体" w:cs="宋体"/>
          <w:b w:val="0"/>
          <w:bCs w:val="0"/>
          <w:kern w:val="0"/>
          <w:szCs w:val="24"/>
        </w:rPr>
        <w:alias w:val="模块:项目列示"/>
        <w:tag w:val="_SEC_e2f0b728ae404babbb57dfbc1fafed13"/>
        <w:id w:val="1493141359"/>
        <w:lock w:val="sdtLocked"/>
        <w:placeholder>
          <w:docPart w:val="GBC22222222222222222222222222222"/>
        </w:placeholder>
      </w:sdtPr>
      <w:sdtEndPr>
        <w:rPr>
          <w:rFonts w:hint="eastAsia" w:ascii="宋体" w:hAnsi="宋体" w:cs="宋体"/>
          <w:b w:val="0"/>
          <w:bCs w:val="0"/>
          <w:kern w:val="0"/>
          <w:szCs w:val="21"/>
        </w:rPr>
      </w:sdtEndPr>
      <w:sdtContent>
        <w:p>
          <w:pPr>
            <w:pStyle w:val="5"/>
            <w:rPr>
              <w:rFonts w:ascii="宋体" w:hAnsi="宋体"/>
            </w:rPr>
          </w:pPr>
          <w:bookmarkStart w:id="272" w:name="_Hlk10546944"/>
          <w:r>
            <w:rPr>
              <w:rFonts w:hint="eastAsia" w:ascii="宋体" w:hAnsi="宋体"/>
            </w:rPr>
            <w:t>项目列示</w:t>
          </w:r>
        </w:p>
        <w:sdt>
          <w:sdtPr>
            <w:alias w:val="是否适用：母公司其他应收款分类列示[双击切换]"/>
            <w:tag w:val="_GBC_529e259f053b47d993fd4e3216204522"/>
            <w:id w:val="-61513943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其他应收款分类列示"/>
              <w:tag w:val="_GBC_306e86db57e64b00a9602dc7cbf81457"/>
              <w:id w:val="902181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12127979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3138"/>
            <w:gridCol w:w="2886"/>
            <w:gridCol w:w="2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9b14d51b79194bdea749a527966a0a2e"/>
                <w:id w:val="-1709410689"/>
                <w:lock w:val="sdtLocked"/>
              </w:sdtPr>
              <w:sdtContent>
                <w:tc>
                  <w:tcPr>
                    <w:tcW w:w="1764" w:type="pct"/>
                    <w:vAlign w:val="center"/>
                  </w:tcPr>
                  <w:p>
                    <w:pPr>
                      <w:jc w:val="center"/>
                    </w:pPr>
                    <w:r>
                      <w:rPr>
                        <w:rFonts w:hint="eastAsia"/>
                      </w:rPr>
                      <w:t>项目</w:t>
                    </w:r>
                  </w:p>
                </w:tc>
              </w:sdtContent>
            </w:sdt>
            <w:sdt>
              <w:sdtPr>
                <w:tag w:val="_PLD_1dd12447c07a4bf5b8eef82f2f9f5577"/>
                <w:id w:val="1278134807"/>
                <w:lock w:val="sdtLocked"/>
              </w:sdtPr>
              <w:sdtContent>
                <w:tc>
                  <w:tcPr>
                    <w:tcW w:w="1622" w:type="pct"/>
                    <w:vAlign w:val="center"/>
                  </w:tcPr>
                  <w:p>
                    <w:pPr>
                      <w:jc w:val="center"/>
                    </w:pPr>
                    <w:r>
                      <w:rPr>
                        <w:rFonts w:hint="eastAsia"/>
                      </w:rPr>
                      <w:t>期末余额</w:t>
                    </w:r>
                  </w:p>
                </w:tc>
              </w:sdtContent>
            </w:sdt>
            <w:sdt>
              <w:sdtPr>
                <w:tag w:val="_PLD_2701e42352ac4ea1ae4d64adf5d28e89"/>
                <w:id w:val="959224218"/>
                <w:lock w:val="sdtLocked"/>
              </w:sdtPr>
              <w:sdtContent>
                <w:tc>
                  <w:tcPr>
                    <w:tcW w:w="1614" w:type="pct"/>
                    <w:vAlign w:val="center"/>
                  </w:tcPr>
                  <w:p>
                    <w:pPr>
                      <w:jc w:val="center"/>
                    </w:pPr>
                    <w:r>
                      <w:rPr>
                        <w:rFonts w:hint="eastAsia"/>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11d00ac8309b4e85ac5c0ecfc4e39fdf"/>
                <w:id w:val="434796181"/>
                <w:lock w:val="sdtLocked"/>
              </w:sdtPr>
              <w:sdtContent>
                <w:tc>
                  <w:tcPr>
                    <w:tcW w:w="1764" w:type="pct"/>
                  </w:tcPr>
                  <w:p>
                    <w:pPr>
                      <w:ind w:right="5"/>
                    </w:pPr>
                    <w:r>
                      <w:rPr>
                        <w:rFonts w:hint="eastAsia"/>
                      </w:rPr>
                      <w:t>应收股利</w:t>
                    </w:r>
                  </w:p>
                </w:tc>
              </w:sdtContent>
            </w:sdt>
            <w:tc>
              <w:tcPr>
                <w:tcW w:w="1622" w:type="pct"/>
                <w:vAlign w:val="center"/>
              </w:tcPr>
              <w:p>
                <w:pPr>
                  <w:ind w:right="5"/>
                  <w:jc w:val="right"/>
                </w:pPr>
                <w:r>
                  <w:t>39,180,099.60</w:t>
                </w:r>
              </w:p>
            </w:tc>
            <w:tc>
              <w:tcPr>
                <w:tcW w:w="1614" w:type="pct"/>
                <w:vAlign w:val="center"/>
              </w:tcPr>
              <w:p>
                <w:pPr>
                  <w:ind w:right="5"/>
                  <w:jc w:val="right"/>
                </w:pPr>
                <w:r>
                  <w:t>4,989,960.00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42c4df4453344bc0910f3b3e20b096a2"/>
                <w:id w:val="-1719192654"/>
                <w:lock w:val="sdtLocked"/>
              </w:sdtPr>
              <w:sdtContent>
                <w:tc>
                  <w:tcPr>
                    <w:tcW w:w="1764" w:type="pct"/>
                  </w:tcPr>
                  <w:p>
                    <w:pPr>
                      <w:ind w:right="5"/>
                    </w:pPr>
                    <w:r>
                      <w:rPr>
                        <w:rFonts w:hint="eastAsia"/>
                      </w:rPr>
                      <w:t>其他应收款</w:t>
                    </w:r>
                  </w:p>
                </w:tc>
              </w:sdtContent>
            </w:sdt>
            <w:tc>
              <w:tcPr>
                <w:tcW w:w="1622" w:type="pct"/>
                <w:vAlign w:val="center"/>
              </w:tcPr>
              <w:p>
                <w:pPr>
                  <w:ind w:right="5"/>
                  <w:jc w:val="right"/>
                </w:pPr>
                <w:r>
                  <w:t>5,477,400.26</w:t>
                </w:r>
              </w:p>
            </w:tc>
            <w:tc>
              <w:tcPr>
                <w:tcW w:w="1614" w:type="pct"/>
                <w:vAlign w:val="center"/>
              </w:tcPr>
              <w:p>
                <w:pPr>
                  <w:ind w:right="5"/>
                  <w:jc w:val="right"/>
                </w:pPr>
                <w:r>
                  <w:t>5,693,024.50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tag w:val="_PLD_657f57c42bdf4019ba2e4df3e8e8d440"/>
                <w:id w:val="-2124449504"/>
                <w:lock w:val="sdtLocked"/>
              </w:sdtPr>
              <w:sdtContent>
                <w:tc>
                  <w:tcPr>
                    <w:tcW w:w="1764" w:type="pct"/>
                    <w:vAlign w:val="center"/>
                  </w:tcPr>
                  <w:p>
                    <w:pPr>
                      <w:autoSpaceDE w:val="0"/>
                      <w:autoSpaceDN w:val="0"/>
                      <w:adjustRightInd w:val="0"/>
                      <w:jc w:val="center"/>
                    </w:pPr>
                    <w:r>
                      <w:rPr>
                        <w:rFonts w:hint="eastAsia"/>
                      </w:rPr>
                      <w:t>合计</w:t>
                    </w:r>
                  </w:p>
                </w:tc>
              </w:sdtContent>
            </w:sdt>
            <w:tc>
              <w:tcPr>
                <w:tcW w:w="1622" w:type="pct"/>
                <w:vAlign w:val="center"/>
              </w:tcPr>
              <w:p>
                <w:pPr>
                  <w:jc w:val="right"/>
                </w:pPr>
                <w:r>
                  <w:t>44,657,499.86</w:t>
                </w:r>
              </w:p>
            </w:tc>
            <w:tc>
              <w:tcPr>
                <w:tcW w:w="1614" w:type="pct"/>
                <w:vAlign w:val="center"/>
              </w:tcPr>
              <w:p>
                <w:pPr>
                  <w:jc w:val="right"/>
                </w:pPr>
                <w:r>
                  <w:t>10,682,984.50</w:t>
                </w:r>
              </w:p>
            </w:tc>
          </w:tr>
        </w:tbl>
        <w:p>
          <w:pPr>
            <w:pStyle w:val="114"/>
          </w:pPr>
        </w:p>
        <w:p>
          <w:pPr>
            <w:pStyle w:val="114"/>
          </w:pPr>
          <w:bookmarkStart w:id="273" w:name="_Hlk533797002"/>
          <w:r>
            <w:rPr>
              <w:rFonts w:hint="eastAsia"/>
            </w:rPr>
            <w:t>其他说明：</w:t>
          </w:r>
        </w:p>
        <w:sdt>
          <w:sdtPr>
            <w:alias w:val="是否适用：母公司其他应收款分类列示其他说明[双击切换]"/>
            <w:tag w:val="_GBC_87c9afe4c5c54a4b93c9b78663bd8bf3"/>
            <w:id w:val="59636464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72"/>
    <w:bookmarkEnd w:id="273"/>
    <w:p>
      <w:pPr>
        <w:pStyle w:val="5"/>
        <w:rPr>
          <w:rFonts w:ascii="宋体" w:hAnsi="宋体"/>
        </w:rPr>
      </w:pPr>
      <w:r>
        <w:rPr>
          <w:rFonts w:hint="eastAsia" w:ascii="宋体" w:hAnsi="宋体"/>
        </w:rPr>
        <w:t>应收利息</w:t>
      </w:r>
    </w:p>
    <w:sdt>
      <w:sdtPr>
        <w:rPr>
          <w:rFonts w:hint="eastAsia" w:ascii="宋体" w:hAnsi="宋体" w:cs="宋体"/>
          <w:b w:val="0"/>
          <w:bCs w:val="0"/>
          <w:kern w:val="0"/>
          <w:szCs w:val="24"/>
        </w:rPr>
        <w:alias w:val="模块:应收利息分类"/>
        <w:tag w:val="_SEC_91e08163b2464f8cb5d135fd131f631f"/>
        <w:id w:val="1174302949"/>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rPr>
          </w:pPr>
          <w:bookmarkStart w:id="274" w:name="_Hlk10547023"/>
          <w:bookmarkStart w:id="275" w:name="_Hlk10547033"/>
          <w:r>
            <w:rPr>
              <w:rFonts w:hint="eastAsia" w:ascii="宋体" w:hAnsi="宋体"/>
            </w:rPr>
            <w:t>应收利息分类</w:t>
          </w:r>
          <w:bookmarkEnd w:id="274"/>
        </w:p>
        <w:sdt>
          <w:sdtPr>
            <w:alias w:val="是否适用：母公司应收利息分类[双击切换]"/>
            <w:tag w:val="_GBC_7b29d5fc39c94a909c39eedf47c8008f"/>
            <w:id w:val="3854596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5"/>
    <w:sdt>
      <w:sdtPr>
        <w:rPr>
          <w:rFonts w:hint="eastAsia" w:ascii="宋体" w:hAnsi="宋体" w:cs="宋体"/>
          <w:b w:val="0"/>
          <w:bCs w:val="0"/>
          <w:kern w:val="0"/>
          <w:szCs w:val="24"/>
        </w:rPr>
        <w:alias w:val="模块:重要逾期利息"/>
        <w:tag w:val="_SEC_e80bd789f30b40de829902e04129ef49"/>
        <w:id w:val="196399622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bookmarkStart w:id="276" w:name="_Hlk10547054"/>
          <w:bookmarkStart w:id="277" w:name="_Hlk10547064"/>
          <w:r>
            <w:rPr>
              <w:rFonts w:hint="eastAsia" w:ascii="宋体" w:hAnsi="宋体"/>
            </w:rPr>
            <w:t>重要逾期利息</w:t>
          </w:r>
          <w:bookmarkEnd w:id="276"/>
        </w:p>
        <w:sdt>
          <w:sdtPr>
            <w:alias w:val="是否适用：母公司重要逾期利息[双击切换]"/>
            <w:tag w:val="_GBC_2527ddfc737d4b8c8fa3ca7d6387408d"/>
            <w:id w:val="159397556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7"/>
    <w:sdt>
      <w:sdtPr>
        <w:rPr>
          <w:rFonts w:hint="eastAsia" w:ascii="宋体" w:hAnsi="宋体" w:cs="宋体"/>
          <w:b w:val="0"/>
          <w:bCs w:val="0"/>
          <w:kern w:val="0"/>
          <w:szCs w:val="24"/>
        </w:rPr>
        <w:alias w:val="模块:坏账准备计提情况"/>
        <w:tag w:val="_SEC_ce38368754b54030878f7a4b3d48648e"/>
        <w:id w:val="-1091615951"/>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bookmarkStart w:id="278" w:name="_Hlk10547083"/>
          <w:bookmarkStart w:id="279" w:name="_Hlk10547096"/>
          <w:r>
            <w:rPr>
              <w:rFonts w:hint="eastAsia" w:ascii="宋体" w:hAnsi="宋体" w:cs="宋体"/>
              <w:kern w:val="0"/>
              <w:szCs w:val="24"/>
            </w:rPr>
            <w:t>坏账准备计提情况</w:t>
          </w:r>
          <w:bookmarkEnd w:id="278"/>
        </w:p>
        <w:sdt>
          <w:sdtPr>
            <w:alias w:val="是否适用：母公司应收利息坏账准备调节表[双击切换]"/>
            <w:tag w:val="_GBC_051d1f4329834464b99226954bb8040d"/>
            <w:id w:val="127259560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79"/>
    <w:sdt>
      <w:sdtPr>
        <w:rPr>
          <w:rFonts w:hint="eastAsia"/>
        </w:rPr>
        <w:alias w:val="模块:其他说明："/>
        <w:tag w:val="_SEC_ad2b0daa52af481d8a56e5f8f2ccc52e"/>
        <w:id w:val="751015778"/>
        <w:lock w:val="sdtLocked"/>
        <w:placeholder>
          <w:docPart w:val="GBC22222222222222222222222222222"/>
        </w:placeholder>
      </w:sdtPr>
      <w:sdtEndPr>
        <w:rPr>
          <w:rFonts w:hint="default"/>
        </w:rPr>
      </w:sdtEndPr>
      <w:sdtContent>
        <w:p>
          <w:pPr>
            <w:pStyle w:val="114"/>
          </w:pPr>
          <w:bookmarkStart w:id="280" w:name="_Hlk10547119"/>
          <w:bookmarkStart w:id="281" w:name="_Hlk10547128"/>
          <w:r>
            <w:rPr>
              <w:rFonts w:hint="eastAsia"/>
            </w:rPr>
            <w:t>其他说明：</w:t>
          </w:r>
          <w:bookmarkEnd w:id="280"/>
        </w:p>
        <w:sdt>
          <w:sdtPr>
            <w:alias w:val="是否适用：母公司应收利息其他说明[双击切换]"/>
            <w:tag w:val="_GBC_936c374258514f469f2c9bb36b889c43"/>
            <w:id w:val="-1022708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81"/>
    <w:p>
      <w:pPr>
        <w:pStyle w:val="5"/>
        <w:rPr>
          <w:rFonts w:ascii="宋体" w:hAnsi="宋体"/>
        </w:rPr>
      </w:pPr>
      <w:r>
        <w:rPr>
          <w:rFonts w:hint="eastAsia" w:ascii="宋体" w:hAnsi="宋体"/>
        </w:rPr>
        <w:t>应收股利</w:t>
      </w:r>
    </w:p>
    <w:sdt>
      <w:sdtPr>
        <w:rPr>
          <w:rFonts w:hint="eastAsia" w:ascii="宋体" w:hAnsi="宋体" w:cs="宋体"/>
          <w:b w:val="0"/>
          <w:bCs w:val="0"/>
          <w:kern w:val="0"/>
          <w:szCs w:val="24"/>
        </w:rPr>
        <w:alias w:val="模块:应收股利"/>
        <w:tag w:val="_SEC_18f0cc3557ff45749d07d7a27d7c9620"/>
        <w:id w:val="108321326"/>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rPr>
          </w:pPr>
          <w:bookmarkStart w:id="282" w:name="_Hlk10547160"/>
          <w:bookmarkStart w:id="283" w:name="_Hlk10547171"/>
          <w:r>
            <w:rPr>
              <w:rFonts w:hint="eastAsia" w:ascii="宋体" w:hAnsi="宋体"/>
            </w:rPr>
            <w:t>应收股利</w:t>
          </w:r>
          <w:bookmarkEnd w:id="282"/>
        </w:p>
        <w:sdt>
          <w:sdtPr>
            <w:alias w:val="是否适用：母公司应收股利[双击切换]"/>
            <w:tag w:val="_GBC_3f36acb68ddd426b990a146c5c14da80"/>
            <w:id w:val="-19107573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应收股利"/>
              <w:tag w:val="_GBC_e366134590994916ad440e1f86811baf"/>
              <w:id w:val="8606382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应收股利"/>
              <w:tag w:val="_GBC_775e6a0d5c9a4f36b4b0b9f8ccda5bad"/>
              <w:id w:val="6200323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3"/>
            <w:gridCol w:w="2811"/>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b87c7fccab6c455e8950ee7fa77c8733"/>
                <w:id w:val="2057973863"/>
                <w:lock w:val="sdtLocked"/>
              </w:sdtPr>
              <w:sdtContent>
                <w:tc>
                  <w:tcPr>
                    <w:tcW w:w="1886" w:type="pct"/>
                    <w:vAlign w:val="center"/>
                  </w:tcPr>
                  <w:p>
                    <w:pPr>
                      <w:jc w:val="center"/>
                    </w:pPr>
                    <w:r>
                      <w:rPr>
                        <w:rFonts w:hint="eastAsia"/>
                      </w:rPr>
                      <w:t>项目(或被投资单位)</w:t>
                    </w:r>
                  </w:p>
                </w:tc>
              </w:sdtContent>
            </w:sdt>
            <w:sdt>
              <w:sdtPr>
                <w:tag w:val="_PLD_71bd546e51944d7e86945cae947ca7e3"/>
                <w:id w:val="615726117"/>
                <w:lock w:val="sdtLocked"/>
              </w:sdtPr>
              <w:sdtContent>
                <w:tc>
                  <w:tcPr>
                    <w:tcW w:w="1553" w:type="pct"/>
                    <w:vAlign w:val="center"/>
                  </w:tcPr>
                  <w:p>
                    <w:pPr>
                      <w:jc w:val="center"/>
                    </w:pPr>
                    <w:r>
                      <w:rPr>
                        <w:rFonts w:hint="eastAsia"/>
                      </w:rPr>
                      <w:t>期末余额</w:t>
                    </w:r>
                  </w:p>
                </w:tc>
              </w:sdtContent>
            </w:sdt>
            <w:sdt>
              <w:sdtPr>
                <w:tag w:val="_PLD_a057b5b882e84e6e85ec2267d16598c0"/>
                <w:id w:val="-1686976399"/>
                <w:lock w:val="sdtLocked"/>
              </w:sdtPr>
              <w:sdtContent>
                <w:tc>
                  <w:tcPr>
                    <w:tcW w:w="1561" w:type="pct"/>
                    <w:vAlign w:val="center"/>
                  </w:tcPr>
                  <w:p>
                    <w:pPr>
                      <w:jc w:val="center"/>
                    </w:pPr>
                    <w:r>
                      <w:rPr>
                        <w:rFonts w:hint="eastAsia"/>
                      </w:rPr>
                      <w:t>期初余额</w:t>
                    </w:r>
                  </w:p>
                </w:tc>
              </w:sdtContent>
            </w:sdt>
          </w:tr>
          <w:sdt>
            <w:sdtPr>
              <w:rPr>
                <w:rFonts w:hint="eastAsia"/>
                <w:kern w:val="2"/>
              </w:rPr>
              <w:alias w:val="应收股利明细"/>
              <w:tag w:val="_TUP_1ff5f8f45a2949f1b9c94eaf933424a7"/>
              <w:id w:val="171537437"/>
              <w:lock w:val="sdtLocked"/>
            </w:sdtPr>
            <w:sdtEndPr>
              <w:rPr>
                <w:rFonts w:hint="eastAsia"/>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6" w:type="pct"/>
                  </w:tcPr>
                  <w:p>
                    <w:pPr>
                      <w:pStyle w:val="114"/>
                    </w:pPr>
                    <w:r>
                      <w:t>扬子大桥限公司</w:t>
                    </w:r>
                  </w:p>
                </w:tc>
                <w:tc>
                  <w:tcPr>
                    <w:tcW w:w="1553" w:type="pct"/>
                  </w:tcPr>
                  <w:p>
                    <w:pPr>
                      <w:jc w:val="right"/>
                    </w:pPr>
                    <w:r>
                      <w:t>34,190,139.60</w:t>
                    </w:r>
                  </w:p>
                </w:tc>
                <w:tc>
                  <w:tcPr>
                    <w:tcW w:w="1561" w:type="pct"/>
                  </w:tcPr>
                  <w:p>
                    <w:pPr>
                      <w:jc w:val="right"/>
                    </w:pPr>
                    <w:r>
                      <w:t>-</w:t>
                    </w:r>
                  </w:p>
                </w:tc>
              </w:tr>
            </w:sdtContent>
          </w:sdt>
          <w:sdt>
            <w:sdtPr>
              <w:rPr>
                <w:rFonts w:hint="eastAsia"/>
                <w:kern w:val="2"/>
              </w:rPr>
              <w:alias w:val="应收股利明细"/>
              <w:tag w:val="_TUP_1ff5f8f45a2949f1b9c94eaf933424a7"/>
              <w:id w:val="-663167482"/>
              <w:lock w:val="sdtLocked"/>
            </w:sdtPr>
            <w:sdtEndPr>
              <w:rPr>
                <w:rFonts w:hint="eastAsia"/>
                <w:kern w:val="2"/>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6" w:type="pct"/>
                  </w:tcPr>
                  <w:p>
                    <w:pPr>
                      <w:pStyle w:val="114"/>
                    </w:pPr>
                    <w:r>
                      <w:t>快鹿公司</w:t>
                    </w:r>
                  </w:p>
                </w:tc>
                <w:tc>
                  <w:tcPr>
                    <w:tcW w:w="1553" w:type="pct"/>
                  </w:tcPr>
                  <w:p>
                    <w:pPr>
                      <w:jc w:val="right"/>
                    </w:pPr>
                    <w:r>
                      <w:t>4,989,960.00</w:t>
                    </w:r>
                  </w:p>
                </w:tc>
                <w:tc>
                  <w:tcPr>
                    <w:tcW w:w="1561" w:type="pct"/>
                  </w:tcPr>
                  <w:p>
                    <w:pPr>
                      <w:jc w:val="right"/>
                    </w:pPr>
                    <w:r>
                      <w:t>4,989,960.00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e1484a84dae543fcb190b5d5f8a4e713"/>
                <w:id w:val="159503197"/>
                <w:lock w:val="sdtLocked"/>
              </w:sdtPr>
              <w:sdtContent>
                <w:tc>
                  <w:tcPr>
                    <w:tcW w:w="1886" w:type="pct"/>
                    <w:vAlign w:val="center"/>
                  </w:tcPr>
                  <w:p>
                    <w:pPr>
                      <w:jc w:val="center"/>
                    </w:pPr>
                    <w:r>
                      <w:rPr>
                        <w:rFonts w:hint="eastAsia"/>
                      </w:rPr>
                      <w:t>合计</w:t>
                    </w:r>
                  </w:p>
                </w:tc>
              </w:sdtContent>
            </w:sdt>
            <w:tc>
              <w:tcPr>
                <w:tcW w:w="1553" w:type="pct"/>
                <w:vAlign w:val="center"/>
              </w:tcPr>
              <w:p>
                <w:pPr>
                  <w:jc w:val="right"/>
                </w:pPr>
                <w:r>
                  <w:t>39,180,099.60</w:t>
                </w:r>
              </w:p>
            </w:tc>
            <w:tc>
              <w:tcPr>
                <w:tcW w:w="1561" w:type="pct"/>
                <w:vAlign w:val="center"/>
              </w:tcPr>
              <w:p>
                <w:pPr>
                  <w:jc w:val="right"/>
                </w:pPr>
                <w:r>
                  <w:t>4,989,960.00</w:t>
                </w:r>
              </w:p>
            </w:tc>
          </w:tr>
        </w:tbl>
        <w:p>
          <w:pPr>
            <w:pStyle w:val="114"/>
          </w:pPr>
        </w:p>
      </w:sdtContent>
    </w:sdt>
    <w:bookmarkEnd w:id="283"/>
    <w:sdt>
      <w:sdtPr>
        <w:rPr>
          <w:rFonts w:hint="eastAsia" w:ascii="宋体" w:hAnsi="宋体" w:cs="宋体"/>
          <w:b w:val="0"/>
          <w:bCs w:val="0"/>
          <w:kern w:val="0"/>
          <w:szCs w:val="24"/>
        </w:rPr>
        <w:alias w:val="模块:重要的账龄超过1年的应收股利"/>
        <w:tag w:val="_SEC_ccfd129beeb14f31b282a062cd845e5e"/>
        <w:id w:val="1631978265"/>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bookmarkStart w:id="284" w:name="_Hlk10547188"/>
          <w:bookmarkStart w:id="285" w:name="_Hlk10547199"/>
          <w:r>
            <w:rPr>
              <w:rFonts w:hint="eastAsia" w:ascii="宋体" w:hAnsi="宋体"/>
            </w:rPr>
            <w:t>重要的账龄超过1年的应收股利</w:t>
          </w:r>
          <w:bookmarkEnd w:id="284"/>
        </w:p>
        <w:sdt>
          <w:sdtPr>
            <w:alias w:val="是否适用：母公司重要的账龄超过1年的应收股利[双击切换]"/>
            <w:tag w:val="_GBC_5ce593c40926400393bed620009e5006"/>
            <w:id w:val="198742785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5"/>
    <w:sdt>
      <w:sdtPr>
        <w:rPr>
          <w:rFonts w:hint="eastAsia" w:ascii="宋体" w:hAnsi="宋体" w:cs="宋体"/>
          <w:b w:val="0"/>
          <w:bCs w:val="0"/>
          <w:kern w:val="0"/>
          <w:szCs w:val="24"/>
        </w:rPr>
        <w:alias w:val="模块:坏账准备计提情况"/>
        <w:tag w:val="_SEC_3d41530a7b3d408cbfe627f818ea914c"/>
        <w:id w:val="1807118485"/>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bookmarkStart w:id="286" w:name="_Hlk10547212"/>
          <w:bookmarkStart w:id="287" w:name="_Hlk10547224"/>
          <w:r>
            <w:rPr>
              <w:rFonts w:hint="eastAsia" w:ascii="宋体" w:hAnsi="宋体" w:cs="宋体"/>
              <w:kern w:val="0"/>
              <w:szCs w:val="24"/>
            </w:rPr>
            <w:t>坏账准备计提情况</w:t>
          </w:r>
          <w:bookmarkEnd w:id="286"/>
        </w:p>
        <w:sdt>
          <w:sdtPr>
            <w:alias w:val="是否适用：母公司应收股利坏账准备调节表[双击切换]"/>
            <w:tag w:val="_GBC_9d130aecb6cb4874ac083fcdce5ee739"/>
            <w:id w:val="79056605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bookmarkEnd w:id="287"/>
    <w:sdt>
      <w:sdtPr>
        <w:rPr>
          <w:rFonts w:hint="eastAsia"/>
        </w:rPr>
        <w:alias w:val="模块:其他说明："/>
        <w:tag w:val="_SEC_2b03a6eb53a24c76a6dc28f0478009f2"/>
        <w:id w:val="-120234031"/>
        <w:lock w:val="sdtLocked"/>
        <w:placeholder>
          <w:docPart w:val="GBC22222222222222222222222222222"/>
        </w:placeholder>
      </w:sdtPr>
      <w:sdtEndPr>
        <w:rPr>
          <w:rFonts w:hint="default"/>
        </w:rPr>
      </w:sdtEndPr>
      <w:sdtContent>
        <w:p>
          <w:pPr>
            <w:pStyle w:val="114"/>
          </w:pPr>
          <w:bookmarkStart w:id="288" w:name="_Hlk10547234"/>
          <w:bookmarkStart w:id="289" w:name="_Hlk10547244"/>
          <w:r>
            <w:rPr>
              <w:rFonts w:hint="eastAsia"/>
            </w:rPr>
            <w:t>其他说明：</w:t>
          </w:r>
          <w:bookmarkEnd w:id="288"/>
        </w:p>
        <w:sdt>
          <w:sdtPr>
            <w:alias w:val="是否适用：母公司应收股利其他说明[双击切换]"/>
            <w:tag w:val="_GBC_79a2eb8844e84fe3b78bb5ffcf2a57d5"/>
            <w:id w:val="128601323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89"/>
    <w:p>
      <w:pPr>
        <w:pStyle w:val="5"/>
        <w:rPr>
          <w:rFonts w:ascii="宋体" w:hAnsi="宋体"/>
        </w:rPr>
      </w:pPr>
      <w:r>
        <w:rPr>
          <w:rFonts w:hint="eastAsia" w:ascii="宋体" w:hAnsi="宋体"/>
        </w:rPr>
        <w:t>其他应收款</w:t>
      </w:r>
    </w:p>
    <w:sdt>
      <w:sdtPr>
        <w:rPr>
          <w:rFonts w:ascii="宋体" w:hAnsi="宋体" w:cs="宋体"/>
          <w:b w:val="0"/>
          <w:bCs w:val="0"/>
          <w:kern w:val="0"/>
          <w:szCs w:val="21"/>
        </w:rPr>
        <w:alias w:val="模块:组合中，按账龄分析法计提坏账准备的其他应收款"/>
        <w:tag w:val="_GBC_7633445fb4f445e9a99e716971900a22"/>
        <w:id w:val="388460205"/>
        <w:lock w:val="sdtLocked"/>
        <w:placeholder>
          <w:docPart w:val="GBC22222222222222222222222222222"/>
        </w:placeholder>
      </w:sdtPr>
      <w:sdtEndPr>
        <w:rPr>
          <w:rFonts w:ascii="宋体" w:hAnsi="宋体" w:cs="宋体"/>
          <w:b w:val="0"/>
          <w:bCs w:val="0"/>
          <w:kern w:val="0"/>
          <w:szCs w:val="21"/>
        </w:rPr>
      </w:sdtEndPr>
      <w:sdtContent>
        <w:p>
          <w:pPr>
            <w:pStyle w:val="5"/>
            <w:numPr>
              <w:ilvl w:val="3"/>
              <w:numId w:val="104"/>
            </w:numPr>
            <w:ind w:left="426" w:hanging="426"/>
            <w:rPr>
              <w:rFonts w:ascii="宋体" w:hAnsi="宋体"/>
              <w:szCs w:val="21"/>
            </w:rPr>
          </w:pPr>
          <w:r>
            <w:rPr>
              <w:rFonts w:hint="eastAsia" w:ascii="宋体" w:hAnsi="宋体"/>
              <w:szCs w:val="21"/>
            </w:rPr>
            <w:t>按账龄披露</w:t>
          </w:r>
        </w:p>
        <w:p>
          <w:pPr>
            <w:tabs>
              <w:tab w:val="left" w:pos="9720"/>
            </w:tabs>
            <w:ind w:right="-1413" w:rightChars="-673"/>
            <w:rPr>
              <w:b/>
            </w:rPr>
          </w:pPr>
          <w:sdt>
            <w:sdtPr>
              <w:rPr>
                <w:rFonts w:hint="eastAsia"/>
              </w:rPr>
              <w:alias w:val="是否适用：母公司组合中，按账龄分析法计提坏账准备的其他应收账款[双击切换]"/>
              <w:tag w:val="_GBC_b8ebebf3180a48e4b61282a3ad0f26ab"/>
              <w:id w:val="733123125"/>
              <w:lock w:val="sdtLocked"/>
              <w:placeholder>
                <w:docPart w:val="GBC22222222222222222222222222222"/>
              </w:placeholder>
            </w:sdtPr>
            <w:sdtEndPr>
              <w:rPr>
                <w:rFonts w:hint="eastAsia"/>
              </w:rPr>
            </w:sdtEndPr>
            <w:sdtContent>
              <w:r>
                <w:fldChar w:fldCharType="begin"/>
              </w:r>
              <w:r>
                <w:instrText xml:space="preserve">MACROBUTTON  SnrToggleCheckbox √适用</w:instrText>
              </w:r>
              <w:r>
                <w:fldChar w:fldCharType="end"/>
              </w:r>
              <w:r>
                <w:fldChar w:fldCharType="begin"/>
              </w:r>
              <w:r>
                <w:instrText xml:space="preserve"> MACROBUTTON  SnrToggleCheckbox □不适用 </w:instrText>
              </w:r>
              <w:r>
                <w:fldChar w:fldCharType="end"/>
              </w:r>
            </w:sdtContent>
          </w:sdt>
        </w:p>
        <w:p>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14633118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16445406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0"/>
            <w:gridCol w:w="3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sdt>
              <w:sdtPr>
                <w:tag w:val="_PLD_ea421152d78d40388e20d700f11c5b7c"/>
                <w:id w:val="1027300235"/>
                <w:lock w:val="sdtLocked"/>
              </w:sdtPr>
              <w:sdtContent>
                <w:tc>
                  <w:tcPr>
                    <w:tcW w:w="2984" w:type="pct"/>
                    <w:tcBorders>
                      <w:bottom w:val="single" w:color="auto" w:sz="4" w:space="0"/>
                    </w:tcBorders>
                    <w:shd w:val="clear" w:color="auto" w:fill="auto"/>
                    <w:vAlign w:val="center"/>
                  </w:tcPr>
                  <w:p>
                    <w:pPr>
                      <w:jc w:val="center"/>
                    </w:pPr>
                    <w:r>
                      <w:t>账龄</w:t>
                    </w:r>
                  </w:p>
                </w:tc>
              </w:sdtContent>
            </w:sdt>
            <w:sdt>
              <w:sdtPr>
                <w:tag w:val="_PLD_041d6c971e464a898746e2aa12807b27"/>
                <w:id w:val="792563877"/>
                <w:lock w:val="sdtLocked"/>
              </w:sdtPr>
              <w:sdtContent>
                <w:tc>
                  <w:tcPr>
                    <w:tcW w:w="2016" w:type="pct"/>
                    <w:tcBorders>
                      <w:bottom w:val="single" w:color="auto" w:sz="4" w:space="0"/>
                    </w:tcBorders>
                    <w:shd w:val="clear" w:color="auto" w:fill="auto"/>
                    <w:vAlign w:val="center"/>
                  </w:tcPr>
                  <w:p>
                    <w:pPr>
                      <w:jc w:val="center"/>
                    </w:pPr>
                    <w:r>
                      <w:t>期末</w:t>
                    </w:r>
                    <w:r>
                      <w:rPr>
                        <w:rFonts w:hint="eastAsia"/>
                      </w:rPr>
                      <w:t>账面</w:t>
                    </w:r>
                    <w:r>
                      <w:t>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2003791af21f466bb07049d42fca0a81"/>
                <w:id w:val="1473261591"/>
                <w:lock w:val="sdtLocked"/>
              </w:sdtPr>
              <w:sdtContent>
                <w:tc>
                  <w:tcPr>
                    <w:tcW w:w="2984" w:type="pct"/>
                    <w:shd w:val="clear" w:color="auto" w:fill="auto"/>
                  </w:tcPr>
                  <w:p>
                    <w:pPr>
                      <w:pStyle w:val="114"/>
                    </w:pPr>
                    <w:r>
                      <w:rPr>
                        <w:rFonts w:hint="eastAsia"/>
                      </w:rPr>
                      <w:t>1年以内</w:t>
                    </w:r>
                  </w:p>
                </w:tc>
              </w:sdtContent>
            </w:sdt>
            <w:tc>
              <w:tcPr>
                <w:tcW w:w="2016" w:type="pct"/>
                <w:shd w:val="clear" w:color="auto" w:fill="auto"/>
              </w:tcPr>
              <w:p>
                <w:pPr>
                  <w:jc w:val="right"/>
                </w:pPr>
                <w:r>
                  <w:t>5,156,157.78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95c5c36c109842ad8ca939ca66051b89"/>
                <w:id w:val="880445509"/>
                <w:lock w:val="sdtLocked"/>
              </w:sdtPr>
              <w:sdtContent>
                <w:tc>
                  <w:tcPr>
                    <w:tcW w:w="2984" w:type="pct"/>
                    <w:shd w:val="clear" w:color="auto" w:fill="auto"/>
                  </w:tcPr>
                  <w:p>
                    <w:pPr>
                      <w:pStyle w:val="114"/>
                    </w:pPr>
                    <w:r>
                      <w:rPr>
                        <w:rFonts w:hint="eastAsia"/>
                      </w:rPr>
                      <w:t>1</w:t>
                    </w:r>
                    <w:r>
                      <w:t>至</w:t>
                    </w:r>
                    <w:r>
                      <w:rPr>
                        <w:rFonts w:hint="eastAsia"/>
                      </w:rPr>
                      <w:t>2</w:t>
                    </w:r>
                    <w:r>
                      <w:t>年</w:t>
                    </w:r>
                  </w:p>
                </w:tc>
              </w:sdtContent>
            </w:sdt>
            <w:tc>
              <w:tcPr>
                <w:tcW w:w="2016" w:type="pct"/>
                <w:shd w:val="clear" w:color="auto" w:fill="auto"/>
              </w:tcPr>
              <w:p>
                <w:pPr>
                  <w:jc w:val="right"/>
                </w:pPr>
                <w:r>
                  <w:t>333,959.36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95bded3dfef44f398326fefdfdfa13a1"/>
                <w:id w:val="435107065"/>
                <w:lock w:val="sdtLocked"/>
              </w:sdtPr>
              <w:sdtContent>
                <w:tc>
                  <w:tcPr>
                    <w:tcW w:w="2984" w:type="pct"/>
                    <w:shd w:val="clear" w:color="auto" w:fill="auto"/>
                  </w:tcPr>
                  <w:p>
                    <w:pPr>
                      <w:pStyle w:val="114"/>
                    </w:pPr>
                    <w:r>
                      <w:rPr>
                        <w:rFonts w:hint="eastAsia"/>
                      </w:rPr>
                      <w:t>2</w:t>
                    </w:r>
                    <w:r>
                      <w:t>至</w:t>
                    </w:r>
                    <w:r>
                      <w:rPr>
                        <w:rFonts w:hint="eastAsia"/>
                      </w:rPr>
                      <w:t>3</w:t>
                    </w:r>
                    <w:r>
                      <w:t>年</w:t>
                    </w:r>
                  </w:p>
                </w:tc>
              </w:sdtContent>
            </w:sdt>
            <w:tc>
              <w:tcPr>
                <w:tcW w:w="2016" w:type="pct"/>
                <w:shd w:val="clear" w:color="auto" w:fill="auto"/>
              </w:tcPr>
              <w:p>
                <w:pPr>
                  <w:jc w:val="right"/>
                </w:pPr>
                <w:r>
                  <w:t>80,000.00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8e60c19da192420eac3e17635db6643f"/>
                <w:id w:val="2129428309"/>
                <w:lock w:val="sdtLocked"/>
              </w:sdtPr>
              <w:sdtContent>
                <w:tc>
                  <w:tcPr>
                    <w:tcW w:w="2984" w:type="pct"/>
                    <w:shd w:val="clear" w:color="auto" w:fill="auto"/>
                  </w:tcPr>
                  <w:p>
                    <w:pPr>
                      <w:pStyle w:val="114"/>
                    </w:pPr>
                    <w:r>
                      <w:rPr>
                        <w:rFonts w:hint="eastAsia"/>
                      </w:rPr>
                      <w:t>3</w:t>
                    </w:r>
                    <w:r>
                      <w:t>年以上</w:t>
                    </w:r>
                  </w:p>
                </w:tc>
              </w:sdtContent>
            </w:sdt>
            <w:tc>
              <w:tcPr>
                <w:tcW w:w="2016" w:type="pct"/>
                <w:shd w:val="clear" w:color="auto" w:fill="auto"/>
              </w:tcPr>
              <w:p>
                <w:pPr>
                  <w:jc w:val="right"/>
                </w:pPr>
                <w:r>
                  <w:t>15,819,640.02</w:t>
                </w:r>
              </w:p>
            </w:tc>
          </w:tr>
          <w:sdt>
            <w:sdtPr>
              <w:rPr>
                <w:rFonts w:hint="eastAsia"/>
              </w:rPr>
              <w:alias w:val="按账龄分析法计提坏账准备的其他应收款明细"/>
              <w:tag w:val="_TUP_ab0660a380d2476f8d5fb3374184cc89"/>
              <w:id w:val="964159645"/>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4" w:type="pct"/>
                    <w:shd w:val="clear" w:color="auto" w:fill="auto"/>
                  </w:tcPr>
                  <w:p>
                    <w:pPr>
                      <w:pStyle w:val="114"/>
                    </w:pPr>
                    <w:r>
                      <w:rPr>
                        <w:rFonts w:hint="eastAsia"/>
                      </w:rPr>
                      <w:t>小计</w:t>
                    </w:r>
                  </w:p>
                </w:tc>
                <w:tc>
                  <w:tcPr>
                    <w:tcW w:w="2016" w:type="pct"/>
                    <w:shd w:val="clear" w:color="auto" w:fill="auto"/>
                  </w:tcPr>
                  <w:p>
                    <w:pPr>
                      <w:jc w:val="right"/>
                    </w:pPr>
                    <w:r>
                      <w:t>21,389,757.16</w:t>
                    </w:r>
                  </w:p>
                </w:tc>
              </w:tr>
            </w:sdtContent>
          </w:sdt>
          <w:sdt>
            <w:sdtPr>
              <w:rPr>
                <w:rFonts w:hint="eastAsia"/>
              </w:rPr>
              <w:alias w:val="按账龄分析法计提坏账准备的其他应收款明细"/>
              <w:tag w:val="_TUP_ab0660a380d2476f8d5fb3374184cc89"/>
              <w:id w:val="711696637"/>
              <w:lock w:val="sdtLocked"/>
            </w:sdtPr>
            <w:sdtEndPr>
              <w:rPr>
                <w:rFonts w:hint="default"/>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4" w:type="pct"/>
                    <w:shd w:val="clear" w:color="auto" w:fill="auto"/>
                  </w:tcPr>
                  <w:p>
                    <w:pPr>
                      <w:pStyle w:val="114"/>
                    </w:pPr>
                    <w:r>
                      <w:t>减：坏账准备</w:t>
                    </w:r>
                  </w:p>
                </w:tc>
                <w:tc>
                  <w:tcPr>
                    <w:tcW w:w="2016" w:type="pct"/>
                    <w:shd w:val="clear" w:color="auto" w:fill="auto"/>
                  </w:tcPr>
                  <w:p>
                    <w:pPr>
                      <w:jc w:val="right"/>
                    </w:pPr>
                    <w:r>
                      <w:t>15,912,356.90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tag w:val="_PLD_b07c72d6667b4b8198e844363dff5967"/>
                <w:id w:val="1644535992"/>
                <w:lock w:val="sdtLocked"/>
              </w:sdtPr>
              <w:sdtContent>
                <w:tc>
                  <w:tcPr>
                    <w:tcW w:w="2984" w:type="pct"/>
                    <w:shd w:val="clear" w:color="auto" w:fill="auto"/>
                    <w:vAlign w:val="center"/>
                  </w:tcPr>
                  <w:p>
                    <w:pPr>
                      <w:jc w:val="center"/>
                    </w:pPr>
                    <w:r>
                      <w:t>合计</w:t>
                    </w:r>
                  </w:p>
                </w:tc>
              </w:sdtContent>
            </w:sdt>
            <w:tc>
              <w:tcPr>
                <w:tcW w:w="2016" w:type="pct"/>
                <w:shd w:val="clear" w:color="auto" w:fill="auto"/>
              </w:tcPr>
              <w:p>
                <w:pPr>
                  <w:jc w:val="right"/>
                </w:pPr>
                <w:r>
                  <w:t>5,477,400.26</w:t>
                </w:r>
              </w:p>
            </w:tc>
          </w:tr>
        </w:tbl>
        <w:p>
          <w:pPr>
            <w:pStyle w:val="114"/>
          </w:pPr>
        </w:p>
      </w:sdtContent>
    </w:sdt>
    <w:sdt>
      <w:sdtPr>
        <w:rPr>
          <w:rFonts w:hint="eastAsia" w:ascii="宋体" w:hAnsi="宋体" w:cs="宋体"/>
          <w:b w:val="0"/>
          <w:bCs w:val="0"/>
          <w:kern w:val="0"/>
          <w:szCs w:val="24"/>
        </w:rPr>
        <w:alias w:val="模块:其他应收款按款项性质分类情况"/>
        <w:tag w:val="_GBC_c9f7dc8489b74105a28800b5cfad23af"/>
        <w:id w:val="294807149"/>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rPr>
          </w:pPr>
          <w:bookmarkStart w:id="290" w:name="_Hlk10547648"/>
          <w:r>
            <w:rPr>
              <w:rFonts w:hint="eastAsia" w:ascii="宋体" w:hAnsi="宋体"/>
            </w:rPr>
            <w:t>按款项性质分类</w:t>
          </w:r>
        </w:p>
        <w:sdt>
          <w:sdtPr>
            <w:alias w:val="是否适用：母公司其他应收款按款项性质分类情况[双击切换]"/>
            <w:tag w:val="_GBC_101fec10ac1f41f39330610cac041192"/>
            <w:id w:val="-143396684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财务附注：母公司其他应收款按款项性质分类情况"/>
              <w:tag w:val="_GBC_cdfadb9bdd864b32a99df11dec001a83"/>
              <w:id w:val="7124686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19042076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6"/>
            <w:gridCol w:w="2981"/>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97d39f4d1fd488e93d36af61d0bebfd"/>
                <w:id w:val="-1013757434"/>
                <w:lock w:val="sdtLocked"/>
              </w:sdtPr>
              <w:sdtContent>
                <w:tc>
                  <w:tcPr>
                    <w:tcW w:w="1700" w:type="pct"/>
                    <w:shd w:val="clear" w:color="auto" w:fill="auto"/>
                    <w:vAlign w:val="center"/>
                  </w:tcPr>
                  <w:p>
                    <w:pPr>
                      <w:jc w:val="center"/>
                    </w:pPr>
                    <w:r>
                      <w:rPr>
                        <w:rFonts w:hint="eastAsia"/>
                      </w:rPr>
                      <w:t>款项性质</w:t>
                    </w:r>
                  </w:p>
                </w:tc>
              </w:sdtContent>
            </w:sdt>
            <w:sdt>
              <w:sdtPr>
                <w:tag w:val="_PLD_7853db088d0a4b218482e741ebbac8e0"/>
                <w:id w:val="327949821"/>
                <w:lock w:val="sdtLocked"/>
              </w:sdtPr>
              <w:sdtContent>
                <w:tc>
                  <w:tcPr>
                    <w:tcW w:w="1647" w:type="pct"/>
                    <w:shd w:val="clear" w:color="auto" w:fill="auto"/>
                    <w:vAlign w:val="center"/>
                  </w:tcPr>
                  <w:p>
                    <w:pPr>
                      <w:jc w:val="center"/>
                    </w:pPr>
                    <w:r>
                      <w:rPr>
                        <w:rFonts w:hint="eastAsia"/>
                      </w:rPr>
                      <w:t>期末账面余额</w:t>
                    </w:r>
                  </w:p>
                </w:tc>
              </w:sdtContent>
            </w:sdt>
            <w:sdt>
              <w:sdtPr>
                <w:tag w:val="_PLD_56ab744bffee4ad28664bdf9e16551e2"/>
                <w:id w:val="-1050143319"/>
                <w:lock w:val="sdtLocked"/>
              </w:sdtPr>
              <w:sdtContent>
                <w:tc>
                  <w:tcPr>
                    <w:tcW w:w="1653" w:type="pct"/>
                    <w:shd w:val="clear" w:color="auto" w:fill="auto"/>
                    <w:vAlign w:val="center"/>
                  </w:tcPr>
                  <w:p>
                    <w:pPr>
                      <w:jc w:val="center"/>
                    </w:pPr>
                    <w:r>
                      <w:rPr>
                        <w:rFonts w:hint="eastAsia"/>
                      </w:rPr>
                      <w:t>期初账面余额</w:t>
                    </w:r>
                  </w:p>
                </w:tc>
              </w:sdtContent>
            </w:sdt>
          </w:tr>
          <w:sdt>
            <w:sdtPr>
              <w:rPr>
                <w:rFonts w:hint="eastAsia"/>
              </w:rPr>
              <w:alias w:val="其他应收款按款项性质分类情况明细"/>
              <w:tag w:val="_GBC_2dbe9c87fcc94933b5e1adb6fa3a30df"/>
              <w:id w:val="127312745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rPr>
                        <w:highlight w:val="yellow"/>
                      </w:rPr>
                    </w:pPr>
                    <w:r>
                      <w:t>投资清算往来款</w:t>
                    </w:r>
                  </w:p>
                </w:tc>
                <w:tc>
                  <w:tcPr>
                    <w:tcW w:w="1647" w:type="pct"/>
                    <w:shd w:val="clear" w:color="auto" w:fill="auto"/>
                  </w:tcPr>
                  <w:p>
                    <w:pPr>
                      <w:jc w:val="right"/>
                    </w:pPr>
                    <w:r>
                      <w:t>15,812,140.02</w:t>
                    </w:r>
                  </w:p>
                </w:tc>
                <w:tc>
                  <w:tcPr>
                    <w:tcW w:w="1653" w:type="pct"/>
                    <w:shd w:val="clear" w:color="auto" w:fill="auto"/>
                  </w:tcPr>
                  <w:p>
                    <w:pPr>
                      <w:jc w:val="right"/>
                    </w:pPr>
                    <w:r>
                      <w:t>15,812,140.02</w:t>
                    </w:r>
                  </w:p>
                </w:tc>
              </w:tr>
            </w:sdtContent>
          </w:sdt>
          <w:sdt>
            <w:sdtPr>
              <w:rPr>
                <w:rFonts w:hint="eastAsia"/>
              </w:rPr>
              <w:alias w:val="其他应收款按款项性质分类情况明细"/>
              <w:tag w:val="_GBC_2dbe9c87fcc94933b5e1adb6fa3a30df"/>
              <w:id w:val="552277101"/>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rPr>
                        <w:highlight w:val="yellow"/>
                      </w:rPr>
                    </w:pPr>
                    <w:r>
                      <w:t>备用金</w:t>
                    </w:r>
                  </w:p>
                </w:tc>
                <w:tc>
                  <w:tcPr>
                    <w:tcW w:w="1647" w:type="pct"/>
                    <w:shd w:val="clear" w:color="auto" w:fill="auto"/>
                  </w:tcPr>
                  <w:p>
                    <w:pPr>
                      <w:jc w:val="right"/>
                    </w:pPr>
                    <w:r>
                      <w:t>2,514,000.00</w:t>
                    </w:r>
                  </w:p>
                </w:tc>
                <w:tc>
                  <w:tcPr>
                    <w:tcW w:w="1653" w:type="pct"/>
                    <w:shd w:val="clear" w:color="auto" w:fill="auto"/>
                  </w:tcPr>
                  <w:p>
                    <w:pPr>
                      <w:jc w:val="right"/>
                    </w:pPr>
                    <w:r>
                      <w:t>2,759,474.60</w:t>
                    </w:r>
                  </w:p>
                </w:tc>
              </w:tr>
            </w:sdtContent>
          </w:sdt>
          <w:sdt>
            <w:sdtPr>
              <w:rPr>
                <w:rFonts w:hint="eastAsia"/>
              </w:rPr>
              <w:alias w:val="其他应收款按款项性质分类情况明细"/>
              <w:tag w:val="_GBC_2dbe9c87fcc94933b5e1adb6fa3a30df"/>
              <w:id w:val="-713428876"/>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rPr>
                        <w:highlight w:val="yellow"/>
                      </w:rPr>
                    </w:pPr>
                    <w:r>
                      <w:t>其他零星款项</w:t>
                    </w:r>
                  </w:p>
                </w:tc>
                <w:tc>
                  <w:tcPr>
                    <w:tcW w:w="1647" w:type="pct"/>
                    <w:shd w:val="clear" w:color="auto" w:fill="auto"/>
                  </w:tcPr>
                  <w:p>
                    <w:pPr>
                      <w:jc w:val="right"/>
                    </w:pPr>
                    <w:r>
                      <w:t>3,063,617.14</w:t>
                    </w:r>
                  </w:p>
                </w:tc>
                <w:tc>
                  <w:tcPr>
                    <w:tcW w:w="1653" w:type="pct"/>
                    <w:shd w:val="clear" w:color="auto" w:fill="auto"/>
                  </w:tcPr>
                  <w:p>
                    <w:pPr>
                      <w:jc w:val="right"/>
                    </w:pPr>
                    <w:r>
                      <w:t>3,033,766.78</w:t>
                    </w:r>
                  </w:p>
                </w:tc>
              </w:tr>
            </w:sdtContent>
          </w:sdt>
          <w:sdt>
            <w:sdtPr>
              <w:rPr>
                <w:rFonts w:hint="eastAsia"/>
              </w:rPr>
              <w:alias w:val="其他应收款按款项性质分类情况明细"/>
              <w:tag w:val="_GBC_2dbe9c87fcc94933b5e1adb6fa3a30df"/>
              <w:id w:val="166528548"/>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小计</w:t>
                    </w:r>
                  </w:p>
                </w:tc>
                <w:tc>
                  <w:tcPr>
                    <w:tcW w:w="1647" w:type="pct"/>
                    <w:shd w:val="clear" w:color="auto" w:fill="auto"/>
                  </w:tcPr>
                  <w:p>
                    <w:pPr>
                      <w:jc w:val="right"/>
                    </w:pPr>
                    <w:r>
                      <w:t>21,389,757.16</w:t>
                    </w:r>
                  </w:p>
                </w:tc>
                <w:tc>
                  <w:tcPr>
                    <w:tcW w:w="1653" w:type="pct"/>
                    <w:shd w:val="clear" w:color="auto" w:fill="auto"/>
                  </w:tcPr>
                  <w:p>
                    <w:pPr>
                      <w:jc w:val="right"/>
                    </w:pPr>
                    <w:r>
                      <w:t>21,605,381.40</w:t>
                    </w:r>
                  </w:p>
                </w:tc>
              </w:tr>
            </w:sdtContent>
          </w:sdt>
          <w:sdt>
            <w:sdtPr>
              <w:rPr>
                <w:rFonts w:hint="eastAsia"/>
              </w:rPr>
              <w:alias w:val="其他应收款按款项性质分类情况明细"/>
              <w:tag w:val="_GBC_2dbe9c87fcc94933b5e1adb6fa3a30df"/>
              <w:id w:val="-403145979"/>
              <w:lock w:val="sdtLocked"/>
            </w:sdtPr>
            <w:sdtEndPr>
              <w:rPr>
                <w:rFonts w:hint="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pct"/>
                    <w:shd w:val="clear" w:color="auto" w:fill="auto"/>
                  </w:tcPr>
                  <w:p>
                    <w:pPr>
                      <w:pStyle w:val="114"/>
                    </w:pPr>
                    <w:r>
                      <w:t>减：坏账准备</w:t>
                    </w:r>
                  </w:p>
                </w:tc>
                <w:tc>
                  <w:tcPr>
                    <w:tcW w:w="1647" w:type="pct"/>
                    <w:shd w:val="clear" w:color="auto" w:fill="auto"/>
                  </w:tcPr>
                  <w:p>
                    <w:pPr>
                      <w:jc w:val="right"/>
                    </w:pPr>
                    <w:r>
                      <w:t>15,912,356.90</w:t>
                    </w:r>
                  </w:p>
                </w:tc>
                <w:tc>
                  <w:tcPr>
                    <w:tcW w:w="1653" w:type="pct"/>
                    <w:shd w:val="clear" w:color="auto" w:fill="auto"/>
                  </w:tcPr>
                  <w:p>
                    <w:pPr>
                      <w:jc w:val="right"/>
                    </w:pPr>
                    <w:r>
                      <w:t>15,912,356.90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c3163c0b1c149f7a6fc1dfe5449335d"/>
                <w:id w:val="-1187674170"/>
                <w:lock w:val="sdtLocked"/>
              </w:sdtPr>
              <w:sdtContent>
                <w:tc>
                  <w:tcPr>
                    <w:tcW w:w="1700" w:type="pct"/>
                    <w:shd w:val="clear" w:color="auto" w:fill="auto"/>
                  </w:tcPr>
                  <w:p>
                    <w:pPr>
                      <w:jc w:val="center"/>
                    </w:pPr>
                    <w:r>
                      <w:t>合计</w:t>
                    </w:r>
                  </w:p>
                </w:tc>
              </w:sdtContent>
            </w:sdt>
            <w:tc>
              <w:tcPr>
                <w:tcW w:w="1647" w:type="pct"/>
                <w:shd w:val="clear" w:color="auto" w:fill="auto"/>
                <w:vAlign w:val="center"/>
              </w:tcPr>
              <w:p>
                <w:pPr>
                  <w:jc w:val="right"/>
                </w:pPr>
                <w:r>
                  <w:t>5,477,400.26</w:t>
                </w:r>
              </w:p>
            </w:tc>
            <w:tc>
              <w:tcPr>
                <w:tcW w:w="1653" w:type="pct"/>
                <w:shd w:val="clear" w:color="auto" w:fill="auto"/>
                <w:vAlign w:val="center"/>
              </w:tcPr>
              <w:p>
                <w:pPr>
                  <w:jc w:val="right"/>
                </w:pPr>
                <w:r>
                  <w:t>5,693,024.50</w:t>
                </w:r>
              </w:p>
            </w:tc>
          </w:tr>
        </w:tbl>
        <w:p>
          <w:pPr>
            <w:pStyle w:val="114"/>
          </w:pPr>
        </w:p>
      </w:sdtContent>
    </w:sdt>
    <w:bookmarkEnd w:id="290"/>
    <w:sdt>
      <w:sdtPr>
        <w:rPr>
          <w:rFonts w:hint="eastAsia" w:ascii="宋体" w:hAnsi="宋体" w:cs="宋体"/>
          <w:b w:val="0"/>
          <w:bCs w:val="0"/>
          <w:kern w:val="0"/>
          <w:szCs w:val="21"/>
        </w:rPr>
        <w:alias w:val="模块:坏账准备计提情况"/>
        <w:tag w:val="_SEC_15d9e20371d54bec9233b27dd50b301d"/>
        <w:id w:val="874892091"/>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szCs w:val="21"/>
            </w:rPr>
          </w:pPr>
          <w:bookmarkStart w:id="291" w:name="_Hlk10547765"/>
          <w:r>
            <w:rPr>
              <w:rFonts w:hint="eastAsia" w:ascii="宋体" w:hAnsi="宋体"/>
              <w:szCs w:val="21"/>
            </w:rPr>
            <w:t>坏账准备计提情况</w:t>
          </w:r>
        </w:p>
        <w:sdt>
          <w:sdtPr>
            <w:alias w:val="是否适用：母公司其他应收款坏账准备调节表[双击切换]"/>
            <w:tag w:val="_GBC_550996ad46c8493eb98c011d7acf7dfb"/>
            <w:id w:val="-125104132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autoSpaceDE w:val="0"/>
            <w:autoSpaceDN w:val="0"/>
            <w:adjustRightInd w:val="0"/>
            <w:ind w:right="105" w:rightChars="50"/>
            <w:jc w:val="right"/>
          </w:pPr>
          <w:r>
            <w:rPr>
              <w:rFonts w:hint="eastAsia"/>
            </w:rPr>
            <w:t>单位：</w:t>
          </w:r>
          <w:sdt>
            <w:sdtPr>
              <w:rPr>
                <w:rFonts w:hint="eastAsia"/>
              </w:rPr>
              <w:alias w:val="单位：母公司其他应收款坏账准备调节表"/>
              <w:tag w:val="_GBC_10c7491cbac54cf6a1a375367db16baf"/>
              <w:id w:val="986887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10870780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1560"/>
            <w:gridCol w:w="1985"/>
            <w:gridCol w:w="1985"/>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a620ef8c0fe0407b955c4f58530e0b21"/>
                <w:id w:val="1742443020"/>
                <w:lock w:val="sdtLocked"/>
              </w:sdtPr>
              <w:sdtEndPr>
                <w:rPr>
                  <w:rFonts w:ascii="宋体" w:hAnsi="宋体" w:eastAsia="宋体"/>
                </w:rPr>
              </w:sdtEndPr>
              <w:sdtContent>
                <w:tc>
                  <w:tcPr>
                    <w:tcW w:w="1001" w:type="pct"/>
                    <w:vMerge w:val="restart"/>
                    <w:vAlign w:val="center"/>
                  </w:tcPr>
                  <w:p>
                    <w:pPr>
                      <w:pStyle w:val="87"/>
                      <w:spacing w:after="0"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坏账准备</w:t>
                    </w:r>
                  </w:p>
                </w:tc>
              </w:sdtContent>
            </w:sdt>
            <w:sdt>
              <w:sdtPr>
                <w:rPr>
                  <w:rFonts w:ascii="宋体" w:hAnsi="宋体" w:eastAsia="宋体"/>
                </w:rPr>
                <w:tag w:val="_PLD_8699e9827a744831bf2fdadfa1ac52e1"/>
                <w:id w:val="1214542754"/>
                <w:lock w:val="sdtLocked"/>
              </w:sdtPr>
              <w:sdtEndPr>
                <w:rPr>
                  <w:rFonts w:ascii="宋体" w:hAnsi="宋体" w:eastAsia="宋体"/>
                </w:rPr>
              </w:sdtEndPr>
              <w:sdtContent>
                <w:tc>
                  <w:tcPr>
                    <w:tcW w:w="862" w:type="pct"/>
                    <w:vAlign w:val="center"/>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第一阶段</w:t>
                    </w:r>
                  </w:p>
                </w:tc>
              </w:sdtContent>
            </w:sdt>
            <w:sdt>
              <w:sdtPr>
                <w:rPr>
                  <w:rFonts w:ascii="宋体" w:hAnsi="宋体" w:eastAsia="宋体"/>
                </w:rPr>
                <w:tag w:val="_PLD_d2f5c6d4cf0d4a86b39dc41f67fe87db"/>
                <w:id w:val="1540161219"/>
                <w:lock w:val="sdtLocked"/>
              </w:sdtPr>
              <w:sdtEndPr>
                <w:rPr>
                  <w:rFonts w:ascii="宋体" w:hAnsi="宋体" w:eastAsia="宋体"/>
                </w:rPr>
              </w:sdtEndPr>
              <w:sdtContent>
                <w:tc>
                  <w:tcPr>
                    <w:tcW w:w="1097" w:type="pct"/>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第二阶段</w:t>
                    </w:r>
                  </w:p>
                </w:tc>
              </w:sdtContent>
            </w:sdt>
            <w:sdt>
              <w:sdtPr>
                <w:rPr>
                  <w:rFonts w:ascii="宋体" w:hAnsi="宋体" w:eastAsia="宋体"/>
                </w:rPr>
                <w:tag w:val="_PLD_a09c7daba8c14a6498c7b83b77c97c72"/>
                <w:id w:val="-473606704"/>
                <w:lock w:val="sdtLocked"/>
              </w:sdtPr>
              <w:sdtEndPr>
                <w:rPr>
                  <w:rFonts w:ascii="宋体" w:hAnsi="宋体" w:eastAsia="宋体"/>
                </w:rPr>
              </w:sdtEndPr>
              <w:sdtContent>
                <w:tc>
                  <w:tcPr>
                    <w:tcW w:w="1097" w:type="pct"/>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第三阶段</w:t>
                    </w:r>
                  </w:p>
                </w:tc>
              </w:sdtContent>
            </w:sdt>
            <w:sdt>
              <w:sdtPr>
                <w:rPr>
                  <w:rFonts w:ascii="宋体" w:hAnsi="宋体" w:eastAsia="宋体"/>
                </w:rPr>
                <w:tag w:val="_PLD_1ec064a14a75404dac24adc5e6ddd253"/>
                <w:id w:val="1866703953"/>
                <w:lock w:val="sdtLocked"/>
              </w:sdtPr>
              <w:sdtEndPr>
                <w:rPr>
                  <w:rFonts w:ascii="宋体" w:hAnsi="宋体" w:eastAsia="宋体"/>
                </w:rPr>
              </w:sdtEndPr>
              <w:sdtContent>
                <w:tc>
                  <w:tcPr>
                    <w:tcW w:w="943" w:type="pct"/>
                    <w:vMerge w:val="restart"/>
                    <w:vAlign w:val="center"/>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pct"/>
                <w:vMerge w:val="continue"/>
                <w:vAlign w:val="center"/>
              </w:tcPr>
              <w:p>
                <w:pPr>
                  <w:jc w:val="center"/>
                  <w:rPr>
                    <w:color w:val="008000"/>
                  </w:rPr>
                </w:pPr>
              </w:p>
            </w:tc>
            <w:sdt>
              <w:sdtPr>
                <w:rPr>
                  <w:rFonts w:ascii="宋体" w:hAnsi="宋体" w:eastAsia="宋体"/>
                </w:rPr>
                <w:tag w:val="_PLD_506da2a2f1db4ead819aa958edd702e2"/>
                <w:id w:val="190737207"/>
                <w:lock w:val="sdtLocked"/>
              </w:sdtPr>
              <w:sdtEndPr>
                <w:rPr>
                  <w:rFonts w:ascii="宋体" w:hAnsi="宋体" w:eastAsia="宋体"/>
                </w:rPr>
              </w:sdtEndPr>
              <w:sdtContent>
                <w:tc>
                  <w:tcPr>
                    <w:tcW w:w="862" w:type="pct"/>
                    <w:vAlign w:val="center"/>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未来12个月预期信用损失</w:t>
                    </w:r>
                  </w:p>
                </w:tc>
              </w:sdtContent>
            </w:sdt>
            <w:sdt>
              <w:sdtPr>
                <w:rPr>
                  <w:rFonts w:ascii="宋体" w:hAnsi="宋体" w:eastAsia="宋体"/>
                </w:rPr>
                <w:tag w:val="_PLD_23a6590eef0649d4af75d4845c12f263"/>
                <w:id w:val="-1994097678"/>
                <w:lock w:val="sdtLocked"/>
              </w:sdtPr>
              <w:sdtEndPr>
                <w:rPr>
                  <w:rFonts w:ascii="宋体" w:hAnsi="宋体" w:eastAsia="宋体"/>
                </w:rPr>
              </w:sdtEndPr>
              <w:sdtContent>
                <w:tc>
                  <w:tcPr>
                    <w:tcW w:w="1097" w:type="pct"/>
                    <w:vAlign w:val="center"/>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整个存续期预期信用损失(未发生信用减值)</w:t>
                    </w:r>
                  </w:p>
                </w:tc>
              </w:sdtContent>
            </w:sdt>
            <w:sdt>
              <w:sdtPr>
                <w:rPr>
                  <w:rFonts w:ascii="宋体" w:hAnsi="宋体" w:eastAsia="宋体"/>
                </w:rPr>
                <w:tag w:val="_PLD_44518f4265ac43078f96c79efe9dd487"/>
                <w:id w:val="1284923340"/>
                <w:lock w:val="sdtLocked"/>
              </w:sdtPr>
              <w:sdtEndPr>
                <w:rPr>
                  <w:rFonts w:ascii="宋体" w:hAnsi="宋体" w:eastAsia="宋体"/>
                </w:rPr>
              </w:sdtEndPr>
              <w:sdtContent>
                <w:tc>
                  <w:tcPr>
                    <w:tcW w:w="1097" w:type="pct"/>
                    <w:vAlign w:val="center"/>
                  </w:tcPr>
                  <w:p>
                    <w:pPr>
                      <w:pStyle w:val="87"/>
                      <w:spacing w:line="240" w:lineRule="auto"/>
                      <w:jc w:val="center"/>
                      <w:rPr>
                        <w:rFonts w:ascii="宋体" w:hAnsi="宋体" w:eastAsia="宋体" w:cs="宋体"/>
                        <w:sz w:val="21"/>
                        <w:szCs w:val="21"/>
                        <w:lang w:eastAsia="zh-CN"/>
                      </w:rPr>
                    </w:pPr>
                    <w:r>
                      <w:rPr>
                        <w:rFonts w:hint="eastAsia" w:ascii="宋体" w:hAnsi="宋体" w:eastAsia="宋体" w:cs="宋体"/>
                        <w:sz w:val="21"/>
                        <w:szCs w:val="21"/>
                        <w:lang w:eastAsia="zh-CN"/>
                      </w:rPr>
                      <w:t>整个存续期预期信用损失(已发生信用减值)</w:t>
                    </w:r>
                  </w:p>
                </w:tc>
              </w:sdtContent>
            </w:sdt>
            <w:tc>
              <w:tcPr>
                <w:tcW w:w="943" w:type="pct"/>
                <w:vMerge w:val="continue"/>
              </w:tcPr>
              <w:p>
                <w:pPr>
                  <w:jc w:val="center"/>
                  <w:rPr>
                    <w:color w:val="008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2304f8a656bf488e9c1b48987574a2b8"/>
                <w:id w:val="1872115515"/>
                <w:lock w:val="sdtLocked"/>
              </w:sdtPr>
              <w:sdtEndPr>
                <w:rPr>
                  <w:rFonts w:ascii="宋体" w:hAnsi="宋体" w:eastAsia="宋体"/>
                </w:rPr>
              </w:sdtEndPr>
              <w:sdtContent>
                <w:tc>
                  <w:tcPr>
                    <w:tcW w:w="1001" w:type="pct"/>
                    <w:vAlign w:val="center"/>
                  </w:tcPr>
                  <w:p>
                    <w:pPr>
                      <w:pStyle w:val="87"/>
                      <w:spacing w:after="0" w:line="240" w:lineRule="auto"/>
                      <w:jc w:val="both"/>
                      <w:rPr>
                        <w:rFonts w:ascii="宋体" w:hAnsi="宋体" w:eastAsia="宋体" w:cs="宋体"/>
                        <w:sz w:val="21"/>
                        <w:szCs w:val="21"/>
                        <w:lang w:eastAsia="zh-CN"/>
                      </w:rPr>
                    </w:pPr>
                    <w:r>
                      <w:rPr>
                        <w:rFonts w:ascii="宋体" w:hAnsi="宋体" w:eastAsia="宋体" w:cs="宋体"/>
                        <w:sz w:val="21"/>
                        <w:szCs w:val="21"/>
                        <w:lang w:eastAsia="zh-CN"/>
                      </w:rPr>
                      <w:t>2023年</w:t>
                    </w:r>
                    <w:r>
                      <w:rPr>
                        <w:rFonts w:hint="eastAsia" w:ascii="宋体" w:hAnsi="宋体" w:eastAsia="宋体" w:cs="宋体"/>
                        <w:sz w:val="21"/>
                        <w:szCs w:val="21"/>
                        <w:lang w:eastAsia="zh-CN"/>
                      </w:rPr>
                      <w:t>1月1日余额</w:t>
                    </w:r>
                  </w:p>
                </w:tc>
              </w:sdtContent>
            </w:sdt>
            <w:tc>
              <w:tcPr>
                <w:tcW w:w="862" w:type="pct"/>
              </w:tcPr>
              <w:p>
                <w:pPr>
                  <w:jc w:val="right"/>
                </w:pPr>
                <w:r>
                  <w:t>100,216.88</w:t>
                </w:r>
              </w:p>
            </w:tc>
            <w:tc>
              <w:tcPr>
                <w:tcW w:w="1097" w:type="pct"/>
                <w:vAlign w:val="center"/>
              </w:tcPr>
              <w:p>
                <w:pPr>
                  <w:jc w:val="right"/>
                </w:pPr>
                <w:r>
                  <w:t>-</w:t>
                </w:r>
              </w:p>
            </w:tc>
            <w:tc>
              <w:tcPr>
                <w:tcW w:w="1097" w:type="pct"/>
              </w:tcPr>
              <w:p>
                <w:pPr>
                  <w:jc w:val="right"/>
                </w:pPr>
                <w:r>
                  <w:t>15,812,140.02</w:t>
                </w:r>
              </w:p>
            </w:tc>
            <w:tc>
              <w:tcPr>
                <w:tcW w:w="943" w:type="pct"/>
              </w:tcPr>
              <w:p>
                <w:pPr>
                  <w:jc w:val="right"/>
                </w:pPr>
                <w:r>
                  <w:t>15,912,356.90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宋体" w:hAnsi="宋体" w:eastAsia="宋体"/>
                </w:rPr>
                <w:tag w:val="_PLD_796e9b523fc242849d2f6df5b04e1b9e"/>
                <w:id w:val="422615810"/>
                <w:lock w:val="sdtLocked"/>
              </w:sdtPr>
              <w:sdtEndPr>
                <w:rPr>
                  <w:rFonts w:ascii="宋体" w:hAnsi="宋体" w:eastAsia="宋体"/>
                </w:rPr>
              </w:sdtEndPr>
              <w:sdtContent>
                <w:tc>
                  <w:tcPr>
                    <w:tcW w:w="1001" w:type="pct"/>
                    <w:vAlign w:val="center"/>
                  </w:tcPr>
                  <w:p>
                    <w:pPr>
                      <w:pStyle w:val="87"/>
                      <w:spacing w:after="0" w:line="24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2023年6月3</w:t>
                    </w:r>
                    <w:r>
                      <w:rPr>
                        <w:rFonts w:ascii="宋体" w:hAnsi="宋体" w:eastAsia="宋体" w:cs="宋体"/>
                        <w:sz w:val="21"/>
                        <w:szCs w:val="21"/>
                        <w:lang w:eastAsia="zh-CN"/>
                      </w:rPr>
                      <w:t>0</w:t>
                    </w:r>
                    <w:r>
                      <w:rPr>
                        <w:rFonts w:hint="eastAsia" w:ascii="宋体" w:hAnsi="宋体" w:eastAsia="宋体" w:cs="宋体"/>
                        <w:sz w:val="21"/>
                        <w:szCs w:val="21"/>
                        <w:lang w:eastAsia="zh-CN"/>
                      </w:rPr>
                      <w:t>日余额</w:t>
                    </w:r>
                  </w:p>
                </w:tc>
              </w:sdtContent>
            </w:sdt>
            <w:tc>
              <w:tcPr>
                <w:tcW w:w="862" w:type="pct"/>
              </w:tcPr>
              <w:p>
                <w:pPr>
                  <w:jc w:val="right"/>
                </w:pPr>
                <w:r>
                  <w:t>100,216.88</w:t>
                </w:r>
              </w:p>
            </w:tc>
            <w:tc>
              <w:tcPr>
                <w:tcW w:w="1097" w:type="pct"/>
                <w:vAlign w:val="center"/>
              </w:tcPr>
              <w:p>
                <w:pPr>
                  <w:jc w:val="right"/>
                </w:pPr>
                <w:r>
                  <w:t>-</w:t>
                </w:r>
              </w:p>
            </w:tc>
            <w:tc>
              <w:tcPr>
                <w:tcW w:w="1097" w:type="pct"/>
              </w:tcPr>
              <w:p>
                <w:pPr>
                  <w:jc w:val="right"/>
                </w:pPr>
                <w:r>
                  <w:t>15,812,140.02</w:t>
                </w:r>
              </w:p>
            </w:tc>
            <w:tc>
              <w:tcPr>
                <w:tcW w:w="943" w:type="pct"/>
              </w:tcPr>
              <w:p>
                <w:pPr>
                  <w:jc w:val="right"/>
                </w:pPr>
                <w:r>
                  <w:t>15,912,356.90</w:t>
                </w:r>
              </w:p>
            </w:tc>
          </w:tr>
        </w:tbl>
        <w:p>
          <w:pPr>
            <w:pStyle w:val="114"/>
          </w:pPr>
        </w:p>
        <w:p>
          <w:pPr>
            <w:pStyle w:val="72"/>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15003436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54545785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Content>
    </w:sdt>
    <w:bookmarkEnd w:id="291"/>
    <w:sdt>
      <w:sdtPr>
        <w:rPr>
          <w:rFonts w:hint="eastAsia" w:ascii="宋体" w:hAnsi="宋体" w:cs="宋体"/>
          <w:b w:val="0"/>
          <w:bCs w:val="0"/>
          <w:kern w:val="0"/>
          <w:szCs w:val="21"/>
        </w:rPr>
        <w:alias w:val="模块:坏账准备的情况"/>
        <w:tag w:val="_SEC_7efe43f77bc44437a16fe9cc44dc64d6"/>
        <w:id w:val="1354769784"/>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szCs w:val="21"/>
            </w:rPr>
          </w:pPr>
          <w:bookmarkStart w:id="292" w:name="_Hlk10548122"/>
          <w:r>
            <w:rPr>
              <w:rFonts w:hint="eastAsia" w:ascii="宋体" w:hAnsi="宋体"/>
              <w:szCs w:val="21"/>
            </w:rPr>
            <w:t>坏账准备的情况</w:t>
          </w:r>
        </w:p>
        <w:sdt>
          <w:sdtPr>
            <w:alias w:val="是否适用：其他应收款坏账准备[双击切换]"/>
            <w:tag w:val="_GBC_746f45a984d44f56a795e5587d8e7cf2"/>
            <w:id w:val="-23555947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r>
            <w:rPr>
              <w:rFonts w:hint="eastAsia"/>
            </w:rPr>
            <w:t>其中本期坏账准备转回或收回金额重要的：</w:t>
          </w:r>
        </w:p>
        <w:sdt>
          <w:sdtPr>
            <w:alias w:val="是否适用：其中本期其他应收账款坏账准备收回或转回金额重要的[双击切换]"/>
            <w:tag w:val="_GBC_4d2439aebd644da7889b9f279d8a4ec0"/>
            <w:id w:val="405035715"/>
            <w:lock w:val="sdtLocked"/>
            <w:placeholder>
              <w:docPart w:val="GBC22222222222222222222222222222"/>
            </w:placeholder>
          </w:sdtPr>
          <w:sdtContent>
            <w:p>
              <w:pPr>
                <w:pStyle w:val="114"/>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2"/>
    <w:p>
      <w:pPr>
        <w:ind w:right="-1594" w:rightChars="-759"/>
      </w:pPr>
    </w:p>
    <w:sdt>
      <w:sdtPr>
        <w:rPr>
          <w:rFonts w:hint="eastAsia" w:ascii="宋体" w:hAnsi="宋体" w:cs="宋体"/>
          <w:b w:val="0"/>
          <w:bCs w:val="0"/>
          <w:kern w:val="0"/>
          <w:szCs w:val="24"/>
        </w:rPr>
        <w:alias w:val="模块:本期实际核销的其他应收款情况"/>
        <w:tag w:val="_SEC_ffe6c87a4f4a49bd9769cbeb746b444b"/>
        <w:id w:val="1190731733"/>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r>
            <w:rPr>
              <w:rFonts w:hint="eastAsia" w:ascii="宋体" w:hAnsi="宋体"/>
            </w:rPr>
            <w:t>本期实际核销的其他应收款情况</w:t>
          </w:r>
        </w:p>
        <w:sdt>
          <w:sdtPr>
            <w:alias w:val="是否适用：母公司本期实际核销的其他应收款情况[双击切换]"/>
            <w:tag w:val="_GBC_dd1095756d2b471688ce5b700380fafc"/>
            <w:id w:val="-116870223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应收款核销说明：  "/>
        <w:tag w:val="_SEC_6c44e00a54d34fb1a03f38b7cf5b8a5d"/>
        <w:id w:val="1985816879"/>
        <w:lock w:val="sdtLocked"/>
        <w:placeholder>
          <w:docPart w:val="GBC22222222222222222222222222222"/>
        </w:placeholder>
      </w:sdtPr>
      <w:sdtEndPr>
        <w:rPr>
          <w:rFonts w:hint="default"/>
        </w:rPr>
      </w:sdtEndPr>
      <w:sdtContent>
        <w:p>
          <w:pPr>
            <w:snapToGrid w:val="0"/>
            <w:spacing w:line="240" w:lineRule="atLeast"/>
          </w:pPr>
          <w:r>
            <w:rPr>
              <w:rFonts w:hint="eastAsia"/>
            </w:rPr>
            <w:t>其他应收款核销说明：</w:t>
          </w:r>
        </w:p>
        <w:sdt>
          <w:sdtPr>
            <w:rPr>
              <w:bCs/>
            </w:rPr>
            <w:alias w:val="是否适用：母公司其他应收款核销说明[双击切换]"/>
            <w:tag w:val="_GBC_7e98a555990349648a39fba0c7228ab7"/>
            <w:id w:val="-2065018139"/>
            <w:lock w:val="sdtLocked"/>
            <w:placeholder>
              <w:docPart w:val="GBC22222222222222222222222222222"/>
            </w:placeholder>
          </w:sdtPr>
          <w:sdtEndPr>
            <w:rPr>
              <w:bCs/>
            </w:rPr>
          </w:sdtEndPr>
          <w:sdtContent>
            <w:p>
              <w:pPr>
                <w:snapToGrid w:val="0"/>
                <w:spacing w:line="240" w:lineRule="atLeast"/>
              </w:pPr>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p>
      <w:pPr>
        <w:pStyle w:val="114"/>
      </w:pPr>
    </w:p>
    <w:sdt>
      <w:sdtPr>
        <w:rPr>
          <w:rFonts w:hint="eastAsia" w:ascii="宋体" w:hAnsi="宋体" w:cs="宋体"/>
          <w:b w:val="0"/>
          <w:bCs w:val="0"/>
          <w:kern w:val="0"/>
          <w:szCs w:val="24"/>
        </w:rPr>
        <w:alias w:val="模块:按欠款方归集的期末余额前五名的其他应收款情况"/>
        <w:tag w:val="_GBC_c77f7efeabc1402191807946a9bfe714"/>
        <w:id w:val="-906290517"/>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3"/>
              <w:numId w:val="104"/>
            </w:numPr>
            <w:ind w:left="426" w:hanging="426"/>
            <w:rPr>
              <w:rFonts w:ascii="宋体" w:hAnsi="宋体"/>
            </w:rPr>
          </w:pPr>
          <w:r>
            <w:rPr>
              <w:rFonts w:hint="eastAsia" w:ascii="宋体" w:hAnsi="宋体"/>
            </w:rPr>
            <w:t>按欠款方归集的期末余额前五名的其他应收款情况</w:t>
          </w:r>
        </w:p>
        <w:sdt>
          <w:sdtPr>
            <w:alias w:val="是否适用：母公司按欠款方归集的期末余额前五名的其他应收款情况[双击切换]"/>
            <w:tag w:val="_GBC_c31bd7806af645a4b98780e353753bee"/>
            <w:id w:val="1349757189"/>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财务附注：其他应收账款前五名欠款情况"/>
              <w:tag w:val="_GBC_5eaec4085c10422f90a7a09ee515d922"/>
              <w:id w:val="-18085448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7234394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521"/>
            <w:gridCol w:w="1338"/>
            <w:gridCol w:w="1316"/>
            <w:gridCol w:w="1313"/>
            <w:gridCol w:w="1747"/>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6"/>
                  <w:szCs w:val="16"/>
                </w:rPr>
                <w:tag w:val="_PLD_1bf4103fa73c4527ab273af4182bdac9"/>
                <w:id w:val="-803456989"/>
                <w:lock w:val="sdtLocked"/>
              </w:sdtPr>
              <w:sdtEndPr>
                <w:rPr>
                  <w:sz w:val="16"/>
                  <w:szCs w:val="16"/>
                </w:rPr>
              </w:sdtEndPr>
              <w:sdtContent>
                <w:tc>
                  <w:tcPr>
                    <w:tcW w:w="855" w:type="pct"/>
                    <w:vAlign w:val="center"/>
                  </w:tcPr>
                  <w:p>
                    <w:pPr>
                      <w:ind w:right="105"/>
                      <w:jc w:val="center"/>
                      <w:rPr>
                        <w:sz w:val="16"/>
                        <w:szCs w:val="16"/>
                      </w:rPr>
                    </w:pPr>
                    <w:r>
                      <w:rPr>
                        <w:rFonts w:hint="eastAsia"/>
                        <w:sz w:val="16"/>
                        <w:szCs w:val="16"/>
                      </w:rPr>
                      <w:t>单位名称</w:t>
                    </w:r>
                  </w:p>
                </w:tc>
              </w:sdtContent>
            </w:sdt>
            <w:sdt>
              <w:sdtPr>
                <w:rPr>
                  <w:sz w:val="16"/>
                  <w:szCs w:val="16"/>
                </w:rPr>
                <w:tag w:val="_PLD_13e90710aaf8432b8989b8a8d1ceae0c"/>
                <w:id w:val="-281184933"/>
                <w:lock w:val="sdtLocked"/>
              </w:sdtPr>
              <w:sdtEndPr>
                <w:rPr>
                  <w:sz w:val="16"/>
                  <w:szCs w:val="16"/>
                </w:rPr>
              </w:sdtEndPr>
              <w:sdtContent>
                <w:tc>
                  <w:tcPr>
                    <w:tcW w:w="752" w:type="pct"/>
                    <w:vAlign w:val="center"/>
                  </w:tcPr>
                  <w:p>
                    <w:pPr>
                      <w:ind w:right="73"/>
                      <w:jc w:val="center"/>
                      <w:rPr>
                        <w:sz w:val="16"/>
                        <w:szCs w:val="16"/>
                      </w:rPr>
                    </w:pPr>
                    <w:r>
                      <w:rPr>
                        <w:rFonts w:hint="eastAsia"/>
                        <w:sz w:val="16"/>
                        <w:szCs w:val="16"/>
                      </w:rPr>
                      <w:t>款项的性质</w:t>
                    </w:r>
                  </w:p>
                </w:tc>
              </w:sdtContent>
            </w:sdt>
            <w:sdt>
              <w:sdtPr>
                <w:rPr>
                  <w:sz w:val="16"/>
                  <w:szCs w:val="16"/>
                </w:rPr>
                <w:tag w:val="_PLD_2272ceae47e74a6489bfeb2c73aa1f4a"/>
                <w:id w:val="-1970579963"/>
                <w:lock w:val="sdtLocked"/>
              </w:sdtPr>
              <w:sdtEndPr>
                <w:rPr>
                  <w:sz w:val="16"/>
                  <w:szCs w:val="16"/>
                </w:rPr>
              </w:sdtEndPr>
              <w:sdtContent>
                <w:tc>
                  <w:tcPr>
                    <w:tcW w:w="740" w:type="pct"/>
                    <w:vAlign w:val="center"/>
                  </w:tcPr>
                  <w:p>
                    <w:pPr>
                      <w:ind w:right="73"/>
                      <w:jc w:val="center"/>
                      <w:rPr>
                        <w:sz w:val="16"/>
                        <w:szCs w:val="16"/>
                      </w:rPr>
                    </w:pPr>
                    <w:r>
                      <w:rPr>
                        <w:rFonts w:hint="eastAsia"/>
                        <w:sz w:val="16"/>
                        <w:szCs w:val="16"/>
                      </w:rPr>
                      <w:t>期末余额</w:t>
                    </w:r>
                  </w:p>
                </w:tc>
              </w:sdtContent>
            </w:sdt>
            <w:sdt>
              <w:sdtPr>
                <w:rPr>
                  <w:sz w:val="16"/>
                  <w:szCs w:val="16"/>
                </w:rPr>
                <w:tag w:val="_PLD_fcefa3ecef954c579974ef8beaeadf3a"/>
                <w:id w:val="1633057755"/>
                <w:lock w:val="sdtLocked"/>
              </w:sdtPr>
              <w:sdtEndPr>
                <w:rPr>
                  <w:sz w:val="16"/>
                  <w:szCs w:val="16"/>
                </w:rPr>
              </w:sdtEndPr>
              <w:sdtContent>
                <w:tc>
                  <w:tcPr>
                    <w:tcW w:w="738" w:type="pct"/>
                    <w:vAlign w:val="center"/>
                  </w:tcPr>
                  <w:p>
                    <w:pPr>
                      <w:ind w:right="73"/>
                      <w:jc w:val="center"/>
                      <w:rPr>
                        <w:sz w:val="16"/>
                        <w:szCs w:val="16"/>
                      </w:rPr>
                    </w:pPr>
                    <w:r>
                      <w:rPr>
                        <w:rFonts w:hint="eastAsia"/>
                        <w:sz w:val="16"/>
                        <w:szCs w:val="16"/>
                      </w:rPr>
                      <w:t>账龄</w:t>
                    </w:r>
                  </w:p>
                </w:tc>
              </w:sdtContent>
            </w:sdt>
            <w:sdt>
              <w:sdtPr>
                <w:rPr>
                  <w:sz w:val="16"/>
                  <w:szCs w:val="16"/>
                </w:rPr>
                <w:tag w:val="_PLD_13e1362304be4663873f1e8f72848948"/>
                <w:id w:val="-657450213"/>
                <w:lock w:val="sdtLocked"/>
              </w:sdtPr>
              <w:sdtEndPr>
                <w:rPr>
                  <w:sz w:val="16"/>
                  <w:szCs w:val="16"/>
                </w:rPr>
              </w:sdtEndPr>
              <w:sdtContent>
                <w:tc>
                  <w:tcPr>
                    <w:tcW w:w="982" w:type="pct"/>
                    <w:vAlign w:val="center"/>
                  </w:tcPr>
                  <w:p>
                    <w:pPr>
                      <w:jc w:val="center"/>
                      <w:rPr>
                        <w:sz w:val="16"/>
                        <w:szCs w:val="16"/>
                      </w:rPr>
                    </w:pPr>
                    <w:r>
                      <w:rPr>
                        <w:rFonts w:hint="eastAsia"/>
                        <w:sz w:val="16"/>
                        <w:szCs w:val="16"/>
                      </w:rPr>
                      <w:t>占其他应收款期末余额合计数的比例(</w:t>
                    </w:r>
                    <w:r>
                      <w:rPr>
                        <w:sz w:val="16"/>
                        <w:szCs w:val="16"/>
                      </w:rPr>
                      <w:t>%)</w:t>
                    </w:r>
                  </w:p>
                </w:tc>
              </w:sdtContent>
            </w:sdt>
            <w:sdt>
              <w:sdtPr>
                <w:rPr>
                  <w:sz w:val="16"/>
                  <w:szCs w:val="16"/>
                </w:rPr>
                <w:tag w:val="_PLD_f2c7137b0fd6426d9d9640429eb47701"/>
                <w:id w:val="865787184"/>
                <w:lock w:val="sdtLocked"/>
              </w:sdtPr>
              <w:sdtEndPr>
                <w:rPr>
                  <w:sz w:val="16"/>
                  <w:szCs w:val="16"/>
                </w:rPr>
              </w:sdtEndPr>
              <w:sdtContent>
                <w:tc>
                  <w:tcPr>
                    <w:tcW w:w="933" w:type="pct"/>
                    <w:vAlign w:val="center"/>
                  </w:tcPr>
                  <w:p>
                    <w:pPr>
                      <w:jc w:val="center"/>
                      <w:rPr>
                        <w:sz w:val="16"/>
                        <w:szCs w:val="16"/>
                      </w:rPr>
                    </w:pPr>
                    <w:r>
                      <w:rPr>
                        <w:rFonts w:hint="eastAsia"/>
                        <w:sz w:val="16"/>
                        <w:szCs w:val="16"/>
                      </w:rPr>
                      <w:t>坏账准备</w:t>
                    </w:r>
                  </w:p>
                  <w:p>
                    <w:pPr>
                      <w:jc w:val="center"/>
                      <w:rPr>
                        <w:sz w:val="16"/>
                        <w:szCs w:val="16"/>
                      </w:rPr>
                    </w:pPr>
                    <w:r>
                      <w:rPr>
                        <w:rFonts w:hint="eastAsia"/>
                        <w:sz w:val="16"/>
                        <w:szCs w:val="16"/>
                      </w:rPr>
                      <w:t>期末余额</w:t>
                    </w:r>
                  </w:p>
                </w:tc>
              </w:sdtContent>
            </w:sdt>
          </w:tr>
          <w:sdt>
            <w:sdtPr>
              <w:rPr>
                <w:rFonts w:hint="eastAsia"/>
                <w:sz w:val="16"/>
                <w:szCs w:val="16"/>
              </w:rPr>
              <w:alias w:val="其他应收款欠款户"/>
              <w:tag w:val="_GBC_3912a12d540a40c8946b4121501bca53"/>
              <w:id w:val="-615528392"/>
              <w:lock w:val="sdtLocked"/>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55" w:type="pct"/>
                  </w:tcPr>
                  <w:p>
                    <w:pPr>
                      <w:ind w:right="105"/>
                      <w:rPr>
                        <w:sz w:val="16"/>
                        <w:szCs w:val="16"/>
                      </w:rPr>
                    </w:pPr>
                    <w:r>
                      <w:rPr>
                        <w:sz w:val="16"/>
                        <w:szCs w:val="16"/>
                      </w:rPr>
                      <w:t>江苏省宜兴市公路管理处</w:t>
                    </w:r>
                  </w:p>
                </w:tc>
                <w:tc>
                  <w:tcPr>
                    <w:tcW w:w="752" w:type="pct"/>
                  </w:tcPr>
                  <w:p>
                    <w:pPr>
                      <w:ind w:right="73"/>
                      <w:rPr>
                        <w:sz w:val="16"/>
                        <w:szCs w:val="16"/>
                      </w:rPr>
                    </w:pPr>
                    <w:r>
                      <w:rPr>
                        <w:sz w:val="16"/>
                        <w:szCs w:val="16"/>
                      </w:rPr>
                      <w:t>投资清算往来款</w:t>
                    </w:r>
                  </w:p>
                </w:tc>
                <w:tc>
                  <w:tcPr>
                    <w:tcW w:w="740" w:type="pct"/>
                  </w:tcPr>
                  <w:p>
                    <w:pPr>
                      <w:ind w:right="73"/>
                      <w:jc w:val="right"/>
                      <w:rPr>
                        <w:sz w:val="16"/>
                        <w:szCs w:val="16"/>
                      </w:rPr>
                    </w:pPr>
                    <w:r>
                      <w:rPr>
                        <w:sz w:val="16"/>
                        <w:szCs w:val="16"/>
                      </w:rPr>
                      <w:t>15,812,140.02</w:t>
                    </w:r>
                  </w:p>
                </w:tc>
                <w:tc>
                  <w:tcPr>
                    <w:tcW w:w="738" w:type="pct"/>
                  </w:tcPr>
                  <w:p>
                    <w:pPr>
                      <w:ind w:right="73"/>
                      <w:rPr>
                        <w:sz w:val="16"/>
                        <w:szCs w:val="16"/>
                      </w:rPr>
                    </w:pPr>
                    <w:r>
                      <w:rPr>
                        <w:sz w:val="16"/>
                        <w:szCs w:val="16"/>
                      </w:rPr>
                      <w:t>3年以上</w:t>
                    </w:r>
                  </w:p>
                </w:tc>
                <w:tc>
                  <w:tcPr>
                    <w:tcW w:w="982" w:type="pct"/>
                  </w:tcPr>
                  <w:p>
                    <w:pPr>
                      <w:jc w:val="right"/>
                      <w:rPr>
                        <w:sz w:val="16"/>
                        <w:szCs w:val="16"/>
                      </w:rPr>
                    </w:pPr>
                    <w:r>
                      <w:rPr>
                        <w:sz w:val="16"/>
                        <w:szCs w:val="16"/>
                      </w:rPr>
                      <w:t>73.92</w:t>
                    </w:r>
                  </w:p>
                </w:tc>
                <w:tc>
                  <w:tcPr>
                    <w:tcW w:w="933" w:type="pct"/>
                  </w:tcPr>
                  <w:p>
                    <w:pPr>
                      <w:jc w:val="right"/>
                      <w:rPr>
                        <w:sz w:val="16"/>
                        <w:szCs w:val="16"/>
                      </w:rPr>
                    </w:pPr>
                    <w:r>
                      <w:rPr>
                        <w:sz w:val="16"/>
                        <w:szCs w:val="16"/>
                      </w:rPr>
                      <w:t>15,812,140.02</w:t>
                    </w:r>
                  </w:p>
                </w:tc>
              </w:tr>
            </w:sdtContent>
          </w:sdt>
          <w:sdt>
            <w:sdtPr>
              <w:rPr>
                <w:rFonts w:hint="eastAsia"/>
                <w:sz w:val="16"/>
                <w:szCs w:val="16"/>
              </w:rPr>
              <w:alias w:val="其他应收款欠款户"/>
              <w:tag w:val="_GBC_3912a12d540a40c8946b4121501bca53"/>
              <w:id w:val="1632907691"/>
              <w:lock w:val="sdtLocked"/>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55" w:type="pct"/>
                  </w:tcPr>
                  <w:p>
                    <w:pPr>
                      <w:ind w:right="105"/>
                      <w:rPr>
                        <w:sz w:val="16"/>
                        <w:szCs w:val="16"/>
                      </w:rPr>
                    </w:pPr>
                    <w:r>
                      <w:rPr>
                        <w:sz w:val="16"/>
                        <w:szCs w:val="16"/>
                      </w:rPr>
                      <w:t>国网江苏省电力有限公司苏州供电公司</w:t>
                    </w:r>
                  </w:p>
                </w:tc>
                <w:tc>
                  <w:tcPr>
                    <w:tcW w:w="752" w:type="pct"/>
                  </w:tcPr>
                  <w:p>
                    <w:pPr>
                      <w:ind w:right="73"/>
                      <w:rPr>
                        <w:sz w:val="16"/>
                        <w:szCs w:val="16"/>
                      </w:rPr>
                    </w:pPr>
                    <w:r>
                      <w:rPr>
                        <w:sz w:val="16"/>
                        <w:szCs w:val="16"/>
                      </w:rPr>
                      <w:t>电费</w:t>
                    </w:r>
                  </w:p>
                </w:tc>
                <w:tc>
                  <w:tcPr>
                    <w:tcW w:w="740" w:type="pct"/>
                  </w:tcPr>
                  <w:p>
                    <w:pPr>
                      <w:ind w:right="73"/>
                      <w:jc w:val="right"/>
                      <w:rPr>
                        <w:sz w:val="16"/>
                        <w:szCs w:val="16"/>
                      </w:rPr>
                    </w:pPr>
                    <w:r>
                      <w:rPr>
                        <w:sz w:val="16"/>
                        <w:szCs w:val="16"/>
                      </w:rPr>
                      <w:t>146,337.55</w:t>
                    </w:r>
                  </w:p>
                </w:tc>
                <w:tc>
                  <w:tcPr>
                    <w:tcW w:w="738" w:type="pct"/>
                  </w:tcPr>
                  <w:p>
                    <w:pPr>
                      <w:ind w:right="73"/>
                      <w:rPr>
                        <w:sz w:val="16"/>
                        <w:szCs w:val="16"/>
                      </w:rPr>
                    </w:pPr>
                    <w:r>
                      <w:rPr>
                        <w:sz w:val="16"/>
                        <w:szCs w:val="16"/>
                      </w:rPr>
                      <w:t>1年以内</w:t>
                    </w:r>
                  </w:p>
                </w:tc>
                <w:tc>
                  <w:tcPr>
                    <w:tcW w:w="982" w:type="pct"/>
                  </w:tcPr>
                  <w:p>
                    <w:pPr>
                      <w:jc w:val="right"/>
                      <w:rPr>
                        <w:sz w:val="16"/>
                        <w:szCs w:val="16"/>
                      </w:rPr>
                    </w:pPr>
                    <w:r>
                      <w:rPr>
                        <w:sz w:val="16"/>
                        <w:szCs w:val="16"/>
                      </w:rPr>
                      <w:t>0.68</w:t>
                    </w:r>
                  </w:p>
                </w:tc>
                <w:tc>
                  <w:tcPr>
                    <w:tcW w:w="933" w:type="pct"/>
                  </w:tcPr>
                  <w:p>
                    <w:pPr>
                      <w:jc w:val="right"/>
                      <w:rPr>
                        <w:sz w:val="16"/>
                        <w:szCs w:val="16"/>
                      </w:rPr>
                    </w:pPr>
                    <w:r>
                      <w:rPr>
                        <w:sz w:val="16"/>
                        <w:szCs w:val="16"/>
                      </w:rPr>
                      <w:t>--</w:t>
                    </w:r>
                  </w:p>
                </w:tc>
              </w:tr>
            </w:sdtContent>
          </w:sdt>
          <w:sdt>
            <w:sdtPr>
              <w:rPr>
                <w:rFonts w:hint="eastAsia"/>
                <w:sz w:val="16"/>
                <w:szCs w:val="16"/>
              </w:rPr>
              <w:alias w:val="其他应收款欠款户"/>
              <w:tag w:val="_GBC_3912a12d540a40c8946b4121501bca53"/>
              <w:id w:val="-1424721298"/>
              <w:lock w:val="sdtLocked"/>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55" w:type="pct"/>
                  </w:tcPr>
                  <w:p>
                    <w:pPr>
                      <w:ind w:right="105"/>
                      <w:rPr>
                        <w:sz w:val="16"/>
                        <w:szCs w:val="16"/>
                      </w:rPr>
                    </w:pPr>
                    <w:r>
                      <w:rPr>
                        <w:sz w:val="16"/>
                        <w:szCs w:val="16"/>
                      </w:rPr>
                      <w:t>无锡华润燃气有限公司</w:t>
                    </w:r>
                  </w:p>
                </w:tc>
                <w:tc>
                  <w:tcPr>
                    <w:tcW w:w="752" w:type="pct"/>
                  </w:tcPr>
                  <w:p>
                    <w:pPr>
                      <w:ind w:right="73"/>
                      <w:rPr>
                        <w:sz w:val="16"/>
                        <w:szCs w:val="16"/>
                      </w:rPr>
                    </w:pPr>
                    <w:r>
                      <w:rPr>
                        <w:sz w:val="16"/>
                        <w:szCs w:val="16"/>
                      </w:rPr>
                      <w:t>天然气押金</w:t>
                    </w:r>
                  </w:p>
                </w:tc>
                <w:tc>
                  <w:tcPr>
                    <w:tcW w:w="740" w:type="pct"/>
                  </w:tcPr>
                  <w:p>
                    <w:pPr>
                      <w:ind w:right="73"/>
                      <w:jc w:val="right"/>
                      <w:rPr>
                        <w:sz w:val="16"/>
                        <w:szCs w:val="16"/>
                      </w:rPr>
                    </w:pPr>
                    <w:r>
                      <w:rPr>
                        <w:sz w:val="16"/>
                        <w:szCs w:val="16"/>
                      </w:rPr>
                      <w:t>135,000.00</w:t>
                    </w:r>
                  </w:p>
                </w:tc>
                <w:tc>
                  <w:tcPr>
                    <w:tcW w:w="738" w:type="pct"/>
                  </w:tcPr>
                  <w:p>
                    <w:pPr>
                      <w:ind w:right="73"/>
                      <w:rPr>
                        <w:sz w:val="16"/>
                        <w:szCs w:val="16"/>
                      </w:rPr>
                    </w:pPr>
                    <w:r>
                      <w:rPr>
                        <w:sz w:val="16"/>
                        <w:szCs w:val="16"/>
                      </w:rPr>
                      <w:t>3年以上</w:t>
                    </w:r>
                  </w:p>
                </w:tc>
                <w:tc>
                  <w:tcPr>
                    <w:tcW w:w="982" w:type="pct"/>
                  </w:tcPr>
                  <w:p>
                    <w:pPr>
                      <w:jc w:val="right"/>
                      <w:rPr>
                        <w:sz w:val="16"/>
                        <w:szCs w:val="16"/>
                      </w:rPr>
                    </w:pPr>
                    <w:r>
                      <w:rPr>
                        <w:sz w:val="16"/>
                        <w:szCs w:val="16"/>
                      </w:rPr>
                      <w:t>0.63</w:t>
                    </w:r>
                  </w:p>
                </w:tc>
                <w:tc>
                  <w:tcPr>
                    <w:tcW w:w="933" w:type="pct"/>
                  </w:tcPr>
                  <w:p>
                    <w:pPr>
                      <w:jc w:val="right"/>
                      <w:rPr>
                        <w:sz w:val="16"/>
                        <w:szCs w:val="16"/>
                      </w:rPr>
                    </w:pPr>
                    <w:r>
                      <w:rPr>
                        <w:sz w:val="16"/>
                        <w:szCs w:val="16"/>
                      </w:rPr>
                      <w:t>--</w:t>
                    </w:r>
                  </w:p>
                </w:tc>
              </w:tr>
            </w:sdtContent>
          </w:sdt>
          <w:sdt>
            <w:sdtPr>
              <w:rPr>
                <w:rFonts w:hint="eastAsia"/>
                <w:sz w:val="16"/>
                <w:szCs w:val="16"/>
              </w:rPr>
              <w:alias w:val="其他应收款欠款户"/>
              <w:tag w:val="_GBC_3912a12d540a40c8946b4121501bca53"/>
              <w:id w:val="413589430"/>
              <w:lock w:val="sdtLocked"/>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55" w:type="pct"/>
                  </w:tcPr>
                  <w:p>
                    <w:pPr>
                      <w:ind w:right="105"/>
                      <w:rPr>
                        <w:sz w:val="16"/>
                        <w:szCs w:val="16"/>
                      </w:rPr>
                    </w:pPr>
                    <w:r>
                      <w:rPr>
                        <w:sz w:val="16"/>
                        <w:szCs w:val="16"/>
                      </w:rPr>
                      <w:t>常州迪诺芳茂山商业管理有限公司</w:t>
                    </w:r>
                  </w:p>
                </w:tc>
                <w:tc>
                  <w:tcPr>
                    <w:tcW w:w="752" w:type="pct"/>
                  </w:tcPr>
                  <w:p>
                    <w:pPr>
                      <w:ind w:right="73"/>
                      <w:rPr>
                        <w:sz w:val="16"/>
                        <w:szCs w:val="16"/>
                      </w:rPr>
                    </w:pPr>
                    <w:r>
                      <w:rPr>
                        <w:sz w:val="16"/>
                        <w:szCs w:val="16"/>
                      </w:rPr>
                      <w:t>水电费</w:t>
                    </w:r>
                  </w:p>
                </w:tc>
                <w:tc>
                  <w:tcPr>
                    <w:tcW w:w="740" w:type="pct"/>
                  </w:tcPr>
                  <w:p>
                    <w:pPr>
                      <w:ind w:right="73"/>
                      <w:jc w:val="right"/>
                      <w:rPr>
                        <w:sz w:val="16"/>
                        <w:szCs w:val="16"/>
                      </w:rPr>
                    </w:pPr>
                    <w:r>
                      <w:rPr>
                        <w:sz w:val="16"/>
                        <w:szCs w:val="16"/>
                      </w:rPr>
                      <w:t>53,730.50</w:t>
                    </w:r>
                  </w:p>
                </w:tc>
                <w:tc>
                  <w:tcPr>
                    <w:tcW w:w="738" w:type="pct"/>
                  </w:tcPr>
                  <w:p>
                    <w:pPr>
                      <w:ind w:right="73"/>
                      <w:rPr>
                        <w:sz w:val="16"/>
                        <w:szCs w:val="16"/>
                      </w:rPr>
                    </w:pPr>
                    <w:r>
                      <w:rPr>
                        <w:sz w:val="16"/>
                        <w:szCs w:val="16"/>
                      </w:rPr>
                      <w:t>1年以内</w:t>
                    </w:r>
                  </w:p>
                </w:tc>
                <w:tc>
                  <w:tcPr>
                    <w:tcW w:w="982" w:type="pct"/>
                  </w:tcPr>
                  <w:p>
                    <w:pPr>
                      <w:jc w:val="right"/>
                      <w:rPr>
                        <w:sz w:val="16"/>
                        <w:szCs w:val="16"/>
                      </w:rPr>
                    </w:pPr>
                    <w:r>
                      <w:rPr>
                        <w:sz w:val="16"/>
                        <w:szCs w:val="16"/>
                      </w:rPr>
                      <w:t>0.25</w:t>
                    </w:r>
                  </w:p>
                </w:tc>
                <w:tc>
                  <w:tcPr>
                    <w:tcW w:w="933" w:type="pct"/>
                  </w:tcPr>
                  <w:p>
                    <w:pPr>
                      <w:jc w:val="right"/>
                      <w:rPr>
                        <w:sz w:val="16"/>
                        <w:szCs w:val="16"/>
                      </w:rPr>
                    </w:pPr>
                    <w:r>
                      <w:rPr>
                        <w:sz w:val="16"/>
                        <w:szCs w:val="16"/>
                      </w:rPr>
                      <w:t>--</w:t>
                    </w:r>
                  </w:p>
                </w:tc>
              </w:tr>
            </w:sdtContent>
          </w:sdt>
          <w:sdt>
            <w:sdtPr>
              <w:rPr>
                <w:rFonts w:hint="eastAsia"/>
                <w:sz w:val="16"/>
                <w:szCs w:val="16"/>
              </w:rPr>
              <w:alias w:val="其他应收款欠款户"/>
              <w:tag w:val="_GBC_3912a12d540a40c8946b4121501bca53"/>
              <w:id w:val="-1548060237"/>
              <w:lock w:val="sdtLocked"/>
            </w:sdtPr>
            <w:sdtEndPr>
              <w:rPr>
                <w:rFonts w:hint="eastAsia"/>
                <w:sz w:val="16"/>
                <w:szCs w:val="16"/>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855" w:type="pct"/>
                  </w:tcPr>
                  <w:p>
                    <w:pPr>
                      <w:ind w:right="105"/>
                      <w:rPr>
                        <w:sz w:val="16"/>
                        <w:szCs w:val="16"/>
                      </w:rPr>
                    </w:pPr>
                    <w:r>
                      <w:rPr>
                        <w:sz w:val="16"/>
                        <w:szCs w:val="16"/>
                      </w:rPr>
                      <w:t>上海驰卓汽车服务有限公司</w:t>
                    </w:r>
                  </w:p>
                </w:tc>
                <w:tc>
                  <w:tcPr>
                    <w:tcW w:w="752" w:type="pct"/>
                  </w:tcPr>
                  <w:p>
                    <w:pPr>
                      <w:ind w:right="73"/>
                      <w:rPr>
                        <w:sz w:val="16"/>
                        <w:szCs w:val="16"/>
                      </w:rPr>
                    </w:pPr>
                    <w:r>
                      <w:rPr>
                        <w:sz w:val="16"/>
                        <w:szCs w:val="16"/>
                      </w:rPr>
                      <w:t>保证金</w:t>
                    </w:r>
                  </w:p>
                </w:tc>
                <w:tc>
                  <w:tcPr>
                    <w:tcW w:w="740" w:type="pct"/>
                  </w:tcPr>
                  <w:p>
                    <w:pPr>
                      <w:ind w:right="73"/>
                      <w:jc w:val="right"/>
                      <w:rPr>
                        <w:sz w:val="16"/>
                        <w:szCs w:val="16"/>
                      </w:rPr>
                    </w:pPr>
                    <w:r>
                      <w:rPr>
                        <w:sz w:val="16"/>
                        <w:szCs w:val="16"/>
                      </w:rPr>
                      <w:t>45,371.21</w:t>
                    </w:r>
                  </w:p>
                </w:tc>
                <w:tc>
                  <w:tcPr>
                    <w:tcW w:w="738" w:type="pct"/>
                  </w:tcPr>
                  <w:p>
                    <w:pPr>
                      <w:ind w:right="73"/>
                      <w:rPr>
                        <w:sz w:val="16"/>
                        <w:szCs w:val="16"/>
                      </w:rPr>
                    </w:pPr>
                    <w:r>
                      <w:rPr>
                        <w:sz w:val="16"/>
                        <w:szCs w:val="16"/>
                      </w:rPr>
                      <w:t>1年以内</w:t>
                    </w:r>
                  </w:p>
                </w:tc>
                <w:tc>
                  <w:tcPr>
                    <w:tcW w:w="982" w:type="pct"/>
                  </w:tcPr>
                  <w:p>
                    <w:pPr>
                      <w:jc w:val="right"/>
                      <w:rPr>
                        <w:sz w:val="16"/>
                        <w:szCs w:val="16"/>
                      </w:rPr>
                    </w:pPr>
                    <w:r>
                      <w:rPr>
                        <w:sz w:val="16"/>
                        <w:szCs w:val="16"/>
                      </w:rPr>
                      <w:t>0.21</w:t>
                    </w:r>
                  </w:p>
                </w:tc>
                <w:tc>
                  <w:tcPr>
                    <w:tcW w:w="933" w:type="pct"/>
                  </w:tcPr>
                  <w:p>
                    <w:pPr>
                      <w:jc w:val="right"/>
                      <w:rPr>
                        <w:sz w:val="16"/>
                        <w:szCs w:val="16"/>
                      </w:rPr>
                    </w:pPr>
                    <w:r>
                      <w:rPr>
                        <w:sz w:val="16"/>
                        <w:szCs w:val="16"/>
                      </w:rPr>
                      <w:t>--</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6"/>
                  <w:szCs w:val="16"/>
                </w:rPr>
                <w:tag w:val="_PLD_4b94fa57164840a68859b565c2ebabb5"/>
                <w:id w:val="643172523"/>
                <w:lock w:val="sdtLocked"/>
              </w:sdtPr>
              <w:sdtEndPr>
                <w:rPr>
                  <w:sz w:val="16"/>
                  <w:szCs w:val="16"/>
                </w:rPr>
              </w:sdtEndPr>
              <w:sdtContent>
                <w:tc>
                  <w:tcPr>
                    <w:tcW w:w="855" w:type="pct"/>
                  </w:tcPr>
                  <w:p>
                    <w:pPr>
                      <w:ind w:right="105"/>
                      <w:jc w:val="center"/>
                      <w:rPr>
                        <w:sz w:val="16"/>
                        <w:szCs w:val="16"/>
                      </w:rPr>
                    </w:pPr>
                    <w:r>
                      <w:rPr>
                        <w:rFonts w:hint="eastAsia"/>
                        <w:sz w:val="16"/>
                        <w:szCs w:val="16"/>
                      </w:rPr>
                      <w:t>合计</w:t>
                    </w:r>
                  </w:p>
                </w:tc>
              </w:sdtContent>
            </w:sdt>
            <w:tc>
              <w:tcPr>
                <w:tcW w:w="752" w:type="pct"/>
              </w:tcPr>
              <w:p>
                <w:pPr>
                  <w:ind w:right="73"/>
                  <w:jc w:val="center"/>
                  <w:rPr>
                    <w:sz w:val="16"/>
                    <w:szCs w:val="16"/>
                  </w:rPr>
                </w:pPr>
                <w:r>
                  <w:rPr>
                    <w:sz w:val="16"/>
                    <w:szCs w:val="16"/>
                  </w:rPr>
                  <w:t>/</w:t>
                </w:r>
              </w:p>
            </w:tc>
            <w:tc>
              <w:tcPr>
                <w:tcW w:w="740" w:type="pct"/>
                <w:vAlign w:val="center"/>
              </w:tcPr>
              <w:p>
                <w:pPr>
                  <w:ind w:right="73"/>
                  <w:jc w:val="right"/>
                  <w:rPr>
                    <w:sz w:val="16"/>
                    <w:szCs w:val="16"/>
                  </w:rPr>
                </w:pPr>
                <w:r>
                  <w:rPr>
                    <w:sz w:val="16"/>
                    <w:szCs w:val="16"/>
                  </w:rPr>
                  <w:t>16,192,579.28</w:t>
                </w:r>
              </w:p>
            </w:tc>
            <w:tc>
              <w:tcPr>
                <w:tcW w:w="738" w:type="pct"/>
                <w:vAlign w:val="center"/>
              </w:tcPr>
              <w:p>
                <w:pPr>
                  <w:ind w:right="73"/>
                  <w:jc w:val="center"/>
                  <w:rPr>
                    <w:sz w:val="16"/>
                    <w:szCs w:val="16"/>
                  </w:rPr>
                </w:pPr>
              </w:p>
            </w:tc>
            <w:tc>
              <w:tcPr>
                <w:tcW w:w="982" w:type="pct"/>
                <w:vAlign w:val="center"/>
              </w:tcPr>
              <w:p>
                <w:pPr>
                  <w:jc w:val="right"/>
                  <w:rPr>
                    <w:sz w:val="16"/>
                    <w:szCs w:val="16"/>
                  </w:rPr>
                </w:pPr>
                <w:r>
                  <w:rPr>
                    <w:sz w:val="16"/>
                    <w:szCs w:val="16"/>
                  </w:rPr>
                  <w:t>75.70</w:t>
                </w:r>
              </w:p>
            </w:tc>
            <w:tc>
              <w:tcPr>
                <w:tcW w:w="933" w:type="pct"/>
                <w:vAlign w:val="center"/>
              </w:tcPr>
              <w:p>
                <w:pPr>
                  <w:jc w:val="right"/>
                  <w:rPr>
                    <w:sz w:val="16"/>
                    <w:szCs w:val="16"/>
                  </w:rPr>
                </w:pPr>
                <w:r>
                  <w:rPr>
                    <w:sz w:val="16"/>
                    <w:szCs w:val="16"/>
                  </w:rPr>
                  <w:t>15,812,140.02</w:t>
                </w:r>
              </w:p>
            </w:tc>
          </w:tr>
        </w:tbl>
        <w:p>
          <w:pPr>
            <w:pStyle w:val="114"/>
          </w:pPr>
        </w:p>
      </w:sdtContent>
    </w:sdt>
    <w:sdt>
      <w:sdtPr>
        <w:rPr>
          <w:rFonts w:hint="eastAsia" w:ascii="宋体" w:hAnsi="宋体" w:cs="宋体"/>
          <w:b w:val="0"/>
          <w:bCs w:val="0"/>
          <w:kern w:val="0"/>
          <w:szCs w:val="24"/>
        </w:rPr>
        <w:alias w:val="模块:按应收金额确认的政府补助"/>
        <w:tag w:val="_GBC_52bd0b171cc64f85aa1100213c81523c"/>
        <w:id w:val="113938257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rPr>
          </w:pPr>
          <w:r>
            <w:rPr>
              <w:rFonts w:hint="eastAsia" w:ascii="宋体" w:hAnsi="宋体"/>
            </w:rPr>
            <w:t>涉及政府补助的应收款项</w:t>
          </w:r>
        </w:p>
        <w:sdt>
          <w:sdtPr>
            <w:alias w:val="是否适用：母公司涉及政府补助的应收款项[双击切换]"/>
            <w:tag w:val="_GBC_42f77b49fc014baab239badfde6e4fcf"/>
            <w:id w:val="168995188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pPr>
                <w:pStyle w:val="114"/>
              </w:pPr>
            </w:p>
          </w:sdtContent>
        </w:sdt>
      </w:sdtContent>
    </w:sdt>
    <w:sdt>
      <w:sdtPr>
        <w:rPr>
          <w:rFonts w:ascii="宋体" w:hAnsi="宋体" w:cs="宋体"/>
          <w:b w:val="0"/>
          <w:bCs w:val="0"/>
          <w:kern w:val="0"/>
          <w:szCs w:val="24"/>
        </w:rPr>
        <w:alias w:val="模块:因金融资产转移而终止确认的其他应收款"/>
        <w:tag w:val="_GBC_338c72ace78c4ba79d60f19b8dbabe9a"/>
        <w:id w:val="-156231343"/>
        <w:lock w:val="sdtLocked"/>
        <w:placeholder>
          <w:docPart w:val="GBC22222222222222222222222222222"/>
        </w:placeholder>
      </w:sdtPr>
      <w:sdtEndPr>
        <w:rPr>
          <w:rFonts w:ascii="宋体" w:hAnsi="宋体" w:cs="宋体"/>
          <w:b w:val="0"/>
          <w:bCs w:val="0"/>
          <w:kern w:val="0"/>
          <w:szCs w:val="21"/>
        </w:rPr>
      </w:sdtEndPr>
      <w:sdtContent>
        <w:p>
          <w:pPr>
            <w:pStyle w:val="5"/>
            <w:numPr>
              <w:ilvl w:val="3"/>
              <w:numId w:val="104"/>
            </w:numPr>
            <w:ind w:left="426" w:hanging="426"/>
            <w:rPr>
              <w:rFonts w:ascii="宋体" w:hAnsi="宋体"/>
              <w:kern w:val="0"/>
            </w:rPr>
          </w:pPr>
          <w:r>
            <w:rPr>
              <w:rFonts w:hint="eastAsia" w:ascii="宋体" w:hAnsi="宋体"/>
              <w:kern w:val="0"/>
            </w:rPr>
            <w:t>因金融资产</w:t>
          </w:r>
          <w:r>
            <w:rPr>
              <w:rFonts w:hint="eastAsia" w:ascii="宋体" w:hAnsi="宋体"/>
            </w:rPr>
            <w:t>转移</w:t>
          </w:r>
          <w:r>
            <w:rPr>
              <w:rFonts w:hint="eastAsia" w:ascii="宋体" w:hAnsi="宋体"/>
              <w:kern w:val="0"/>
            </w:rPr>
            <w:t>而终止确认的其他应收款</w:t>
          </w:r>
        </w:p>
        <w:sdt>
          <w:sdtPr>
            <w:alias w:val="是否适用：母公司因金融资产转移而终止确认的其他应收款[双击切换]"/>
            <w:tag w:val="_GBC_1512780d2c254c8787e470194d450391"/>
            <w:id w:val="1247379664"/>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ascii="宋体" w:hAnsi="宋体" w:cs="宋体"/>
          <w:b w:val="0"/>
          <w:bCs w:val="0"/>
          <w:kern w:val="0"/>
          <w:szCs w:val="24"/>
        </w:rPr>
        <w:alias w:val="模块:转移其他应收款且继续涉入的，分项列示继续涉入形成的资产、负债..."/>
        <w:tag w:val="_GBC_86d729c7494a406ba4f51afb2c881955"/>
        <w:id w:val="-146449989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3"/>
              <w:numId w:val="104"/>
            </w:numPr>
            <w:ind w:left="426" w:hanging="426"/>
            <w:rPr>
              <w:rFonts w:ascii="宋体" w:hAnsi="宋体"/>
              <w:kern w:val="0"/>
            </w:rPr>
          </w:pPr>
          <w:r>
            <w:rPr>
              <w:rFonts w:hint="eastAsia" w:ascii="宋体" w:hAnsi="宋体"/>
              <w:kern w:val="0"/>
            </w:rPr>
            <w:t>转移其他应收款且继续涉入形成的资产、负债金额</w:t>
          </w:r>
        </w:p>
        <w:sdt>
          <w:sdtPr>
            <w:alias w:val="是否适用：母公司转移其他应收款且继续涉入形成的资产、负债金额[双击切换]"/>
            <w:tag w:val="_GBC_bab484b2a177457b977e28c0385a5b58"/>
            <w:id w:val="-18023771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rFonts w:hint="eastAsia"/>
          <w:b/>
          <w:bCs/>
        </w:rPr>
        <w:alias w:val="模块:其他应收款其他说明"/>
        <w:tag w:val="_GBC_4b6cd384bee54ff79269fa4457c70d49"/>
        <w:id w:val="536095778"/>
        <w:lock w:val="sdtLocked"/>
        <w:placeholder>
          <w:docPart w:val="GBC22222222222222222222222222222"/>
        </w:placeholder>
      </w:sdtPr>
      <w:sdtEndPr>
        <w:rPr>
          <w:rFonts w:hint="eastAsia"/>
          <w:b w:val="0"/>
          <w:bCs w:val="0"/>
        </w:rPr>
      </w:sdtEndPr>
      <w:sdtContent>
        <w:p>
          <w:pPr>
            <w:pStyle w:val="114"/>
          </w:pPr>
          <w:r>
            <w:rPr>
              <w:rFonts w:hint="eastAsia"/>
            </w:rPr>
            <w:t>其他</w:t>
          </w:r>
          <w:r>
            <w:t>说明：</w:t>
          </w:r>
        </w:p>
        <w:sdt>
          <w:sdtPr>
            <w:alias w:val="是否适用：母公司其他应收款的其他说明[双击切换]"/>
            <w:tag w:val="_GBC_2e0f632cbc7d4916b89bf8824f4b71f0"/>
            <w:id w:val="-1071811473"/>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p>
          <w:pPr>
            <w:pStyle w:val="114"/>
          </w:pPr>
        </w:p>
      </w:sdtContent>
    </w:sdt>
    <w:p>
      <w:pPr>
        <w:pStyle w:val="4"/>
        <w:numPr>
          <w:ilvl w:val="0"/>
          <w:numId w:val="102"/>
        </w:numPr>
        <w:rPr>
          <w:rFonts w:ascii="宋体" w:hAnsi="宋体"/>
          <w:szCs w:val="21"/>
        </w:rPr>
      </w:pPr>
      <w:r>
        <w:rPr>
          <w:rFonts w:hint="eastAsia" w:ascii="宋体" w:hAnsi="宋体"/>
          <w:szCs w:val="21"/>
        </w:rPr>
        <w:t>长期股权投资</w:t>
      </w:r>
    </w:p>
    <w:sdt>
      <w:sdtPr>
        <w:alias w:val="是否适用：母公司长期股权投资[双击切换]"/>
        <w:tag w:val="_GBC_61071b9a58624e83bfc4232808751b95"/>
        <w:id w:val="1893309993"/>
        <w:lock w:val="sdtConten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长期股权投资按成本法核算"/>
        <w:tag w:val="_GBC_e5163872166a4141a666e7eec5d9956c"/>
        <w:id w:val="-1498879879"/>
        <w:lock w:val="sdtLocked"/>
        <w:placeholder>
          <w:docPart w:val="GBC22222222222222222222222222222"/>
        </w:placeholder>
      </w:sdtPr>
      <w:sdtEndPr>
        <w:rPr>
          <w:rFonts w:hint="eastAsia"/>
          <w:b w:val="0"/>
          <w:bCs w:val="0"/>
        </w:rPr>
      </w:sdtEndPr>
      <w:sdtContent>
        <w:p>
          <w:pPr>
            <w:jc w:val="right"/>
          </w:pPr>
          <w:r>
            <w:rPr>
              <w:rFonts w:hint="eastAsia"/>
            </w:rPr>
            <w:t>单位：</w:t>
          </w:r>
          <w:sdt>
            <w:sdtPr>
              <w:rPr>
                <w:rFonts w:hint="eastAsia"/>
              </w:rPr>
              <w:alias w:val="单位：母公司财务附注：长期股权投资"/>
              <w:tag w:val="_GBC_ee2c3454a2494dfca9c0a07bba82ed3d"/>
              <w:id w:val="-5016640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5956019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1" w:type="dxa"/>
              <w:bottom w:w="0" w:type="dxa"/>
              <w:right w:w="31" w:type="dxa"/>
            </w:tblCellMar>
          </w:tblPr>
          <w:tblGrid>
            <w:gridCol w:w="1626"/>
            <w:gridCol w:w="1592"/>
            <w:gridCol w:w="444"/>
            <w:gridCol w:w="1592"/>
            <w:gridCol w:w="1592"/>
            <w:gridCol w:w="457"/>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8"/>
                  <w:szCs w:val="18"/>
                </w:rPr>
                <w:tag w:val="_PLD_69c4a2f49545484e8b3a149f64c9d21f"/>
                <w:id w:val="1575009648"/>
                <w:lock w:val="sdtLocked"/>
              </w:sdtPr>
              <w:sdtEndPr>
                <w:rPr>
                  <w:sz w:val="18"/>
                  <w:szCs w:val="18"/>
                </w:rPr>
              </w:sdtEndPr>
              <w:sdtContent>
                <w:tc>
                  <w:tcPr>
                    <w:tcW w:w="1279" w:type="pct"/>
                    <w:vMerge w:val="restart"/>
                    <w:shd w:val="clear" w:color="auto" w:fill="auto"/>
                    <w:vAlign w:val="center"/>
                  </w:tcPr>
                  <w:p>
                    <w:pPr>
                      <w:jc w:val="center"/>
                      <w:rPr>
                        <w:sz w:val="18"/>
                        <w:szCs w:val="18"/>
                      </w:rPr>
                    </w:pPr>
                    <w:r>
                      <w:rPr>
                        <w:rFonts w:hint="eastAsia"/>
                        <w:sz w:val="18"/>
                        <w:szCs w:val="18"/>
                      </w:rPr>
                      <w:t>项目</w:t>
                    </w:r>
                  </w:p>
                </w:tc>
              </w:sdtContent>
            </w:sdt>
            <w:sdt>
              <w:sdtPr>
                <w:rPr>
                  <w:sz w:val="18"/>
                  <w:szCs w:val="18"/>
                </w:rPr>
                <w:tag w:val="_PLD_f7d0566caa554c4c823029a05c5319eb"/>
                <w:id w:val="-711884751"/>
                <w:lock w:val="sdtLocked"/>
              </w:sdtPr>
              <w:sdtEndPr>
                <w:rPr>
                  <w:sz w:val="18"/>
                  <w:szCs w:val="18"/>
                </w:rPr>
              </w:sdtEndPr>
              <w:sdtContent>
                <w:tc>
                  <w:tcPr>
                    <w:tcW w:w="1856" w:type="pct"/>
                    <w:gridSpan w:val="3"/>
                    <w:shd w:val="clear" w:color="auto" w:fill="auto"/>
                    <w:vAlign w:val="center"/>
                  </w:tcPr>
                  <w:p>
                    <w:pPr>
                      <w:jc w:val="center"/>
                      <w:rPr>
                        <w:sz w:val="18"/>
                        <w:szCs w:val="18"/>
                      </w:rPr>
                    </w:pPr>
                    <w:r>
                      <w:rPr>
                        <w:rFonts w:hint="eastAsia"/>
                        <w:sz w:val="18"/>
                        <w:szCs w:val="18"/>
                      </w:rPr>
                      <w:t>期末余额</w:t>
                    </w:r>
                  </w:p>
                </w:tc>
              </w:sdtContent>
            </w:sdt>
            <w:sdt>
              <w:sdtPr>
                <w:rPr>
                  <w:sz w:val="18"/>
                  <w:szCs w:val="18"/>
                </w:rPr>
                <w:tag w:val="_PLD_9d2cfae2492a49c2b441d1371a5e4673"/>
                <w:id w:val="682710875"/>
                <w:lock w:val="sdtLocked"/>
              </w:sdtPr>
              <w:sdtEndPr>
                <w:rPr>
                  <w:sz w:val="18"/>
                  <w:szCs w:val="18"/>
                </w:rPr>
              </w:sdtEndPr>
              <w:sdtContent>
                <w:tc>
                  <w:tcPr>
                    <w:tcW w:w="1865" w:type="pct"/>
                    <w:gridSpan w:val="3"/>
                    <w:shd w:val="clear" w:color="auto" w:fill="auto"/>
                    <w:vAlign w:val="center"/>
                  </w:tcPr>
                  <w:p>
                    <w:pPr>
                      <w:jc w:val="center"/>
                      <w:rPr>
                        <w:sz w:val="18"/>
                        <w:szCs w:val="18"/>
                      </w:rPr>
                    </w:pPr>
                    <w:r>
                      <w:rPr>
                        <w:rFonts w:hint="eastAsia"/>
                        <w:sz w:val="18"/>
                        <w:szCs w:val="18"/>
                      </w:rPr>
                      <w:t>期初余额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279" w:type="pct"/>
                <w:vMerge w:val="continue"/>
                <w:shd w:val="clear" w:color="auto" w:fill="auto"/>
                <w:vAlign w:val="center"/>
              </w:tcPr>
              <w:p>
                <w:pPr>
                  <w:jc w:val="center"/>
                  <w:rPr>
                    <w:sz w:val="18"/>
                    <w:szCs w:val="18"/>
                  </w:rPr>
                </w:pPr>
              </w:p>
            </w:tc>
            <w:sdt>
              <w:sdtPr>
                <w:rPr>
                  <w:sz w:val="18"/>
                  <w:szCs w:val="18"/>
                </w:rPr>
                <w:tag w:val="_PLD_9f664b17996c45f08a57544a9ec7e340"/>
                <w:id w:val="-2026234898"/>
                <w:lock w:val="sdtLocked"/>
              </w:sdtPr>
              <w:sdtEndPr>
                <w:rPr>
                  <w:sz w:val="18"/>
                  <w:szCs w:val="18"/>
                </w:rPr>
              </w:sdtEndPr>
              <w:sdtContent>
                <w:tc>
                  <w:tcPr>
                    <w:tcW w:w="628" w:type="pct"/>
                    <w:shd w:val="clear" w:color="auto" w:fill="auto"/>
                    <w:vAlign w:val="center"/>
                  </w:tcPr>
                  <w:p>
                    <w:pPr>
                      <w:jc w:val="center"/>
                      <w:rPr>
                        <w:sz w:val="18"/>
                        <w:szCs w:val="18"/>
                      </w:rPr>
                    </w:pPr>
                    <w:r>
                      <w:rPr>
                        <w:rFonts w:hint="eastAsia"/>
                        <w:sz w:val="18"/>
                        <w:szCs w:val="18"/>
                      </w:rPr>
                      <w:t>账面余额</w:t>
                    </w:r>
                  </w:p>
                </w:tc>
              </w:sdtContent>
            </w:sdt>
            <w:sdt>
              <w:sdtPr>
                <w:rPr>
                  <w:sz w:val="18"/>
                  <w:szCs w:val="18"/>
                </w:rPr>
                <w:tag w:val="_PLD_5c150a7367994fc29e7f8b50d7ff2eab"/>
                <w:id w:val="-1179730725"/>
                <w:lock w:val="sdtLocked"/>
              </w:sdtPr>
              <w:sdtEndPr>
                <w:rPr>
                  <w:sz w:val="18"/>
                  <w:szCs w:val="18"/>
                </w:rPr>
              </w:sdtEndPr>
              <w:sdtContent>
                <w:tc>
                  <w:tcPr>
                    <w:tcW w:w="614" w:type="pct"/>
                    <w:shd w:val="clear" w:color="auto" w:fill="auto"/>
                    <w:vAlign w:val="center"/>
                  </w:tcPr>
                  <w:p>
                    <w:pPr>
                      <w:jc w:val="center"/>
                      <w:rPr>
                        <w:sz w:val="18"/>
                        <w:szCs w:val="18"/>
                      </w:rPr>
                    </w:pPr>
                    <w:r>
                      <w:rPr>
                        <w:rFonts w:hint="eastAsia"/>
                        <w:sz w:val="18"/>
                        <w:szCs w:val="18"/>
                      </w:rPr>
                      <w:t>减值准备</w:t>
                    </w:r>
                  </w:p>
                </w:tc>
              </w:sdtContent>
            </w:sdt>
            <w:sdt>
              <w:sdtPr>
                <w:rPr>
                  <w:sz w:val="18"/>
                  <w:szCs w:val="18"/>
                </w:rPr>
                <w:tag w:val="_PLD_3db48da0eacd49568929884577dae51b"/>
                <w:id w:val="2101206498"/>
                <w:lock w:val="sdtLocked"/>
              </w:sdtPr>
              <w:sdtEndPr>
                <w:rPr>
                  <w:sz w:val="18"/>
                  <w:szCs w:val="18"/>
                </w:rPr>
              </w:sdtEndPr>
              <w:sdtContent>
                <w:tc>
                  <w:tcPr>
                    <w:tcW w:w="614" w:type="pct"/>
                    <w:shd w:val="clear" w:color="auto" w:fill="auto"/>
                    <w:vAlign w:val="center"/>
                  </w:tcPr>
                  <w:p>
                    <w:pPr>
                      <w:jc w:val="center"/>
                      <w:rPr>
                        <w:sz w:val="18"/>
                        <w:szCs w:val="18"/>
                      </w:rPr>
                    </w:pPr>
                    <w:r>
                      <w:rPr>
                        <w:rFonts w:hint="eastAsia"/>
                        <w:sz w:val="18"/>
                        <w:szCs w:val="18"/>
                      </w:rPr>
                      <w:t>账面价值</w:t>
                    </w:r>
                  </w:p>
                </w:tc>
              </w:sdtContent>
            </w:sdt>
            <w:sdt>
              <w:sdtPr>
                <w:rPr>
                  <w:sz w:val="18"/>
                  <w:szCs w:val="18"/>
                </w:rPr>
                <w:tag w:val="_PLD_00d8a1d3b6754b52929b2c46a2e716c9"/>
                <w:id w:val="-2065942916"/>
                <w:lock w:val="sdtLocked"/>
              </w:sdtPr>
              <w:sdtEndPr>
                <w:rPr>
                  <w:sz w:val="18"/>
                  <w:szCs w:val="18"/>
                </w:rPr>
              </w:sdtEndPr>
              <w:sdtContent>
                <w:tc>
                  <w:tcPr>
                    <w:tcW w:w="629" w:type="pct"/>
                    <w:shd w:val="clear" w:color="auto" w:fill="auto"/>
                    <w:vAlign w:val="center"/>
                  </w:tcPr>
                  <w:p>
                    <w:pPr>
                      <w:jc w:val="center"/>
                      <w:rPr>
                        <w:sz w:val="18"/>
                        <w:szCs w:val="18"/>
                      </w:rPr>
                    </w:pPr>
                    <w:r>
                      <w:rPr>
                        <w:rFonts w:hint="eastAsia"/>
                        <w:sz w:val="18"/>
                        <w:szCs w:val="18"/>
                      </w:rPr>
                      <w:t>账面余额</w:t>
                    </w:r>
                  </w:p>
                </w:tc>
              </w:sdtContent>
            </w:sdt>
            <w:sdt>
              <w:sdtPr>
                <w:rPr>
                  <w:sz w:val="18"/>
                  <w:szCs w:val="18"/>
                </w:rPr>
                <w:tag w:val="_PLD_0f2c77fc41ea456bab34653dee178805"/>
                <w:id w:val="-1886483238"/>
                <w:lock w:val="sdtLocked"/>
              </w:sdtPr>
              <w:sdtEndPr>
                <w:rPr>
                  <w:sz w:val="18"/>
                  <w:szCs w:val="18"/>
                </w:rPr>
              </w:sdtEndPr>
              <w:sdtContent>
                <w:tc>
                  <w:tcPr>
                    <w:tcW w:w="621" w:type="pct"/>
                    <w:shd w:val="clear" w:color="auto" w:fill="auto"/>
                    <w:vAlign w:val="center"/>
                  </w:tcPr>
                  <w:p>
                    <w:pPr>
                      <w:jc w:val="center"/>
                      <w:rPr>
                        <w:sz w:val="18"/>
                        <w:szCs w:val="18"/>
                      </w:rPr>
                    </w:pPr>
                    <w:r>
                      <w:rPr>
                        <w:rFonts w:hint="eastAsia"/>
                        <w:sz w:val="18"/>
                        <w:szCs w:val="18"/>
                      </w:rPr>
                      <w:t>减值准备</w:t>
                    </w:r>
                  </w:p>
                </w:tc>
              </w:sdtContent>
            </w:sdt>
            <w:sdt>
              <w:sdtPr>
                <w:rPr>
                  <w:sz w:val="18"/>
                  <w:szCs w:val="18"/>
                </w:rPr>
                <w:tag w:val="_PLD_9ae07ed9769c419fa280d4c5ad3f03d7"/>
                <w:id w:val="-332302456"/>
                <w:lock w:val="sdtLocked"/>
              </w:sdtPr>
              <w:sdtEndPr>
                <w:rPr>
                  <w:sz w:val="18"/>
                  <w:szCs w:val="18"/>
                </w:rPr>
              </w:sdtEndPr>
              <w:sdtContent>
                <w:tc>
                  <w:tcPr>
                    <w:tcW w:w="615" w:type="pct"/>
                    <w:shd w:val="clear" w:color="auto" w:fill="auto"/>
                    <w:vAlign w:val="center"/>
                  </w:tcPr>
                  <w:p>
                    <w:pPr>
                      <w:jc w:val="center"/>
                      <w:rPr>
                        <w:sz w:val="18"/>
                        <w:szCs w:val="18"/>
                      </w:rPr>
                    </w:pPr>
                    <w:r>
                      <w:rPr>
                        <w:rFonts w:hint="eastAsia"/>
                        <w:sz w:val="18"/>
                        <w:szCs w:val="18"/>
                      </w:rPr>
                      <w:t>账面价值</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8"/>
                  <w:szCs w:val="18"/>
                </w:rPr>
                <w:tag w:val="_PLD_b2ce03f2519c40d0a152124161e4337f"/>
                <w:id w:val="104937137"/>
                <w:lock w:val="sdtLocked"/>
              </w:sdtPr>
              <w:sdtEndPr>
                <w:rPr>
                  <w:sz w:val="18"/>
                  <w:szCs w:val="18"/>
                </w:rPr>
              </w:sdtEndPr>
              <w:sdtContent>
                <w:tc>
                  <w:tcPr>
                    <w:tcW w:w="1279" w:type="pct"/>
                    <w:shd w:val="clear" w:color="auto" w:fill="auto"/>
                  </w:tcPr>
                  <w:p>
                    <w:pPr>
                      <w:rPr>
                        <w:sz w:val="18"/>
                        <w:szCs w:val="18"/>
                      </w:rPr>
                    </w:pPr>
                    <w:r>
                      <w:rPr>
                        <w:rFonts w:hint="eastAsia"/>
                        <w:sz w:val="18"/>
                        <w:szCs w:val="18"/>
                      </w:rPr>
                      <w:t>对子公司投资</w:t>
                    </w:r>
                  </w:p>
                </w:tc>
              </w:sdtContent>
            </w:sdt>
            <w:tc>
              <w:tcPr>
                <w:tcW w:w="628" w:type="pct"/>
                <w:shd w:val="clear" w:color="auto" w:fill="auto"/>
                <w:vAlign w:val="center"/>
              </w:tcPr>
              <w:p>
                <w:pPr>
                  <w:jc w:val="right"/>
                  <w:rPr>
                    <w:sz w:val="18"/>
                    <w:szCs w:val="18"/>
                  </w:rPr>
                </w:pPr>
                <w:r>
                  <w:rPr>
                    <w:sz w:val="18"/>
                    <w:szCs w:val="18"/>
                  </w:rPr>
                  <w:t>12,820,598,670.05</w:t>
                </w:r>
              </w:p>
            </w:tc>
            <w:tc>
              <w:tcPr>
                <w:tcW w:w="614" w:type="pct"/>
                <w:shd w:val="clear" w:color="auto" w:fill="auto"/>
                <w:vAlign w:val="center"/>
              </w:tcPr>
              <w:p>
                <w:pPr>
                  <w:jc w:val="right"/>
                  <w:rPr>
                    <w:sz w:val="18"/>
                    <w:szCs w:val="18"/>
                  </w:rPr>
                </w:pPr>
                <w:r>
                  <w:rPr>
                    <w:sz w:val="18"/>
                    <w:szCs w:val="18"/>
                  </w:rPr>
                  <w:t>-</w:t>
                </w:r>
              </w:p>
            </w:tc>
            <w:tc>
              <w:tcPr>
                <w:tcW w:w="614" w:type="pct"/>
                <w:shd w:val="clear" w:color="auto" w:fill="auto"/>
                <w:vAlign w:val="center"/>
              </w:tcPr>
              <w:p>
                <w:pPr>
                  <w:jc w:val="right"/>
                  <w:rPr>
                    <w:sz w:val="18"/>
                    <w:szCs w:val="18"/>
                  </w:rPr>
                </w:pPr>
                <w:r>
                  <w:rPr>
                    <w:sz w:val="18"/>
                    <w:szCs w:val="18"/>
                  </w:rPr>
                  <w:t>12,820,598,670.05</w:t>
                </w:r>
              </w:p>
            </w:tc>
            <w:tc>
              <w:tcPr>
                <w:tcW w:w="629" w:type="pct"/>
                <w:shd w:val="clear" w:color="auto" w:fill="auto"/>
                <w:vAlign w:val="center"/>
              </w:tcPr>
              <w:p>
                <w:pPr>
                  <w:jc w:val="right"/>
                  <w:rPr>
                    <w:sz w:val="18"/>
                    <w:szCs w:val="18"/>
                  </w:rPr>
                </w:pPr>
                <w:r>
                  <w:rPr>
                    <w:sz w:val="18"/>
                    <w:szCs w:val="18"/>
                  </w:rPr>
                  <w:t>12,697,898,670.05</w:t>
                </w:r>
              </w:p>
            </w:tc>
            <w:tc>
              <w:tcPr>
                <w:tcW w:w="621" w:type="pct"/>
                <w:shd w:val="clear" w:color="auto" w:fill="auto"/>
                <w:vAlign w:val="center"/>
              </w:tcPr>
              <w:p>
                <w:pPr>
                  <w:jc w:val="right"/>
                  <w:rPr>
                    <w:sz w:val="18"/>
                    <w:szCs w:val="18"/>
                  </w:rPr>
                </w:pPr>
                <w:r>
                  <w:rPr>
                    <w:sz w:val="18"/>
                    <w:szCs w:val="18"/>
                  </w:rPr>
                  <w:t>-</w:t>
                </w:r>
              </w:p>
            </w:tc>
            <w:tc>
              <w:tcPr>
                <w:tcW w:w="615" w:type="pct"/>
                <w:shd w:val="clear" w:color="auto" w:fill="auto"/>
                <w:vAlign w:val="center"/>
              </w:tcPr>
              <w:p>
                <w:pPr>
                  <w:jc w:val="right"/>
                  <w:rPr>
                    <w:sz w:val="18"/>
                    <w:szCs w:val="18"/>
                  </w:rPr>
                </w:pPr>
                <w:r>
                  <w:rPr>
                    <w:sz w:val="18"/>
                    <w:szCs w:val="18"/>
                  </w:rPr>
                  <w:t>12,697,898,670.05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8"/>
                  <w:szCs w:val="18"/>
                </w:rPr>
                <w:tag w:val="_PLD_da68a71aef6a46449e56205bf88b68ae"/>
                <w:id w:val="-2120592921"/>
                <w:lock w:val="sdtLocked"/>
              </w:sdtPr>
              <w:sdtEndPr>
                <w:rPr>
                  <w:sz w:val="18"/>
                  <w:szCs w:val="18"/>
                </w:rPr>
              </w:sdtEndPr>
              <w:sdtContent>
                <w:tc>
                  <w:tcPr>
                    <w:tcW w:w="1279" w:type="pct"/>
                    <w:shd w:val="clear" w:color="auto" w:fill="auto"/>
                  </w:tcPr>
                  <w:p>
                    <w:pPr>
                      <w:rPr>
                        <w:sz w:val="18"/>
                        <w:szCs w:val="18"/>
                      </w:rPr>
                    </w:pPr>
                    <w:r>
                      <w:rPr>
                        <w:rFonts w:hint="eastAsia"/>
                        <w:sz w:val="18"/>
                        <w:szCs w:val="18"/>
                      </w:rPr>
                      <w:t>对联营、合营企业投资</w:t>
                    </w:r>
                  </w:p>
                </w:tc>
              </w:sdtContent>
            </w:sdt>
            <w:tc>
              <w:tcPr>
                <w:tcW w:w="628" w:type="pct"/>
                <w:shd w:val="clear" w:color="auto" w:fill="auto"/>
                <w:vAlign w:val="center"/>
              </w:tcPr>
              <w:p>
                <w:pPr>
                  <w:jc w:val="right"/>
                  <w:rPr>
                    <w:sz w:val="18"/>
                    <w:szCs w:val="18"/>
                  </w:rPr>
                </w:pPr>
                <w:r>
                  <w:rPr>
                    <w:sz w:val="18"/>
                    <w:szCs w:val="18"/>
                  </w:rPr>
                  <w:t>7,744,886,735.99</w:t>
                </w:r>
              </w:p>
            </w:tc>
            <w:tc>
              <w:tcPr>
                <w:tcW w:w="614" w:type="pct"/>
                <w:shd w:val="clear" w:color="auto" w:fill="auto"/>
                <w:vAlign w:val="center"/>
              </w:tcPr>
              <w:p>
                <w:pPr>
                  <w:jc w:val="right"/>
                  <w:rPr>
                    <w:sz w:val="18"/>
                    <w:szCs w:val="18"/>
                  </w:rPr>
                </w:pPr>
                <w:r>
                  <w:rPr>
                    <w:sz w:val="18"/>
                    <w:szCs w:val="18"/>
                  </w:rPr>
                  <w:t>-</w:t>
                </w:r>
              </w:p>
            </w:tc>
            <w:tc>
              <w:tcPr>
                <w:tcW w:w="614" w:type="pct"/>
                <w:shd w:val="clear" w:color="auto" w:fill="auto"/>
                <w:vAlign w:val="center"/>
              </w:tcPr>
              <w:p>
                <w:pPr>
                  <w:jc w:val="right"/>
                  <w:rPr>
                    <w:sz w:val="18"/>
                    <w:szCs w:val="18"/>
                  </w:rPr>
                </w:pPr>
                <w:r>
                  <w:rPr>
                    <w:sz w:val="18"/>
                    <w:szCs w:val="18"/>
                  </w:rPr>
                  <w:t>7,744,886,735.99</w:t>
                </w:r>
              </w:p>
            </w:tc>
            <w:tc>
              <w:tcPr>
                <w:tcW w:w="629" w:type="pct"/>
                <w:shd w:val="clear" w:color="auto" w:fill="auto"/>
                <w:vAlign w:val="center"/>
              </w:tcPr>
              <w:p>
                <w:pPr>
                  <w:jc w:val="right"/>
                  <w:rPr>
                    <w:sz w:val="18"/>
                    <w:szCs w:val="18"/>
                  </w:rPr>
                </w:pPr>
                <w:r>
                  <w:rPr>
                    <w:sz w:val="18"/>
                    <w:szCs w:val="18"/>
                  </w:rPr>
                  <w:t>7,451,254,731.71</w:t>
                </w:r>
              </w:p>
            </w:tc>
            <w:tc>
              <w:tcPr>
                <w:tcW w:w="621" w:type="pct"/>
                <w:shd w:val="clear" w:color="auto" w:fill="auto"/>
                <w:vAlign w:val="center"/>
              </w:tcPr>
              <w:p>
                <w:pPr>
                  <w:jc w:val="right"/>
                  <w:rPr>
                    <w:sz w:val="18"/>
                    <w:szCs w:val="18"/>
                  </w:rPr>
                </w:pPr>
                <w:r>
                  <w:rPr>
                    <w:sz w:val="18"/>
                    <w:szCs w:val="18"/>
                  </w:rPr>
                  <w:t>-</w:t>
                </w:r>
              </w:p>
            </w:tc>
            <w:tc>
              <w:tcPr>
                <w:tcW w:w="615" w:type="pct"/>
                <w:shd w:val="clear" w:color="auto" w:fill="auto"/>
                <w:vAlign w:val="center"/>
              </w:tcPr>
              <w:p>
                <w:pPr>
                  <w:jc w:val="right"/>
                  <w:rPr>
                    <w:sz w:val="18"/>
                    <w:szCs w:val="18"/>
                  </w:rPr>
                </w:pPr>
                <w:r>
                  <w:rPr>
                    <w:sz w:val="18"/>
                    <w:szCs w:val="18"/>
                  </w:rPr>
                  <w:t>7,451,254,731.71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tc>
              <w:tcPr>
                <w:tcW w:w="1279" w:type="pct"/>
                <w:shd w:val="clear" w:color="auto" w:fill="auto"/>
              </w:tcPr>
              <w:p>
                <w:pPr>
                  <w:rPr>
                    <w:sz w:val="18"/>
                    <w:szCs w:val="18"/>
                  </w:rPr>
                </w:pPr>
                <w:r>
                  <w:rPr>
                    <w:rFonts w:hint="eastAsia"/>
                    <w:sz w:val="18"/>
                    <w:szCs w:val="18"/>
                  </w:rPr>
                  <w:t>减：减值准备</w:t>
                </w:r>
              </w:p>
            </w:tc>
            <w:tc>
              <w:tcPr>
                <w:tcW w:w="628" w:type="pct"/>
                <w:shd w:val="clear" w:color="auto" w:fill="auto"/>
                <w:vAlign w:val="center"/>
              </w:tcPr>
              <w:p>
                <w:pPr>
                  <w:jc w:val="right"/>
                  <w:rPr>
                    <w:sz w:val="18"/>
                    <w:szCs w:val="18"/>
                  </w:rPr>
                </w:pPr>
                <w:r>
                  <w:rPr>
                    <w:sz w:val="18"/>
                    <w:szCs w:val="18"/>
                  </w:rPr>
                  <w:t>-</w:t>
                </w:r>
              </w:p>
            </w:tc>
            <w:tc>
              <w:tcPr>
                <w:tcW w:w="614" w:type="pct"/>
                <w:shd w:val="clear" w:color="auto" w:fill="auto"/>
                <w:vAlign w:val="center"/>
              </w:tcPr>
              <w:p>
                <w:pPr>
                  <w:jc w:val="right"/>
                  <w:rPr>
                    <w:sz w:val="18"/>
                    <w:szCs w:val="18"/>
                  </w:rPr>
                </w:pPr>
                <w:r>
                  <w:rPr>
                    <w:sz w:val="18"/>
                    <w:szCs w:val="18"/>
                  </w:rPr>
                  <w:t>-</w:t>
                </w:r>
              </w:p>
            </w:tc>
            <w:tc>
              <w:tcPr>
                <w:tcW w:w="614" w:type="pct"/>
                <w:shd w:val="clear" w:color="auto" w:fill="auto"/>
                <w:vAlign w:val="center"/>
              </w:tcPr>
              <w:p>
                <w:pPr>
                  <w:jc w:val="right"/>
                  <w:rPr>
                    <w:sz w:val="18"/>
                    <w:szCs w:val="18"/>
                  </w:rPr>
                </w:pPr>
                <w:r>
                  <w:rPr>
                    <w:sz w:val="18"/>
                    <w:szCs w:val="18"/>
                  </w:rPr>
                  <w:t>-</w:t>
                </w:r>
              </w:p>
            </w:tc>
            <w:tc>
              <w:tcPr>
                <w:tcW w:w="629" w:type="pct"/>
                <w:shd w:val="clear" w:color="auto" w:fill="auto"/>
                <w:vAlign w:val="center"/>
              </w:tcPr>
              <w:p>
                <w:pPr>
                  <w:jc w:val="right"/>
                  <w:rPr>
                    <w:sz w:val="18"/>
                    <w:szCs w:val="18"/>
                  </w:rPr>
                </w:pPr>
                <w:r>
                  <w:rPr>
                    <w:sz w:val="18"/>
                    <w:szCs w:val="18"/>
                  </w:rPr>
                  <w:t>-</w:t>
                </w:r>
              </w:p>
            </w:tc>
            <w:tc>
              <w:tcPr>
                <w:tcW w:w="621" w:type="pct"/>
                <w:shd w:val="clear" w:color="auto" w:fill="auto"/>
                <w:vAlign w:val="center"/>
              </w:tcPr>
              <w:p>
                <w:pPr>
                  <w:jc w:val="right"/>
                  <w:rPr>
                    <w:sz w:val="18"/>
                    <w:szCs w:val="18"/>
                  </w:rPr>
                </w:pPr>
                <w:r>
                  <w:rPr>
                    <w:sz w:val="18"/>
                    <w:szCs w:val="18"/>
                  </w:rPr>
                  <w:t>-</w:t>
                </w:r>
              </w:p>
            </w:tc>
            <w:tc>
              <w:tcPr>
                <w:tcW w:w="615" w:type="pct"/>
                <w:shd w:val="clear" w:color="auto" w:fill="auto"/>
                <w:vAlign w:val="center"/>
              </w:tcPr>
              <w:p>
                <w:pPr>
                  <w:jc w:val="right"/>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1" w:type="dxa"/>
                <w:bottom w:w="0" w:type="dxa"/>
                <w:right w:w="31" w:type="dxa"/>
              </w:tblCellMar>
            </w:tblPrEx>
            <w:trPr>
              <w:cantSplit/>
            </w:trPr>
            <w:sdt>
              <w:sdtPr>
                <w:rPr>
                  <w:sz w:val="18"/>
                  <w:szCs w:val="18"/>
                </w:rPr>
                <w:tag w:val="_PLD_5c8b8837c4fd4f29a39327cb72d5dcbf"/>
                <w:id w:val="1486205691"/>
                <w:lock w:val="sdtLocked"/>
              </w:sdtPr>
              <w:sdtEndPr>
                <w:rPr>
                  <w:sz w:val="18"/>
                  <w:szCs w:val="18"/>
                </w:rPr>
              </w:sdtEndPr>
              <w:sdtContent>
                <w:tc>
                  <w:tcPr>
                    <w:tcW w:w="1279" w:type="pct"/>
                    <w:shd w:val="clear" w:color="auto" w:fill="auto"/>
                    <w:vAlign w:val="center"/>
                  </w:tcPr>
                  <w:p>
                    <w:pPr>
                      <w:jc w:val="center"/>
                      <w:rPr>
                        <w:sz w:val="18"/>
                        <w:szCs w:val="18"/>
                      </w:rPr>
                    </w:pPr>
                    <w:r>
                      <w:rPr>
                        <w:rFonts w:hint="eastAsia"/>
                        <w:sz w:val="18"/>
                        <w:szCs w:val="18"/>
                      </w:rPr>
                      <w:t>合计</w:t>
                    </w:r>
                  </w:p>
                </w:tc>
              </w:sdtContent>
            </w:sdt>
            <w:tc>
              <w:tcPr>
                <w:tcW w:w="628" w:type="pct"/>
                <w:shd w:val="clear" w:color="auto" w:fill="auto"/>
                <w:vAlign w:val="center"/>
              </w:tcPr>
              <w:p>
                <w:pPr>
                  <w:jc w:val="right"/>
                  <w:rPr>
                    <w:sz w:val="18"/>
                    <w:szCs w:val="18"/>
                  </w:rPr>
                </w:pPr>
                <w:r>
                  <w:rPr>
                    <w:sz w:val="18"/>
                    <w:szCs w:val="18"/>
                  </w:rPr>
                  <w:t>20,565,485,406.04</w:t>
                </w:r>
              </w:p>
            </w:tc>
            <w:tc>
              <w:tcPr>
                <w:tcW w:w="614" w:type="pct"/>
                <w:shd w:val="clear" w:color="auto" w:fill="auto"/>
                <w:vAlign w:val="center"/>
              </w:tcPr>
              <w:p>
                <w:pPr>
                  <w:jc w:val="right"/>
                  <w:rPr>
                    <w:sz w:val="18"/>
                    <w:szCs w:val="18"/>
                  </w:rPr>
                </w:pPr>
                <w:r>
                  <w:rPr>
                    <w:sz w:val="18"/>
                    <w:szCs w:val="18"/>
                  </w:rPr>
                  <w:t>-</w:t>
                </w:r>
              </w:p>
            </w:tc>
            <w:tc>
              <w:tcPr>
                <w:tcW w:w="614" w:type="pct"/>
                <w:shd w:val="clear" w:color="auto" w:fill="auto"/>
                <w:vAlign w:val="center"/>
              </w:tcPr>
              <w:p>
                <w:pPr>
                  <w:jc w:val="right"/>
                  <w:rPr>
                    <w:sz w:val="18"/>
                    <w:szCs w:val="18"/>
                  </w:rPr>
                </w:pPr>
                <w:r>
                  <w:rPr>
                    <w:sz w:val="18"/>
                    <w:szCs w:val="18"/>
                  </w:rPr>
                  <w:t>20,565,485,406.04</w:t>
                </w:r>
              </w:p>
            </w:tc>
            <w:tc>
              <w:tcPr>
                <w:tcW w:w="629" w:type="pct"/>
                <w:shd w:val="clear" w:color="auto" w:fill="auto"/>
                <w:vAlign w:val="center"/>
              </w:tcPr>
              <w:p>
                <w:pPr>
                  <w:jc w:val="right"/>
                  <w:rPr>
                    <w:sz w:val="18"/>
                    <w:szCs w:val="18"/>
                  </w:rPr>
                </w:pPr>
                <w:r>
                  <w:rPr>
                    <w:sz w:val="18"/>
                    <w:szCs w:val="18"/>
                  </w:rPr>
                  <w:t>20,149,153,401.76</w:t>
                </w:r>
              </w:p>
            </w:tc>
            <w:tc>
              <w:tcPr>
                <w:tcW w:w="621" w:type="pct"/>
                <w:shd w:val="clear" w:color="auto" w:fill="auto"/>
                <w:vAlign w:val="center"/>
              </w:tcPr>
              <w:p>
                <w:pPr>
                  <w:jc w:val="right"/>
                  <w:rPr>
                    <w:sz w:val="18"/>
                    <w:szCs w:val="18"/>
                  </w:rPr>
                </w:pPr>
                <w:r>
                  <w:rPr>
                    <w:sz w:val="18"/>
                    <w:szCs w:val="18"/>
                  </w:rPr>
                  <w:t>-</w:t>
                </w:r>
              </w:p>
            </w:tc>
            <w:tc>
              <w:tcPr>
                <w:tcW w:w="615" w:type="pct"/>
                <w:shd w:val="clear" w:color="auto" w:fill="auto"/>
                <w:vAlign w:val="center"/>
              </w:tcPr>
              <w:p>
                <w:pPr>
                  <w:jc w:val="right"/>
                  <w:rPr>
                    <w:sz w:val="18"/>
                    <w:szCs w:val="18"/>
                  </w:rPr>
                </w:pPr>
                <w:r>
                  <w:rPr>
                    <w:sz w:val="18"/>
                    <w:szCs w:val="18"/>
                  </w:rPr>
                  <w:t>20,149,153,401.76</w:t>
                </w:r>
              </w:p>
            </w:tc>
          </w:tr>
        </w:tbl>
        <w:p>
          <w:pPr>
            <w:pStyle w:val="114"/>
          </w:pPr>
        </w:p>
      </w:sdtContent>
    </w:sdt>
    <w:sdt>
      <w:sdtPr>
        <w:rPr>
          <w:rFonts w:hint="eastAsia" w:ascii="宋体" w:hAnsi="宋体" w:cs="宋体"/>
          <w:b w:val="0"/>
          <w:bCs w:val="0"/>
          <w:kern w:val="0"/>
          <w:szCs w:val="24"/>
        </w:rPr>
        <w:alias w:val="模块:对子公司投资"/>
        <w:tag w:val="_GBC_354d808d545e41aab5b25112222d90f9"/>
        <w:id w:val="-1523544310"/>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05"/>
            </w:numPr>
            <w:rPr>
              <w:rFonts w:ascii="宋体" w:hAnsi="宋体"/>
            </w:rPr>
          </w:pPr>
          <w:r>
            <w:rPr>
              <w:rFonts w:hint="eastAsia" w:ascii="宋体" w:hAnsi="宋体"/>
            </w:rPr>
            <w:t>对子公司投资</w:t>
          </w:r>
        </w:p>
        <w:sdt>
          <w:sdtPr>
            <w:alias w:val="是否适用：母公司对子公司投资[双击切换]"/>
            <w:tag w:val="_GBC_c52cee49247d42a9a79deabbd4c8635c"/>
            <w:id w:val="-66400475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财务附注：对子公司投资"/>
              <w:tag w:val="_GBC_84c410d0b81f42e3adfddc3699487310"/>
              <w:id w:val="-14045956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461390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9"/>
            <w:gridCol w:w="1791"/>
            <w:gridCol w:w="1514"/>
            <w:gridCol w:w="632"/>
            <w:gridCol w:w="1791"/>
            <w:gridCol w:w="1001"/>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c6f1ebfed2274883870089cc90c0b5b3"/>
                <w:id w:val="1402799557"/>
                <w:lock w:val="sdtLocked"/>
              </w:sdtPr>
              <w:sdtEndPr>
                <w:rPr>
                  <w:sz w:val="18"/>
                  <w:szCs w:val="18"/>
                </w:rPr>
              </w:sdtEndPr>
              <w:sdtContent>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被投资单位</w:t>
                    </w:r>
                  </w:p>
                </w:tc>
              </w:sdtContent>
            </w:sdt>
            <w:sdt>
              <w:sdtPr>
                <w:rPr>
                  <w:sz w:val="18"/>
                  <w:szCs w:val="18"/>
                </w:rPr>
                <w:tag w:val="_PLD_c8b6275a3567432ba7b63d4485a9cce5"/>
                <w:id w:val="-1902899268"/>
                <w:lock w:val="sdtLocked"/>
              </w:sdtPr>
              <w:sdtEndPr>
                <w:rPr>
                  <w:sz w:val="18"/>
                  <w:szCs w:val="18"/>
                </w:rPr>
              </w:sdtEndPr>
              <w:sdtContent>
                <w:tc>
                  <w:tcPr>
                    <w:tcW w:w="97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期初余额</w:t>
                    </w:r>
                  </w:p>
                </w:tc>
              </w:sdtContent>
            </w:sdt>
            <w:sdt>
              <w:sdtPr>
                <w:rPr>
                  <w:sz w:val="18"/>
                  <w:szCs w:val="18"/>
                </w:rPr>
                <w:tag w:val="_PLD_a192e1f764d54f39ad94a065019bc4f2"/>
                <w:id w:val="-244877682"/>
                <w:lock w:val="sdtLocked"/>
              </w:sdtPr>
              <w:sdtEndPr>
                <w:rPr>
                  <w:sz w:val="18"/>
                  <w:szCs w:val="18"/>
                </w:rPr>
              </w:sdtEndPr>
              <w:sdtContent>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本期增加</w:t>
                    </w:r>
                  </w:p>
                </w:tc>
              </w:sdtContent>
            </w:sdt>
            <w:sdt>
              <w:sdtPr>
                <w:rPr>
                  <w:sz w:val="18"/>
                  <w:szCs w:val="18"/>
                </w:rPr>
                <w:tag w:val="_PLD_3a74d3e1bc0e43debb3fdd0f1f6de769"/>
                <w:id w:val="2023735084"/>
                <w:lock w:val="sdtLocked"/>
              </w:sdtPr>
              <w:sdtEndPr>
                <w:rPr>
                  <w:sz w:val="18"/>
                  <w:szCs w:val="18"/>
                </w:rPr>
              </w:sdtEndPr>
              <w:sdtContent>
                <w:tc>
                  <w:tcPr>
                    <w:tcW w:w="34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本期减少</w:t>
                    </w:r>
                  </w:p>
                </w:tc>
              </w:sdtContent>
            </w:sdt>
            <w:sdt>
              <w:sdtPr>
                <w:rPr>
                  <w:sz w:val="18"/>
                  <w:szCs w:val="18"/>
                </w:rPr>
                <w:tag w:val="_PLD_62acff2435cd434284a753ea8ebfa201"/>
                <w:id w:val="1441184713"/>
                <w:lock w:val="sdtLocked"/>
              </w:sdtPr>
              <w:sdtEndPr>
                <w:rPr>
                  <w:sz w:val="18"/>
                  <w:szCs w:val="18"/>
                </w:rPr>
              </w:sdtEndPr>
              <w:sdtContent>
                <w:tc>
                  <w:tcPr>
                    <w:tcW w:w="97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期末余额</w:t>
                    </w:r>
                  </w:p>
                </w:tc>
              </w:sdtContent>
            </w:sdt>
            <w:sdt>
              <w:sdtPr>
                <w:rPr>
                  <w:sz w:val="18"/>
                  <w:szCs w:val="18"/>
                </w:rPr>
                <w:tag w:val="_PLD_67b1a9b1d215409ebb6ceb131ad5e8bf"/>
                <w:id w:val="2053800441"/>
                <w:lock w:val="sdtLocked"/>
              </w:sdtPr>
              <w:sdtEndPr>
                <w:rPr>
                  <w:sz w:val="18"/>
                  <w:szCs w:val="18"/>
                </w:rPr>
              </w:sdtEndPr>
              <w:sdtContent>
                <w:tc>
                  <w:tcPr>
                    <w:tcW w:w="54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本期计提减值准备</w:t>
                    </w:r>
                  </w:p>
                </w:tc>
              </w:sdtContent>
            </w:sdt>
            <w:sdt>
              <w:sdtPr>
                <w:rPr>
                  <w:sz w:val="18"/>
                  <w:szCs w:val="18"/>
                </w:rPr>
                <w:tag w:val="_PLD_bfab2049a5684d7d922489b57382b080"/>
                <w:id w:val="-1938826958"/>
                <w:lock w:val="sdtLocked"/>
              </w:sdtPr>
              <w:sdtEndPr>
                <w:rPr>
                  <w:sz w:val="18"/>
                  <w:szCs w:val="18"/>
                </w:rPr>
              </w:sdtEndPr>
              <w:sdtContent>
                <w:tc>
                  <w:tcPr>
                    <w:tcW w:w="55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减值准备期末余额</w:t>
                    </w:r>
                  </w:p>
                </w:tc>
              </w:sdtContent>
            </w:sdt>
          </w:tr>
          <w:sdt>
            <w:sdtPr>
              <w:rPr>
                <w:sz w:val="18"/>
                <w:szCs w:val="18"/>
              </w:rPr>
              <w:alias w:val="长期股权投资明细"/>
              <w:tag w:val="_GBC_daf82e8df55d4ba9bf351c25fd5a63c2"/>
              <w:id w:val="-861743034"/>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广靖锡澄公司</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2,125,000,000.00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2,125,000,000.00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606997955"/>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宁沪置业</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500,000,000.00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500,000,000.00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110347368"/>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宁沪投资</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2,154,434,377.98</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2,154,434,377.98</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044638062"/>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镇丹公司</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423,910,000.00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423,910,000.00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970744523"/>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五峰山大桥</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3,112,980,000.00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3,112,980,000.00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21695317"/>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瀚威公司</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374,499,800.00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374,499,800.00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955094648"/>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龙潭大桥</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1,827,260,000.00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110,000,000.00</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1,937,260,000.00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445770483"/>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宁沪国际</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732,310.87</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732,310.87</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619460178"/>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长江商能</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100,000,000.00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100,000,000.00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2128192761"/>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扬子江管理</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50,000,000.00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50,000,000.00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w:t>
                    </w:r>
                  </w:p>
                </w:tc>
              </w:tr>
            </w:sdtContent>
          </w:sdt>
          <w:sdt>
            <w:sdtPr>
              <w:rPr>
                <w:sz w:val="18"/>
                <w:szCs w:val="18"/>
              </w:rPr>
              <w:alias w:val="长期股权投资明细"/>
              <w:tag w:val="_GBC_daf82e8df55d4ba9bf351c25fd5a63c2"/>
              <w:id w:val="1161507481"/>
              <w:lock w:val="sdtLocked"/>
            </w:sdtPr>
            <w:sdtEndPr>
              <w:rPr>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云杉清能</w:t>
                    </w: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2,029,082,181.20</w:t>
                    </w:r>
                  </w:p>
                </w:tc>
                <w:tc>
                  <w:tcPr>
                    <w:tcW w:w="827"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12,700,000.00</w:t>
                    </w:r>
                  </w:p>
                </w:tc>
                <w:tc>
                  <w:tcPr>
                    <w:tcW w:w="345" w:type="pct"/>
                    <w:tcBorders>
                      <w:top w:val="single" w:color="auto" w:sz="4" w:space="0"/>
                      <w:left w:val="single" w:color="auto" w:sz="4" w:space="0"/>
                      <w:bottom w:val="single" w:color="auto" w:sz="4" w:space="0"/>
                      <w:right w:val="single" w:color="auto" w:sz="4" w:space="0"/>
                    </w:tcBorders>
                  </w:tcPr>
                  <w:p>
                    <w:pPr>
                      <w:jc w:val="right"/>
                      <w:rPr>
                        <w:sz w:val="18"/>
                        <w:szCs w:val="18"/>
                      </w:rPr>
                    </w:pPr>
                  </w:p>
                </w:tc>
                <w:tc>
                  <w:tcPr>
                    <w:tcW w:w="978" w:type="pct"/>
                    <w:tcBorders>
                      <w:top w:val="single" w:color="auto" w:sz="4" w:space="0"/>
                      <w:left w:val="single" w:color="auto" w:sz="4" w:space="0"/>
                      <w:bottom w:val="single" w:color="auto" w:sz="4" w:space="0"/>
                      <w:right w:val="single" w:color="auto" w:sz="4" w:space="0"/>
                    </w:tcBorders>
                  </w:tcPr>
                  <w:p>
                    <w:pPr>
                      <w:jc w:val="right"/>
                      <w:rPr>
                        <w:sz w:val="18"/>
                        <w:szCs w:val="18"/>
                      </w:rPr>
                    </w:pPr>
                    <w:r>
                      <w:rPr>
                        <w:sz w:val="18"/>
                        <w:szCs w:val="18"/>
                      </w:rPr>
                      <w:t>2,041,782,181.20</w:t>
                    </w:r>
                  </w:p>
                </w:tc>
                <w:tc>
                  <w:tcPr>
                    <w:tcW w:w="547" w:type="pct"/>
                    <w:tcBorders>
                      <w:top w:val="single" w:color="auto" w:sz="4" w:space="0"/>
                      <w:left w:val="single" w:color="auto" w:sz="4" w:space="0"/>
                      <w:bottom w:val="single" w:color="auto" w:sz="4" w:space="0"/>
                      <w:right w:val="single" w:color="auto" w:sz="4" w:space="0"/>
                    </w:tcBorders>
                  </w:tcPr>
                  <w:p>
                    <w:pPr>
                      <w:jc w:val="right"/>
                      <w:rPr>
                        <w:sz w:val="18"/>
                        <w:szCs w:val="18"/>
                      </w:rPr>
                    </w:pPr>
                  </w:p>
                </w:tc>
                <w:tc>
                  <w:tcPr>
                    <w:tcW w:w="556" w:type="pct"/>
                    <w:tcBorders>
                      <w:top w:val="single" w:color="auto" w:sz="4" w:space="0"/>
                      <w:left w:val="single" w:color="auto" w:sz="4" w:space="0"/>
                      <w:bottom w:val="single" w:color="auto" w:sz="4" w:space="0"/>
                      <w:right w:val="single" w:color="auto" w:sz="4" w:space="0"/>
                    </w:tcBorders>
                  </w:tcPr>
                  <w:p>
                    <w:pPr>
                      <w:jc w:val="right"/>
                      <w:rPr>
                        <w:sz w:val="18"/>
                        <w:szCs w:val="18"/>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9515e88574304b2da64302e50d23e6cf"/>
                <w:id w:val="1979183745"/>
                <w:lock w:val="sdtLocked"/>
              </w:sdtPr>
              <w:sdtEndPr>
                <w:rPr>
                  <w:sz w:val="18"/>
                  <w:szCs w:val="18"/>
                </w:rPr>
              </w:sdtEndPr>
              <w:sdtContent>
                <w:tc>
                  <w:tcPr>
                    <w:tcW w:w="770"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合计</w:t>
                    </w:r>
                  </w:p>
                </w:tc>
              </w:sdtContent>
            </w:sdt>
            <w:tc>
              <w:tcPr>
                <w:tcW w:w="978"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12,697,898,670.05</w:t>
                </w:r>
              </w:p>
            </w:tc>
            <w:tc>
              <w:tcPr>
                <w:tcW w:w="827"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122,700,000.00</w:t>
                </w:r>
              </w:p>
            </w:tc>
            <w:tc>
              <w:tcPr>
                <w:tcW w:w="345"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w:t>
                </w:r>
              </w:p>
            </w:tc>
            <w:tc>
              <w:tcPr>
                <w:tcW w:w="978"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12,820,598,670.05</w:t>
                </w:r>
              </w:p>
            </w:tc>
            <w:tc>
              <w:tcPr>
                <w:tcW w:w="547"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w:t>
                </w:r>
              </w:p>
            </w:tc>
            <w:tc>
              <w:tcPr>
                <w:tcW w:w="556" w:type="pct"/>
                <w:tcBorders>
                  <w:top w:val="single" w:color="auto" w:sz="4" w:space="0"/>
                  <w:left w:val="single" w:color="auto" w:sz="4" w:space="0"/>
                  <w:bottom w:val="single" w:color="auto" w:sz="4" w:space="0"/>
                  <w:right w:val="single" w:color="auto" w:sz="4" w:space="0"/>
                </w:tcBorders>
                <w:vAlign w:val="center"/>
              </w:tcPr>
              <w:p>
                <w:pPr>
                  <w:jc w:val="right"/>
                  <w:rPr>
                    <w:sz w:val="18"/>
                    <w:szCs w:val="18"/>
                  </w:rPr>
                </w:pPr>
                <w:r>
                  <w:rPr>
                    <w:sz w:val="18"/>
                    <w:szCs w:val="18"/>
                  </w:rPr>
                  <w:t>-</w:t>
                </w:r>
              </w:p>
            </w:tc>
          </w:tr>
        </w:tbl>
        <w:p>
          <w:pPr>
            <w:pStyle w:val="114"/>
          </w:pPr>
        </w:p>
        <w:p>
          <w:pPr>
            <w:pStyle w:val="114"/>
          </w:pPr>
        </w:p>
      </w:sdtContent>
    </w:sdt>
    <w:sdt>
      <w:sdtPr>
        <w:rPr>
          <w:rFonts w:hint="eastAsia" w:ascii="宋体" w:hAnsi="宋体" w:cs="宋体"/>
          <w:b w:val="0"/>
          <w:bCs w:val="0"/>
          <w:kern w:val="0"/>
          <w:szCs w:val="21"/>
        </w:rPr>
        <w:alias w:val="模块:对联营、合营企业投资"/>
        <w:tag w:val="_GBC_eb61534d0a614526b319605aeaa9bf73"/>
        <w:id w:val="950288748"/>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05"/>
            </w:numPr>
            <w:rPr>
              <w:rFonts w:ascii="宋体" w:hAnsi="宋体"/>
              <w:szCs w:val="21"/>
            </w:rPr>
          </w:pPr>
          <w:bookmarkStart w:id="293" w:name="_Hlk106375342"/>
          <w:r>
            <w:rPr>
              <w:rFonts w:hint="eastAsia" w:ascii="宋体" w:hAnsi="宋体"/>
              <w:szCs w:val="21"/>
            </w:rPr>
            <w:t>对联营、</w:t>
          </w:r>
          <w:r>
            <w:rPr>
              <w:rFonts w:hint="eastAsia" w:ascii="宋体" w:hAnsi="宋体"/>
            </w:rPr>
            <w:t>合营</w:t>
          </w:r>
          <w:r>
            <w:rPr>
              <w:rFonts w:hint="eastAsia" w:ascii="宋体" w:hAnsi="宋体"/>
              <w:szCs w:val="21"/>
            </w:rPr>
            <w:t>企业投资</w:t>
          </w:r>
        </w:p>
        <w:sdt>
          <w:sdtPr>
            <w:alias w:val="是否适用：母公司对联营、合营企业投资[双击切换]"/>
            <w:tag w:val="_GBC_0837f60a15fc4684b64085618adca8d2"/>
            <w:id w:val="-90930387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母公司财务附注：对联营、合营企业投资"/>
              <w:tag w:val="_GBC_d8af48cd34c54e749df777d4e6a5e2ed"/>
              <w:id w:val="5676956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母公司财务附注：对联营、合营企业投资"/>
              <w:tag w:val="_GBC_5b4bb22c6cca42989bcd538938127ee2"/>
              <w:id w:val="15193475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598"/>
            <w:gridCol w:w="438"/>
            <w:gridCol w:w="436"/>
            <w:gridCol w:w="1283"/>
            <w:gridCol w:w="842"/>
            <w:gridCol w:w="921"/>
            <w:gridCol w:w="590"/>
            <w:gridCol w:w="1745"/>
            <w:gridCol w:w="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abfaca7df388426499f44c3fb444b469"/>
                <w:id w:val="2142379060"/>
                <w:lock w:val="sdtLocked"/>
              </w:sdtPr>
              <w:sdtEndPr>
                <w:rPr>
                  <w:sz w:val="18"/>
                  <w:szCs w:val="18"/>
                </w:rPr>
              </w:sdtEndPr>
              <w:sdtContent>
                <w:tc>
                  <w:tcPr>
                    <w:tcW w:w="394"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投资</w:t>
                    </w:r>
                  </w:p>
                  <w:p>
                    <w:pPr>
                      <w:jc w:val="center"/>
                      <w:rPr>
                        <w:sz w:val="18"/>
                        <w:szCs w:val="18"/>
                      </w:rPr>
                    </w:pPr>
                    <w:r>
                      <w:rPr>
                        <w:rFonts w:hint="eastAsia"/>
                        <w:sz w:val="18"/>
                        <w:szCs w:val="18"/>
                      </w:rPr>
                      <w:t>单位</w:t>
                    </w:r>
                  </w:p>
                </w:tc>
              </w:sdtContent>
            </w:sdt>
            <w:sdt>
              <w:sdtPr>
                <w:rPr>
                  <w:sz w:val="18"/>
                  <w:szCs w:val="18"/>
                </w:rPr>
                <w:tag w:val="_PLD_05798c5c44604c97a951491f90362ede"/>
                <w:id w:val="1291866710"/>
                <w:lock w:val="sdtLocked"/>
              </w:sdtPr>
              <w:sdtEndPr>
                <w:rPr>
                  <w:sz w:val="18"/>
                  <w:szCs w:val="18"/>
                </w:rPr>
              </w:sdtEndPr>
              <w:sdtContent>
                <w:tc>
                  <w:tcPr>
                    <w:tcW w:w="873"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期初</w:t>
                    </w:r>
                  </w:p>
                  <w:p>
                    <w:pPr>
                      <w:jc w:val="center"/>
                      <w:rPr>
                        <w:sz w:val="18"/>
                        <w:szCs w:val="18"/>
                      </w:rPr>
                    </w:pPr>
                    <w:r>
                      <w:rPr>
                        <w:rFonts w:hint="eastAsia"/>
                        <w:sz w:val="18"/>
                        <w:szCs w:val="18"/>
                      </w:rPr>
                      <w:t>余额</w:t>
                    </w:r>
                  </w:p>
                </w:tc>
              </w:sdtContent>
            </w:sdt>
            <w:sdt>
              <w:sdtPr>
                <w:rPr>
                  <w:sz w:val="18"/>
                  <w:szCs w:val="18"/>
                </w:rPr>
                <w:tag w:val="_PLD_0a2bbaaacf944dc499773ce9e49a7a44"/>
                <w:id w:val="-265307436"/>
                <w:lock w:val="sdtLocked"/>
              </w:sdtPr>
              <w:sdtEndPr>
                <w:rPr>
                  <w:sz w:val="18"/>
                  <w:szCs w:val="18"/>
                </w:rPr>
              </w:sdtEndPr>
              <w:sdtContent>
                <w:tc>
                  <w:tcPr>
                    <w:tcW w:w="246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本期增减变动</w:t>
                    </w:r>
                  </w:p>
                </w:tc>
              </w:sdtContent>
            </w:sdt>
            <w:sdt>
              <w:sdtPr>
                <w:rPr>
                  <w:sz w:val="18"/>
                  <w:szCs w:val="18"/>
                </w:rPr>
                <w:tag w:val="_PLD_08d96ebd050e43e4a66f158230dee5ce"/>
                <w:id w:val="-920024196"/>
                <w:lock w:val="sdtLocked"/>
              </w:sdtPr>
              <w:sdtEndPr>
                <w:rPr>
                  <w:sz w:val="18"/>
                  <w:szCs w:val="18"/>
                </w:rPr>
              </w:sdtEndPr>
              <w:sdtContent>
                <w:tc>
                  <w:tcPr>
                    <w:tcW w:w="953"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期末</w:t>
                    </w:r>
                  </w:p>
                  <w:p>
                    <w:pPr>
                      <w:jc w:val="center"/>
                      <w:rPr>
                        <w:sz w:val="18"/>
                        <w:szCs w:val="18"/>
                      </w:rPr>
                    </w:pPr>
                    <w:r>
                      <w:rPr>
                        <w:rFonts w:hint="eastAsia"/>
                        <w:sz w:val="18"/>
                        <w:szCs w:val="18"/>
                      </w:rPr>
                      <w:t>余额</w:t>
                    </w:r>
                  </w:p>
                </w:tc>
              </w:sdtContent>
            </w:sdt>
            <w:sdt>
              <w:sdtPr>
                <w:rPr>
                  <w:sz w:val="18"/>
                  <w:szCs w:val="18"/>
                </w:rPr>
                <w:tag w:val="_PLD_7926cd06c0474fbd9ec1c3b927ae616d"/>
                <w:id w:val="1884371347"/>
                <w:lock w:val="sdtLocked"/>
              </w:sdtPr>
              <w:sdtEndPr>
                <w:rPr>
                  <w:sz w:val="18"/>
                  <w:szCs w:val="18"/>
                </w:rPr>
              </w:sdtEndPr>
              <w:sdtContent>
                <w:tc>
                  <w:tcPr>
                    <w:tcW w:w="317" w:type="pct"/>
                    <w:vMerge w:val="restart"/>
                    <w:tcBorders>
                      <w:top w:val="single" w:color="auto" w:sz="4" w:space="0"/>
                      <w:left w:val="single" w:color="auto" w:sz="4" w:space="0"/>
                      <w:right w:val="single" w:color="auto" w:sz="4" w:space="0"/>
                    </w:tcBorders>
                    <w:shd w:val="clear" w:color="auto" w:fill="auto"/>
                    <w:vAlign w:val="center"/>
                  </w:tcPr>
                  <w:p>
                    <w:pPr>
                      <w:jc w:val="center"/>
                      <w:rPr>
                        <w:sz w:val="18"/>
                        <w:szCs w:val="18"/>
                      </w:rPr>
                    </w:pPr>
                    <w:r>
                      <w:rPr>
                        <w:rFonts w:hint="eastAsia"/>
                        <w:sz w:val="18"/>
                        <w:szCs w:val="18"/>
                      </w:rPr>
                      <w:t>减值准备期末余额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Merge w:val="continue"/>
                <w:tcBorders>
                  <w:left w:val="single" w:color="auto" w:sz="4" w:space="0"/>
                  <w:bottom w:val="single" w:color="auto" w:sz="4" w:space="0"/>
                  <w:right w:val="single" w:color="auto" w:sz="4" w:space="0"/>
                </w:tcBorders>
                <w:shd w:val="clear" w:color="auto" w:fill="auto"/>
              </w:tcPr>
              <w:p>
                <w:pPr>
                  <w:jc w:val="center"/>
                  <w:rPr>
                    <w:sz w:val="18"/>
                    <w:szCs w:val="18"/>
                  </w:rPr>
                </w:pPr>
              </w:p>
            </w:tc>
            <w:tc>
              <w:tcPr>
                <w:tcW w:w="873" w:type="pct"/>
                <w:vMerge w:val="continue"/>
                <w:tcBorders>
                  <w:left w:val="single" w:color="auto" w:sz="4" w:space="0"/>
                  <w:bottom w:val="single" w:color="auto" w:sz="4" w:space="0"/>
                  <w:right w:val="single" w:color="auto" w:sz="4" w:space="0"/>
                </w:tcBorders>
                <w:shd w:val="clear" w:color="auto" w:fill="auto"/>
              </w:tcPr>
              <w:p>
                <w:pPr>
                  <w:jc w:val="center"/>
                  <w:rPr>
                    <w:sz w:val="18"/>
                    <w:szCs w:val="18"/>
                  </w:rPr>
                </w:pPr>
              </w:p>
            </w:tc>
            <w:sdt>
              <w:sdtPr>
                <w:rPr>
                  <w:sz w:val="18"/>
                  <w:szCs w:val="18"/>
                </w:rPr>
                <w:tag w:val="_PLD_c2a32165f0334d7c8fde829ff4c17575"/>
                <w:id w:val="329492173"/>
                <w:lock w:val="sdtLocked"/>
              </w:sdtPr>
              <w:sdtEndPr>
                <w:rPr>
                  <w:sz w:val="18"/>
                  <w:szCs w:val="18"/>
                </w:rPr>
              </w:sdtEndPr>
              <w:sdtContent>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追加投资</w:t>
                    </w:r>
                  </w:p>
                </w:tc>
              </w:sdtContent>
            </w:sdt>
            <w:sdt>
              <w:sdtPr>
                <w:rPr>
                  <w:sz w:val="18"/>
                  <w:szCs w:val="18"/>
                </w:rPr>
                <w:tag w:val="_PLD_71fe608b4d73467797eee694efbf7ebb"/>
                <w:id w:val="1693188809"/>
                <w:lock w:val="sdtLocked"/>
              </w:sdtPr>
              <w:sdtEndPr>
                <w:rPr>
                  <w:sz w:val="18"/>
                  <w:szCs w:val="18"/>
                </w:rPr>
              </w:sdtEndPr>
              <w:sdtContent>
                <w:tc>
                  <w:tcPr>
                    <w:tcW w:w="23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减少投资</w:t>
                    </w:r>
                  </w:p>
                </w:tc>
              </w:sdtContent>
            </w:sdt>
            <w:sdt>
              <w:sdtPr>
                <w:rPr>
                  <w:sz w:val="18"/>
                  <w:szCs w:val="18"/>
                </w:rPr>
                <w:tag w:val="_PLD_f05a50a0bc284599af7a40502cd10a40"/>
                <w:id w:val="709078305"/>
                <w:lock w:val="sdtLocked"/>
              </w:sdtPr>
              <w:sdtEndPr>
                <w:rPr>
                  <w:sz w:val="18"/>
                  <w:szCs w:val="18"/>
                </w:rPr>
              </w:sdtEndPr>
              <w:sdtContent>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权益法下确认的投资损益</w:t>
                    </w:r>
                  </w:p>
                </w:tc>
              </w:sdtContent>
            </w:sdt>
            <w:sdt>
              <w:sdtPr>
                <w:rPr>
                  <w:sz w:val="18"/>
                  <w:szCs w:val="18"/>
                </w:rPr>
                <w:tag w:val="_PLD_02248a0958484589b824cff096f8d135"/>
                <w:id w:val="719561533"/>
                <w:lock w:val="sdtLocked"/>
              </w:sdtPr>
              <w:sdtEndPr>
                <w:rPr>
                  <w:sz w:val="18"/>
                  <w:szCs w:val="18"/>
                </w:rPr>
              </w:sdtEndPr>
              <w:sdtContent>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其他综合收益调整</w:t>
                    </w:r>
                  </w:p>
                </w:tc>
              </w:sdtContent>
            </w:sdt>
            <w:sdt>
              <w:sdtPr>
                <w:rPr>
                  <w:sz w:val="18"/>
                  <w:szCs w:val="18"/>
                </w:rPr>
                <w:tag w:val="_PLD_222556d83dca4844b27c9b0b28e96430"/>
                <w:id w:val="-917554173"/>
                <w:lock w:val="sdtLocked"/>
              </w:sdtPr>
              <w:sdtEndPr>
                <w:rPr>
                  <w:sz w:val="18"/>
                  <w:szCs w:val="18"/>
                </w:rPr>
              </w:sdtEndPr>
              <w:sdtContent>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宣告发放现金股利或利润</w:t>
                    </w:r>
                  </w:p>
                </w:tc>
              </w:sdtContent>
            </w:sdt>
            <w:sdt>
              <w:sdtPr>
                <w:rPr>
                  <w:sz w:val="18"/>
                  <w:szCs w:val="18"/>
                </w:rPr>
                <w:tag w:val="_PLD_3ccc36abfffc49a99807a98ffb9d12d5"/>
                <w:id w:val="-1848860989"/>
                <w:lock w:val="sdtLocked"/>
              </w:sdtPr>
              <w:sdtEndPr>
                <w:rPr>
                  <w:sz w:val="18"/>
                  <w:szCs w:val="18"/>
                </w:rPr>
              </w:sdtEndPr>
              <w:sdtContent>
                <w:tc>
                  <w:tcPr>
                    <w:tcW w:w="32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计提减值准备</w:t>
                    </w:r>
                  </w:p>
                </w:tc>
              </w:sdtContent>
            </w:sdt>
            <w:tc>
              <w:tcPr>
                <w:tcW w:w="953" w:type="pct"/>
                <w:vMerge w:val="continue"/>
                <w:tcBorders>
                  <w:left w:val="single" w:color="auto" w:sz="4" w:space="0"/>
                  <w:bottom w:val="single" w:color="auto" w:sz="4" w:space="0"/>
                  <w:right w:val="single" w:color="auto" w:sz="4" w:space="0"/>
                </w:tcBorders>
                <w:shd w:val="clear" w:color="auto" w:fill="auto"/>
              </w:tcPr>
              <w:p>
                <w:pPr>
                  <w:jc w:val="center"/>
                  <w:rPr>
                    <w:sz w:val="18"/>
                    <w:szCs w:val="18"/>
                  </w:rPr>
                </w:pPr>
              </w:p>
            </w:tc>
            <w:tc>
              <w:tcPr>
                <w:tcW w:w="317" w:type="pct"/>
                <w:vMerge w:val="continue"/>
                <w:tcBorders>
                  <w:left w:val="single" w:color="auto" w:sz="4" w:space="0"/>
                  <w:bottom w:val="single" w:color="auto" w:sz="4" w:space="0"/>
                  <w:right w:val="single" w:color="auto" w:sz="4" w:space="0"/>
                </w:tcBorders>
                <w:shd w:val="clear" w:color="auto" w:fill="auto"/>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90cc1e0799634510b44e4e55b4185a5a"/>
                <w:id w:val="173844395"/>
                <w:lock w:val="sdtLocked"/>
              </w:sdtPr>
              <w:sdtEndPr>
                <w:rPr>
                  <w:sz w:val="18"/>
                  <w:szCs w:val="18"/>
                </w:rPr>
              </w:sdtEndPr>
              <w:sdtContent>
                <w:tc>
                  <w:tcPr>
                    <w:tcW w:w="5000" w:type="pct"/>
                    <w:gridSpan w:val="10"/>
                    <w:tcBorders>
                      <w:top w:val="single" w:color="auto" w:sz="4" w:space="0"/>
                      <w:left w:val="single" w:color="auto" w:sz="4" w:space="0"/>
                      <w:bottom w:val="single" w:color="auto" w:sz="4" w:space="0"/>
                      <w:right w:val="single" w:color="auto" w:sz="4" w:space="0"/>
                    </w:tcBorders>
                    <w:shd w:val="clear" w:color="auto" w:fill="auto"/>
                  </w:tcPr>
                  <w:p>
                    <w:pPr>
                      <w:rPr>
                        <w:sz w:val="18"/>
                        <w:szCs w:val="18"/>
                      </w:rPr>
                    </w:pPr>
                    <w:r>
                      <w:rPr>
                        <w:rFonts w:hint="eastAsia"/>
                        <w:sz w:val="18"/>
                        <w:szCs w:val="18"/>
                      </w:rPr>
                      <w:t>联营企业</w:t>
                    </w:r>
                  </w:p>
                </w:tc>
              </w:sdtContent>
            </w:sdt>
          </w:tr>
          <w:sdt>
            <w:sdtPr>
              <w:rPr>
                <w:rFonts w:hint="eastAsia"/>
                <w:sz w:val="18"/>
                <w:szCs w:val="18"/>
              </w:rPr>
              <w:alias w:val="联营企业投资信息明细"/>
              <w:tag w:val="_TUP_84080647b7644f7482007b578f8c0165"/>
              <w:id w:val="-1507050588"/>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快鹿公司</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29,006,148.31</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128,799.20</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29,134,947.51</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1669360949"/>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紫金信托</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2,096,153,026.49</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25,757,162.99</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2,121,910,189.48</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377318837"/>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苏州高速管理</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2,154,938,923.37</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64,963,622.00</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2,219,902,545.37</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1762601897"/>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杨子大桥公司</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2,194,739,782.25</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183,954,000.00</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22,487,569.28</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(34,190,139.60)</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2,366,991,211.93</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2026279213"/>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集团财务公司</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708,708,011.31</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19,353,687.50</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(12,500,000.00)</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715,561,698.81</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918321869"/>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现代路桥公司</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148,903,649.23</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18,598,020.24</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167,501,669.47</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1383831136"/>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文化传媒</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77,626,203.86</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3,061,205.71</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80,687,409.57</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sdt>
            <w:sdtPr>
              <w:rPr>
                <w:rFonts w:hint="eastAsia"/>
                <w:sz w:val="18"/>
                <w:szCs w:val="18"/>
              </w:rPr>
              <w:alias w:val="联营企业投资信息明细"/>
              <w:tag w:val="_TUP_84080647b7644f7482007b578f8c0165"/>
              <w:id w:val="1154572415"/>
              <w:lock w:val="sdtLocked"/>
            </w:sdtPr>
            <w:sdtEndPr>
              <w:rPr>
                <w:rFonts w:hint="default"/>
                <w:sz w:val="18"/>
                <w:szCs w:val="18"/>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sz w:val="18"/>
                        <w:szCs w:val="18"/>
                      </w:rPr>
                      <w:t>联网公司</w:t>
                    </w:r>
                  </w:p>
                </w:tc>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29,994,283.94</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1,378,205.44</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31,372,489.38</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2bb2eb1b6f8c44dbb9f3cf34c4407eee"/>
                <w:id w:val="1170136843"/>
                <w:lock w:val="sdtLocked"/>
              </w:sdtPr>
              <w:sdtEndPr>
                <w:rPr>
                  <w:sz w:val="18"/>
                  <w:szCs w:val="18"/>
                </w:rPr>
              </w:sdtEndPr>
              <w:sdtContent>
                <w:tc>
                  <w:tcPr>
                    <w:tcW w:w="394" w:type="pct"/>
                    <w:tcBorders>
                      <w:top w:val="single" w:color="auto" w:sz="4" w:space="0"/>
                      <w:left w:val="single" w:color="auto" w:sz="4" w:space="0"/>
                      <w:bottom w:val="single" w:color="auto" w:sz="4" w:space="0"/>
                      <w:right w:val="single" w:color="auto" w:sz="4" w:space="0"/>
                    </w:tcBorders>
                    <w:shd w:val="clear" w:color="auto" w:fill="auto"/>
                  </w:tcPr>
                  <w:p>
                    <w:pPr>
                      <w:jc w:val="both"/>
                      <w:rPr>
                        <w:sz w:val="18"/>
                        <w:szCs w:val="18"/>
                      </w:rPr>
                    </w:pPr>
                    <w:r>
                      <w:rPr>
                        <w:rFonts w:hint="eastAsia"/>
                        <w:sz w:val="18"/>
                        <w:szCs w:val="18"/>
                      </w:rPr>
                      <w:t>悦鑫宁沪公司</w:t>
                    </w:r>
                  </w:p>
                </w:tc>
              </w:sdtContent>
            </w:sdt>
            <w:tc>
              <w:tcPr>
                <w:tcW w:w="87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11,184,702.95</w:t>
                </w:r>
              </w:p>
            </w:tc>
            <w:tc>
              <w:tcPr>
                <w:tcW w:w="239"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639,871.52</w:t>
                </w:r>
              </w:p>
            </w:tc>
            <w:tc>
              <w:tcPr>
                <w:tcW w:w="460"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50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322"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11,824,574.47</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18"/>
                  <w:szCs w:val="18"/>
                </w:rPr>
                <w:tag w:val="_PLD_afeb062a0b364136a347ba0a9543ff48"/>
                <w:id w:val="312989245"/>
                <w:lock w:val="sdtLocked"/>
              </w:sdtPr>
              <w:sdtEndPr>
                <w:rPr>
                  <w:sz w:val="18"/>
                  <w:szCs w:val="18"/>
                </w:rPr>
              </w:sdtEndPr>
              <w:sdtContent>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合计</w:t>
                    </w:r>
                  </w:p>
                </w:tc>
              </w:sdtContent>
            </w:sdt>
            <w:tc>
              <w:tcPr>
                <w:tcW w:w="87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7,451,254,731.71</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w:t>
                </w:r>
              </w:p>
            </w:tc>
            <w:tc>
              <w:tcPr>
                <w:tcW w:w="238"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317,834,574.60</w:t>
                </w:r>
              </w:p>
            </w:tc>
            <w:tc>
              <w:tcPr>
                <w:tcW w:w="46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22,487,569.28</w:t>
                </w:r>
              </w:p>
            </w:tc>
            <w:tc>
              <w:tcPr>
                <w:tcW w:w="50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(46,690,139.60)</w:t>
                </w:r>
              </w:p>
            </w:tc>
            <w:tc>
              <w:tcPr>
                <w:tcW w:w="32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w:t>
                </w:r>
              </w:p>
            </w:tc>
            <w:tc>
              <w:tcPr>
                <w:tcW w:w="95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sz w:val="18"/>
                    <w:szCs w:val="18"/>
                  </w:rPr>
                </w:pPr>
                <w:r>
                  <w:rPr>
                    <w:sz w:val="18"/>
                    <w:szCs w:val="18"/>
                  </w:rPr>
                  <w:t>7,744,886,735.99</w:t>
                </w:r>
              </w:p>
            </w:tc>
            <w:tc>
              <w:tcPr>
                <w:tcW w:w="317" w:type="pct"/>
                <w:tcBorders>
                  <w:top w:val="single" w:color="auto" w:sz="4" w:space="0"/>
                  <w:left w:val="single" w:color="auto" w:sz="4" w:space="0"/>
                  <w:bottom w:val="single" w:color="auto" w:sz="4" w:space="0"/>
                  <w:right w:val="single" w:color="auto" w:sz="4" w:space="0"/>
                </w:tcBorders>
                <w:shd w:val="clear" w:color="auto" w:fill="auto"/>
              </w:tcPr>
              <w:p>
                <w:pPr>
                  <w:jc w:val="right"/>
                  <w:rPr>
                    <w:sz w:val="18"/>
                    <w:szCs w:val="18"/>
                  </w:rPr>
                </w:pPr>
                <w:r>
                  <w:rPr>
                    <w:sz w:val="18"/>
                    <w:szCs w:val="18"/>
                  </w:rPr>
                  <w:t>-</w:t>
                </w:r>
              </w:p>
            </w:tc>
          </w:tr>
        </w:tbl>
        <w:p>
          <w:pPr>
            <w:pStyle w:val="114"/>
          </w:pPr>
        </w:p>
      </w:sdtContent>
    </w:sdt>
    <w:bookmarkEnd w:id="293"/>
    <w:sdt>
      <w:sdtPr>
        <w:rPr>
          <w:rFonts w:hint="eastAsia"/>
        </w:rPr>
        <w:alias w:val="模块:长期股权投资的说明"/>
        <w:tag w:val="_GBC_1577b793bbce4a50b07decde0e07491e"/>
        <w:id w:val="2089872284"/>
        <w:lock w:val="sdtLocked"/>
        <w:placeholder>
          <w:docPart w:val="GBC22222222222222222222222222222"/>
        </w:placeholder>
      </w:sdtPr>
      <w:sdtEndPr>
        <w:rPr>
          <w:rFonts w:hint="eastAsia"/>
        </w:rPr>
      </w:sdtEndPr>
      <w:sdtContent>
        <w:p>
          <w:pPr>
            <w:pStyle w:val="114"/>
          </w:pPr>
          <w:r>
            <w:rPr>
              <w:rFonts w:hint="eastAsia"/>
            </w:rPr>
            <w:t>其他说明：</w:t>
          </w:r>
        </w:p>
        <w:sdt>
          <w:sdtPr>
            <w:alias w:val="是否适用：母公司长期股权投资其他说明[双击切换]"/>
            <w:tag w:val="_GBC_8b70582854684459adc77f46cbf4aac7"/>
            <w:id w:val="21532098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4"/>
        <w:numPr>
          <w:ilvl w:val="0"/>
          <w:numId w:val="102"/>
        </w:numPr>
        <w:rPr>
          <w:rFonts w:ascii="宋体" w:hAnsi="宋体"/>
        </w:rPr>
      </w:pPr>
      <w:r>
        <w:rPr>
          <w:rFonts w:hint="eastAsia" w:ascii="宋体" w:hAnsi="宋体"/>
        </w:rPr>
        <w:t>营业收入和营业成本</w:t>
      </w:r>
    </w:p>
    <w:sdt>
      <w:sdtPr>
        <w:rPr>
          <w:rFonts w:hint="eastAsia" w:ascii="宋体" w:hAnsi="宋体" w:cs="宋体"/>
          <w:b w:val="0"/>
          <w:bCs w:val="0"/>
          <w:kern w:val="0"/>
          <w:szCs w:val="24"/>
        </w:rPr>
        <w:alias w:val="模块:营业收入和营业成本情况"/>
        <w:tag w:val="_SEC_c20353238d924d35bff1a3e0cee4af4b"/>
        <w:id w:val="-167102308"/>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6"/>
            </w:numPr>
            <w:rPr>
              <w:rFonts w:ascii="宋体" w:hAnsi="宋体"/>
            </w:rPr>
          </w:pPr>
          <w:bookmarkStart w:id="294" w:name="_Hlk10548568"/>
          <w:r>
            <w:rPr>
              <w:rFonts w:hint="eastAsia" w:ascii="宋体" w:hAnsi="宋体"/>
            </w:rPr>
            <w:t>营业收入和营业成本情况</w:t>
          </w:r>
        </w:p>
        <w:sdt>
          <w:sdtPr>
            <w:alias w:val="是否适用：母公司营业收入和营业成本[双击切换]"/>
            <w:tag w:val="_GBC_f62d83b1068f4bfaae3a590b0ac9f4d7"/>
            <w:id w:val="101666353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55"/>
            <w:ind w:firstLine="0" w:firstLineChars="0"/>
            <w:jc w:val="right"/>
            <w:rPr>
              <w:rFonts w:ascii="宋体" w:hAnsi="宋体"/>
              <w:kern w:val="0"/>
              <w:szCs w:val="21"/>
            </w:rPr>
          </w:pPr>
          <w:r>
            <w:rPr>
              <w:rFonts w:hint="eastAsia" w:ascii="宋体" w:hAnsi="宋体"/>
              <w:szCs w:val="21"/>
            </w:rPr>
            <w:t>单位：</w:t>
          </w:r>
          <w:sdt>
            <w:sdtPr>
              <w:rPr>
                <w:rFonts w:hint="eastAsia" w:ascii="宋体" w:hAnsi="宋体"/>
                <w:bCs/>
                <w:szCs w:val="21"/>
              </w:rPr>
              <w:alias w:val="单位：母公司财务附注：营业收入"/>
              <w:tag w:val="_GBC_40a730bb869a41578a25e9cb66f4e28e"/>
              <w:id w:val="-3704582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bCs/>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bCs/>
                <w:szCs w:val="21"/>
              </w:rPr>
              <w:alias w:val="币种：母公司财务附注：营业收入"/>
              <w:tag w:val="_GBC_1b6056b90b2c445a9b1bcdc97aa104ec"/>
              <w:id w:val="1642172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bCs/>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5"/>
            <w:gridCol w:w="1896"/>
            <w:gridCol w:w="1896"/>
            <w:gridCol w:w="1896"/>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dc9ae0da47e49d097992a176784945a"/>
                <w:id w:val="1728177951"/>
                <w:lock w:val="sdtLocked"/>
              </w:sdtPr>
              <w:sdtContent>
                <w:tc>
                  <w:tcPr>
                    <w:tcW w:w="1570" w:type="pct"/>
                    <w:vMerge w:val="restart"/>
                    <w:tcBorders>
                      <w:top w:val="single" w:color="auto" w:sz="4" w:space="0"/>
                      <w:left w:val="single" w:color="auto" w:sz="4" w:space="0"/>
                      <w:right w:val="single" w:color="auto" w:sz="4" w:space="0"/>
                    </w:tcBorders>
                    <w:shd w:val="clear" w:color="auto" w:fill="auto"/>
                    <w:vAlign w:val="center"/>
                  </w:tcPr>
                  <w:p>
                    <w:pPr>
                      <w:jc w:val="center"/>
                    </w:pPr>
                    <w:r>
                      <w:rPr>
                        <w:rFonts w:hint="eastAsia"/>
                      </w:rPr>
                      <w:t>项目</w:t>
                    </w:r>
                  </w:p>
                </w:tc>
              </w:sdtContent>
            </w:sdt>
            <w:sdt>
              <w:sdtPr>
                <w:tag w:val="_PLD_b47efcaea8ca428781485b2625b4c252"/>
                <w:id w:val="-350261665"/>
                <w:lock w:val="sdtLocked"/>
              </w:sdtPr>
              <w:sdtContent>
                <w:tc>
                  <w:tcPr>
                    <w:tcW w:w="184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本期发生额</w:t>
                    </w:r>
                  </w:p>
                </w:tc>
              </w:sdtContent>
            </w:sdt>
            <w:sdt>
              <w:sdtPr>
                <w:tag w:val="_PLD_44320683f4394adcaf1711775bb320ef"/>
                <w:id w:val="-2044041035"/>
                <w:lock w:val="sdtLocked"/>
              </w:sdtPr>
              <w:sdtContent>
                <w:tc>
                  <w:tcPr>
                    <w:tcW w:w="15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pct"/>
                <w:vMerge w:val="continue"/>
                <w:tcBorders>
                  <w:left w:val="single" w:color="auto" w:sz="4" w:space="0"/>
                  <w:bottom w:val="single" w:color="auto" w:sz="4" w:space="0"/>
                  <w:right w:val="single" w:color="auto" w:sz="4" w:space="0"/>
                </w:tcBorders>
                <w:shd w:val="clear" w:color="auto" w:fill="auto"/>
                <w:vAlign w:val="center"/>
              </w:tcPr>
              <w:p>
                <w:pPr>
                  <w:jc w:val="center"/>
                </w:pPr>
              </w:p>
            </w:tc>
            <w:sdt>
              <w:sdtPr>
                <w:tag w:val="_PLD_efb75dfbe3924c3a9f286eefd26b357f"/>
                <w:id w:val="1138685275"/>
                <w:lock w:val="sdtLocked"/>
              </w:sdtPr>
              <w:sdtContent>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收入</w:t>
                    </w:r>
                  </w:p>
                </w:tc>
              </w:sdtContent>
            </w:sdt>
            <w:sdt>
              <w:sdtPr>
                <w:tag w:val="_PLD_9ecc7b9050c24dcebd801ee01e950a91"/>
                <w:id w:val="-14925909"/>
                <w:lock w:val="sdtLocked"/>
              </w:sdtPr>
              <w:sdtContent>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成本</w:t>
                    </w:r>
                  </w:p>
                </w:tc>
              </w:sdtContent>
            </w:sdt>
            <w:sdt>
              <w:sdtPr>
                <w:tag w:val="_PLD_b2940b2f59f24f969eea718c85f99dda"/>
                <w:id w:val="-428511299"/>
                <w:lock w:val="sdtLocked"/>
              </w:sdtPr>
              <w:sdtContent>
                <w:tc>
                  <w:tcPr>
                    <w:tcW w:w="83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收入</w:t>
                    </w:r>
                  </w:p>
                </w:tc>
              </w:sdtContent>
            </w:sdt>
            <w:sdt>
              <w:sdtPr>
                <w:tag w:val="_PLD_971c170c70c24975ba7524e53623bf00"/>
                <w:id w:val="112337338"/>
                <w:lock w:val="sdtLocked"/>
              </w:sdtPr>
              <w:sdtContent>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成本</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2b4fe0479f44a60a5badd071c9f1f86"/>
                <w:id w:val="987818147"/>
                <w:lock w:val="sdtLocked"/>
              </w:sdtPr>
              <w:sdtContent>
                <w:tc>
                  <w:tcPr>
                    <w:tcW w:w="1570" w:type="pct"/>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主营业务</w:t>
                    </w:r>
                  </w:p>
                </w:tc>
              </w:sdtContent>
            </w:sdt>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4,133,867,894.27</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1,909,560,682.44</w:t>
                </w:r>
              </w:p>
            </w:tc>
            <w:tc>
              <w:tcPr>
                <w:tcW w:w="8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2,917,525,129.00</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1,410,156,240.66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fc897eb0cea4fd1aa59bd1823fab728"/>
                <w:id w:val="360791745"/>
                <w:lock w:val="sdtLocked"/>
              </w:sdtPr>
              <w:sdtContent>
                <w:tc>
                  <w:tcPr>
                    <w:tcW w:w="1570" w:type="pct"/>
                    <w:tcBorders>
                      <w:top w:val="single" w:color="auto" w:sz="4" w:space="0"/>
                      <w:left w:val="single" w:color="auto" w:sz="4" w:space="0"/>
                      <w:bottom w:val="single" w:color="auto" w:sz="4" w:space="0"/>
                      <w:right w:val="single" w:color="auto" w:sz="4" w:space="0"/>
                    </w:tcBorders>
                    <w:shd w:val="clear" w:color="auto" w:fill="auto"/>
                  </w:tcPr>
                  <w:p>
                    <w:pPr>
                      <w:pStyle w:val="114"/>
                    </w:pPr>
                    <w:r>
                      <w:rPr>
                        <w:rFonts w:hint="eastAsia"/>
                      </w:rPr>
                      <w:t>其他业务</w:t>
                    </w:r>
                  </w:p>
                </w:tc>
              </w:sdtContent>
            </w:sdt>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45,769,544.41</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c>
              <w:tcPr>
                <w:tcW w:w="8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40,174,811.63</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209c319d43f848d2a0456ecaa5150b62"/>
                <w:id w:val="-1066342165"/>
                <w:lock w:val="sdtLocked"/>
              </w:sdtPr>
              <w:sdtContent>
                <w:tc>
                  <w:tcPr>
                    <w:tcW w:w="157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合计</w:t>
                    </w:r>
                  </w:p>
                </w:tc>
              </w:sdtContent>
            </w:sdt>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4,179,637,438.68</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1,909,560,682.44</w:t>
                </w:r>
              </w:p>
            </w:tc>
            <w:tc>
              <w:tcPr>
                <w:tcW w:w="837"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2,957,699,940.63</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pPr>
                <w:r>
                  <w:t>1,410,156,240.66</w:t>
                </w:r>
              </w:p>
            </w:tc>
          </w:tr>
        </w:tbl>
        <w:p>
          <w:pPr>
            <w:pStyle w:val="114"/>
          </w:pPr>
        </w:p>
        <w:p>
          <w:pPr>
            <w:pStyle w:val="114"/>
          </w:pPr>
        </w:p>
      </w:sdtContent>
    </w:sdt>
    <w:bookmarkEnd w:id="294"/>
    <w:sdt>
      <w:sdtPr>
        <w:rPr>
          <w:rFonts w:hint="eastAsia" w:ascii="宋体" w:hAnsi="宋体" w:cs="宋体"/>
          <w:b w:val="0"/>
          <w:bCs w:val="0"/>
          <w:kern w:val="0"/>
          <w:szCs w:val="21"/>
        </w:rPr>
        <w:alias w:val="模块:合同产生的收入情况："/>
        <w:tag w:val="_SEC_2713156f501a4b5a86eb4ab43bcaf25e"/>
        <w:id w:val="2090349677"/>
        <w:lock w:val="sdtLocked"/>
        <w:placeholder>
          <w:docPart w:val="GBC22222222222222222222222222222"/>
        </w:placeholder>
      </w:sdtPr>
      <w:sdtEndPr>
        <w:rPr>
          <w:rFonts w:hint="eastAsia" w:ascii="宋体" w:hAnsi="宋体" w:cs="宋体"/>
          <w:b w:val="0"/>
          <w:bCs w:val="0"/>
          <w:kern w:val="0"/>
          <w:szCs w:val="21"/>
        </w:rPr>
      </w:sdtEndPr>
      <w:sdtContent>
        <w:p>
          <w:pPr>
            <w:pStyle w:val="5"/>
            <w:numPr>
              <w:ilvl w:val="0"/>
              <w:numId w:val="106"/>
            </w:numPr>
            <w:rPr>
              <w:rFonts w:ascii="宋体" w:hAnsi="宋体"/>
              <w:szCs w:val="21"/>
            </w:rPr>
          </w:pPr>
          <w:bookmarkStart w:id="295" w:name="_Hlk10548607"/>
          <w:r>
            <w:rPr>
              <w:rFonts w:hint="eastAsia" w:ascii="宋体" w:hAnsi="宋体"/>
              <w:szCs w:val="21"/>
            </w:rPr>
            <w:t>合同产生的收入情况</w:t>
          </w:r>
        </w:p>
        <w:sdt>
          <w:sdtPr>
            <w:rPr>
              <w:rFonts w:ascii="宋体" w:hAnsi="宋体"/>
              <w:szCs w:val="21"/>
            </w:rPr>
            <w:alias w:val="是否适用：母公司合同产生的收入[双击切换]"/>
            <w:tag w:val="_GBC_f4f1c383538f4a76af749e49b3462b68"/>
            <w:id w:val="-70129989"/>
            <w:lock w:val="sdtLocked"/>
            <w:placeholder>
              <w:docPart w:val="GBC22222222222222222222222222222"/>
            </w:placeholder>
          </w:sdtPr>
          <w:sdtEndPr>
            <w:rPr>
              <w:rFonts w:ascii="宋体" w:hAnsi="宋体"/>
              <w:szCs w:val="21"/>
            </w:rPr>
          </w:sdtEndPr>
          <w:sdtContent>
            <w:p>
              <w:pPr>
                <w:pStyle w:val="55"/>
                <w:ind w:firstLine="0" w:firstLineChars="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pPr>
            <w:pStyle w:val="55"/>
            <w:ind w:firstLine="0" w:firstLineChars="0"/>
            <w:jc w:val="right"/>
            <w:rPr>
              <w:rFonts w:ascii="宋体" w:hAnsi="宋体"/>
              <w:szCs w:val="21"/>
            </w:rPr>
          </w:pPr>
          <w:r>
            <w:rPr>
              <w:rFonts w:hint="eastAsia" w:ascii="宋体" w:hAnsi="宋体"/>
              <w:szCs w:val="21"/>
            </w:rPr>
            <w:t>单位：</w:t>
          </w:r>
          <w:sdt>
            <w:sdtPr>
              <w:rPr>
                <w:rFonts w:hint="eastAsia" w:ascii="宋体" w:hAnsi="宋体"/>
                <w:szCs w:val="21"/>
              </w:rPr>
              <w:alias w:val="单位：母公司合同产生的收入"/>
              <w:tag w:val="_GBC_4adc58883ef44e8ebea1762f0434d596"/>
              <w:id w:val="-274019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ascii="宋体" w:hAnsi="宋体"/>
                <w:szCs w:val="21"/>
              </w:rPr>
            </w:sdtEndPr>
            <w:sdtContent>
              <w:r>
                <w:rPr>
                  <w:rFonts w:hint="eastAsia" w:ascii="宋体" w:hAnsi="宋体"/>
                  <w:szCs w:val="21"/>
                </w:rPr>
                <w:t>元</w:t>
              </w:r>
            </w:sdtContent>
          </w:sdt>
          <w:r>
            <w:rPr>
              <w:rFonts w:hint="eastAsia" w:ascii="宋体" w:hAnsi="宋体"/>
              <w:szCs w:val="21"/>
            </w:rPr>
            <w:t xml:space="preserve">  币种：</w:t>
          </w:r>
          <w:sdt>
            <w:sdtPr>
              <w:rPr>
                <w:rFonts w:hint="eastAsia" w:ascii="宋体" w:hAnsi="宋体"/>
                <w:szCs w:val="21"/>
              </w:rPr>
              <w:alias w:val="币种：母公司合同产生的收入"/>
              <w:tag w:val="_GBC_046c678d71314293a7965e974e75c9e4"/>
              <w:id w:val="8455989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ascii="宋体" w:hAnsi="宋体"/>
                <w:szCs w:val="21"/>
              </w:rPr>
            </w:sdtEndPr>
            <w:sdtContent>
              <w:r>
                <w:rPr>
                  <w:rFonts w:hint="eastAsia" w:ascii="宋体" w:hAnsi="宋体"/>
                  <w:szCs w:val="21"/>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3"/>
            <w:gridCol w:w="4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tag w:val="_PLD_a5020ef155ec4602ad2241de5811b002"/>
                <w:id w:val="571094501"/>
                <w:lock w:val="sdtLocked"/>
              </w:sdtPr>
              <w:sdtEndPr>
                <w:rPr>
                  <w:rFonts w:hint="eastAsia"/>
                </w:rPr>
              </w:sdtEndPr>
              <w:sdtContent>
                <w:tc>
                  <w:tcPr>
                    <w:tcW w:w="2615" w:type="pct"/>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合同分类</w:t>
                    </w:r>
                  </w:p>
                </w:tc>
              </w:sdtContent>
            </w:sdt>
            <w:sdt>
              <w:sdtPr>
                <w:rPr>
                  <w:rFonts w:hint="eastAsia"/>
                </w:rPr>
                <w:tag w:val="_PLD_41ad04c6bfff489086b0fa845d0103e5"/>
                <w:id w:val="-752586312"/>
                <w:lock w:val="sdtLocked"/>
              </w:sdtPr>
              <w:sdtEndPr>
                <w:rPr>
                  <w:rFonts w:hint="eastAsia"/>
                </w:rPr>
              </w:sdtEndPr>
              <w:sdtContent>
                <w:tc>
                  <w:tcPr>
                    <w:tcW w:w="2386" w:type="pct"/>
                    <w:tcBorders>
                      <w:top w:val="single" w:color="auto" w:sz="4" w:space="0"/>
                      <w:left w:val="single" w:color="auto" w:sz="4" w:space="0"/>
                      <w:bottom w:val="single" w:color="auto" w:sz="4" w:space="0"/>
                      <w:right w:val="single" w:color="auto" w:sz="4" w:space="0"/>
                    </w:tcBorders>
                    <w:vAlign w:val="center"/>
                  </w:tcPr>
                  <w:p>
                    <w:pPr>
                      <w:jc w:val="center"/>
                      <w:rPr>
                        <w:color w:val="808080"/>
                      </w:rPr>
                    </w:pPr>
                    <w:r>
                      <w:rPr>
                        <w:rFonts w:hint="eastAsia"/>
                      </w:rPr>
                      <w:t>合计</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alias w:val="分部按销售渠道分类明细名称"/>
                <w:tag w:val="_GBC_798f5103fd6f46e5863eb58aa68786a7"/>
                <w:id w:val="-63415350"/>
                <w:lock w:val="sdtLocked"/>
              </w:sdtPr>
              <w:sdtEndPr>
                <w:rPr>
                  <w:rFonts w:hint="eastAsia"/>
                </w:rPr>
              </w:sdtEndPr>
              <w:sdtContent>
                <w:tc>
                  <w:tcPr>
                    <w:tcW w:w="261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rPr>
                        <w:rFonts w:hint="eastAsia"/>
                      </w:rPr>
                      <w:t>按商品转让的时间分类</w:t>
                    </w:r>
                  </w:p>
                </w:tc>
              </w:sdtContent>
            </w:sdt>
            <w:sdt>
              <w:sdtPr>
                <w:alias w:val="按销售渠道分类明细合同产生的收入"/>
                <w:tag w:val="_GBC_f82f479c78f148fba22097f87c015a97"/>
                <w:id w:val="-1312863870"/>
                <w:lock w:val="sdtLocked"/>
                <w:showingPlcHdr/>
              </w:sdtPr>
              <w:sdtContent>
                <w:tc>
                  <w:tcPr>
                    <w:tcW w:w="2386" w:type="pct"/>
                    <w:tcBorders>
                      <w:top w:val="single" w:color="auto" w:sz="4" w:space="0"/>
                      <w:left w:val="single" w:color="auto" w:sz="4" w:space="0"/>
                      <w:bottom w:val="single" w:color="auto" w:sz="4" w:space="0"/>
                      <w:right w:val="single" w:color="auto" w:sz="4" w:space="0"/>
                    </w:tcBorders>
                  </w:tcPr>
                  <w:p>
                    <w:pPr>
                      <w:jc w:val="right"/>
                    </w:pPr>
                    <w:r>
                      <w:t xml:space="preserve">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hint="eastAsia"/>
                </w:rPr>
                <w:alias w:val="分部按销售渠道分类明细名称"/>
                <w:tag w:val="_GBC_798f5103fd6f46e5863eb58aa68786a7"/>
                <w:id w:val="1227648109"/>
                <w:lock w:val="sdtLocked"/>
              </w:sdtPr>
              <w:sdtEndPr>
                <w:rPr>
                  <w:rFonts w:hint="eastAsia"/>
                </w:rPr>
              </w:sdtEndPr>
              <w:sdtContent>
                <w:tc>
                  <w:tcPr>
                    <w:tcW w:w="261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rPr>
                        <w:rFonts w:hint="eastAsia"/>
                      </w:rPr>
                      <w:t>在某一时点确认收入</w:t>
                    </w:r>
                  </w:p>
                </w:tc>
              </w:sdtContent>
            </w:sdt>
            <w:sdt>
              <w:sdtPr>
                <w:alias w:val="按销售渠道分类明细合同产生的收入"/>
                <w:tag w:val="_GBC_f82f479c78f148fba22097f87c015a97"/>
                <w:id w:val="-53782956"/>
                <w:lock w:val="sdtLocked"/>
              </w:sdtPr>
              <w:sdtContent>
                <w:tc>
                  <w:tcPr>
                    <w:tcW w:w="2386" w:type="pct"/>
                    <w:tcBorders>
                      <w:top w:val="single" w:color="auto" w:sz="4" w:space="0"/>
                      <w:left w:val="single" w:color="auto" w:sz="4" w:space="0"/>
                      <w:bottom w:val="single" w:color="auto" w:sz="4" w:space="0"/>
                      <w:right w:val="single" w:color="auto" w:sz="4" w:space="0"/>
                    </w:tcBorders>
                  </w:tcPr>
                  <w:p>
                    <w:pPr>
                      <w:jc w:val="right"/>
                    </w:pPr>
                    <w:r>
                      <w:t>4,087,601,316.13</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sdt>
              <w:sdtPr>
                <w:rPr>
                  <w:rFonts w:hint="eastAsia"/>
                </w:rPr>
                <w:alias w:val="分部按销售渠道分类明细名称"/>
                <w:tag w:val="_GBC_798f5103fd6f46e5863eb58aa68786a7"/>
                <w:id w:val="613255885"/>
                <w:lock w:val="sdtLocked"/>
              </w:sdtPr>
              <w:sdtEndPr>
                <w:rPr>
                  <w:rFonts w:hint="eastAsia"/>
                </w:rPr>
              </w:sdtEndPr>
              <w:sdtContent>
                <w:tc>
                  <w:tcPr>
                    <w:tcW w:w="2615" w:type="pct"/>
                    <w:tcBorders>
                      <w:top w:val="single" w:color="auto" w:sz="4" w:space="0"/>
                      <w:left w:val="single" w:color="auto" w:sz="4" w:space="0"/>
                      <w:bottom w:val="single" w:color="auto" w:sz="4" w:space="0"/>
                      <w:right w:val="single" w:color="auto" w:sz="4" w:space="0"/>
                    </w:tcBorders>
                    <w:shd w:val="clear" w:color="auto" w:fill="auto"/>
                  </w:tcPr>
                  <w:p>
                    <w:pPr>
                      <w:ind w:firstLine="420" w:firstLineChars="200"/>
                    </w:pPr>
                    <w:r>
                      <w:rPr>
                        <w:rFonts w:hint="eastAsia"/>
                      </w:rPr>
                      <w:t>在某一时段内确认收入</w:t>
                    </w:r>
                  </w:p>
                </w:tc>
              </w:sdtContent>
            </w:sdt>
            <w:sdt>
              <w:sdtPr>
                <w:alias w:val="按销售渠道分类明细合同产生的收入"/>
                <w:tag w:val="_GBC_f82f479c78f148fba22097f87c015a97"/>
                <w:id w:val="874428397"/>
                <w:lock w:val="sdtLocked"/>
              </w:sdtPr>
              <w:sdtContent>
                <w:tc>
                  <w:tcPr>
                    <w:tcW w:w="2386" w:type="pct"/>
                    <w:tcBorders>
                      <w:top w:val="single" w:color="auto" w:sz="4" w:space="0"/>
                      <w:left w:val="single" w:color="auto" w:sz="4" w:space="0"/>
                      <w:bottom w:val="single" w:color="auto" w:sz="4" w:space="0"/>
                      <w:right w:val="single" w:color="auto" w:sz="4" w:space="0"/>
                    </w:tcBorders>
                  </w:tcPr>
                  <w:p>
                    <w:pPr>
                      <w:jc w:val="right"/>
                    </w:pPr>
                    <w:r>
                      <w:t>45,769,544.41</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15" w:type="pct"/>
                <w:tcBorders>
                  <w:top w:val="single" w:color="auto" w:sz="4" w:space="0"/>
                  <w:left w:val="single" w:color="auto" w:sz="4" w:space="0"/>
                  <w:bottom w:val="single" w:color="auto" w:sz="4" w:space="0"/>
                  <w:right w:val="single" w:color="auto" w:sz="4" w:space="0"/>
                </w:tcBorders>
                <w:shd w:val="clear" w:color="auto" w:fill="auto"/>
              </w:tcPr>
              <w:sdt>
                <w:sdtPr>
                  <w:rPr>
                    <w:rFonts w:hint="eastAsia"/>
                  </w:rPr>
                  <w:tag w:val="_PLD_0efe914344914868bb1c5857f7815d0d"/>
                  <w:id w:val="1859767016"/>
                  <w:lock w:val="sdtLocked"/>
                </w:sdtPr>
                <w:sdtEndPr>
                  <w:rPr>
                    <w:rFonts w:hint="eastAsia"/>
                  </w:rPr>
                </w:sdtEndPr>
                <w:sdtContent>
                  <w:p>
                    <w:pPr>
                      <w:jc w:val="center"/>
                    </w:pPr>
                    <w:r>
                      <w:rPr>
                        <w:rFonts w:hint="eastAsia"/>
                      </w:rPr>
                      <w:t>合计</w:t>
                    </w:r>
                  </w:p>
                </w:sdtContent>
              </w:sdt>
            </w:tc>
            <w:tc>
              <w:tcPr>
                <w:tcW w:w="2386" w:type="pct"/>
                <w:tcBorders>
                  <w:top w:val="single" w:color="auto" w:sz="4" w:space="0"/>
                  <w:left w:val="single" w:color="auto" w:sz="4" w:space="0"/>
                  <w:bottom w:val="single" w:color="auto" w:sz="4" w:space="0"/>
                  <w:right w:val="single" w:color="auto" w:sz="4" w:space="0"/>
                </w:tcBorders>
              </w:tcPr>
              <w:p>
                <w:pPr>
                  <w:jc w:val="right"/>
                </w:pPr>
              </w:p>
              <w:sdt>
                <w:sdtPr>
                  <w:alias w:val="合同产生的收入"/>
                  <w:tag w:val="_GBC_153b4b2b62b0477fa6bff78d1b2a4ef8"/>
                  <w:id w:val="2076544508"/>
                  <w:lock w:val="sdtLocked"/>
                </w:sdtPr>
                <w:sdtContent>
                  <w:p>
                    <w:pPr>
                      <w:jc w:val="right"/>
                    </w:pPr>
                    <w:r>
                      <w:t>4,133,370,860.54</w:t>
                    </w:r>
                  </w:p>
                </w:sdtContent>
              </w:sdt>
            </w:tc>
          </w:tr>
        </w:tbl>
        <w:p>
          <w:pPr>
            <w:pStyle w:val="114"/>
          </w:pPr>
          <w:r>
            <w:rPr>
              <w:rFonts w:hint="eastAsia"/>
            </w:rPr>
            <w:t>合同产生的收入说明：</w:t>
          </w:r>
        </w:p>
        <w:sdt>
          <w:sdtPr>
            <w:alias w:val="是否适用：母公司合同产生的收入说明[双击切换]"/>
            <w:tag w:val="_GBC_4e9f72abba74469a841384eb05af7e06"/>
            <w:id w:val="1341667067"/>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pacing w:before="60" w:after="60"/>
          </w:pPr>
        </w:p>
      </w:sdtContent>
    </w:sdt>
    <w:bookmarkEnd w:id="295"/>
    <w:sdt>
      <w:sdtPr>
        <w:rPr>
          <w:rFonts w:hint="eastAsia" w:ascii="宋体" w:hAnsi="宋体" w:cs="宋体"/>
          <w:b w:val="0"/>
          <w:bCs w:val="0"/>
          <w:kern w:val="0"/>
          <w:szCs w:val="24"/>
        </w:rPr>
        <w:alias w:val="模块:履约义务的说明"/>
        <w:tag w:val="_SEC_53d5f13d55ef41a88538eb4a1cd87f53"/>
        <w:id w:val="506797088"/>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6"/>
            </w:numPr>
            <w:rPr>
              <w:rFonts w:ascii="宋体" w:hAnsi="宋体"/>
            </w:rPr>
          </w:pPr>
          <w:bookmarkStart w:id="296" w:name="_Hlk10548652"/>
          <w:bookmarkStart w:id="297" w:name="_Hlk10548661"/>
          <w:r>
            <w:rPr>
              <w:rFonts w:hint="eastAsia" w:ascii="宋体" w:hAnsi="宋体"/>
            </w:rPr>
            <w:t>履约义务的说明</w:t>
          </w:r>
          <w:bookmarkEnd w:id="296"/>
        </w:p>
        <w:sdt>
          <w:sdtPr>
            <w:alias w:val="是否适用：母公司履约义务的说明[双击切换]"/>
            <w:tag w:val="_GBC_9fa12dfead42484a96c713de3deeb146"/>
            <w:id w:val="-1758135242"/>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pacing w:before="60" w:after="60"/>
          </w:pPr>
        </w:p>
      </w:sdtContent>
    </w:sdt>
    <w:bookmarkEnd w:id="297"/>
    <w:sdt>
      <w:sdtPr>
        <w:rPr>
          <w:rFonts w:hint="eastAsia" w:ascii="宋体" w:hAnsi="宋体" w:cs="宋体"/>
          <w:b w:val="0"/>
          <w:bCs w:val="0"/>
          <w:kern w:val="0"/>
          <w:szCs w:val="24"/>
        </w:rPr>
        <w:alias w:val="模块:分摊至剩余履约义务的说明"/>
        <w:tag w:val="_SEC_70d7b3f4762b43eabe7e1ecc83c000d4"/>
        <w:id w:val="-1497961405"/>
        <w:lock w:val="sdtLocked"/>
        <w:placeholder>
          <w:docPart w:val="GBC22222222222222222222222222222"/>
        </w:placeholder>
      </w:sdtPr>
      <w:sdtEndPr>
        <w:rPr>
          <w:rFonts w:hint="default" w:ascii="宋体" w:hAnsi="宋体" w:cs="宋体"/>
          <w:b w:val="0"/>
          <w:bCs w:val="0"/>
          <w:kern w:val="0"/>
          <w:szCs w:val="21"/>
        </w:rPr>
      </w:sdtEndPr>
      <w:sdtContent>
        <w:p>
          <w:pPr>
            <w:pStyle w:val="5"/>
            <w:numPr>
              <w:ilvl w:val="0"/>
              <w:numId w:val="106"/>
            </w:numPr>
            <w:rPr>
              <w:rFonts w:ascii="宋体" w:hAnsi="宋体"/>
            </w:rPr>
          </w:pPr>
          <w:bookmarkStart w:id="298" w:name="_Hlk10548677"/>
          <w:bookmarkStart w:id="299" w:name="_Hlk10548687"/>
          <w:r>
            <w:rPr>
              <w:rFonts w:hint="eastAsia" w:ascii="宋体" w:hAnsi="宋体"/>
            </w:rPr>
            <w:t>分摊至剩余履约义务的说明</w:t>
          </w:r>
          <w:bookmarkEnd w:id="298"/>
        </w:p>
        <w:sdt>
          <w:sdtPr>
            <w:alias w:val="是否适用：母公司分摊至剩余履约义务的说明[双击切换]"/>
            <w:tag w:val="_GBC_ed475c258e94496384f686833dfaebba"/>
            <w:id w:val="88684185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spacing w:before="60" w:after="60"/>
          </w:pPr>
        </w:p>
      </w:sdtContent>
    </w:sdt>
    <w:bookmarkEnd w:id="299"/>
    <w:p>
      <w:pPr>
        <w:spacing w:before="60" w:after="60"/>
      </w:pPr>
      <w:r>
        <w:rPr>
          <w:rFonts w:hint="eastAsia"/>
        </w:rPr>
        <w:t>其他说明：</w:t>
      </w:r>
    </w:p>
    <w:sdt>
      <w:sdtPr>
        <w:alias w:val="主营业务说明"/>
        <w:tag w:val="_GBC_67059ac627994738bbd2a2272a5068c8"/>
        <w:id w:val="1152247632"/>
        <w:lock w:val="sdtLocked"/>
        <w:placeholder>
          <w:docPart w:val="GBC22222222222222222222222222222"/>
        </w:placeholder>
      </w:sdtPr>
      <w:sdtContent>
        <w:p>
          <w:pPr>
            <w:pStyle w:val="114"/>
          </w:pPr>
          <w:r>
            <w:rPr>
              <w:rFonts w:hint="eastAsia"/>
            </w:rPr>
            <w:t>不适用</w:t>
          </w:r>
        </w:p>
      </w:sdtContent>
    </w:sdt>
    <w:p>
      <w:pPr>
        <w:pStyle w:val="114"/>
      </w:pPr>
    </w:p>
    <w:sdt>
      <w:sdtPr>
        <w:rPr>
          <w:rFonts w:hint="eastAsia" w:ascii="宋体" w:hAnsi="宋体" w:cs="宋体"/>
          <w:b w:val="0"/>
          <w:bCs w:val="0"/>
          <w:kern w:val="0"/>
          <w:szCs w:val="21"/>
        </w:rPr>
        <w:alias w:val="模块:投资收益"/>
        <w:tag w:val="_SEC_69cb0c27d0a845f8ab1383f9a47646b6"/>
        <w:id w:val="-1491476668"/>
        <w:lock w:val="sdtLocked"/>
        <w:placeholder>
          <w:docPart w:val="GBC22222222222222222222222222222"/>
        </w:placeholder>
      </w:sdtPr>
      <w:sdtEndPr>
        <w:rPr>
          <w:rFonts w:hint="default" w:ascii="宋体" w:hAnsi="宋体" w:cs="宋体"/>
          <w:b w:val="0"/>
          <w:bCs w:val="0"/>
          <w:kern w:val="0"/>
          <w:szCs w:val="21"/>
        </w:rPr>
      </w:sdtEndPr>
      <w:sdtContent>
        <w:p>
          <w:pPr>
            <w:pStyle w:val="4"/>
            <w:numPr>
              <w:ilvl w:val="0"/>
              <w:numId w:val="102"/>
            </w:numPr>
            <w:rPr>
              <w:rFonts w:ascii="宋体" w:hAnsi="宋体"/>
              <w:szCs w:val="21"/>
            </w:rPr>
          </w:pPr>
          <w:bookmarkStart w:id="300" w:name="OLE_LINK6"/>
          <w:bookmarkStart w:id="301" w:name="_Hlk10548739"/>
          <w:r>
            <w:rPr>
              <w:rFonts w:hint="eastAsia" w:ascii="宋体" w:hAnsi="宋体"/>
              <w:szCs w:val="21"/>
            </w:rPr>
            <w:t>投资收益</w:t>
          </w:r>
          <w:bookmarkEnd w:id="300"/>
        </w:p>
        <w:sdt>
          <w:sdtPr>
            <w:alias w:val="是否适用：母公司投资收益[双击切换]"/>
            <w:tag w:val="_GBC_bdba48f0322747499f6908fbbf78a16f"/>
            <w:id w:val="1235901968"/>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4372143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549055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bookmarkEnd w:id="301"/>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2693"/>
            <w:gridCol w:w="2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263506df19847a5a86c9b873a7b7673"/>
                <w:id w:val="1608157152"/>
                <w:lock w:val="sdtLocked"/>
              </w:sdtPr>
              <w:sdtContent>
                <w:tc>
                  <w:tcPr>
                    <w:tcW w:w="2018" w:type="pct"/>
                    <w:vAlign w:val="center"/>
                  </w:tcPr>
                  <w:p>
                    <w:pPr>
                      <w:ind w:left="420" w:hanging="420"/>
                      <w:jc w:val="center"/>
                    </w:pPr>
                    <w:bookmarkStart w:id="302" w:name="_Hlk10720480"/>
                    <w:r>
                      <w:rPr>
                        <w:rFonts w:hint="eastAsia"/>
                      </w:rPr>
                      <w:t>项目</w:t>
                    </w:r>
                  </w:p>
                </w:tc>
              </w:sdtContent>
            </w:sdt>
            <w:sdt>
              <w:sdtPr>
                <w:tag w:val="_PLD_6da456fe7d784e789fe8204c2cc499b3"/>
                <w:id w:val="-248573827"/>
                <w:lock w:val="sdtLocked"/>
              </w:sdtPr>
              <w:sdtContent>
                <w:tc>
                  <w:tcPr>
                    <w:tcW w:w="1488" w:type="pct"/>
                    <w:vAlign w:val="center"/>
                  </w:tcPr>
                  <w:p>
                    <w:pPr>
                      <w:jc w:val="center"/>
                    </w:pPr>
                    <w:r>
                      <w:rPr>
                        <w:rFonts w:hint="eastAsia"/>
                      </w:rPr>
                      <w:t>本期发生额</w:t>
                    </w:r>
                  </w:p>
                </w:tc>
              </w:sdtContent>
            </w:sdt>
            <w:sdt>
              <w:sdtPr>
                <w:tag w:val="_PLD_d81207d79e9643e0a08aec2616f96432"/>
                <w:id w:val="-602346486"/>
                <w:lock w:val="sdtLocked"/>
              </w:sdtPr>
              <w:sdtContent>
                <w:tc>
                  <w:tcPr>
                    <w:tcW w:w="1494" w:type="pct"/>
                    <w:vAlign w:val="center"/>
                  </w:tcPr>
                  <w:p>
                    <w:pPr>
                      <w:jc w:val="center"/>
                    </w:pPr>
                    <w:r>
                      <w:rPr>
                        <w:rFonts w:hint="eastAsia"/>
                      </w:rPr>
                      <w:t>上期发生额</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1f01afe4c29429eb16be2099b93f262"/>
                <w:id w:val="-1348708873"/>
                <w:lock w:val="sdtLocked"/>
              </w:sdtPr>
              <w:sdtContent>
                <w:tc>
                  <w:tcPr>
                    <w:tcW w:w="2018" w:type="pct"/>
                  </w:tcPr>
                  <w:p>
                    <w:pPr>
                      <w:pStyle w:val="114"/>
                    </w:pPr>
                    <w:r>
                      <w:rPr>
                        <w:rFonts w:hint="eastAsia"/>
                      </w:rPr>
                      <w:t>权益法核算的长期股权投资收益</w:t>
                    </w:r>
                  </w:p>
                </w:tc>
              </w:sdtContent>
            </w:sdt>
            <w:tc>
              <w:tcPr>
                <w:tcW w:w="1488" w:type="pct"/>
                <w:vAlign w:val="center"/>
              </w:tcPr>
              <w:p>
                <w:pPr>
                  <w:jc w:val="right"/>
                </w:pPr>
                <w:r>
                  <w:t>317,834,574.60</w:t>
                </w:r>
              </w:p>
            </w:tc>
            <w:tc>
              <w:tcPr>
                <w:tcW w:w="1494" w:type="pct"/>
                <w:vAlign w:val="center"/>
              </w:tcPr>
              <w:p>
                <w:pPr>
                  <w:jc w:val="right"/>
                </w:pPr>
                <w:r>
                  <w:t>225,015,071.27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sdt>
                <w:sdtPr>
                  <w:rPr>
                    <w:rFonts w:hint="eastAsia"/>
                  </w:rPr>
                  <w:tag w:val="_PLD_176d54ac29944675be59911eb486bccf"/>
                  <w:id w:val="754165000"/>
                  <w:lock w:val="sdtLocked"/>
                </w:sdtPr>
                <w:sdtEndPr>
                  <w:rPr>
                    <w:rFonts w:hint="eastAsia"/>
                  </w:rPr>
                </w:sdtEndPr>
                <w:sdtContent>
                  <w:p>
                    <w:pPr>
                      <w:pStyle w:val="114"/>
                    </w:pPr>
                    <w:r>
                      <w:rPr>
                        <w:rFonts w:hint="eastAsia"/>
                      </w:rPr>
                      <w:t>其他权益工具投资在持有期间取得的股利收入</w:t>
                    </w:r>
                  </w:p>
                </w:sdtContent>
              </w:sdt>
            </w:tc>
            <w:tc>
              <w:tcPr>
                <w:tcW w:w="1488" w:type="pct"/>
                <w:vAlign w:val="center"/>
              </w:tcPr>
              <w:p>
                <w:pPr>
                  <w:jc w:val="right"/>
                </w:pPr>
                <w:r>
                  <w:t>-</w:t>
                </w:r>
              </w:p>
            </w:tc>
            <w:tc>
              <w:tcPr>
                <w:tcW w:w="1494" w:type="pct"/>
                <w:vAlign w:val="center"/>
              </w:tcPr>
              <w:p>
                <w:pPr>
                  <w:jc w:val="right"/>
                </w:pPr>
                <w:r>
                  <w:t>296,993,920.00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sdt>
                <w:sdtPr>
                  <w:rPr>
                    <w:rFonts w:hint="eastAsia"/>
                  </w:rPr>
                  <w:tag w:val="_PLD_baa6118a368348e59b66911712bfb1f0"/>
                  <w:id w:val="2102219178"/>
                  <w:lock w:val="sdtLocked"/>
                </w:sdtPr>
                <w:sdtEndPr>
                  <w:rPr>
                    <w:rFonts w:hint="eastAsia"/>
                  </w:rPr>
                </w:sdtEndPr>
                <w:sdtContent>
                  <w:p>
                    <w:pPr>
                      <w:pStyle w:val="114"/>
                    </w:pPr>
                    <w:r>
                      <w:rPr>
                        <w:rFonts w:hint="eastAsia"/>
                      </w:rPr>
                      <w:t>贷款利息收入</w:t>
                    </w:r>
                  </w:p>
                </w:sdtContent>
              </w:sdt>
            </w:tc>
            <w:tc>
              <w:tcPr>
                <w:tcW w:w="1488" w:type="pct"/>
                <w:vAlign w:val="center"/>
              </w:tcPr>
              <w:p>
                <w:pPr>
                  <w:jc w:val="right"/>
                </w:pPr>
                <w:r>
                  <w:t>31,466,249.12</w:t>
                </w:r>
              </w:p>
            </w:tc>
            <w:tc>
              <w:tcPr>
                <w:tcW w:w="1494" w:type="pct"/>
                <w:vAlign w:val="center"/>
              </w:tcPr>
              <w:p>
                <w:pPr>
                  <w:jc w:val="right"/>
                </w:pPr>
                <w:r>
                  <w:t>36,439,483.26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sdt>
                <w:sdtPr>
                  <w:rPr>
                    <w:rFonts w:hint="eastAsia"/>
                  </w:rPr>
                  <w:tag w:val="_PLD_3518bbf343564460a1ee75040bb06283"/>
                  <w:id w:val="987362703"/>
                  <w:lock w:val="sdtLocked"/>
                </w:sdtPr>
                <w:sdtEndPr>
                  <w:rPr>
                    <w:rFonts w:hint="eastAsia"/>
                  </w:rPr>
                </w:sdtEndPr>
                <w:sdtContent>
                  <w:p>
                    <w:pPr>
                      <w:pStyle w:val="114"/>
                    </w:pPr>
                    <w:r>
                      <w:rPr>
                        <w:rFonts w:hint="eastAsia"/>
                      </w:rPr>
                      <w:t>处置交易性金融资产取得的投资收益</w:t>
                    </w:r>
                  </w:p>
                </w:sdtContent>
              </w:sdt>
            </w:tc>
            <w:tc>
              <w:tcPr>
                <w:tcW w:w="1488" w:type="pct"/>
                <w:vAlign w:val="center"/>
              </w:tcPr>
              <w:p>
                <w:pPr>
                  <w:jc w:val="right"/>
                </w:pPr>
                <w:r>
                  <w:t>27,908,963.55</w:t>
                </w:r>
              </w:p>
            </w:tc>
            <w:tc>
              <w:tcPr>
                <w:tcW w:w="1494" w:type="pct"/>
                <w:vAlign w:val="center"/>
              </w:tcPr>
              <w:p>
                <w:pPr>
                  <w:jc w:val="right"/>
                </w:pPr>
                <w:r>
                  <w:t>83,002,877.00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32fb4caa4bf4a6e968a012892b6f16b"/>
                <w:id w:val="-765304088"/>
                <w:lock w:val="sdtLocked"/>
              </w:sdtPr>
              <w:sdtContent>
                <w:tc>
                  <w:tcPr>
                    <w:tcW w:w="2018" w:type="pct"/>
                    <w:vAlign w:val="center"/>
                  </w:tcPr>
                  <w:p>
                    <w:pPr>
                      <w:jc w:val="center"/>
                    </w:pPr>
                    <w:r>
                      <w:rPr>
                        <w:rFonts w:hint="eastAsia"/>
                      </w:rPr>
                      <w:t>合计</w:t>
                    </w:r>
                  </w:p>
                </w:tc>
              </w:sdtContent>
            </w:sdt>
            <w:tc>
              <w:tcPr>
                <w:tcW w:w="1488" w:type="pct"/>
                <w:vAlign w:val="center"/>
              </w:tcPr>
              <w:p>
                <w:pPr>
                  <w:jc w:val="right"/>
                </w:pPr>
                <w:r>
                  <w:t>377,209,787.27</w:t>
                </w:r>
              </w:p>
            </w:tc>
            <w:tc>
              <w:tcPr>
                <w:tcW w:w="1494" w:type="pct"/>
                <w:vAlign w:val="center"/>
              </w:tcPr>
              <w:p>
                <w:pPr>
                  <w:jc w:val="right"/>
                </w:pPr>
                <w:r>
                  <w:t>641,451,351.53</w:t>
                </w:r>
              </w:p>
            </w:tc>
          </w:tr>
        </w:tbl>
        <w:p>
          <w:pPr>
            <w:spacing w:line="360" w:lineRule="exact"/>
          </w:pPr>
          <w:r>
            <w:rPr>
              <w:rFonts w:hint="eastAsia"/>
            </w:rPr>
            <w:t>其他说明：</w:t>
          </w:r>
          <w:bookmarkEnd w:id="302"/>
        </w:p>
        <w:sdt>
          <w:sdtPr>
            <w:alias w:val="投资收益说明"/>
            <w:tag w:val="_GBC_e91b47a8afc84e119383bf071cb9a50d"/>
            <w:id w:val="-1486080114"/>
            <w:lock w:val="sdtLocked"/>
            <w:placeholder>
              <w:docPart w:val="GBC22222222222222222222222222222"/>
            </w:placeholder>
          </w:sdtPr>
          <w:sdtContent>
            <w:p>
              <w:pPr>
                <w:pStyle w:val="114"/>
              </w:pPr>
              <w:r>
                <w:rPr>
                  <w:rFonts w:hint="eastAsia"/>
                </w:rPr>
                <w:t>不适用</w:t>
              </w:r>
            </w:p>
          </w:sdtContent>
        </w:sdt>
      </w:sdtContent>
    </w:sdt>
    <w:p>
      <w:pPr>
        <w:pStyle w:val="114"/>
      </w:pPr>
    </w:p>
    <w:p>
      <w:pPr>
        <w:pStyle w:val="114"/>
      </w:pPr>
    </w:p>
    <w:sdt>
      <w:sdtPr>
        <w:rPr>
          <w:rFonts w:hint="eastAsia" w:ascii="宋体" w:hAnsi="宋体" w:cs="宋体"/>
          <w:b w:val="0"/>
          <w:bCs w:val="0"/>
          <w:kern w:val="0"/>
          <w:szCs w:val="21"/>
        </w:rPr>
        <w:alias w:val="模块:母公司会计报表附注的其他说明事项"/>
        <w:tag w:val="_GBC_23958e5452684882b98c8317e400c8d6"/>
        <w:id w:val="-610825475"/>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102"/>
            </w:numPr>
            <w:rPr>
              <w:rFonts w:ascii="宋体" w:hAnsi="宋体"/>
              <w:szCs w:val="21"/>
            </w:rPr>
          </w:pPr>
          <w:r>
            <w:rPr>
              <w:rFonts w:hint="eastAsia" w:ascii="宋体" w:hAnsi="宋体"/>
              <w:szCs w:val="21"/>
            </w:rPr>
            <w:t>其他</w:t>
          </w:r>
        </w:p>
        <w:sdt>
          <w:sdtPr>
            <w:alias w:val="是否适用：母公司会计报表附注的其他说明事项[双击切换]"/>
            <w:tag w:val="_GBC_198503cdf8c8448ea7bb4de3243a4de8"/>
            <w:id w:val="-149841845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p>
      <w:pPr>
        <w:pStyle w:val="3"/>
        <w:numPr>
          <w:ilvl w:val="0"/>
          <w:numId w:val="38"/>
        </w:numPr>
        <w:ind w:left="422" w:hanging="422"/>
        <w:rPr>
          <w:rFonts w:ascii="宋体" w:hAnsi="宋体"/>
        </w:rPr>
      </w:pPr>
      <w:r>
        <w:rPr>
          <w:rFonts w:hint="eastAsia" w:ascii="宋体" w:hAnsi="宋体"/>
        </w:rPr>
        <w:t>补充资料</w:t>
      </w:r>
    </w:p>
    <w:sdt>
      <w:sdtPr>
        <w:rPr>
          <w:rFonts w:hint="eastAsia" w:ascii="宋体" w:hAnsi="宋体" w:cs="宋体"/>
          <w:b w:val="0"/>
          <w:bCs w:val="0"/>
          <w:kern w:val="0"/>
          <w:szCs w:val="21"/>
        </w:rPr>
        <w:alias w:val="模块:当期非经常性损益明细"/>
        <w:tag w:val="_SEC_2aa2bf80e6494d88b3464b71ad8053ad"/>
        <w:id w:val="-2143497163"/>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107"/>
            </w:numPr>
            <w:rPr>
              <w:rFonts w:ascii="宋体" w:hAnsi="宋体"/>
              <w:szCs w:val="21"/>
            </w:rPr>
          </w:pPr>
          <w:bookmarkStart w:id="303" w:name="_Hlk10548828"/>
          <w:bookmarkStart w:id="304" w:name="_Hlk106610824"/>
          <w:r>
            <w:rPr>
              <w:rFonts w:hint="eastAsia" w:ascii="宋体" w:hAnsi="宋体"/>
              <w:szCs w:val="21"/>
            </w:rPr>
            <w:t>当期非经常性损益明细表</w:t>
          </w:r>
        </w:p>
        <w:sdt>
          <w:sdtPr>
            <w:alias w:val="是否适用：当期非经常性损益明细表[双击切换]"/>
            <w:tag w:val="_GBC_29aac768f1ad4d0b9b96cad3770c4d21"/>
            <w:id w:val="1877964216"/>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扣除非经常性损益项目和金额"/>
              <w:tag w:val="_GBC_4436c98561b643bf829f7af1787fa9d8"/>
              <w:id w:val="1996301333"/>
              <w:lock w:val="sdtLocked"/>
              <w:placeholder>
                <w:docPart w:val="GBC22222222222222222222222222222"/>
              </w:placeholder>
              <w:dataBinding w:prefixMappings="xmlns:clcid-ci-ar='clcid-ci-ar'" w:xpath="/*/clcid-ci-ar:DanWeiKouChuFeiJingChangXingSunYiXiangMuHeJinE[not(@periodRef)]" w:storeItemID="{89EBAB94-44A0-46A2-B712-30D997D04A6D}"/>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扣除非经常性损益项目和金额"/>
              <w:tag w:val="_GBC_87049d5866e5400d9b29a6b6aad1ebd6"/>
              <w:id w:val="-2059531896"/>
              <w:lock w:val="sdtLocked"/>
              <w:placeholder>
                <w:docPart w:val="GBC22222222222222222222222222222"/>
              </w:placeholder>
              <w:dataBinding w:prefixMappings="xmlns:clcid-ci-ar='clcid-ci-ar'" w:xpath="/*/clcid-ci-ar:BiZhongKouChuFeiJingChangXingSunYiXiangMuHeJinE[not(@periodRef)]" w:storeItemID="{89EBAB94-44A0-46A2-B712-30D997D04A6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4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6"/>
            <w:gridCol w:w="1791"/>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69bc367d6244fbe9883b876f3bed3f4"/>
                <w:id w:val="-174494302"/>
                <w:lock w:val="sdtLocked"/>
              </w:sdtPr>
              <w:sdtContent>
                <w:tc>
                  <w:tcPr>
                    <w:tcW w:w="3050" w:type="pct"/>
                    <w:shd w:val="clear" w:color="auto" w:fill="auto"/>
                    <w:vAlign w:val="center"/>
                  </w:tcPr>
                  <w:p>
                    <w:pPr>
                      <w:jc w:val="center"/>
                    </w:pPr>
                    <w:r>
                      <w:rPr>
                        <w:rFonts w:hint="eastAsia"/>
                      </w:rPr>
                      <w:t>项目</w:t>
                    </w:r>
                  </w:p>
                </w:tc>
              </w:sdtContent>
            </w:sdt>
            <w:sdt>
              <w:sdtPr>
                <w:tag w:val="_PLD_07cdf126d43644389c915ce330f0a265"/>
                <w:id w:val="1253698001"/>
                <w:lock w:val="sdtLocked"/>
              </w:sdtPr>
              <w:sdtContent>
                <w:tc>
                  <w:tcPr>
                    <w:tcW w:w="643" w:type="pct"/>
                    <w:shd w:val="clear" w:color="auto" w:fill="auto"/>
                  </w:tcPr>
                  <w:p>
                    <w:pPr>
                      <w:jc w:val="center"/>
                    </w:pPr>
                    <w:r>
                      <w:rPr>
                        <w:rFonts w:hint="eastAsia"/>
                      </w:rPr>
                      <w:t>金额</w:t>
                    </w:r>
                  </w:p>
                </w:tc>
              </w:sdtContent>
            </w:sdt>
            <w:sdt>
              <w:sdtPr>
                <w:tag w:val="_PLD_688303e218d947dbb3a96d7dedc397b0"/>
                <w:id w:val="1818764255"/>
                <w:lock w:val="sdtLocked"/>
              </w:sdtPr>
              <w:sdtContent>
                <w:tc>
                  <w:tcPr>
                    <w:tcW w:w="1307" w:type="pct"/>
                  </w:tcPr>
                  <w:p>
                    <w:pPr>
                      <w:jc w:val="center"/>
                    </w:pPr>
                    <w:r>
                      <w:rPr>
                        <w:rFonts w:hint="eastAsia"/>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3f536068dbe54abf94287863945c32e1"/>
                <w:id w:val="1602600912"/>
                <w:lock w:val="sdtLocked"/>
              </w:sdtPr>
              <w:sdtContent>
                <w:tc>
                  <w:tcPr>
                    <w:tcW w:w="3050" w:type="pct"/>
                    <w:shd w:val="clear" w:color="auto" w:fill="auto"/>
                    <w:vAlign w:val="center"/>
                  </w:tcPr>
                  <w:p>
                    <w:pPr>
                      <w:pStyle w:val="114"/>
                    </w:pPr>
                    <w:r>
                      <w:rPr>
                        <w:rFonts w:hint="eastAsia"/>
                      </w:rPr>
                      <w:t>非流动资产处置损益</w:t>
                    </w:r>
                  </w:p>
                </w:tc>
              </w:sdtContent>
            </w:sdt>
            <w:sdt>
              <w:sdtPr>
                <w:rPr>
                  <w:rFonts w:hint="eastAsia"/>
                </w:rPr>
                <w:alias w:val="非流动性资产处置损益，包括已计提资产减值准备的冲销部分（非经常性损益项目）"/>
                <w:tag w:val="_GBC_c0f6e37f5f8c43628c4ac4c4c9c7d16a"/>
                <w:id w:val="-100274771"/>
                <w:lock w:val="sdtLocked"/>
                <w:dataBinding w:prefixMappings="xmlns:clcid-pte='clcid-pte'" w:xpath="/*/clcid-pte:FeiLiuDongXingZiChanChuZhiSunYiBaoKuoYiJiTiZiChanJianZhiZhunBeiDeChongXiaoBuFenFeiJingChangXingSunYiXiangMu[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4,789,530.84</w:t>
                    </w:r>
                  </w:p>
                </w:tc>
              </w:sdtContent>
            </w:sdt>
            <w:sdt>
              <w:sdtPr>
                <w:alias w:val="非流动性资产处置损益，包括已计提资产减值准备的冲销部分的说明（非经常性损益项目）"/>
                <w:tag w:val="_GBC_3dd3912c36bc4f1180fa034def97791b"/>
                <w:id w:val="1911190491"/>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1307" w:type="pct"/>
                    <w:vAlign w:val="center"/>
                  </w:tcPr>
                  <w:p>
                    <w:pPr>
                      <w:rPr>
                        <w:b/>
                      </w:rPr>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43a7e56c2a4446ba19f46bdec73d879"/>
                <w:id w:val="-394894668"/>
                <w:lock w:val="sdtLocked"/>
              </w:sdtPr>
              <w:sdtContent>
                <w:tc>
                  <w:tcPr>
                    <w:tcW w:w="3050" w:type="pct"/>
                    <w:shd w:val="clear" w:color="auto" w:fill="auto"/>
                    <w:vAlign w:val="center"/>
                  </w:tcPr>
                  <w:p>
                    <w:pPr>
                      <w:pStyle w:val="114"/>
                    </w:pPr>
                    <w:r>
                      <w:rPr>
                        <w:rFonts w:hint="eastAsia"/>
                      </w:rPr>
                      <w:t>计入当期损益的政府补助，但与公司正常经营业务密切相关，符合国家政策规定、按照一定标准定额或定量持续享受的政府补助除外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308139e0f1b74c959fddb892cd8c5736"/>
                <w:id w:val="-39904090"/>
                <w:lock w:val="sdtLocked"/>
                <w:dataBinding w:prefixMappings="xmlns:clcid-pte='clcid-pte'" w:xpath="/*/clcid-pte:FeiJingChangXingSunYiZhongGeZhongXingShiDeZhengFuBuTie[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11,806,394.00</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1717930181"/>
                <w:lock w:val="sdtLocked"/>
                <w:showingPlcHdr/>
                <w:dataBinding w:prefixMappings="xmlns:clcid-pte='clcid-pte'" w:xpath="/*/clcid-pte:FeiJingChangXingSunYiZhongGeZhongXingShiDeZhengFuBuTieShuoMing[not(@periodRef)]" w:storeItemID="{89EBAB94-44A0-46A2-B712-30D997D04A6D}"/>
                <w:text/>
              </w:sdtPr>
              <w:sdtContent>
                <w:tc>
                  <w:tcPr>
                    <w:tcW w:w="1307" w:type="pct"/>
                    <w:vAlign w:val="center"/>
                  </w:tcPr>
                  <w:p>
                    <w:pPr>
                      <w:pStyle w:val="114"/>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0" w:type="pct"/>
                <w:shd w:val="clear" w:color="auto" w:fill="auto"/>
                <w:vAlign w:val="center"/>
              </w:tcPr>
              <w:sdt>
                <w:sdtPr>
                  <w:rPr>
                    <w:rFonts w:hint="eastAsia"/>
                  </w:rPr>
                  <w:tag w:val="_PLD_6498769efe934f4b8e819e7019ca7f0f"/>
                  <w:id w:val="1307743295"/>
                  <w:lock w:val="sdtLocked"/>
                </w:sdtPr>
                <w:sdtEndPr>
                  <w:rPr>
                    <w:rFonts w:hint="eastAsia"/>
                  </w:rPr>
                </w:sdtEndPr>
                <w:sdtContent>
                  <w:p>
                    <w:pPr>
                      <w:pStyle w:val="114"/>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224a12dac2db4ca892e7f1a882e42e7c"/>
                <w:id w:val="-1995871569"/>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145,489,738.00</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316993181"/>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1307" w:type="pct"/>
                    <w:vAlign w:val="center"/>
                  </w:tcPr>
                  <w:p>
                    <w:pPr>
                      <w:pStyle w:val="114"/>
                    </w:pPr>
                    <w:r>
                      <w:rPr>
                        <w:rStyle w:val="70"/>
                        <w:rFonts w:hint="eastAsia"/>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fa1c4b1a8dc840c093ac835d0ff2d658"/>
                <w:id w:val="1772897391"/>
                <w:lock w:val="sdtLocked"/>
              </w:sdtPr>
              <w:sdtContent>
                <w:tc>
                  <w:tcPr>
                    <w:tcW w:w="3050" w:type="pct"/>
                    <w:shd w:val="clear" w:color="auto" w:fill="auto"/>
                    <w:vAlign w:val="center"/>
                  </w:tcPr>
                  <w:p>
                    <w:pPr>
                      <w:pStyle w:val="114"/>
                    </w:pPr>
                    <w:r>
                      <w:rPr>
                        <w:rFonts w:hint="eastAsia"/>
                      </w:rPr>
                      <w:t>受托经营取得的托管费收入</w:t>
                    </w:r>
                  </w:p>
                </w:tc>
              </w:sdtContent>
            </w:sdt>
            <w:sdt>
              <w:sdtPr>
                <w:rPr>
                  <w:rFonts w:hint="eastAsia"/>
                </w:rPr>
                <w:alias w:val="受托经营取得的托管费收入（非经常性损益项目）"/>
                <w:tag w:val="_GBC_01bb7c18ed004499a19ed60d8ada354b"/>
                <w:id w:val="-1271089216"/>
                <w:lock w:val="sdtLocked"/>
                <w:dataBinding w:prefixMappings="xmlns:clcid-pte='clcid-pte'" w:xpath="/*/clcid-pte:ShouTuoJingYingQuDeDeTuoGuanFeiShouRu[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25,071,566.88</w:t>
                    </w:r>
                  </w:p>
                </w:tc>
              </w:sdtContent>
            </w:sdt>
            <w:sdt>
              <w:sdtPr>
                <w:alias w:val="受托经营取得的托管费收入的说明（非经常性损益项目）"/>
                <w:tag w:val="_GBC_636fb229e1fe41c3b0932068619569bb"/>
                <w:id w:val="-1384325695"/>
                <w:lock w:val="sdtLocked"/>
                <w:showingPlcHdr/>
                <w:dataBinding w:prefixMappings="xmlns:clcid-pte='clcid-pte'" w:xpath="/*/clcid-pte:ShouTuoJingYingQuDeDeTuoGuanFeiShouRuShuoMing[not(@periodRef)]" w:storeItemID="{89EBAB94-44A0-46A2-B712-30D997D04A6D}"/>
                <w:text/>
              </w:sdtPr>
              <w:sdtContent>
                <w:tc>
                  <w:tcPr>
                    <w:tcW w:w="1307" w:type="pct"/>
                    <w:vAlign w:val="center"/>
                  </w:tcPr>
                  <w:p>
                    <w:pPr>
                      <w:pStyle w:val="114"/>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d99047b8026b45e79749d3c2bef23630"/>
                <w:id w:val="-1457869279"/>
                <w:lock w:val="sdtLocked"/>
              </w:sdtPr>
              <w:sdtContent>
                <w:tc>
                  <w:tcPr>
                    <w:tcW w:w="3050" w:type="pct"/>
                    <w:shd w:val="clear" w:color="auto" w:fill="auto"/>
                    <w:vAlign w:val="center"/>
                  </w:tcPr>
                  <w:p>
                    <w:pPr>
                      <w:pStyle w:val="114"/>
                    </w:pPr>
                    <w:r>
                      <w:rPr>
                        <w:rFonts w:hint="eastAsia"/>
                      </w:rPr>
                      <w:t>除上述各项之外的其他营业外收入和支出</w:t>
                    </w:r>
                  </w:p>
                </w:tc>
              </w:sdtContent>
            </w:sdt>
            <w:sdt>
              <w:sdtPr>
                <w:rPr>
                  <w:rFonts w:hint="eastAsia"/>
                </w:rPr>
                <w:alias w:val="除上述各项之外的其他营业外收入和支出（非经常性损益项目）"/>
                <w:tag w:val="_GBC_24bc23dc8be547428751d03a12150a53"/>
                <w:id w:val="-1762517130"/>
                <w:lock w:val="sdtLocked"/>
                <w:dataBinding w:prefixMappings="xmlns:clcid-pte='clcid-pte'" w:xpath="/*/clcid-pte:ChuShangShuGeXiangZhiWaiDeQiTaYingYeWaiShouZhiJingE[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(2,654,584.33)</w:t>
                    </w:r>
                  </w:p>
                </w:tc>
              </w:sdtContent>
            </w:sdt>
            <w:sdt>
              <w:sdtPr>
                <w:alias w:val="除上述各项之外的其他营业外收入和支出的说明（非经常性损益项目）"/>
                <w:tag w:val="_GBC_9c075c815c3448f0bcee455eb66a6ed9"/>
                <w:id w:val="1210616262"/>
                <w:lock w:val="sdtLocked"/>
                <w:showingPlcHdr/>
                <w:dataBinding w:prefixMappings="xmlns:clcid-pte='clcid-pte'" w:xpath="/*/clcid-pte:ChuShangShuGeXiangZhiWaiDeQiTaYingYeWaiShouZhiJingEShuoMing[not(@periodRef)]" w:storeItemID="{89EBAB94-44A0-46A2-B712-30D997D04A6D}"/>
                <w:text/>
              </w:sdtPr>
              <w:sdtContent>
                <w:tc>
                  <w:tcPr>
                    <w:tcW w:w="1307" w:type="pct"/>
                    <w:vAlign w:val="center"/>
                  </w:tcPr>
                  <w:p>
                    <w:pPr>
                      <w:pStyle w:val="114"/>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0" w:type="pct"/>
                <w:shd w:val="clear" w:color="auto" w:fill="auto"/>
                <w:vAlign w:val="center"/>
              </w:tcPr>
              <w:p>
                <w:pPr>
                  <w:pStyle w:val="114"/>
                </w:pPr>
                <w:r>
                  <w:rPr>
                    <w:rFonts w:hint="eastAsia"/>
                  </w:rPr>
                  <w:t>小计</w:t>
                </w:r>
              </w:p>
            </w:tc>
            <w:tc>
              <w:tcPr>
                <w:tcW w:w="643" w:type="pct"/>
                <w:shd w:val="clear" w:color="auto" w:fill="auto"/>
                <w:vAlign w:val="center"/>
              </w:tcPr>
              <w:p>
                <w:pPr>
                  <w:jc w:val="right"/>
                </w:pPr>
                <w:r>
                  <w:t>184,502,645.39</w:t>
                </w:r>
              </w:p>
            </w:tc>
            <w:tc>
              <w:tcPr>
                <w:tcW w:w="1307" w:type="pct"/>
                <w:vAlign w:val="center"/>
              </w:tcPr>
              <w:p>
                <w:pPr>
                  <w:pStyle w:val="11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3115e396e8d490b8b02b4ca0b50ad1d"/>
                <w:id w:val="-1014295286"/>
                <w:lock w:val="sdtLocked"/>
              </w:sdtPr>
              <w:sdtContent>
                <w:tc>
                  <w:tcPr>
                    <w:tcW w:w="3050" w:type="pct"/>
                    <w:shd w:val="clear" w:color="auto" w:fill="auto"/>
                    <w:vAlign w:val="center"/>
                  </w:tcPr>
                  <w:p>
                    <w:pPr>
                      <w:pStyle w:val="114"/>
                    </w:pPr>
                    <w:r>
                      <w:rPr>
                        <w:rFonts w:hint="eastAsia"/>
                      </w:rPr>
                      <w:t>所得税影响额</w:t>
                    </w:r>
                  </w:p>
                </w:tc>
              </w:sdtContent>
            </w:sdt>
            <w:sdt>
              <w:sdtPr>
                <w:rPr>
                  <w:rFonts w:hint="eastAsia"/>
                </w:rPr>
                <w:alias w:val="非经常性损益_对所得税的影响"/>
                <w:tag w:val="_GBC_1564ecde27e94754875e776609c19f67"/>
                <w:id w:val="1533381040"/>
                <w:lock w:val="sdtLocked"/>
                <w:dataBinding w:prefixMappings="xmlns:clcid-pte='clcid-pte'" w:xpath="/*/clcid-pte:FeiJingChangXingSunYiDeKouChuXiangMuDuiSuoDeShuiDeYingXiang[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(46,125,661.35)</w:t>
                    </w:r>
                  </w:p>
                </w:tc>
              </w:sdtContent>
            </w:sdt>
            <w:sdt>
              <w:sdtPr>
                <w:alias w:val="所得税影响额的说明（非经常性损益项目）"/>
                <w:tag w:val="_GBC_e513123bd70747eb9eb9a7ed0ba8c555"/>
                <w:id w:val="-1906360213"/>
                <w:lock w:val="sdtLocked"/>
                <w:showingPlcHdr/>
                <w:dataBinding w:prefixMappings="xmlns:clcid-pte='clcid-pte'" w:xpath="/*/clcid-pte:FeiJingChangXingSunYiDeKouChuXiangMuDuiSuoDeShuiDeYingXiangShuoMing[not(@periodRef)]" w:storeItemID="{89EBAB94-44A0-46A2-B712-30D997D04A6D}"/>
                <w:text/>
              </w:sdtPr>
              <w:sdtContent>
                <w:tc>
                  <w:tcPr>
                    <w:tcW w:w="1307" w:type="pct"/>
                    <w:vAlign w:val="center"/>
                  </w:tcPr>
                  <w:p>
                    <w:pPr>
                      <w:pStyle w:val="114"/>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88ed22294ebe4117963f18569902fcc4"/>
                <w:id w:val="1901320618"/>
                <w:lock w:val="sdtLocked"/>
              </w:sdtPr>
              <w:sdtContent>
                <w:tc>
                  <w:tcPr>
                    <w:tcW w:w="3050" w:type="pct"/>
                    <w:shd w:val="clear" w:color="auto" w:fill="auto"/>
                    <w:vAlign w:val="center"/>
                  </w:tcPr>
                  <w:p>
                    <w:pPr>
                      <w:ind w:firstLine="420" w:firstLineChars="200"/>
                    </w:pPr>
                    <w:r>
                      <w:rPr>
                        <w:rFonts w:hint="eastAsia"/>
                      </w:rPr>
                      <w:t>少数股东权益影响额（税后）</w:t>
                    </w:r>
                  </w:p>
                </w:tc>
              </w:sdtContent>
            </w:sdt>
            <w:sdt>
              <w:sdtPr>
                <w:rPr>
                  <w:rFonts w:hint="eastAsia"/>
                </w:rPr>
                <w:alias w:val="少数股东权益影响额（非经常性损益项目）"/>
                <w:tag w:val="_GBC_dcef562a0baa46a8876e74a5fbcbc44b"/>
                <w:id w:val="-1340311643"/>
                <w:lock w:val="sdtLocked"/>
                <w:dataBinding w:prefixMappings="xmlns:clcid-pte='clcid-pte'" w:xpath="/*/clcid-pte:FeiJingChangXingSunYiXiangMuZhongShaoShuGuDongQuanYiYingXiangE[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(4,644,088.12)</w:t>
                    </w:r>
                  </w:p>
                </w:tc>
              </w:sdtContent>
            </w:sdt>
            <w:sdt>
              <w:sdtPr>
                <w:alias w:val="少数股东权益影响额的说明（非经常性损益项目）"/>
                <w:tag w:val="_GBC_21d9ffc595b7458b9c4e73e737655985"/>
                <w:id w:val="1426685565"/>
                <w:lock w:val="sdtLocked"/>
                <w:showingPlcHdr/>
                <w:dataBinding w:prefixMappings="xmlns:clcid-pte='clcid-pte'" w:xpath="/*/clcid-pte:FeiJingChangXingSunYiXiangMuZhongShaoShuGuDongQuanYiYingXiangEShuoMing[not(@periodRef)]" w:storeItemID="{89EBAB94-44A0-46A2-B712-30D997D04A6D}"/>
                <w:text/>
              </w:sdtPr>
              <w:sdtContent>
                <w:tc>
                  <w:tcPr>
                    <w:tcW w:w="1307" w:type="pct"/>
                    <w:vAlign w:val="center"/>
                  </w:tcPr>
                  <w:p>
                    <w:pPr>
                      <w:pStyle w:val="114"/>
                    </w:pPr>
                    <w:r>
                      <w:rPr>
                        <w:rFonts w:hint="eastAsia"/>
                        <w:color w:val="0000FF"/>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4ca07c62a532429b944c09bb184430ac"/>
                <w:id w:val="-642815801"/>
                <w:lock w:val="sdtLocked"/>
              </w:sdtPr>
              <w:sdtContent>
                <w:tc>
                  <w:tcPr>
                    <w:tcW w:w="3050" w:type="pct"/>
                    <w:shd w:val="clear" w:color="auto" w:fill="auto"/>
                    <w:vAlign w:val="center"/>
                  </w:tcPr>
                  <w:p>
                    <w:pPr>
                      <w:jc w:val="center"/>
                    </w:pPr>
                    <w:r>
                      <w:rPr>
                        <w:rFonts w:hint="eastAsia"/>
                      </w:rPr>
                      <w:t>合计</w:t>
                    </w:r>
                  </w:p>
                </w:tc>
              </w:sdtContent>
            </w:sdt>
            <w:sdt>
              <w:sdtPr>
                <w:rPr>
                  <w:rFonts w:hint="eastAsia"/>
                </w:rPr>
                <w:alias w:val="扣除的非经常性损益合计"/>
                <w:tag w:val="_GBC_d518a1fdd4ec465292454f884c810341"/>
                <w:id w:val="-255288086"/>
                <w:lock w:val="sdtLocked"/>
                <w:dataBinding w:prefixMappings="xmlns:clcid-pte='clcid-pte'" w:xpath="/*/clcid-pte:KouChuDeFeiJingChangXingSunYiHeJi[not(@periodRef)]" w:storeItemID="{89EBAB94-44A0-46A2-B712-30D997D04A6D}"/>
                <w:text/>
              </w:sdtPr>
              <w:sdtEndPr>
                <w:rPr>
                  <w:rFonts w:hint="eastAsia"/>
                </w:rPr>
              </w:sdtEndPr>
              <w:sdtContent>
                <w:tc>
                  <w:tcPr>
                    <w:tcW w:w="643" w:type="pct"/>
                    <w:shd w:val="clear" w:color="auto" w:fill="auto"/>
                    <w:vAlign w:val="center"/>
                  </w:tcPr>
                  <w:p>
                    <w:pPr>
                      <w:jc w:val="right"/>
                    </w:pPr>
                    <w:r>
                      <w:rPr>
                        <w:rFonts w:hint="eastAsia"/>
                      </w:rPr>
                      <w:t>133,732,895.92</w:t>
                    </w:r>
                  </w:p>
                </w:tc>
              </w:sdtContent>
            </w:sdt>
            <w:sdt>
              <w:sdtPr>
                <w:rPr>
                  <w:rFonts w:hint="eastAsia"/>
                </w:rPr>
                <w:alias w:val="扣除的非经常性损益合计说明"/>
                <w:tag w:val="_GBC_96b36bdab33c442491bfe762db9f195d"/>
                <w:id w:val="235595675"/>
                <w:lock w:val="sdtLocked"/>
                <w:showingPlcHdr/>
                <w:dataBinding w:prefixMappings="xmlns:clcid-pte='clcid-pte'" w:xpath="/*/clcid-pte:KouChuDeFeiJingChangXingSunYiHeJiShuoMing[not(@periodRef)]" w:storeItemID="{89EBAB94-44A0-46A2-B712-30D997D04A6D}"/>
                <w:text/>
              </w:sdtPr>
              <w:sdtEndPr>
                <w:rPr>
                  <w:rFonts w:hint="eastAsia"/>
                </w:rPr>
              </w:sdtEndPr>
              <w:sdtContent>
                <w:tc>
                  <w:tcPr>
                    <w:tcW w:w="1307" w:type="pct"/>
                    <w:vAlign w:val="center"/>
                  </w:tcPr>
                  <w:p>
                    <w:pPr>
                      <w:pStyle w:val="114"/>
                    </w:pPr>
                    <w:r>
                      <w:rPr>
                        <w:rFonts w:hint="eastAsia"/>
                      </w:rPr>
                      <w:t>　</w:t>
                    </w:r>
                  </w:p>
                </w:tc>
              </w:sdtContent>
            </w:sdt>
          </w:tr>
        </w:tbl>
        <w:p>
          <w:pPr>
            <w:pStyle w:val="114"/>
          </w:pPr>
        </w:p>
      </w:sdtContent>
    </w:sdt>
    <w:bookmarkEnd w:id="303"/>
    <w:bookmarkEnd w:id="304"/>
    <w:sdt>
      <w:sdtPr>
        <w:rPr>
          <w:rFonts w:hint="eastAsia"/>
        </w:rPr>
        <w:alias w:val="模块:对公司根据《公开发行证券的公司信息披露解释性公告第1号——非..."/>
        <w:tag w:val="_GBC_7944e47348cd4cd186b958ba1902ea3f"/>
        <w:id w:val="1480187791"/>
        <w:lock w:val="sdtLocked"/>
        <w:placeholder>
          <w:docPart w:val="GBC22222222222222222222222222222"/>
        </w:placeholder>
      </w:sdtPr>
      <w:sdtEndPr>
        <w:rPr>
          <w:rFonts w:hint="default"/>
        </w:rPr>
      </w:sdtEndPr>
      <w:sdtContent>
        <w:p>
          <w:pPr>
            <w:pStyle w:val="114"/>
          </w:pPr>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1573544250"/>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ascii="宋体" w:hAnsi="宋体" w:cs="宋体"/>
          <w:b w:val="0"/>
          <w:bCs w:val="0"/>
          <w:kern w:val="0"/>
          <w:szCs w:val="21"/>
        </w:rPr>
        <w:alias w:val="模块:净资产收益率及每股收益"/>
        <w:tag w:val="_GBC_146d888914ac4591bea1ff0ea9e89617"/>
        <w:id w:val="-610430598"/>
        <w:lock w:val="sdtLocked"/>
        <w:placeholder>
          <w:docPart w:val="GBC22222222222222222222222222222"/>
        </w:placeholder>
      </w:sdtPr>
      <w:sdtEndPr>
        <w:rPr>
          <w:rFonts w:hint="eastAsia" w:ascii="宋体" w:hAnsi="宋体" w:cs="宋体"/>
          <w:b w:val="0"/>
          <w:bCs w:val="0"/>
          <w:kern w:val="0"/>
          <w:szCs w:val="21"/>
        </w:rPr>
      </w:sdtEndPr>
      <w:sdtContent>
        <w:p>
          <w:pPr>
            <w:pStyle w:val="4"/>
            <w:numPr>
              <w:ilvl w:val="0"/>
              <w:numId w:val="107"/>
            </w:numPr>
            <w:rPr>
              <w:rFonts w:ascii="宋体" w:hAnsi="宋体"/>
              <w:szCs w:val="21"/>
            </w:rPr>
          </w:pPr>
          <w:r>
            <w:rPr>
              <w:rFonts w:hint="eastAsia" w:ascii="宋体" w:hAnsi="宋体"/>
              <w:szCs w:val="21"/>
            </w:rPr>
            <w:t>净资产收益率及每股收益</w:t>
          </w:r>
        </w:p>
        <w:sdt>
          <w:sdtPr>
            <w:alias w:val="是否适用：净资产收益率及每股收益[双击切换]"/>
            <w:tag w:val="_GBC_75866ebc8d184cdd988e79330ad3b083"/>
            <w:id w:val="-305238541"/>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41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913"/>
            <w:gridCol w:w="1842"/>
            <w:gridCol w:w="2146"/>
            <w:gridCol w:w="21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0" w:hRule="atLeast"/>
            </w:trPr>
            <w:sdt>
              <w:sdtPr>
                <w:tag w:val="_PLD_680a8ba0e71a45459c0939cd6c78c07f"/>
                <w:id w:val="1697965700"/>
                <w:lock w:val="sdtLocked"/>
              </w:sdtPr>
              <w:sdtContent>
                <w:tc>
                  <w:tcPr>
                    <w:tcW w:w="1609" w:type="pct"/>
                    <w:vMerge w:val="restart"/>
                    <w:tcBorders>
                      <w:top w:val="single" w:color="auto" w:sz="4" w:space="0"/>
                      <w:left w:val="single" w:color="auto" w:sz="4" w:space="0"/>
                      <w:bottom w:val="single" w:color="auto" w:sz="4" w:space="0"/>
                      <w:right w:val="single" w:color="auto" w:sz="4" w:space="0"/>
                    </w:tcBorders>
                    <w:vAlign w:val="center"/>
                  </w:tcPr>
                  <w:p>
                    <w:pPr>
                      <w:jc w:val="center"/>
                    </w:pPr>
                    <w:r>
                      <w:t>报告期利润</w:t>
                    </w:r>
                  </w:p>
                </w:tc>
              </w:sdtContent>
            </w:sdt>
            <w:sdt>
              <w:sdtPr>
                <w:tag w:val="_PLD_608d0086e1154f8ca6d3c34247132ef0"/>
                <w:id w:val="-1352414389"/>
                <w:lock w:val="sdtLocked"/>
              </w:sdtPr>
              <w:sdtContent>
                <w:tc>
                  <w:tcPr>
                    <w:tcW w:w="1017" w:type="pct"/>
                    <w:vMerge w:val="restart"/>
                    <w:tcBorders>
                      <w:top w:val="single" w:color="auto" w:sz="4" w:space="0"/>
                      <w:left w:val="single" w:color="auto" w:sz="4" w:space="0"/>
                      <w:right w:val="single" w:color="auto" w:sz="4" w:space="0"/>
                    </w:tcBorders>
                    <w:vAlign w:val="center"/>
                  </w:tcPr>
                  <w:p>
                    <w:pPr>
                      <w:jc w:val="center"/>
                    </w:pPr>
                    <w:r>
                      <w:t>加权平均净资产收益率（%）</w:t>
                    </w:r>
                  </w:p>
                </w:tc>
              </w:sdtContent>
            </w:sdt>
            <w:sdt>
              <w:sdtPr>
                <w:tag w:val="_PLD_8b4a0bf973be4a19862ac5168193db93"/>
                <w:id w:val="1558283205"/>
                <w:lock w:val="sdtLocked"/>
              </w:sdtPr>
              <w:sdtContent>
                <w:tc>
                  <w:tcPr>
                    <w:tcW w:w="2373" w:type="pct"/>
                    <w:gridSpan w:val="2"/>
                    <w:tcBorders>
                      <w:top w:val="single" w:color="auto" w:sz="4" w:space="0"/>
                      <w:left w:val="single" w:color="auto" w:sz="4" w:space="0"/>
                      <w:bottom w:val="single" w:color="auto" w:sz="4" w:space="0"/>
                      <w:right w:val="single" w:color="auto" w:sz="4" w:space="0"/>
                    </w:tcBorders>
                    <w:vAlign w:val="center"/>
                  </w:tcPr>
                  <w:p>
                    <w:pPr>
                      <w:jc w:val="center"/>
                    </w:pPr>
                    <w:r>
                      <w:t>每股收益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609"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1017" w:type="pct"/>
                <w:vMerge w:val="continue"/>
                <w:tcBorders>
                  <w:left w:val="single" w:color="auto" w:sz="4" w:space="0"/>
                  <w:bottom w:val="single" w:color="auto" w:sz="4" w:space="0"/>
                  <w:right w:val="single" w:color="auto" w:sz="4" w:space="0"/>
                </w:tcBorders>
                <w:vAlign w:val="center"/>
              </w:tcPr>
              <w:p>
                <w:pPr>
                  <w:jc w:val="center"/>
                </w:pPr>
              </w:p>
            </w:tc>
            <w:sdt>
              <w:sdtPr>
                <w:tag w:val="_PLD_45472770a81744249d77e54c2efc412a"/>
                <w:id w:val="-1973438825"/>
                <w:lock w:val="sdtLocked"/>
              </w:sdtPr>
              <w:sdtContent>
                <w:tc>
                  <w:tcPr>
                    <w:tcW w:w="1186" w:type="pct"/>
                    <w:tcBorders>
                      <w:top w:val="single" w:color="auto" w:sz="4" w:space="0"/>
                      <w:left w:val="single" w:color="auto" w:sz="4" w:space="0"/>
                      <w:bottom w:val="single" w:color="auto" w:sz="4" w:space="0"/>
                      <w:right w:val="single" w:color="auto" w:sz="4" w:space="0"/>
                    </w:tcBorders>
                    <w:vAlign w:val="center"/>
                  </w:tcPr>
                  <w:p>
                    <w:pPr>
                      <w:jc w:val="center"/>
                    </w:pPr>
                    <w:r>
                      <w:t>基本每股收益</w:t>
                    </w:r>
                  </w:p>
                </w:tc>
              </w:sdtContent>
            </w:sdt>
            <w:sdt>
              <w:sdtPr>
                <w:tag w:val="_PLD_c4e5be0bbc134fa28e28895e1a12e02c"/>
                <w:id w:val="621656731"/>
                <w:lock w:val="sdtLocked"/>
              </w:sdtPr>
              <w:sdtContent>
                <w:tc>
                  <w:tcPr>
                    <w:tcW w:w="1187" w:type="pct"/>
                    <w:tcBorders>
                      <w:top w:val="single" w:color="auto" w:sz="4" w:space="0"/>
                      <w:left w:val="single" w:color="auto" w:sz="4" w:space="0"/>
                      <w:bottom w:val="single" w:color="auto" w:sz="4" w:space="0"/>
                      <w:right w:val="single" w:color="auto" w:sz="4" w:space="0"/>
                    </w:tcBorders>
                    <w:vAlign w:val="center"/>
                  </w:tcPr>
                  <w:p>
                    <w:pPr>
                      <w:jc w:val="center"/>
                    </w:pPr>
                    <w:r>
                      <w:t>稀释每股收益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sdt>
              <w:sdtPr>
                <w:tag w:val="_PLD_c94607fd97d648bd8ca7517a2c7054ea"/>
                <w:id w:val="713931412"/>
                <w:lock w:val="sdtLocked"/>
              </w:sdtPr>
              <w:sdtContent>
                <w:tc>
                  <w:tcPr>
                    <w:tcW w:w="1609" w:type="pct"/>
                    <w:tcBorders>
                      <w:top w:val="single" w:color="auto" w:sz="4" w:space="0"/>
                      <w:left w:val="single" w:color="auto" w:sz="4" w:space="0"/>
                      <w:bottom w:val="single" w:color="auto" w:sz="4" w:space="0"/>
                      <w:right w:val="single" w:color="auto" w:sz="4" w:space="0"/>
                    </w:tcBorders>
                  </w:tcPr>
                  <w:p>
                    <w:pPr>
                      <w:pStyle w:val="114"/>
                    </w:pPr>
                    <w:r>
                      <w:t>归属于公司普通股股东的净利润</w:t>
                    </w:r>
                  </w:p>
                </w:tc>
              </w:sdtContent>
            </w:sdt>
            <w:tc>
              <w:tcPr>
                <w:tcW w:w="1017" w:type="pct"/>
                <w:tcBorders>
                  <w:top w:val="single" w:color="auto" w:sz="4" w:space="0"/>
                  <w:left w:val="single" w:color="auto" w:sz="4" w:space="0"/>
                  <w:bottom w:val="single" w:color="auto" w:sz="4" w:space="0"/>
                  <w:right w:val="single" w:color="auto" w:sz="4" w:space="0"/>
                </w:tcBorders>
                <w:vAlign w:val="center"/>
              </w:tcPr>
              <w:p>
                <w:pPr>
                  <w:jc w:val="right"/>
                </w:pPr>
                <w:r>
                  <w:t>7.47</w:t>
                </w:r>
              </w:p>
            </w:tc>
            <w:tc>
              <w:tcPr>
                <w:tcW w:w="1186" w:type="pct"/>
                <w:tcBorders>
                  <w:top w:val="single" w:color="auto" w:sz="4" w:space="0"/>
                  <w:left w:val="single" w:color="auto" w:sz="4" w:space="0"/>
                  <w:bottom w:val="single" w:color="auto" w:sz="4" w:space="0"/>
                  <w:right w:val="single" w:color="auto" w:sz="4" w:space="0"/>
                </w:tcBorders>
                <w:vAlign w:val="center"/>
              </w:tcPr>
              <w:p>
                <w:pPr>
                  <w:jc w:val="right"/>
                </w:pPr>
                <w:r>
                  <w:t>0.4927</w:t>
                </w:r>
              </w:p>
            </w:tc>
            <w:tc>
              <w:tcPr>
                <w:tcW w:w="1187" w:type="pct"/>
                <w:tcBorders>
                  <w:top w:val="single" w:color="auto" w:sz="4" w:space="0"/>
                  <w:left w:val="single" w:color="auto" w:sz="4" w:space="0"/>
                  <w:bottom w:val="single" w:color="auto" w:sz="4" w:space="0"/>
                  <w:right w:val="single" w:color="auto" w:sz="4" w:space="0"/>
                </w:tcBorders>
                <w:vAlign w:val="center"/>
              </w:tcPr>
              <w:p>
                <w:pPr>
                  <w:jc w:val="right"/>
                </w:pPr>
                <w:r>
                  <w:t>0.4927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sdt>
              <w:sdtPr>
                <w:tag w:val="_PLD_0794afc706e94e77876df1281577a7d9"/>
                <w:id w:val="892933149"/>
                <w:lock w:val="sdtLocked"/>
              </w:sdtPr>
              <w:sdtContent>
                <w:tc>
                  <w:tcPr>
                    <w:tcW w:w="1609" w:type="pct"/>
                    <w:tcBorders>
                      <w:top w:val="single" w:color="auto" w:sz="4" w:space="0"/>
                      <w:left w:val="single" w:color="auto" w:sz="4" w:space="0"/>
                      <w:bottom w:val="single" w:color="auto" w:sz="4" w:space="0"/>
                      <w:right w:val="single" w:color="auto" w:sz="4" w:space="0"/>
                    </w:tcBorders>
                  </w:tcPr>
                  <w:p>
                    <w:pPr>
                      <w:pStyle w:val="114"/>
                    </w:pPr>
                    <w:r>
                      <w:t>扣除非经常性损益后归属于公司普通股股东的净利润</w:t>
                    </w:r>
                  </w:p>
                </w:tc>
              </w:sdtContent>
            </w:sdt>
            <w:tc>
              <w:tcPr>
                <w:tcW w:w="1017" w:type="pct"/>
                <w:tcBorders>
                  <w:top w:val="single" w:color="auto" w:sz="4" w:space="0"/>
                  <w:left w:val="single" w:color="auto" w:sz="4" w:space="0"/>
                  <w:bottom w:val="single" w:color="auto" w:sz="4" w:space="0"/>
                  <w:right w:val="single" w:color="auto" w:sz="4" w:space="0"/>
                </w:tcBorders>
                <w:vAlign w:val="center"/>
              </w:tcPr>
              <w:p>
                <w:pPr>
                  <w:jc w:val="right"/>
                </w:pPr>
                <w:r>
                  <w:t>7.08</w:t>
                </w:r>
              </w:p>
            </w:tc>
            <w:tc>
              <w:tcPr>
                <w:tcW w:w="1186" w:type="pct"/>
                <w:tcBorders>
                  <w:top w:val="single" w:color="auto" w:sz="4" w:space="0"/>
                  <w:left w:val="single" w:color="auto" w:sz="4" w:space="0"/>
                  <w:bottom w:val="single" w:color="auto" w:sz="4" w:space="0"/>
                  <w:right w:val="single" w:color="auto" w:sz="4" w:space="0"/>
                </w:tcBorders>
                <w:vAlign w:val="center"/>
              </w:tcPr>
              <w:p>
                <w:pPr>
                  <w:jc w:val="right"/>
                </w:pPr>
                <w:r>
                  <w:t>0.4661</w:t>
                </w:r>
              </w:p>
            </w:tc>
            <w:tc>
              <w:tcPr>
                <w:tcW w:w="1187" w:type="pct"/>
                <w:tcBorders>
                  <w:top w:val="single" w:color="auto" w:sz="4" w:space="0"/>
                  <w:left w:val="single" w:color="auto" w:sz="4" w:space="0"/>
                  <w:bottom w:val="single" w:color="auto" w:sz="4" w:space="0"/>
                  <w:right w:val="single" w:color="auto" w:sz="4" w:space="0"/>
                </w:tcBorders>
                <w:vAlign w:val="center"/>
              </w:tcPr>
              <w:p>
                <w:pPr>
                  <w:jc w:val="right"/>
                </w:pPr>
                <w:r>
                  <w:t>0.4661</w:t>
                </w:r>
              </w:p>
            </w:tc>
          </w:tr>
        </w:tbl>
        <w:p>
          <w:pPr>
            <w:pStyle w:val="114"/>
          </w:pPr>
        </w:p>
      </w:sdtContent>
    </w:sdt>
    <w:p>
      <w:pPr>
        <w:pStyle w:val="4"/>
        <w:numPr>
          <w:ilvl w:val="0"/>
          <w:numId w:val="107"/>
        </w:numPr>
        <w:rPr>
          <w:rFonts w:ascii="宋体" w:hAnsi="宋体"/>
          <w:szCs w:val="21"/>
        </w:rPr>
      </w:pPr>
      <w:r>
        <w:rPr>
          <w:rFonts w:hint="eastAsia" w:ascii="宋体" w:hAnsi="宋体"/>
          <w:szCs w:val="21"/>
        </w:rPr>
        <w:t>境内外会计准则下会计数据差异</w:t>
      </w:r>
    </w:p>
    <w:sdt>
      <w:sdtPr>
        <w:alias w:val="是否适用：境内外会计准则下会计数据差异[双击切换]"/>
        <w:tag w:val="_GBC_3482333eff2948139884cfdd1debc958"/>
        <w:id w:val="1384140354"/>
        <w:lock w:val="sdtLocked"/>
        <w:placeholder>
          <w:docPart w:val="GBC22222222222222222222222222222"/>
        </w:placeholder>
      </w:sdtPr>
      <w:sdtContent>
        <w:p>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114"/>
      </w:pPr>
    </w:p>
    <w:sdt>
      <w:sdtPr>
        <w:rPr>
          <w:rFonts w:ascii="宋体" w:hAnsi="宋体" w:cs="宋体"/>
          <w:b w:val="0"/>
          <w:bCs w:val="0"/>
          <w:kern w:val="0"/>
          <w:szCs w:val="21"/>
        </w:rPr>
        <w:alias w:val="模块:补充资料其他说明事项"/>
        <w:tag w:val="_GBC_a60672e5f86e422cbb864ef991c9106b"/>
        <w:id w:val="1113480560"/>
        <w:lock w:val="sdtLocked"/>
        <w:placeholder>
          <w:docPart w:val="GBC22222222222222222222222222222"/>
        </w:placeholder>
      </w:sdtPr>
      <w:sdtEndPr>
        <w:rPr>
          <w:rFonts w:ascii="宋体" w:hAnsi="宋体" w:cs="宋体"/>
          <w:b w:val="0"/>
          <w:bCs w:val="0"/>
          <w:kern w:val="0"/>
          <w:szCs w:val="21"/>
        </w:rPr>
      </w:sdtEndPr>
      <w:sdtContent>
        <w:p>
          <w:pPr>
            <w:pStyle w:val="4"/>
            <w:numPr>
              <w:ilvl w:val="0"/>
              <w:numId w:val="107"/>
            </w:numPr>
            <w:rPr>
              <w:rFonts w:ascii="宋体" w:hAnsi="宋体"/>
              <w:szCs w:val="21"/>
            </w:rPr>
          </w:pPr>
          <w:r>
            <w:rPr>
              <w:rFonts w:hint="eastAsia" w:ascii="宋体" w:hAnsi="宋体"/>
              <w:szCs w:val="21"/>
            </w:rPr>
            <w:t>其他</w:t>
          </w:r>
        </w:p>
        <w:sdt>
          <w:sdtPr>
            <w:alias w:val="是否适用：补充资料其他说明事项[双击切换]"/>
            <w:tag w:val="_GBC_8954f89f8426424c966f1b658de53fe5"/>
            <w:id w:val="-2128620325"/>
            <w:lock w:val="sdtLocked"/>
            <w:placeholder>
              <w:docPart w:val="GBC22222222222222222222222222222"/>
            </w:placeholder>
          </w:sdtPr>
          <w:sdtContent>
            <w:p>
              <w:pPr>
                <w:pStyle w:val="11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pPr>
        <w:pStyle w:val="114"/>
      </w:pPr>
    </w:p>
    <w:sdt>
      <w:sdtPr>
        <w:rPr>
          <w:b/>
          <w:bCs/>
          <w:sz w:val="24"/>
        </w:rPr>
        <w:alias w:val="模块:落款"/>
        <w:tag w:val="_SEC_05b1791af4454108ad401bb8a64cf5c6"/>
        <w:id w:val="1068071847"/>
        <w:lock w:val="sdtLocked"/>
        <w:placeholder>
          <w:docPart w:val="GBC22222222222222222222222222222"/>
        </w:placeholder>
      </w:sdtPr>
      <w:sdtEndPr>
        <w:rPr>
          <w:b w:val="0"/>
          <w:bCs w:val="0"/>
          <w:sz w:val="21"/>
        </w:rPr>
      </w:sdtEndPr>
      <w:sdtContent>
        <w:p>
          <w:pPr>
            <w:spacing w:line="360" w:lineRule="exact"/>
            <w:ind w:right="5"/>
            <w:rPr>
              <w:b/>
              <w:bCs/>
              <w:sz w:val="24"/>
            </w:rPr>
          </w:pPr>
          <w:bookmarkStart w:id="305" w:name="_Hlk76135020"/>
        </w:p>
        <w:p>
          <w:pPr>
            <w:wordWrap w:val="0"/>
            <w:spacing w:line="360" w:lineRule="exact"/>
            <w:jc w:val="right"/>
            <w:rPr>
              <w:u w:val="single"/>
            </w:rPr>
          </w:pPr>
          <w:r>
            <w:t>董事长：</w:t>
          </w:r>
          <w:sdt>
            <w:sdtPr>
              <w:alias w:val="报告发布人"/>
              <w:tag w:val="_GBC_f07cbb7287a94e798691f7fcb5112f49"/>
              <w:id w:val="-223600234"/>
              <w:lock w:val="sdtLocked"/>
              <w:placeholder>
                <w:docPart w:val="GBC22222222222222222222222222222"/>
              </w:placeholder>
            </w:sdtPr>
            <w:sdtContent>
              <w:r>
                <w:rPr>
                  <w:rFonts w:hint="eastAsia"/>
                </w:rPr>
                <w:t>陈云江</w:t>
              </w:r>
            </w:sdtContent>
          </w:sdt>
          <w:r>
            <w:rPr>
              <w:rFonts w:hint="eastAsia"/>
            </w:rPr>
            <w:t xml:space="preserve"> </w:t>
          </w:r>
        </w:p>
        <w:p>
          <w:pPr>
            <w:spacing w:line="360" w:lineRule="exact"/>
            <w:jc w:val="right"/>
          </w:pPr>
          <w:r>
            <w:t>董事会批准报送日期：</w:t>
          </w:r>
          <w:sdt>
            <w:sdtPr>
              <w:alias w:val="报告董事会批准报送日期"/>
              <w:tag w:val="_GBC_56d5d40e768a439aa604555fa2089c42"/>
              <w:id w:val="-999882612"/>
              <w:lock w:val="sdtLocked"/>
              <w:placeholder>
                <w:docPart w:val="GBC22222222222222222222222222222"/>
              </w:placeholder>
              <w:date w:fullDate="2023-08-25T00:00:00Z">
                <w:dateFormat w:val="yyyy'年'M'月'd'日'"/>
                <w:lid w:val="zh-CN"/>
                <w:storeMappedDataAs w:val="datetime"/>
                <w:calendar w:val="gregorian"/>
              </w:date>
            </w:sdtPr>
            <w:sdtContent>
              <w:r>
                <w:rPr>
                  <w:rFonts w:hint="eastAsia"/>
                </w:rPr>
                <w:t>2023年8月25日</w:t>
              </w:r>
            </w:sdtContent>
          </w:sdt>
          <w:r>
            <w:rPr>
              <w:rFonts w:hint="eastAsia"/>
            </w:rPr>
            <w:t xml:space="preserve"> </w:t>
          </w:r>
        </w:p>
      </w:sdtContent>
    </w:sdt>
    <w:bookmarkEnd w:id="305"/>
    <w:p>
      <w:pPr>
        <w:spacing w:line="360" w:lineRule="exact"/>
        <w:ind w:right="5"/>
        <w:rPr>
          <w:u w:val="single"/>
        </w:rPr>
      </w:pPr>
    </w:p>
    <w:sdt>
      <w:sdtPr>
        <w:rPr>
          <w:sz w:val="24"/>
        </w:rPr>
        <w:alias w:val="模块:修订信息 "/>
        <w:tag w:val="_GBC_e51b54728b2e4e53b95b0611d0df9b06"/>
        <w:id w:val="-156391179"/>
        <w:lock w:val="sdtLocked"/>
        <w:placeholder>
          <w:docPart w:val="GBC22222222222222222222222222222"/>
        </w:placeholder>
      </w:sdtPr>
      <w:sdtEndPr>
        <w:rPr>
          <w:sz w:val="21"/>
        </w:rPr>
      </w:sdtEndPr>
      <w:sdtContent>
        <w:p>
          <w:pPr>
            <w:spacing w:line="360" w:lineRule="exact"/>
            <w:ind w:right="5"/>
            <w:rPr>
              <w:b/>
              <w:sz w:val="24"/>
            </w:rPr>
          </w:pPr>
          <w:r>
            <w:rPr>
              <w:b/>
              <w:sz w:val="24"/>
            </w:rPr>
            <w:t>修订信息</w:t>
          </w:r>
        </w:p>
        <w:sdt>
          <w:sdtPr>
            <w:rPr>
              <w:b/>
              <w:bCs/>
            </w:rPr>
            <w:alias w:val="是否适用：修订信息表[双击切换]"/>
            <w:tag w:val="_GBC_77b96fad3b8a43478db82cf4cb9686be"/>
            <w:id w:val="383606122"/>
            <w:lock w:val="sdtLocked"/>
            <w:placeholder>
              <w:docPart w:val="GBC22222222222222222222222222222"/>
            </w:placeholder>
          </w:sdtPr>
          <w:sdtEndPr>
            <w:rPr>
              <w:b w:val="0"/>
              <w:bCs/>
            </w:rPr>
          </w:sdtEndPr>
          <w:sdtContent>
            <w:p>
              <w:pPr>
                <w:pStyle w:val="114"/>
              </w:pPr>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sectPr>
      <w:pgSz w:w="11906" w:h="16838"/>
      <w:pgMar w:top="1525" w:right="1276" w:bottom="1440" w:left="1797" w:header="856"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EFF" w:usb1="C0007843" w:usb2="00000009" w:usb3="00000000" w:csb0="400001FF" w:csb1="FFFF0000"/>
  </w:font>
  <w:font w:name="Helvetica-Narrow">
    <w:altName w:val="Arial Narrow"/>
    <w:panose1 w:val="00000000000000000000"/>
    <w:charset w:val="00"/>
    <w:family w:val="swiss"/>
    <w:pitch w:val="default"/>
    <w:sig w:usb0="00000000" w:usb1="00000000" w:usb2="00000000" w:usb3="00000000" w:csb0="00000001" w:csb1="00000000"/>
  </w:font>
  <w:font w:name="Noto Sans CJK JP Regular">
    <w:altName w:val="微软雅黑"/>
    <w:panose1 w:val="00000000000000000000"/>
    <w:charset w:val="86"/>
    <w:family w:val="swiss"/>
    <w:pitch w:val="default"/>
    <w:sig w:usb0="00000000" w:usb1="00000000" w:usb2="00000016" w:usb3="00000000" w:csb0="002E0107" w:csb1="00000000"/>
  </w:font>
  <w:font w:name="FZLTSK--GBK1-0">
    <w:altName w:val="Times New Roman"/>
    <w:panose1 w:val="00000000000000000000"/>
    <w:charset w:val="00"/>
    <w:family w:val="roman"/>
    <w:pitch w:val="default"/>
    <w:sig w:usb0="00000000" w:usb1="00000000" w:usb2="00000000" w:usb3="00000000" w:csb0="00000000" w:csb1="00000000"/>
  </w:font>
  <w:font w:name="宋体-方正超大字符集">
    <w:altName w:val="宋体"/>
    <w:panose1 w:val="00000000000000000000"/>
    <w:charset w:val="86"/>
    <w:family w:val="script"/>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微软雅黑">
    <w:panose1 w:val="020B0503020204020204"/>
    <w:charset w:val="86"/>
    <w:family w:val="swiss"/>
    <w:pitch w:val="default"/>
    <w:sig w:usb0="80000287" w:usb1="2ACF3C50" w:usb2="00000016" w:usb3="00000000" w:csb0="0004001F" w:csb1="00000000"/>
  </w:font>
  <w:font w:name="LF_Kai">
    <w:altName w:val="微软雅黑"/>
    <w:panose1 w:val="00000000000000000000"/>
    <w:charset w:val="86"/>
    <w:family w:val="script"/>
    <w:pitch w:val="default"/>
    <w:sig w:usb0="00000000" w:usb1="00000000" w:usb2="00000010" w:usb3="00000000" w:csb0="00040000" w:csb1="00000000"/>
  </w:font>
  <w:font w:name="MS Mincho">
    <w:panose1 w:val="020206090402050803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7408834"/>
      <w:docPartObj>
        <w:docPartGallery w:val="AutoText"/>
      </w:docPartObj>
    </w:sdtPr>
    <w:sdtContent>
      <w:sdt>
        <w:sdtPr>
          <w:id w:val="98381352"/>
          <w:docPartObj>
            <w:docPartGallery w:val="AutoText"/>
          </w:docPartObj>
        </w:sdtPr>
        <w:sdtContent>
          <w:p>
            <w:pPr>
              <w:pStyle w:val="25"/>
              <w:jc w:val="center"/>
            </w:pPr>
            <w:r>
              <w:rPr>
                <w:b/>
                <w:bCs/>
                <w:sz w:val="24"/>
                <w:szCs w:val="24"/>
              </w:rPr>
              <w:fldChar w:fldCharType="begin"/>
            </w:r>
            <w:r>
              <w:rPr>
                <w:b/>
              </w:rPr>
              <w:instrText xml:space="preserve">PAGE</w:instrText>
            </w:r>
            <w:r>
              <w:rPr>
                <w:b/>
                <w:bCs/>
                <w:sz w:val="24"/>
                <w:szCs w:val="24"/>
              </w:rPr>
              <w:fldChar w:fldCharType="separate"/>
            </w:r>
            <w:r>
              <w:rPr>
                <w:b/>
              </w:rPr>
              <w:t>98</w:t>
            </w:r>
            <w:r>
              <w:rPr>
                <w:b/>
                <w:bCs/>
                <w:sz w:val="24"/>
                <w:szCs w:val="24"/>
              </w:rPr>
              <w:fldChar w:fldCharType="end"/>
            </w:r>
            <w:r>
              <w:rPr>
                <w:lang w:val="zh-CN"/>
              </w:rPr>
              <w:t xml:space="preserve"> / </w:t>
            </w:r>
            <w:r>
              <w:rPr>
                <w:b/>
                <w:bCs/>
                <w:sz w:val="24"/>
                <w:szCs w:val="24"/>
              </w:rPr>
              <w:fldChar w:fldCharType="begin"/>
            </w:r>
            <w:r>
              <w:rPr>
                <w:b/>
              </w:rPr>
              <w:instrText xml:space="preserve">NUMPAGES</w:instrText>
            </w:r>
            <w:r>
              <w:rPr>
                <w:b/>
                <w:bCs/>
                <w:sz w:val="24"/>
                <w:szCs w:val="24"/>
              </w:rPr>
              <w:fldChar w:fldCharType="separate"/>
            </w:r>
            <w:r>
              <w:rPr>
                <w:b/>
              </w:rPr>
              <w:t>193</w:t>
            </w:r>
            <w:r>
              <w:rPr>
                <w:b/>
                <w:bCs/>
                <w:sz w:val="24"/>
                <w:szCs w:val="24"/>
              </w:rPr>
              <w:fldChar w:fldCharType="end"/>
            </w:r>
          </w:p>
        </w:sdtContent>
      </w:sdt>
    </w:sdtContent>
  </w:sdt>
  <w:p>
    <w:pPr>
      <w:pStyle w:val="2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pPr>
        <w:pStyle w:val="29"/>
      </w:pPr>
      <w:r>
        <w:rPr>
          <w:rStyle w:val="43"/>
        </w:rPr>
        <w:footnoteRef/>
      </w:r>
      <w:r>
        <w:t xml:space="preserve"> </w:t>
      </w:r>
      <w:r>
        <w:rPr>
          <w:rFonts w:hint="eastAsia"/>
        </w:rPr>
        <w:t>MQI：公路技术状况指数（Maintenance Quality Indicator），用于描述公路某一段路段的技术状况和所需要的维护水平。MQI 值 90~100 为极好，表示路面状态优良，不需要大规模的修缮和翻新。</w:t>
      </w:r>
    </w:p>
  </w:footnote>
  <w:footnote w:id="1">
    <w:p>
      <w:pPr>
        <w:pStyle w:val="29"/>
      </w:pPr>
      <w:r>
        <w:rPr>
          <w:rStyle w:val="43"/>
        </w:rPr>
        <w:footnoteRef/>
      </w:r>
      <w:r>
        <w:t xml:space="preserve"> </w:t>
      </w:r>
      <w:r>
        <w:rPr>
          <w:rFonts w:hint="eastAsia"/>
        </w:rPr>
        <w:t>PQI：路面质量指数（Pavement Quality Index），是一种评估道路表面质量的指标，通常用于评估公路的表面状况。PQI 值是根据道路表面的平整程度、纵横坡度、裂缝和损伤等因素进行计算的。PQI 值90~100 为优秀。</w:t>
      </w:r>
    </w:p>
  </w:footnote>
  <w:footnote w:id="2">
    <w:p>
      <w:pPr>
        <w:pStyle w:val="29"/>
      </w:pPr>
      <w:r>
        <w:rPr>
          <w:rStyle w:val="43"/>
        </w:rPr>
        <w:footnoteRef/>
      </w:r>
      <w:r>
        <w:rPr>
          <w:rFonts w:hint="eastAsia"/>
        </w:rPr>
        <w:t>根据《公路桥梁技术状况评定标准》（JTGT H21-2011），桥梁总体技术状况评定等级分为1类、2类、3类、4类、5类，其中，1类指桥梁全新状态、功能完好，2类指桥梁有轻微缺损，对桥梁使用功能无影响。</w:t>
      </w:r>
    </w:p>
  </w:footnote>
  <w:footnote w:id="3">
    <w:p>
      <w:pPr>
        <w:pStyle w:val="29"/>
      </w:pPr>
      <w:r>
        <w:rPr>
          <w:rStyle w:val="43"/>
        </w:rPr>
        <w:footnoteRef/>
      </w:r>
      <w:r>
        <w:t xml:space="preserve"> </w:t>
      </w:r>
      <w:r>
        <w:rPr>
          <w:rFonts w:hint="eastAsia"/>
        </w:rPr>
        <w:t>QC：质量控制（Quality Control）指通过检查、测试和其他技术手段，以确保产品或服务符合预期的质量标准。</w:t>
      </w:r>
    </w:p>
  </w:footnote>
  <w:footnote w:id="4">
    <w:p>
      <w:pPr>
        <w:pStyle w:val="29"/>
      </w:pPr>
      <w:r>
        <w:rPr>
          <w:rStyle w:val="43"/>
        </w:rPr>
        <w:footnoteRef/>
      </w:r>
      <w:r>
        <w:t xml:space="preserve"> </w:t>
      </w:r>
      <w:r>
        <w:rPr>
          <w:rFonts w:hint="eastAsia"/>
        </w:rPr>
        <w:t>MG动画：</w:t>
      </w:r>
      <w:r>
        <w:t>Motion Graphics（运动图形）是一种将图形设计与动画技术相结合的创作形式。与传统动画不同，M</w:t>
      </w:r>
      <w:r>
        <w:rPr>
          <w:rFonts w:hint="eastAsia"/>
        </w:rPr>
        <w:t>G</w:t>
      </w:r>
      <w:r>
        <w:t>更注重于使用图形和文字来传达信息和呈现概念，</w:t>
      </w:r>
      <w:r>
        <w:rPr>
          <w:rFonts w:hint="eastAsia"/>
        </w:rPr>
        <w:t>具有视觉冲击力强、动感和吸引人的特点。</w:t>
      </w:r>
    </w:p>
  </w:footnote>
  <w:footnote w:id="5">
    <w:p>
      <w:pPr>
        <w:pStyle w:val="29"/>
      </w:pPr>
      <w:r>
        <w:rPr>
          <w:rStyle w:val="43"/>
        </w:rPr>
        <w:footnoteRef/>
      </w:r>
      <w:r>
        <w:t xml:space="preserve"> 零管系统：</w:t>
      </w:r>
      <w:r>
        <w:rPr>
          <w:rFonts w:hint="eastAsia"/>
        </w:rPr>
        <w:t>指服务区加油站零售管理系统，用于对加油机进行管理、控制、数据采集和分析，收银管理，支付管理，发票管理，进销存管理等综合性管理系统</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left" w:pos="8364"/>
        <w:tab w:val="left" w:pos="8505"/>
        <w:tab w:val="clear" w:pos="8306"/>
      </w:tabs>
      <w:ind w:right="21" w:rightChars="10"/>
      <w:rPr>
        <w:b/>
      </w:rPr>
    </w:pPr>
    <w:r>
      <w:rPr>
        <w:rFonts w:hint="eastAsia"/>
      </w:rPr>
      <w:t>2023年半年度报告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3058"/>
    <w:multiLevelType w:val="multilevel"/>
    <w:tmpl w:val="00533058"/>
    <w:lvl w:ilvl="0" w:tentative="0">
      <w:start w:val="1"/>
      <w:numFmt w:val="decimal"/>
      <w:lvlText w:val="%1、"/>
      <w:lvlJc w:val="left"/>
      <w:pPr>
        <w:ind w:left="425" w:hanging="425"/>
      </w:pPr>
      <w:rPr>
        <w:rFonts w:hint="eastAsia" w:ascii="宋体" w:hAnsi="宋体" w:eastAsia="宋体"/>
        <w:color w:val="auto"/>
        <w:sz w:val="21"/>
        <w:szCs w:val="21"/>
        <w:u w:val="none"/>
      </w:rPr>
    </w:lvl>
    <w:lvl w:ilvl="1" w:tentative="0">
      <w:start w:val="1"/>
      <w:numFmt w:val="chineseCountingThousand"/>
      <w:lvlText w:val="%2、"/>
      <w:lvlJc w:val="left"/>
      <w:pPr>
        <w:ind w:left="567" w:hanging="567"/>
      </w:pPr>
      <w:rPr>
        <w:rFonts w:hint="eastAsia"/>
        <w:color w:val="auto"/>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11C35CC"/>
    <w:multiLevelType w:val="multilevel"/>
    <w:tmpl w:val="011C35CC"/>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01C7576E"/>
    <w:multiLevelType w:val="multilevel"/>
    <w:tmpl w:val="01C7576E"/>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04364DD5"/>
    <w:multiLevelType w:val="multilevel"/>
    <w:tmpl w:val="04364DD5"/>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918050B"/>
    <w:multiLevelType w:val="multilevel"/>
    <w:tmpl w:val="0918050B"/>
    <w:lvl w:ilvl="0" w:tentative="0">
      <w:start w:val="1"/>
      <w:numFmt w:val="decimal"/>
      <w:suff w:val="nothing"/>
      <w:lvlText w:val="(%1)、"/>
      <w:lvlJc w:val="left"/>
      <w:pPr>
        <w:ind w:left="420" w:hanging="420"/>
      </w:pPr>
      <w:rPr>
        <w:rFonts w:hint="default" w:ascii="宋体" w:hAnsi="宋体" w:eastAsia="宋体"/>
        <w:color w:val="auto"/>
      </w:rPr>
    </w:lvl>
    <w:lvl w:ilvl="1" w:tentative="0">
      <w:start w:val="1"/>
      <w:numFmt w:val="japaneseCounting"/>
      <w:lvlText w:val="%2、"/>
      <w:lvlJc w:val="left"/>
      <w:pPr>
        <w:ind w:left="840" w:hanging="420"/>
      </w:pPr>
      <w:rPr>
        <w:rFonts w:hint="default"/>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98731CB"/>
    <w:multiLevelType w:val="multilevel"/>
    <w:tmpl w:val="098731CB"/>
    <w:lvl w:ilvl="0" w:tentative="0">
      <w:start w:val="1"/>
      <w:numFmt w:val="decimal"/>
      <w:lvlText w:val="(%1). "/>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DD43CBD"/>
    <w:multiLevelType w:val="multilevel"/>
    <w:tmpl w:val="0DD43CBD"/>
    <w:lvl w:ilvl="0" w:tentative="0">
      <w:start w:val="1"/>
      <w:numFmt w:val="decimal"/>
      <w:lvlText w:val="(%1). "/>
      <w:lvlJc w:val="left"/>
      <w:pPr>
        <w:ind w:left="420" w:hanging="420"/>
      </w:pPr>
      <w:rPr>
        <w:rFonts w:hint="eastAsia" w:ascii="宋体" w:hAnsi="宋体" w:eastAsia="宋体"/>
        <w:color w:val="auto"/>
      </w:rPr>
    </w:lvl>
    <w:lvl w:ilvl="1" w:tentative="0">
      <w:start w:val="1"/>
      <w:numFmt w:val="japaneseCounting"/>
      <w:lvlText w:val="%2、"/>
      <w:lvlJc w:val="left"/>
      <w:pPr>
        <w:ind w:left="840" w:hanging="420"/>
      </w:pPr>
      <w:rPr>
        <w:rFonts w:hint="default"/>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0DD8578C"/>
    <w:multiLevelType w:val="multilevel"/>
    <w:tmpl w:val="0DD8578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E1F5ED2"/>
    <w:multiLevelType w:val="multilevel"/>
    <w:tmpl w:val="0E1F5ED2"/>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0EC24C1F"/>
    <w:multiLevelType w:val="multilevel"/>
    <w:tmpl w:val="0EC24C1F"/>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FB258AF"/>
    <w:multiLevelType w:val="multilevel"/>
    <w:tmpl w:val="0FB258A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color w:val="auto"/>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10314E3A"/>
    <w:multiLevelType w:val="multilevel"/>
    <w:tmpl w:val="10314E3A"/>
    <w:lvl w:ilvl="0" w:tentative="0">
      <w:start w:val="1"/>
      <w:numFmt w:val="decimal"/>
      <w:lvlText w:val="(%1)."/>
      <w:lvlJc w:val="left"/>
      <w:pPr>
        <w:ind w:left="425" w:hanging="425"/>
      </w:pPr>
      <w:rPr>
        <w:rFonts w:hint="eastAsia"/>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4)."/>
      <w:lvlJc w:val="left"/>
      <w:pPr>
        <w:ind w:left="4112"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2">
    <w:nsid w:val="104977C1"/>
    <w:multiLevelType w:val="multilevel"/>
    <w:tmpl w:val="104977C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0A00340"/>
    <w:multiLevelType w:val="multilevel"/>
    <w:tmpl w:val="10A00340"/>
    <w:lvl w:ilvl="0" w:tentative="0">
      <w:start w:val="1"/>
      <w:numFmt w:val="decimal"/>
      <w:lvlText w:val="(%1)."/>
      <w:lvlJc w:val="left"/>
      <w:pPr>
        <w:ind w:left="420" w:hanging="420"/>
      </w:pPr>
      <w:rPr>
        <w:rFonts w:hint="eastAsia"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2696DF7"/>
    <w:multiLevelType w:val="multilevel"/>
    <w:tmpl w:val="12696DF7"/>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EC0EF1"/>
    <w:multiLevelType w:val="multilevel"/>
    <w:tmpl w:val="12EC0EF1"/>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567" w:hanging="567"/>
      </w:pPr>
      <w:rPr>
        <w:rFonts w:hint="eastAsia"/>
      </w:rPr>
    </w:lvl>
    <w:lvl w:ilvl="2" w:tentative="0">
      <w:start w:val="1"/>
      <w:numFmt w:val="chineseCountingThousand"/>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6">
    <w:nsid w:val="15621257"/>
    <w:multiLevelType w:val="multilevel"/>
    <w:tmpl w:val="15621257"/>
    <w:lvl w:ilvl="0" w:tentative="0">
      <w:start w:val="1"/>
      <w:numFmt w:val="decimal"/>
      <w:lvlText w:val="%1."/>
      <w:lvlJc w:val="left"/>
      <w:pPr>
        <w:ind w:left="425" w:hanging="425"/>
      </w:pPr>
    </w:lvl>
    <w:lvl w:ilvl="1" w:tentative="0">
      <w:start w:val="1"/>
      <w:numFmt w:val="chineseCountingThousand"/>
      <w:lvlText w:val="(%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7">
    <w:nsid w:val="15906331"/>
    <w:multiLevelType w:val="multilevel"/>
    <w:tmpl w:val="1590633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69A565E"/>
    <w:multiLevelType w:val="multilevel"/>
    <w:tmpl w:val="169A565E"/>
    <w:lvl w:ilvl="0" w:tentative="0">
      <w:start w:val="1"/>
      <w:numFmt w:val="decimal"/>
      <w:lvlText w:val="%1"/>
      <w:lvlJc w:val="left"/>
      <w:pPr>
        <w:ind w:left="420" w:hanging="420"/>
      </w:pPr>
      <w:rPr>
        <w:rFonts w:hint="eastAsia" w:ascii="宋体" w:hAnsi="宋体" w:eastAsia="宋体"/>
        <w:b/>
      </w:rPr>
    </w:lvl>
    <w:lvl w:ilvl="1" w:tentative="0">
      <w:start w:val="1"/>
      <w:numFmt w:val="decimal"/>
      <w:suff w:val="nothing"/>
      <w:lvlText w:val="%2、"/>
      <w:lvlJc w:val="left"/>
      <w:pPr>
        <w:ind w:left="840" w:hanging="420"/>
      </w:pPr>
      <w:rPr>
        <w:rFonts w:hint="eastAsia" w:asciiTheme="minorEastAsia" w:hAnsiTheme="minorEastAsia" w:eastAsiaTheme="minorEastAsia"/>
        <w:b/>
      </w:rPr>
    </w:lvl>
    <w:lvl w:ilvl="2" w:tentative="0">
      <w:start w:val="1"/>
      <w:numFmt w:val="decimal"/>
      <w:lvlText w:val="%3."/>
      <w:lvlJc w:val="left"/>
      <w:pPr>
        <w:ind w:left="1260" w:hanging="420"/>
      </w:pPr>
      <w:rPr>
        <w:rFonts w:hint="eastAsia"/>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9">
    <w:nsid w:val="17316F2F"/>
    <w:multiLevelType w:val="multilevel"/>
    <w:tmpl w:val="17316F2F"/>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0">
    <w:nsid w:val="185F3408"/>
    <w:multiLevelType w:val="multilevel"/>
    <w:tmpl w:val="185F3408"/>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1">
    <w:nsid w:val="19B61093"/>
    <w:multiLevelType w:val="multilevel"/>
    <w:tmpl w:val="19B61093"/>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D11584D"/>
    <w:multiLevelType w:val="multilevel"/>
    <w:tmpl w:val="1D11584D"/>
    <w:lvl w:ilvl="0" w:tentative="0">
      <w:start w:val="1"/>
      <w:numFmt w:val="decimal"/>
      <w:lvlText w:val="%1."/>
      <w:lvlJc w:val="left"/>
      <w:pPr>
        <w:ind w:left="425" w:hanging="425"/>
      </w:pPr>
      <w:rPr>
        <w:rFonts w:hint="eastAsia" w:ascii="宋体" w:hAnsi="宋体" w:eastAsia="宋体"/>
        <w:b/>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3">
    <w:nsid w:val="1E235F8B"/>
    <w:multiLevelType w:val="multilevel"/>
    <w:tmpl w:val="1E235F8B"/>
    <w:lvl w:ilvl="0" w:tentative="0">
      <w:start w:val="1"/>
      <w:numFmt w:val="chineseCountingThousand"/>
      <w:lvlText w:val="第%1节"/>
      <w:lvlJc w:val="left"/>
      <w:pPr>
        <w:ind w:left="425" w:hanging="425"/>
      </w:pPr>
      <w:rPr>
        <w:rFonts w:hint="eastAsia"/>
        <w:color w:val="auto"/>
        <w:sz w:val="28"/>
        <w:szCs w:val="28"/>
        <w:u w:val="none"/>
        <w:lang w:val="en-US"/>
      </w:rPr>
    </w:lvl>
    <w:lvl w:ilvl="1" w:tentative="0">
      <w:start w:val="1"/>
      <w:numFmt w:val="chineseCountingThousand"/>
      <w:lvlText w:val="%2、"/>
      <w:lvlJc w:val="left"/>
      <w:pPr>
        <w:ind w:left="567" w:hanging="567"/>
      </w:pPr>
      <w:rPr>
        <w:rFonts w:hint="eastAsia"/>
        <w:color w:val="auto"/>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1F7158DD"/>
    <w:multiLevelType w:val="multilevel"/>
    <w:tmpl w:val="1F7158DD"/>
    <w:lvl w:ilvl="0" w:tentative="0">
      <w:start w:val="1"/>
      <w:numFmt w:val="decimal"/>
      <w:lvlText w:val="(%1). "/>
      <w:lvlJc w:val="left"/>
      <w:pPr>
        <w:ind w:left="704" w:hanging="420"/>
      </w:pPr>
      <w:rPr>
        <w:rFonts w:hint="eastAsia"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F9677B9"/>
    <w:multiLevelType w:val="multilevel"/>
    <w:tmpl w:val="1F9677B9"/>
    <w:lvl w:ilvl="0" w:tentative="0">
      <w:start w:val="1"/>
      <w:numFmt w:val="decimal"/>
      <w:lvlText w:val="(%1)."/>
      <w:lvlJc w:val="left"/>
      <w:pPr>
        <w:ind w:left="425" w:hanging="425"/>
      </w:pPr>
      <w:rPr>
        <w:rFonts w:hint="eastAsia"/>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4)."/>
      <w:lvlJc w:val="left"/>
      <w:pPr>
        <w:ind w:left="4112"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1FD019D7"/>
    <w:multiLevelType w:val="multilevel"/>
    <w:tmpl w:val="1FD019D7"/>
    <w:lvl w:ilvl="0" w:tentative="0">
      <w:start w:val="1"/>
      <w:numFmt w:val="decimal"/>
      <w:lvlText w:val="%1."/>
      <w:lvlJc w:val="left"/>
      <w:pPr>
        <w:ind w:left="425" w:hanging="425"/>
      </w:pPr>
    </w:lvl>
    <w:lvl w:ilvl="1" w:tentative="0">
      <w:start w:val="1"/>
      <w:numFmt w:val="chineseCountingThousand"/>
      <w:lvlText w:val="(%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7">
    <w:nsid w:val="204F3B0A"/>
    <w:multiLevelType w:val="multilevel"/>
    <w:tmpl w:val="204F3B0A"/>
    <w:lvl w:ilvl="0" w:tentative="0">
      <w:start w:val="1"/>
      <w:numFmt w:val="chineseCountingThousand"/>
      <w:lvlText w:val="(%1)"/>
      <w:lvlJc w:val="left"/>
      <w:pPr>
        <w:ind w:left="0" w:firstLine="0"/>
      </w:pPr>
      <w:rPr>
        <w:rFonts w:hint="default"/>
      </w:rPr>
    </w:lvl>
    <w:lvl w:ilvl="1" w:tentative="0">
      <w:start w:val="1"/>
      <w:numFmt w:val="chineseCountingThousand"/>
      <w:suff w:val="space"/>
      <w:lvlText w:val="(%2)"/>
      <w:lvlJc w:val="left"/>
      <w:pPr>
        <w:ind w:left="0" w:firstLine="0"/>
      </w:pPr>
      <w:rPr>
        <w:rFonts w:hint="eastAsia"/>
      </w:rPr>
    </w:lvl>
    <w:lvl w:ilvl="2" w:tentative="0">
      <w:start w:val="1"/>
      <w:numFmt w:val="chineseCountingThousand"/>
      <w:suff w:val="space"/>
      <w:lvlText w:val="(%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8">
    <w:nsid w:val="2121200C"/>
    <w:multiLevelType w:val="multilevel"/>
    <w:tmpl w:val="2121200C"/>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9">
    <w:nsid w:val="21516057"/>
    <w:multiLevelType w:val="multilevel"/>
    <w:tmpl w:val="21516057"/>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0">
    <w:nsid w:val="21F9086D"/>
    <w:multiLevelType w:val="multilevel"/>
    <w:tmpl w:val="21F9086D"/>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chineseCountingThousand"/>
      <w:suff w:val="space"/>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28F0FB9"/>
    <w:multiLevelType w:val="multilevel"/>
    <w:tmpl w:val="228F0FB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AB9492A"/>
    <w:multiLevelType w:val="multilevel"/>
    <w:tmpl w:val="2AB9492A"/>
    <w:lvl w:ilvl="0" w:tentative="0">
      <w:start w:val="1"/>
      <w:numFmt w:val="decimal"/>
      <w:lvlText w:val="%1."/>
      <w:lvlJc w:val="left"/>
      <w:pPr>
        <w:ind w:left="425" w:hanging="425"/>
      </w:pPr>
    </w:lvl>
    <w:lvl w:ilvl="1" w:tentative="0">
      <w:start w:val="1"/>
      <w:numFmt w:val="chineseCountingThousand"/>
      <w:lvlText w:val="(%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3">
    <w:nsid w:val="2ABA5091"/>
    <w:multiLevelType w:val="multilevel"/>
    <w:tmpl w:val="2ABA5091"/>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AF651E5"/>
    <w:multiLevelType w:val="multilevel"/>
    <w:tmpl w:val="2AF651E5"/>
    <w:lvl w:ilvl="0" w:tentative="0">
      <w:start w:val="1"/>
      <w:numFmt w:val="decimal"/>
      <w:suff w:val="nothing"/>
      <w:lvlText w:val="(%1). "/>
      <w:lvlJc w:val="left"/>
      <w:pPr>
        <w:ind w:left="420" w:hanging="420"/>
      </w:pPr>
      <w:rPr>
        <w:rFonts w:hint="eastAsia" w:ascii="宋体" w:hAnsi="宋体" w:eastAsia="宋体"/>
        <w:b/>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081EE9"/>
    <w:multiLevelType w:val="multilevel"/>
    <w:tmpl w:val="2B081EE9"/>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6">
    <w:nsid w:val="2C7D045A"/>
    <w:multiLevelType w:val="multilevel"/>
    <w:tmpl w:val="2C7D045A"/>
    <w:lvl w:ilvl="0" w:tentative="0">
      <w:start w:val="1"/>
      <w:numFmt w:val="decimal"/>
      <w:suff w:val="nothing"/>
      <w:lvlText w:val="%1、 "/>
      <w:lvlJc w:val="left"/>
      <w:pPr>
        <w:ind w:left="420" w:hanging="420"/>
      </w:pPr>
      <w:rPr>
        <w:rFonts w:hint="eastAsia"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E827FC5"/>
    <w:multiLevelType w:val="multilevel"/>
    <w:tmpl w:val="2E827FC5"/>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8">
    <w:nsid w:val="2F300F94"/>
    <w:multiLevelType w:val="multilevel"/>
    <w:tmpl w:val="2F300F94"/>
    <w:lvl w:ilvl="0" w:tentative="0">
      <w:start w:val="1"/>
      <w:numFmt w:val="decimal"/>
      <w:lvlText w:val="(%1)."/>
      <w:lvlJc w:val="left"/>
      <w:pPr>
        <w:ind w:left="425" w:hanging="425"/>
      </w:pPr>
      <w:rPr>
        <w:rFonts w:hint="eastAsia"/>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4)."/>
      <w:lvlJc w:val="left"/>
      <w:pPr>
        <w:ind w:left="4112"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9">
    <w:nsid w:val="30712312"/>
    <w:multiLevelType w:val="multilevel"/>
    <w:tmpl w:val="30712312"/>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0">
    <w:nsid w:val="321F7C35"/>
    <w:multiLevelType w:val="multilevel"/>
    <w:tmpl w:val="321F7C35"/>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333C38BB"/>
    <w:multiLevelType w:val="multilevel"/>
    <w:tmpl w:val="333C38BB"/>
    <w:lvl w:ilvl="0" w:tentative="0">
      <w:start w:val="1"/>
      <w:numFmt w:val="decimal"/>
      <w:lvlText w:val="(%1)"/>
      <w:lvlJc w:val="left"/>
      <w:pPr>
        <w:ind w:left="425" w:hanging="425"/>
      </w:pPr>
      <w:rPr>
        <w:rFonts w:hint="eastAsia" w:ascii="宋体" w:hAnsi="宋体" w:eastAsia="宋体"/>
        <w:color w:val="auto"/>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2">
    <w:nsid w:val="3438131C"/>
    <w:multiLevelType w:val="multilevel"/>
    <w:tmpl w:val="3438131C"/>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3">
    <w:nsid w:val="352D39A8"/>
    <w:multiLevelType w:val="multilevel"/>
    <w:tmpl w:val="352D39A8"/>
    <w:lvl w:ilvl="0" w:tentative="0">
      <w:start w:val="1"/>
      <w:numFmt w:val="decimal"/>
      <w:lvlText w:val="(%1)."/>
      <w:lvlJc w:val="left"/>
      <w:pPr>
        <w:ind w:left="420" w:hanging="420"/>
      </w:pPr>
      <w:rPr>
        <w:rFonts w:hint="eastAsia"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56C3B2A"/>
    <w:multiLevelType w:val="multilevel"/>
    <w:tmpl w:val="356C3B2A"/>
    <w:lvl w:ilvl="0" w:tentative="0">
      <w:start w:val="1"/>
      <w:numFmt w:val="decimal"/>
      <w:lvlText w:val="(%1)."/>
      <w:lvlJc w:val="left"/>
      <w:pPr>
        <w:ind w:left="420" w:hanging="42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6214AF8"/>
    <w:multiLevelType w:val="multilevel"/>
    <w:tmpl w:val="36214AF8"/>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6">
    <w:nsid w:val="37C3610E"/>
    <w:multiLevelType w:val="multilevel"/>
    <w:tmpl w:val="37C3610E"/>
    <w:lvl w:ilvl="0" w:tentative="0">
      <w:start w:val="1"/>
      <w:numFmt w:val="chineseCountingThousand"/>
      <w:lvlText w:val="%1、"/>
      <w:lvlJc w:val="left"/>
      <w:pPr>
        <w:ind w:left="704" w:hanging="420"/>
      </w:pPr>
      <w:rPr>
        <w:rFonts w:hint="default"/>
        <w:b/>
        <w:i w:val="0"/>
        <w:color w:val="auto"/>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80E33D5"/>
    <w:multiLevelType w:val="singleLevel"/>
    <w:tmpl w:val="380E33D5"/>
    <w:lvl w:ilvl="0" w:tentative="0">
      <w:start w:val="1"/>
      <w:numFmt w:val="bullet"/>
      <w:lvlText w:val="•"/>
      <w:lvlJc w:val="left"/>
      <w:pPr>
        <w:tabs>
          <w:tab w:val="left" w:pos="340"/>
        </w:tabs>
        <w:ind w:left="340" w:hanging="340"/>
      </w:pPr>
      <w:rPr>
        <w:rFonts w:hint="default" w:ascii="Arial" w:hAnsi="Arial" w:cs="Arial"/>
        <w:color w:val="auto"/>
        <w:sz w:val="24"/>
      </w:rPr>
    </w:lvl>
  </w:abstractNum>
  <w:abstractNum w:abstractNumId="48">
    <w:nsid w:val="383D41D3"/>
    <w:multiLevelType w:val="multilevel"/>
    <w:tmpl w:val="383D41D3"/>
    <w:lvl w:ilvl="0" w:tentative="0">
      <w:start w:val="1"/>
      <w:numFmt w:val="decimal"/>
      <w:lvlText w:val="(%1). "/>
      <w:lvlJc w:val="left"/>
      <w:pPr>
        <w:ind w:left="425" w:hanging="425"/>
      </w:pPr>
      <w:rPr>
        <w:rFonts w:hint="eastAsia"/>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9">
    <w:nsid w:val="3D2B6D0A"/>
    <w:multiLevelType w:val="multilevel"/>
    <w:tmpl w:val="3D2B6D0A"/>
    <w:lvl w:ilvl="0" w:tentative="0">
      <w:start w:val="1"/>
      <w:numFmt w:val="chineseCountingThousand"/>
      <w:lvlText w:val="(%1)"/>
      <w:lvlJc w:val="left"/>
      <w:pPr>
        <w:ind w:left="420" w:hanging="420"/>
      </w:pPr>
      <w:rPr>
        <w:rFonts w:hint="default" w:asciiTheme="minorHAnsi" w:hAnsiTheme="minorHAnsi"/>
      </w:rPr>
    </w:lvl>
    <w:lvl w:ilvl="1" w:tentative="0">
      <w:start w:val="1"/>
      <w:numFmt w:val="chineseCountingThousand"/>
      <w:lvlText w:val="(%2)"/>
      <w:lvlJc w:val="left"/>
      <w:pPr>
        <w:ind w:left="840" w:hanging="420"/>
      </w:pPr>
    </w:lvl>
    <w:lvl w:ilvl="2" w:tentative="0">
      <w:start w:val="1"/>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D620F38"/>
    <w:multiLevelType w:val="multilevel"/>
    <w:tmpl w:val="3D620F38"/>
    <w:lvl w:ilvl="0" w:tentative="0">
      <w:start w:val="1"/>
      <w:numFmt w:val="decimal"/>
      <w:lvlText w:val="%1、"/>
      <w:lvlJc w:val="left"/>
      <w:pPr>
        <w:ind w:left="420" w:hanging="420"/>
      </w:pPr>
      <w:rPr>
        <w:rFonts w:hint="eastAsia" w:ascii="宋体" w:hAnsi="宋体" w:eastAsia="宋体"/>
      </w:rPr>
    </w:lvl>
    <w:lvl w:ilvl="1" w:tentative="0">
      <w:start w:val="1"/>
      <w:numFmt w:val="decimal"/>
      <w:lvlText w:val="%2、"/>
      <w:lvlJc w:val="left"/>
      <w:pPr>
        <w:ind w:left="840" w:hanging="420"/>
      </w:pPr>
      <w:rPr>
        <w:rFonts w:hint="eastAsia"/>
      </w:rPr>
    </w:lvl>
    <w:lvl w:ilvl="2" w:tentative="0">
      <w:start w:val="1"/>
      <w:numFmt w:val="decimal"/>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DC039A2"/>
    <w:multiLevelType w:val="multilevel"/>
    <w:tmpl w:val="3DC039A2"/>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2">
    <w:nsid w:val="3E9941EA"/>
    <w:multiLevelType w:val="multilevel"/>
    <w:tmpl w:val="3E9941EA"/>
    <w:lvl w:ilvl="0" w:tentative="0">
      <w:start w:val="1"/>
      <w:numFmt w:val="decimal"/>
      <w:lvlText w:val="(%1). "/>
      <w:lvlJc w:val="left"/>
      <w:pPr>
        <w:ind w:left="84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EA740FE"/>
    <w:multiLevelType w:val="multilevel"/>
    <w:tmpl w:val="3EA740FE"/>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4">
    <w:nsid w:val="41EC2B85"/>
    <w:multiLevelType w:val="multilevel"/>
    <w:tmpl w:val="41EC2B85"/>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suff w:val="nothing"/>
      <w:lvlText w:val="(%4). "/>
      <w:lvlJc w:val="left"/>
      <w:pPr>
        <w:ind w:left="851" w:hanging="851"/>
      </w:pPr>
      <w:rPr>
        <w:rFonts w:hint="default" w:ascii="宋体" w:hAnsi="宋体" w:eastAsia="宋体"/>
        <w:color w:val="auto"/>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42F33200"/>
    <w:multiLevelType w:val="multilevel"/>
    <w:tmpl w:val="42F3320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4872756"/>
    <w:multiLevelType w:val="multilevel"/>
    <w:tmpl w:val="44872756"/>
    <w:lvl w:ilvl="0" w:tentative="0">
      <w:start w:val="4"/>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7">
    <w:nsid w:val="448C6887"/>
    <w:multiLevelType w:val="multilevel"/>
    <w:tmpl w:val="448C6887"/>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44D151ED"/>
    <w:multiLevelType w:val="multilevel"/>
    <w:tmpl w:val="44D151ED"/>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5D95701"/>
    <w:multiLevelType w:val="multilevel"/>
    <w:tmpl w:val="45D95701"/>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ascii="宋体" w:hAnsi="宋体" w:eastAsia="宋体"/>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0">
    <w:nsid w:val="4802360A"/>
    <w:multiLevelType w:val="multilevel"/>
    <w:tmpl w:val="4802360A"/>
    <w:lvl w:ilvl="0" w:tentative="0">
      <w:start w:val="1"/>
      <w:numFmt w:val="decimal"/>
      <w:lvlText w:val="(%1)."/>
      <w:lvlJc w:val="left"/>
      <w:pPr>
        <w:ind w:left="420" w:hanging="420"/>
      </w:pPr>
      <w:rPr>
        <w:rFonts w:hint="default"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A125FEF"/>
    <w:multiLevelType w:val="multilevel"/>
    <w:tmpl w:val="4A125FEF"/>
    <w:lvl w:ilvl="0" w:tentative="0">
      <w:start w:val="1"/>
      <w:numFmt w:val="decimal"/>
      <w:lvlText w:val="(%1)"/>
      <w:lvlJc w:val="left"/>
      <w:pPr>
        <w:ind w:left="420" w:hanging="420"/>
      </w:pPr>
      <w:rPr>
        <w:rFonts w:hint="eastAsia" w:ascii="宋体" w:hAnsi="宋体" w:eastAsia="宋体"/>
      </w:rPr>
    </w:lvl>
    <w:lvl w:ilvl="1" w:tentative="0">
      <w:start w:val="1"/>
      <w:numFmt w:val="decimal"/>
      <w:lvlText w:val="%2、"/>
      <w:lvlJc w:val="left"/>
      <w:pPr>
        <w:ind w:left="840" w:hanging="420"/>
      </w:pPr>
      <w:rPr>
        <w:rFonts w:hint="eastAsia"/>
      </w:rPr>
    </w:lvl>
    <w:lvl w:ilvl="2" w:tentative="0">
      <w:start w:val="1"/>
      <w:numFmt w:val="decimal"/>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4AC23DB8"/>
    <w:multiLevelType w:val="multilevel"/>
    <w:tmpl w:val="4AC23DB8"/>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AF02474"/>
    <w:multiLevelType w:val="multilevel"/>
    <w:tmpl w:val="4AF02474"/>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567" w:hanging="567"/>
      </w:pPr>
      <w:rPr>
        <w:rFonts w:hint="eastAsia"/>
      </w:rPr>
    </w:lvl>
    <w:lvl w:ilvl="2" w:tentative="0">
      <w:start w:val="1"/>
      <w:numFmt w:val="chineseCountingThousand"/>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4">
    <w:nsid w:val="4B8A1F74"/>
    <w:multiLevelType w:val="multilevel"/>
    <w:tmpl w:val="4B8A1F74"/>
    <w:lvl w:ilvl="0" w:tentative="0">
      <w:start w:val="1"/>
      <w:numFmt w:val="decimal"/>
      <w:lvlText w:val="%1、"/>
      <w:lvlJc w:val="left"/>
      <w:pPr>
        <w:ind w:left="0" w:firstLine="0"/>
      </w:pPr>
      <w:rPr>
        <w:rFonts w:hint="default"/>
      </w:rPr>
    </w:lvl>
    <w:lvl w:ilvl="1" w:tentative="0">
      <w:start w:val="1"/>
      <w:numFmt w:val="chineseCountingThousand"/>
      <w:lvlText w:val="(%2)"/>
      <w:lvlJc w:val="left"/>
      <w:pPr>
        <w:ind w:left="0" w:firstLine="0"/>
      </w:pPr>
      <w:rPr>
        <w:rFonts w:hint="eastAsia"/>
      </w:rPr>
    </w:lvl>
    <w:lvl w:ilvl="2" w:tentative="0">
      <w:start w:val="1"/>
      <w:numFmt w:val="decimal"/>
      <w:lvlText w:val="%3、"/>
      <w:lvlJc w:val="left"/>
      <w:pPr>
        <w:ind w:left="0" w:firstLine="0"/>
      </w:pPr>
      <w:rPr>
        <w:rFonts w:hint="eastAsia" w:ascii="宋体" w:hAnsi="宋体" w:eastAsia="宋体"/>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65">
    <w:nsid w:val="4B9423DA"/>
    <w:multiLevelType w:val="multilevel"/>
    <w:tmpl w:val="4B9423D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4D5D3C22"/>
    <w:multiLevelType w:val="multilevel"/>
    <w:tmpl w:val="4D5D3C22"/>
    <w:lvl w:ilvl="0" w:tentative="0">
      <w:start w:val="1"/>
      <w:numFmt w:val="decimal"/>
      <w:lvlText w:val="(%1)."/>
      <w:lvlJc w:val="left"/>
      <w:pPr>
        <w:ind w:left="420" w:hanging="420"/>
      </w:pPr>
      <w:rPr>
        <w:rFonts w:hint="eastAsia"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4EAF4C3A"/>
    <w:multiLevelType w:val="multilevel"/>
    <w:tmpl w:val="4EAF4C3A"/>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8">
    <w:nsid w:val="511727FE"/>
    <w:multiLevelType w:val="multilevel"/>
    <w:tmpl w:val="511727FE"/>
    <w:lvl w:ilvl="0" w:tentative="0">
      <w:start w:val="1"/>
      <w:numFmt w:val="decimal"/>
      <w:lvlText w:val="(%1)."/>
      <w:lvlJc w:val="left"/>
      <w:pPr>
        <w:ind w:left="0" w:firstLine="0"/>
      </w:pPr>
      <w:rPr>
        <w:rFonts w:hint="default"/>
      </w:rPr>
    </w:lvl>
    <w:lvl w:ilvl="1" w:tentative="0">
      <w:start w:val="1"/>
      <w:numFmt w:val="chineseCountingThousand"/>
      <w:lvlText w:val="(%2)"/>
      <w:lvlJc w:val="left"/>
      <w:pPr>
        <w:ind w:left="0" w:firstLine="0"/>
      </w:pPr>
      <w:rPr>
        <w:rFonts w:hint="eastAsia"/>
      </w:rPr>
    </w:lvl>
    <w:lvl w:ilvl="2" w:tentative="0">
      <w:start w:val="1"/>
      <w:numFmt w:val="chineseCountingThousand"/>
      <w:lvlText w:val="(%3)"/>
      <w:lvlJc w:val="left"/>
      <w:pPr>
        <w:ind w:left="0" w:firstLine="0"/>
      </w:pPr>
      <w:rPr>
        <w:rFonts w:hint="eastAsia"/>
      </w:rPr>
    </w:lvl>
    <w:lvl w:ilvl="3" w:tentative="0">
      <w:start w:val="1"/>
      <w:numFmt w:val="decimal"/>
      <w:lvlText w:val="(%4)."/>
      <w:lvlJc w:val="left"/>
      <w:pPr>
        <w:ind w:left="0" w:firstLine="0"/>
      </w:pPr>
      <w:rPr>
        <w:rFonts w:hint="eastAsia" w:ascii="宋体" w:hAnsi="宋体" w:eastAsia="宋体"/>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69">
    <w:nsid w:val="51265863"/>
    <w:multiLevelType w:val="multilevel"/>
    <w:tmpl w:val="51265863"/>
    <w:lvl w:ilvl="0" w:tentative="0">
      <w:start w:val="1"/>
      <w:numFmt w:val="chineseCountingThousand"/>
      <w:suff w:val="space"/>
      <w:lvlText w:val="(%1)"/>
      <w:lvlJc w:val="left"/>
      <w:pPr>
        <w:ind w:left="420" w:hanging="420"/>
      </w:pPr>
      <w:rPr>
        <w:rFonts w:hint="eastAsia"/>
      </w:rPr>
    </w:lvl>
    <w:lvl w:ilvl="1" w:tentative="0">
      <w:start w:val="1"/>
      <w:numFmt w:val="decimal"/>
      <w:lvlText w:val="(%2). "/>
      <w:lvlJc w:val="left"/>
      <w:pPr>
        <w:ind w:left="840" w:hanging="420"/>
      </w:pPr>
      <w:rPr>
        <w:rFonts w:hint="eastAsia" w:ascii="宋体" w:hAnsi="宋体" w:eastAsia="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141766E"/>
    <w:multiLevelType w:val="multilevel"/>
    <w:tmpl w:val="5141766E"/>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1">
    <w:nsid w:val="542027AB"/>
    <w:multiLevelType w:val="multilevel"/>
    <w:tmpl w:val="542027AB"/>
    <w:lvl w:ilvl="0" w:tentative="0">
      <w:start w:val="1"/>
      <w:numFmt w:val="decimal"/>
      <w:lvlText w:val="%1、"/>
      <w:lvlJc w:val="left"/>
      <w:pPr>
        <w:ind w:left="420" w:hanging="420"/>
      </w:pPr>
      <w:rPr>
        <w:rFonts w:hint="eastAsia" w:ascii="宋体" w:hAnsi="宋体" w:eastAsia="宋体"/>
      </w:rPr>
    </w:lvl>
    <w:lvl w:ilvl="1" w:tentative="0">
      <w:start w:val="1"/>
      <w:numFmt w:val="decimal"/>
      <w:lvlText w:val="%2、"/>
      <w:lvlJc w:val="left"/>
      <w:pPr>
        <w:ind w:left="840" w:hanging="420"/>
      </w:pPr>
      <w:rPr>
        <w:rFonts w:hint="eastAsia"/>
      </w:rPr>
    </w:lvl>
    <w:lvl w:ilvl="2" w:tentative="0">
      <w:start w:val="1"/>
      <w:numFmt w:val="decimal"/>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4B577AB"/>
    <w:multiLevelType w:val="multilevel"/>
    <w:tmpl w:val="54B577AB"/>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3">
    <w:nsid w:val="573E1F07"/>
    <w:multiLevelType w:val="multilevel"/>
    <w:tmpl w:val="573E1F07"/>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7D70C03"/>
    <w:multiLevelType w:val="multilevel"/>
    <w:tmpl w:val="57D70C03"/>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5">
    <w:nsid w:val="58433A16"/>
    <w:multiLevelType w:val="multilevel"/>
    <w:tmpl w:val="58433A16"/>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6">
    <w:nsid w:val="59862246"/>
    <w:multiLevelType w:val="multilevel"/>
    <w:tmpl w:val="59862246"/>
    <w:lvl w:ilvl="0" w:tentative="0">
      <w:start w:val="1"/>
      <w:numFmt w:val="decimal"/>
      <w:lvlText w:val="%1、"/>
      <w:lvlJc w:val="left"/>
      <w:pPr>
        <w:ind w:left="425" w:hanging="425"/>
      </w:pPr>
      <w:rPr>
        <w:rFonts w:hint="eastAsia" w:ascii="宋体" w:hAnsi="宋体" w:eastAsia="宋体"/>
        <w:b/>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7">
    <w:nsid w:val="5A3A1DE7"/>
    <w:multiLevelType w:val="multilevel"/>
    <w:tmpl w:val="5A3A1DE7"/>
    <w:lvl w:ilvl="0" w:tentative="0">
      <w:start w:val="2"/>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C673432"/>
    <w:multiLevelType w:val="multilevel"/>
    <w:tmpl w:val="5C673432"/>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ascii="宋体" w:hAnsi="宋体" w:eastAsia="宋体"/>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9">
    <w:nsid w:val="5D7B027D"/>
    <w:multiLevelType w:val="multilevel"/>
    <w:tmpl w:val="5D7B027D"/>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0421A59"/>
    <w:multiLevelType w:val="multilevel"/>
    <w:tmpl w:val="60421A59"/>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3C25BDC"/>
    <w:multiLevelType w:val="multilevel"/>
    <w:tmpl w:val="63C25BDC"/>
    <w:lvl w:ilvl="0" w:tentative="0">
      <w:start w:val="1"/>
      <w:numFmt w:val="decimal"/>
      <w:lvlText w:val="(%1). "/>
      <w:lvlJc w:val="left"/>
      <w:pPr>
        <w:ind w:left="425" w:hanging="425"/>
      </w:pPr>
      <w:rPr>
        <w:rFonts w:hint="eastAsia" w:ascii="宋体" w:hAnsi="宋体" w:eastAsia="宋体"/>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2">
    <w:nsid w:val="6505491D"/>
    <w:multiLevelType w:val="multilevel"/>
    <w:tmpl w:val="6505491D"/>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3">
    <w:nsid w:val="66CA16A7"/>
    <w:multiLevelType w:val="multilevel"/>
    <w:tmpl w:val="66CA16A7"/>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4">
    <w:nsid w:val="69BA4BB7"/>
    <w:multiLevelType w:val="multilevel"/>
    <w:tmpl w:val="69BA4BB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D7319EB"/>
    <w:multiLevelType w:val="multilevel"/>
    <w:tmpl w:val="6D7319EB"/>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6">
    <w:nsid w:val="6E225922"/>
    <w:multiLevelType w:val="multilevel"/>
    <w:tmpl w:val="6E225922"/>
    <w:lvl w:ilvl="0" w:tentative="0">
      <w:start w:val="1"/>
      <w:numFmt w:val="decimal"/>
      <w:lvlText w:val="(%1). "/>
      <w:lvlJc w:val="left"/>
      <w:pPr>
        <w:ind w:left="425" w:hanging="425"/>
      </w:pPr>
      <w:rPr>
        <w:rFonts w:hint="eastAsia" w:ascii="宋体" w:hAnsi="宋体" w:eastAsia="宋体"/>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7">
    <w:nsid w:val="6F111C3A"/>
    <w:multiLevelType w:val="multilevel"/>
    <w:tmpl w:val="6F111C3A"/>
    <w:lvl w:ilvl="0" w:tentative="0">
      <w:start w:val="1"/>
      <w:numFmt w:val="decimal"/>
      <w:lvlText w:val="(%1)."/>
      <w:lvlJc w:val="left"/>
      <w:pPr>
        <w:ind w:left="425" w:hanging="425"/>
      </w:pPr>
      <w:rPr>
        <w:rFonts w:hint="eastAsia"/>
      </w:rPr>
    </w:lvl>
    <w:lvl w:ilvl="1" w:tentative="0">
      <w:start w:val="1"/>
      <w:numFmt w:val="chineseCountingThousand"/>
      <w:lvlText w:val="(%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8">
    <w:nsid w:val="701D5786"/>
    <w:multiLevelType w:val="multilevel"/>
    <w:tmpl w:val="701D5786"/>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9">
    <w:nsid w:val="70E42A22"/>
    <w:multiLevelType w:val="multilevel"/>
    <w:tmpl w:val="70E42A22"/>
    <w:lvl w:ilvl="0" w:tentative="0">
      <w:start w:val="1"/>
      <w:numFmt w:val="decimal"/>
      <w:lvlText w:val="%1."/>
      <w:lvlJc w:val="left"/>
      <w:pPr>
        <w:ind w:left="425" w:hanging="425"/>
      </w:pPr>
    </w:lvl>
    <w:lvl w:ilvl="1" w:tentative="0">
      <w:start w:val="1"/>
      <w:numFmt w:val="chineseCountingThousand"/>
      <w:lvlText w:val="(%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0">
    <w:nsid w:val="72487AEF"/>
    <w:multiLevelType w:val="multilevel"/>
    <w:tmpl w:val="72487AE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28231A6"/>
    <w:multiLevelType w:val="multilevel"/>
    <w:tmpl w:val="728231A6"/>
    <w:lvl w:ilvl="0" w:tentative="0">
      <w:start w:val="1"/>
      <w:numFmt w:val="decimal"/>
      <w:lvlText w:val="(%1)"/>
      <w:lvlJc w:val="left"/>
      <w:pPr>
        <w:ind w:left="420" w:hanging="420"/>
      </w:pPr>
      <w:rPr>
        <w:rFonts w:hint="default"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39563DA"/>
    <w:multiLevelType w:val="multilevel"/>
    <w:tmpl w:val="739563DA"/>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3">
    <w:nsid w:val="73FB28AC"/>
    <w:multiLevelType w:val="multilevel"/>
    <w:tmpl w:val="73FB28AC"/>
    <w:lvl w:ilvl="0" w:tentative="0">
      <w:start w:val="1"/>
      <w:numFmt w:val="decimal"/>
      <w:lvlText w:val="(%1)."/>
      <w:lvlJc w:val="left"/>
      <w:pPr>
        <w:ind w:left="0" w:firstLine="0"/>
      </w:pPr>
      <w:rPr>
        <w:rFonts w:hint="default"/>
      </w:rPr>
    </w:lvl>
    <w:lvl w:ilvl="1" w:tentative="0">
      <w:start w:val="1"/>
      <w:numFmt w:val="chineseCountingThousand"/>
      <w:lvlText w:val="(%2)"/>
      <w:lvlJc w:val="left"/>
      <w:pPr>
        <w:ind w:left="0" w:firstLine="0"/>
      </w:pPr>
      <w:rPr>
        <w:rFonts w:hint="eastAsia"/>
      </w:rPr>
    </w:lvl>
    <w:lvl w:ilvl="2" w:tentative="0">
      <w:start w:val="1"/>
      <w:numFmt w:val="chineseCountingThousand"/>
      <w:lvlText w:val="(%3)"/>
      <w:lvlJc w:val="left"/>
      <w:pPr>
        <w:ind w:left="0" w:firstLine="0"/>
      </w:pPr>
      <w:rPr>
        <w:rFonts w:hint="eastAsia"/>
      </w:rPr>
    </w:lvl>
    <w:lvl w:ilvl="3" w:tentative="0">
      <w:start w:val="1"/>
      <w:numFmt w:val="decimal"/>
      <w:lvlText w:val="(%4)."/>
      <w:lvlJc w:val="left"/>
      <w:pPr>
        <w:ind w:left="0" w:firstLine="0"/>
      </w:pPr>
      <w:rPr>
        <w:rFonts w:ascii="宋体" w:hAnsi="宋体" w:eastAsia="宋体"/>
        <w:b/>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94">
    <w:nsid w:val="750508FB"/>
    <w:multiLevelType w:val="multilevel"/>
    <w:tmpl w:val="750508FB"/>
    <w:lvl w:ilvl="0" w:tentative="0">
      <w:start w:val="1"/>
      <w:numFmt w:val="decimal"/>
      <w:lvlText w:val="(%1). "/>
      <w:lvlJc w:val="left"/>
      <w:pPr>
        <w:ind w:left="425" w:hanging="425"/>
      </w:pPr>
      <w:rPr>
        <w:rFonts w:hint="eastAsia" w:ascii="宋体" w:hAnsi="宋体" w:eastAsia="宋体"/>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5">
    <w:nsid w:val="75482B44"/>
    <w:multiLevelType w:val="multilevel"/>
    <w:tmpl w:val="75482B44"/>
    <w:lvl w:ilvl="0" w:tentative="0">
      <w:start w:val="1"/>
      <w:numFmt w:val="decimal"/>
      <w:suff w:val="nothing"/>
      <w:lvlText w:val="(%1). "/>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6B4167B"/>
    <w:multiLevelType w:val="multilevel"/>
    <w:tmpl w:val="76B4167B"/>
    <w:lvl w:ilvl="0" w:tentative="0">
      <w:start w:val="1"/>
      <w:numFmt w:val="decimal"/>
      <w:lvlText w:val="%1、"/>
      <w:lvlJc w:val="left"/>
      <w:pPr>
        <w:ind w:left="420" w:hanging="420"/>
      </w:pPr>
      <w:rPr>
        <w:rFonts w:ascii="宋体" w:hAnsi="宋体"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7111D1D"/>
    <w:multiLevelType w:val="multilevel"/>
    <w:tmpl w:val="77111D1D"/>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8">
    <w:nsid w:val="77194021"/>
    <w:multiLevelType w:val="multilevel"/>
    <w:tmpl w:val="77194021"/>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9">
    <w:nsid w:val="787035DE"/>
    <w:multiLevelType w:val="multilevel"/>
    <w:tmpl w:val="787035DE"/>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7A6140D4"/>
    <w:multiLevelType w:val="multilevel"/>
    <w:tmpl w:val="7A6140D4"/>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984" w:hanging="708"/>
      </w:pPr>
      <w:rPr>
        <w:rFonts w:hint="eastAsia" w:ascii="宋体" w:hAnsi="宋体" w:eastAsia="宋体"/>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1">
    <w:nsid w:val="7B1E025F"/>
    <w:multiLevelType w:val="multilevel"/>
    <w:tmpl w:val="7B1E025F"/>
    <w:lvl w:ilvl="0" w:tentative="0">
      <w:start w:val="1"/>
      <w:numFmt w:val="decimal"/>
      <w:lvlText w:val="%1、"/>
      <w:lvlJc w:val="left"/>
      <w:pPr>
        <w:ind w:left="420" w:hanging="420"/>
      </w:pPr>
      <w:rPr>
        <w:rFonts w:hint="eastAsia" w:ascii="宋体" w:hAnsi="宋体" w:eastAsia="宋体"/>
      </w:rPr>
    </w:lvl>
    <w:lvl w:ilvl="1" w:tentative="0">
      <w:start w:val="1"/>
      <w:numFmt w:val="decimal"/>
      <w:lvlText w:val="%2、"/>
      <w:lvlJc w:val="left"/>
      <w:pPr>
        <w:ind w:left="840" w:hanging="420"/>
      </w:pPr>
      <w:rPr>
        <w:rFonts w:hint="eastAsia"/>
      </w:rPr>
    </w:lvl>
    <w:lvl w:ilvl="2" w:tentative="0">
      <w:start w:val="1"/>
      <w:numFmt w:val="decimal"/>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B606A2D"/>
    <w:multiLevelType w:val="multilevel"/>
    <w:tmpl w:val="7B606A2D"/>
    <w:lvl w:ilvl="0" w:tentative="0">
      <w:start w:val="1"/>
      <w:numFmt w:val="decimal"/>
      <w:lvlText w:val="(%1). "/>
      <w:lvlJc w:val="left"/>
      <w:pPr>
        <w:ind w:left="420" w:hanging="420"/>
      </w:pPr>
      <w:rPr>
        <w:rFonts w:hint="eastAsia"/>
        <w:color w:val="auto"/>
      </w:rPr>
    </w:lvl>
    <w:lvl w:ilvl="1" w:tentative="0">
      <w:start w:val="1"/>
      <w:numFmt w:val="japaneseCounting"/>
      <w:lvlText w:val="%2、"/>
      <w:lvlJc w:val="left"/>
      <w:pPr>
        <w:ind w:left="840" w:hanging="420"/>
      </w:pPr>
      <w:rPr>
        <w:rFonts w:hint="default"/>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3">
    <w:nsid w:val="7C0C1B4F"/>
    <w:multiLevelType w:val="multilevel"/>
    <w:tmpl w:val="7C0C1B4F"/>
    <w:lvl w:ilvl="0" w:tentative="0">
      <w:start w:val="1"/>
      <w:numFmt w:val="decimal"/>
      <w:lvlText w:val="(%1)."/>
      <w:lvlJc w:val="left"/>
      <w:pPr>
        <w:ind w:left="0" w:firstLine="0"/>
      </w:pPr>
      <w:rPr>
        <w:rFonts w:hint="default"/>
      </w:rPr>
    </w:lvl>
    <w:lvl w:ilvl="1" w:tentative="0">
      <w:start w:val="1"/>
      <w:numFmt w:val="chineseCountingThousand"/>
      <w:lvlText w:val="(%2)"/>
      <w:lvlJc w:val="left"/>
      <w:pPr>
        <w:ind w:left="0" w:firstLine="0"/>
      </w:pPr>
      <w:rPr>
        <w:rFonts w:hint="eastAsia"/>
      </w:rPr>
    </w:lvl>
    <w:lvl w:ilvl="2" w:tentative="0">
      <w:start w:val="1"/>
      <w:numFmt w:val="chineseCountingThousand"/>
      <w:lvlText w:val="(%3)"/>
      <w:lvlJc w:val="left"/>
      <w:pPr>
        <w:ind w:left="0" w:firstLine="0"/>
      </w:pPr>
      <w:rPr>
        <w:rFonts w:hint="eastAsia"/>
      </w:rPr>
    </w:lvl>
    <w:lvl w:ilvl="3" w:tentative="0">
      <w:start w:val="1"/>
      <w:numFmt w:val="decimal"/>
      <w:suff w:val="nothing"/>
      <w:lvlText w:val="(%4). "/>
      <w:lvlJc w:val="left"/>
      <w:pPr>
        <w:ind w:left="0" w:firstLine="0"/>
      </w:pPr>
      <w:rPr>
        <w:rFonts w:hint="eastAsia" w:ascii="宋体" w:hAnsi="宋体" w:eastAsia="宋体"/>
        <w:b/>
        <w:color w:val="auto"/>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04">
    <w:nsid w:val="7D07444B"/>
    <w:multiLevelType w:val="multilevel"/>
    <w:tmpl w:val="7D07444B"/>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5">
    <w:nsid w:val="7E7E7E18"/>
    <w:multiLevelType w:val="multilevel"/>
    <w:tmpl w:val="7E7E7E18"/>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6">
    <w:nsid w:val="7FCC199E"/>
    <w:multiLevelType w:val="multilevel"/>
    <w:tmpl w:val="7FCC199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3、"/>
      <w:lvlJc w:val="left"/>
      <w:pPr>
        <w:ind w:left="0" w:firstLine="0"/>
      </w:pPr>
      <w:rPr>
        <w:rFonts w:hint="eastAsia"/>
      </w:rPr>
    </w:lvl>
    <w:lvl w:ilvl="3" w:tentative="0">
      <w:start w:val="1"/>
      <w:numFmt w:val="decimal"/>
      <w:lvlText w:val="(%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46"/>
  </w:num>
  <w:num w:numId="2">
    <w:abstractNumId w:val="23"/>
  </w:num>
  <w:num w:numId="3">
    <w:abstractNumId w:val="14"/>
  </w:num>
  <w:num w:numId="4">
    <w:abstractNumId w:val="27"/>
  </w:num>
  <w:num w:numId="5">
    <w:abstractNumId w:val="12"/>
  </w:num>
  <w:num w:numId="6">
    <w:abstractNumId w:val="5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9"/>
  </w:num>
  <w:num w:numId="8">
    <w:abstractNumId w:val="18"/>
  </w:num>
  <w:num w:numId="9">
    <w:abstractNumId w:val="22"/>
  </w:num>
  <w:num w:numId="10">
    <w:abstractNumId w:val="91"/>
  </w:num>
  <w:num w:numId="11">
    <w:abstractNumId w:val="65"/>
  </w:num>
  <w:num w:numId="12">
    <w:abstractNumId w:val="58"/>
  </w:num>
  <w:num w:numId="13">
    <w:abstractNumId w:val="73"/>
  </w:num>
  <w:num w:numId="14">
    <w:abstractNumId w:val="90"/>
  </w:num>
  <w:num w:numId="15">
    <w:abstractNumId w:val="32"/>
  </w:num>
  <w:num w:numId="16">
    <w:abstractNumId w:val="84"/>
  </w:num>
  <w:num w:numId="17">
    <w:abstractNumId w:val="3"/>
  </w:num>
  <w:num w:numId="18">
    <w:abstractNumId w:val="100"/>
  </w:num>
  <w:num w:numId="19">
    <w:abstractNumId w:val="79"/>
  </w:num>
  <w:num w:numId="20">
    <w:abstractNumId w:val="26"/>
  </w:num>
  <w:num w:numId="21">
    <w:abstractNumId w:val="59"/>
  </w:num>
  <w:num w:numId="22">
    <w:abstractNumId w:val="101"/>
  </w:num>
  <w:num w:numId="23">
    <w:abstractNumId w:val="71"/>
  </w:num>
  <w:num w:numId="24">
    <w:abstractNumId w:val="50"/>
  </w:num>
  <w:num w:numId="25">
    <w:abstractNumId w:val="31"/>
  </w:num>
  <w:num w:numId="26">
    <w:abstractNumId w:val="62"/>
  </w:num>
  <w:num w:numId="27">
    <w:abstractNumId w:val="61"/>
  </w:num>
  <w:num w:numId="28">
    <w:abstractNumId w:val="77"/>
  </w:num>
  <w:num w:numId="29">
    <w:abstractNumId w:val="33"/>
  </w:num>
  <w:num w:numId="30">
    <w:abstractNumId w:val="89"/>
  </w:num>
  <w:num w:numId="31">
    <w:abstractNumId w:val="78"/>
  </w:num>
  <w:num w:numId="32">
    <w:abstractNumId w:val="16"/>
  </w:num>
  <w:num w:numId="33">
    <w:abstractNumId w:val="30"/>
  </w:num>
  <w:num w:numId="34">
    <w:abstractNumId w:val="21"/>
  </w:num>
  <w:num w:numId="35">
    <w:abstractNumId w:val="9"/>
  </w:num>
  <w:num w:numId="36">
    <w:abstractNumId w:val="7"/>
  </w:num>
  <w:num w:numId="37">
    <w:abstractNumId w:val="17"/>
  </w:num>
  <w:num w:numId="38">
    <w:abstractNumId w:val="97"/>
  </w:num>
  <w:num w:numId="39">
    <w:abstractNumId w:val="55"/>
  </w:num>
  <w:num w:numId="40">
    <w:abstractNumId w:val="51"/>
  </w:num>
  <w:num w:numId="41">
    <w:abstractNumId w:val="2"/>
  </w:num>
  <w:num w:numId="42">
    <w:abstractNumId w:val="72"/>
  </w:num>
  <w:num w:numId="43">
    <w:abstractNumId w:val="39"/>
  </w:num>
  <w:num w:numId="44">
    <w:abstractNumId w:val="28"/>
  </w:num>
  <w:num w:numId="45">
    <w:abstractNumId w:val="87"/>
  </w:num>
  <w:num w:numId="46">
    <w:abstractNumId w:val="4"/>
  </w:num>
  <w:num w:numId="47">
    <w:abstractNumId w:val="25"/>
  </w:num>
  <w:num w:numId="48">
    <w:abstractNumId w:val="11"/>
  </w:num>
  <w:num w:numId="49">
    <w:abstractNumId w:val="38"/>
  </w:num>
  <w:num w:numId="50">
    <w:abstractNumId w:val="88"/>
  </w:num>
  <w:num w:numId="51">
    <w:abstractNumId w:val="96"/>
  </w:num>
  <w:num w:numId="52">
    <w:abstractNumId w:val="54"/>
  </w:num>
  <w:num w:numId="53">
    <w:abstractNumId w:val="20"/>
  </w:num>
  <w:num w:numId="54">
    <w:abstractNumId w:val="15"/>
  </w:num>
  <w:num w:numId="55">
    <w:abstractNumId w:val="92"/>
  </w:num>
  <w:num w:numId="56">
    <w:abstractNumId w:val="40"/>
  </w:num>
  <w:num w:numId="57">
    <w:abstractNumId w:val="86"/>
  </w:num>
  <w:num w:numId="58">
    <w:abstractNumId w:val="98"/>
  </w:num>
  <w:num w:numId="59">
    <w:abstractNumId w:val="105"/>
  </w:num>
  <w:num w:numId="60">
    <w:abstractNumId w:val="106"/>
  </w:num>
  <w:num w:numId="61">
    <w:abstractNumId w:val="41"/>
  </w:num>
  <w:num w:numId="62">
    <w:abstractNumId w:val="10"/>
  </w:num>
  <w:num w:numId="63">
    <w:abstractNumId w:val="6"/>
  </w:num>
  <w:num w:numId="64">
    <w:abstractNumId w:val="102"/>
  </w:num>
  <w:num w:numId="65">
    <w:abstractNumId w:val="19"/>
  </w:num>
  <w:num w:numId="66">
    <w:abstractNumId w:val="48"/>
  </w:num>
  <w:num w:numId="67">
    <w:abstractNumId w:val="94"/>
  </w:num>
  <w:num w:numId="68">
    <w:abstractNumId w:val="44"/>
  </w:num>
  <w:num w:numId="69">
    <w:abstractNumId w:val="99"/>
  </w:num>
  <w:num w:numId="70">
    <w:abstractNumId w:val="63"/>
  </w:num>
  <w:num w:numId="71">
    <w:abstractNumId w:val="81"/>
  </w:num>
  <w:num w:numId="72">
    <w:abstractNumId w:val="34"/>
  </w:num>
  <w:num w:numId="73">
    <w:abstractNumId w:val="104"/>
  </w:num>
  <w:num w:numId="74">
    <w:abstractNumId w:val="37"/>
  </w:num>
  <w:num w:numId="75">
    <w:abstractNumId w:val="103"/>
  </w:num>
  <w:num w:numId="76">
    <w:abstractNumId w:val="47"/>
  </w:num>
  <w:num w:numId="77">
    <w:abstractNumId w:val="24"/>
  </w:num>
  <w:num w:numId="78">
    <w:abstractNumId w:val="13"/>
  </w:num>
  <w:num w:numId="79">
    <w:abstractNumId w:val="82"/>
  </w:num>
  <w:num w:numId="80">
    <w:abstractNumId w:val="43"/>
  </w:num>
  <w:num w:numId="81">
    <w:abstractNumId w:val="29"/>
  </w:num>
  <w:num w:numId="82">
    <w:abstractNumId w:val="60"/>
  </w:num>
  <w:num w:numId="83">
    <w:abstractNumId w:val="75"/>
  </w:num>
  <w:num w:numId="84">
    <w:abstractNumId w:val="66"/>
  </w:num>
  <w:num w:numId="85">
    <w:abstractNumId w:val="1"/>
  </w:num>
  <w:num w:numId="86">
    <w:abstractNumId w:val="80"/>
  </w:num>
  <w:num w:numId="87">
    <w:abstractNumId w:val="64"/>
  </w:num>
  <w:num w:numId="88">
    <w:abstractNumId w:val="68"/>
  </w:num>
  <w:num w:numId="89">
    <w:abstractNumId w:val="93"/>
  </w:num>
  <w:num w:numId="90">
    <w:abstractNumId w:val="42"/>
  </w:num>
  <w:num w:numId="91">
    <w:abstractNumId w:val="8"/>
  </w:num>
  <w:num w:numId="92">
    <w:abstractNumId w:val="70"/>
  </w:num>
  <w:num w:numId="93">
    <w:abstractNumId w:val="85"/>
  </w:num>
  <w:num w:numId="94">
    <w:abstractNumId w:val="53"/>
  </w:num>
  <w:num w:numId="95">
    <w:abstractNumId w:val="74"/>
  </w:num>
  <w:num w:numId="96">
    <w:abstractNumId w:val="67"/>
  </w:num>
  <w:num w:numId="97">
    <w:abstractNumId w:val="35"/>
  </w:num>
  <w:num w:numId="98">
    <w:abstractNumId w:val="76"/>
  </w:num>
  <w:num w:numId="99">
    <w:abstractNumId w:val="45"/>
  </w:num>
  <w:num w:numId="100">
    <w:abstractNumId w:val="5"/>
  </w:num>
  <w:num w:numId="101">
    <w:abstractNumId w:val="69"/>
  </w:num>
  <w:num w:numId="102">
    <w:abstractNumId w:val="0"/>
  </w:num>
  <w:num w:numId="103">
    <w:abstractNumId w:val="52"/>
  </w:num>
  <w:num w:numId="104">
    <w:abstractNumId w:val="57"/>
  </w:num>
  <w:num w:numId="105">
    <w:abstractNumId w:val="83"/>
  </w:num>
  <w:num w:numId="106">
    <w:abstractNumId w:val="95"/>
  </w:num>
  <w:num w:numId="10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12"/>
    <w:footnote w:id="1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 w:name="Disclosure_Version" w:val="true"/>
    <w:docVar w:name="RemovedBindingXPath" w:val="true"/>
  </w:docVars>
  <w:rsids>
    <w:rsidRoot w:val="00DD256F"/>
    <w:rsid w:val="000005A6"/>
    <w:rsid w:val="000006AC"/>
    <w:rsid w:val="0000102D"/>
    <w:rsid w:val="0000104D"/>
    <w:rsid w:val="00001469"/>
    <w:rsid w:val="000015C9"/>
    <w:rsid w:val="00001B33"/>
    <w:rsid w:val="00001E8C"/>
    <w:rsid w:val="000021DD"/>
    <w:rsid w:val="0000230E"/>
    <w:rsid w:val="000023F5"/>
    <w:rsid w:val="00002545"/>
    <w:rsid w:val="000028BC"/>
    <w:rsid w:val="00002973"/>
    <w:rsid w:val="000033A6"/>
    <w:rsid w:val="000033CD"/>
    <w:rsid w:val="0000372D"/>
    <w:rsid w:val="00003C39"/>
    <w:rsid w:val="0000464C"/>
    <w:rsid w:val="000048B5"/>
    <w:rsid w:val="00004ADF"/>
    <w:rsid w:val="00004E58"/>
    <w:rsid w:val="00005071"/>
    <w:rsid w:val="0000568D"/>
    <w:rsid w:val="00005B71"/>
    <w:rsid w:val="00006135"/>
    <w:rsid w:val="000061CF"/>
    <w:rsid w:val="00007207"/>
    <w:rsid w:val="000075B3"/>
    <w:rsid w:val="00007BBD"/>
    <w:rsid w:val="00010147"/>
    <w:rsid w:val="0001033D"/>
    <w:rsid w:val="0001041D"/>
    <w:rsid w:val="0001046B"/>
    <w:rsid w:val="000110A4"/>
    <w:rsid w:val="00011DA5"/>
    <w:rsid w:val="000121BF"/>
    <w:rsid w:val="000122EE"/>
    <w:rsid w:val="00012469"/>
    <w:rsid w:val="00012702"/>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D21"/>
    <w:rsid w:val="000176B6"/>
    <w:rsid w:val="00017873"/>
    <w:rsid w:val="00017D54"/>
    <w:rsid w:val="00020074"/>
    <w:rsid w:val="000203A5"/>
    <w:rsid w:val="000205AB"/>
    <w:rsid w:val="00020605"/>
    <w:rsid w:val="00020728"/>
    <w:rsid w:val="00020745"/>
    <w:rsid w:val="00020B5B"/>
    <w:rsid w:val="00020D46"/>
    <w:rsid w:val="00020DB9"/>
    <w:rsid w:val="0002110B"/>
    <w:rsid w:val="00021700"/>
    <w:rsid w:val="00021AB6"/>
    <w:rsid w:val="00021BD4"/>
    <w:rsid w:val="000224B7"/>
    <w:rsid w:val="000225C5"/>
    <w:rsid w:val="0002292A"/>
    <w:rsid w:val="00022CD6"/>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279D9"/>
    <w:rsid w:val="00030012"/>
    <w:rsid w:val="000301D0"/>
    <w:rsid w:val="0003148E"/>
    <w:rsid w:val="00031700"/>
    <w:rsid w:val="000317CB"/>
    <w:rsid w:val="000317E9"/>
    <w:rsid w:val="00031B72"/>
    <w:rsid w:val="00031EFC"/>
    <w:rsid w:val="0003243D"/>
    <w:rsid w:val="00032BA9"/>
    <w:rsid w:val="00032FA8"/>
    <w:rsid w:val="0003337C"/>
    <w:rsid w:val="000337FB"/>
    <w:rsid w:val="00033EBB"/>
    <w:rsid w:val="0003408C"/>
    <w:rsid w:val="0003409A"/>
    <w:rsid w:val="00034289"/>
    <w:rsid w:val="000343F2"/>
    <w:rsid w:val="0003468B"/>
    <w:rsid w:val="00034C0D"/>
    <w:rsid w:val="00035352"/>
    <w:rsid w:val="00035464"/>
    <w:rsid w:val="0003626E"/>
    <w:rsid w:val="00036357"/>
    <w:rsid w:val="00036813"/>
    <w:rsid w:val="00036BDA"/>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C00"/>
    <w:rsid w:val="00043CB5"/>
    <w:rsid w:val="00043E96"/>
    <w:rsid w:val="00043EED"/>
    <w:rsid w:val="00044579"/>
    <w:rsid w:val="000446C9"/>
    <w:rsid w:val="00044D1E"/>
    <w:rsid w:val="00044DDC"/>
    <w:rsid w:val="00044FE0"/>
    <w:rsid w:val="000451ED"/>
    <w:rsid w:val="000453CA"/>
    <w:rsid w:val="00045DCB"/>
    <w:rsid w:val="00045F39"/>
    <w:rsid w:val="0004610E"/>
    <w:rsid w:val="00046637"/>
    <w:rsid w:val="000468DA"/>
    <w:rsid w:val="00046A83"/>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2FFA"/>
    <w:rsid w:val="0005335F"/>
    <w:rsid w:val="000534F5"/>
    <w:rsid w:val="00053E2E"/>
    <w:rsid w:val="00053F3F"/>
    <w:rsid w:val="000541E8"/>
    <w:rsid w:val="000544CE"/>
    <w:rsid w:val="000545AA"/>
    <w:rsid w:val="00054612"/>
    <w:rsid w:val="0005486C"/>
    <w:rsid w:val="00054D34"/>
    <w:rsid w:val="00055534"/>
    <w:rsid w:val="00055816"/>
    <w:rsid w:val="00055C3F"/>
    <w:rsid w:val="000561D7"/>
    <w:rsid w:val="000562C7"/>
    <w:rsid w:val="00056724"/>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8FD"/>
    <w:rsid w:val="00065914"/>
    <w:rsid w:val="00065B7B"/>
    <w:rsid w:val="00065D51"/>
    <w:rsid w:val="0006666D"/>
    <w:rsid w:val="00066B5B"/>
    <w:rsid w:val="00066C7F"/>
    <w:rsid w:val="00066F8C"/>
    <w:rsid w:val="000670B7"/>
    <w:rsid w:val="0006751E"/>
    <w:rsid w:val="00067AEB"/>
    <w:rsid w:val="00070132"/>
    <w:rsid w:val="00070D92"/>
    <w:rsid w:val="00070E4B"/>
    <w:rsid w:val="00071243"/>
    <w:rsid w:val="0007132C"/>
    <w:rsid w:val="0007147E"/>
    <w:rsid w:val="00072361"/>
    <w:rsid w:val="0007246C"/>
    <w:rsid w:val="000727B4"/>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15B"/>
    <w:rsid w:val="00076419"/>
    <w:rsid w:val="000764FD"/>
    <w:rsid w:val="00077397"/>
    <w:rsid w:val="000778E2"/>
    <w:rsid w:val="000778F7"/>
    <w:rsid w:val="0008036E"/>
    <w:rsid w:val="00080509"/>
    <w:rsid w:val="000805BB"/>
    <w:rsid w:val="000808F7"/>
    <w:rsid w:val="000808FF"/>
    <w:rsid w:val="0008095D"/>
    <w:rsid w:val="00080A0F"/>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041"/>
    <w:rsid w:val="000841ED"/>
    <w:rsid w:val="00084294"/>
    <w:rsid w:val="00084531"/>
    <w:rsid w:val="00084634"/>
    <w:rsid w:val="00084A03"/>
    <w:rsid w:val="00084A3C"/>
    <w:rsid w:val="00084F00"/>
    <w:rsid w:val="000851B9"/>
    <w:rsid w:val="00085C6B"/>
    <w:rsid w:val="00086291"/>
    <w:rsid w:val="000866A2"/>
    <w:rsid w:val="000868AD"/>
    <w:rsid w:val="00086912"/>
    <w:rsid w:val="000872AC"/>
    <w:rsid w:val="000873A5"/>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1F2"/>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3714"/>
    <w:rsid w:val="000A3DD1"/>
    <w:rsid w:val="000A4309"/>
    <w:rsid w:val="000A4AE5"/>
    <w:rsid w:val="000A4C9E"/>
    <w:rsid w:val="000A4DD4"/>
    <w:rsid w:val="000A5126"/>
    <w:rsid w:val="000A5162"/>
    <w:rsid w:val="000A5A58"/>
    <w:rsid w:val="000A6410"/>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3182"/>
    <w:rsid w:val="000B31E0"/>
    <w:rsid w:val="000B3557"/>
    <w:rsid w:val="000B363F"/>
    <w:rsid w:val="000B3C1D"/>
    <w:rsid w:val="000B4A82"/>
    <w:rsid w:val="000B4B18"/>
    <w:rsid w:val="000B4B2D"/>
    <w:rsid w:val="000B4BDA"/>
    <w:rsid w:val="000B5098"/>
    <w:rsid w:val="000B5590"/>
    <w:rsid w:val="000B5992"/>
    <w:rsid w:val="000B5B67"/>
    <w:rsid w:val="000B5F9A"/>
    <w:rsid w:val="000B6B2E"/>
    <w:rsid w:val="000B6BC7"/>
    <w:rsid w:val="000B6C66"/>
    <w:rsid w:val="000B717E"/>
    <w:rsid w:val="000C0038"/>
    <w:rsid w:val="000C01B8"/>
    <w:rsid w:val="000C0519"/>
    <w:rsid w:val="000C063C"/>
    <w:rsid w:val="000C0C72"/>
    <w:rsid w:val="000C0D45"/>
    <w:rsid w:val="000C0F63"/>
    <w:rsid w:val="000C1CEC"/>
    <w:rsid w:val="000C2197"/>
    <w:rsid w:val="000C25F5"/>
    <w:rsid w:val="000C26F5"/>
    <w:rsid w:val="000C29DF"/>
    <w:rsid w:val="000C2C2E"/>
    <w:rsid w:val="000C3232"/>
    <w:rsid w:val="000C37A8"/>
    <w:rsid w:val="000C38C3"/>
    <w:rsid w:val="000C3A0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161"/>
    <w:rsid w:val="000D14E3"/>
    <w:rsid w:val="000D15CB"/>
    <w:rsid w:val="000D1E55"/>
    <w:rsid w:val="000D26CD"/>
    <w:rsid w:val="000D28CF"/>
    <w:rsid w:val="000D29E2"/>
    <w:rsid w:val="000D2C5E"/>
    <w:rsid w:val="000D2F52"/>
    <w:rsid w:val="000D3B03"/>
    <w:rsid w:val="000D3B07"/>
    <w:rsid w:val="000D4964"/>
    <w:rsid w:val="000D49EB"/>
    <w:rsid w:val="000D4FF2"/>
    <w:rsid w:val="000D51D5"/>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BCC"/>
    <w:rsid w:val="000E3D2D"/>
    <w:rsid w:val="000E41A3"/>
    <w:rsid w:val="000E4352"/>
    <w:rsid w:val="000E444C"/>
    <w:rsid w:val="000E4B54"/>
    <w:rsid w:val="000E4BAB"/>
    <w:rsid w:val="000E518E"/>
    <w:rsid w:val="000E567C"/>
    <w:rsid w:val="000E56D0"/>
    <w:rsid w:val="000E58EB"/>
    <w:rsid w:val="000E5B46"/>
    <w:rsid w:val="000E5F9B"/>
    <w:rsid w:val="000E686A"/>
    <w:rsid w:val="000E6C67"/>
    <w:rsid w:val="000E6CD7"/>
    <w:rsid w:val="000E6F8A"/>
    <w:rsid w:val="000E70DA"/>
    <w:rsid w:val="000E7291"/>
    <w:rsid w:val="000E7956"/>
    <w:rsid w:val="000E7A93"/>
    <w:rsid w:val="000E7F24"/>
    <w:rsid w:val="000F00C3"/>
    <w:rsid w:val="000F025D"/>
    <w:rsid w:val="000F0456"/>
    <w:rsid w:val="000F04EC"/>
    <w:rsid w:val="000F0542"/>
    <w:rsid w:val="000F0CF0"/>
    <w:rsid w:val="000F13B4"/>
    <w:rsid w:val="000F192B"/>
    <w:rsid w:val="000F25B0"/>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CB8"/>
    <w:rsid w:val="000F7D3C"/>
    <w:rsid w:val="000F7D8E"/>
    <w:rsid w:val="00100112"/>
    <w:rsid w:val="0010063A"/>
    <w:rsid w:val="001007FD"/>
    <w:rsid w:val="00100C63"/>
    <w:rsid w:val="001012ED"/>
    <w:rsid w:val="00101376"/>
    <w:rsid w:val="00101B38"/>
    <w:rsid w:val="001022D3"/>
    <w:rsid w:val="001026CF"/>
    <w:rsid w:val="0010345C"/>
    <w:rsid w:val="00103661"/>
    <w:rsid w:val="001036AD"/>
    <w:rsid w:val="001038D1"/>
    <w:rsid w:val="00103BDD"/>
    <w:rsid w:val="00104087"/>
    <w:rsid w:val="001044B7"/>
    <w:rsid w:val="001044EA"/>
    <w:rsid w:val="001048FE"/>
    <w:rsid w:val="00104FBE"/>
    <w:rsid w:val="00105238"/>
    <w:rsid w:val="001053DD"/>
    <w:rsid w:val="00105556"/>
    <w:rsid w:val="00105921"/>
    <w:rsid w:val="001059D2"/>
    <w:rsid w:val="001059DB"/>
    <w:rsid w:val="00105F72"/>
    <w:rsid w:val="00106740"/>
    <w:rsid w:val="001071A5"/>
    <w:rsid w:val="00107599"/>
    <w:rsid w:val="001075CC"/>
    <w:rsid w:val="001079B5"/>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7DE"/>
    <w:rsid w:val="00114F3A"/>
    <w:rsid w:val="00115730"/>
    <w:rsid w:val="0011587B"/>
    <w:rsid w:val="00115BB7"/>
    <w:rsid w:val="00115CFE"/>
    <w:rsid w:val="00116051"/>
    <w:rsid w:val="0011635A"/>
    <w:rsid w:val="001165AE"/>
    <w:rsid w:val="001167B5"/>
    <w:rsid w:val="001167C6"/>
    <w:rsid w:val="001167C8"/>
    <w:rsid w:val="001167D2"/>
    <w:rsid w:val="00116934"/>
    <w:rsid w:val="00116B75"/>
    <w:rsid w:val="00116D81"/>
    <w:rsid w:val="001170FA"/>
    <w:rsid w:val="001173A8"/>
    <w:rsid w:val="00117404"/>
    <w:rsid w:val="00117599"/>
    <w:rsid w:val="00117BC3"/>
    <w:rsid w:val="00117BDB"/>
    <w:rsid w:val="00117EDA"/>
    <w:rsid w:val="0012016D"/>
    <w:rsid w:val="001203D4"/>
    <w:rsid w:val="0012063F"/>
    <w:rsid w:val="00120A6A"/>
    <w:rsid w:val="00121442"/>
    <w:rsid w:val="001214B4"/>
    <w:rsid w:val="00121512"/>
    <w:rsid w:val="0012158F"/>
    <w:rsid w:val="0012188F"/>
    <w:rsid w:val="001228BE"/>
    <w:rsid w:val="00122BA4"/>
    <w:rsid w:val="00122BAD"/>
    <w:rsid w:val="00123009"/>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33A"/>
    <w:rsid w:val="001304AD"/>
    <w:rsid w:val="00130697"/>
    <w:rsid w:val="00130B66"/>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86B"/>
    <w:rsid w:val="00137C75"/>
    <w:rsid w:val="00140099"/>
    <w:rsid w:val="00140271"/>
    <w:rsid w:val="001406FF"/>
    <w:rsid w:val="0014081B"/>
    <w:rsid w:val="00140BD7"/>
    <w:rsid w:val="00140D9B"/>
    <w:rsid w:val="00140E08"/>
    <w:rsid w:val="00141331"/>
    <w:rsid w:val="00141419"/>
    <w:rsid w:val="00141BE5"/>
    <w:rsid w:val="00142014"/>
    <w:rsid w:val="001420C3"/>
    <w:rsid w:val="0014231A"/>
    <w:rsid w:val="00142367"/>
    <w:rsid w:val="00142509"/>
    <w:rsid w:val="0014259C"/>
    <w:rsid w:val="001428B2"/>
    <w:rsid w:val="00142E7D"/>
    <w:rsid w:val="00143309"/>
    <w:rsid w:val="0014344C"/>
    <w:rsid w:val="00143590"/>
    <w:rsid w:val="00143975"/>
    <w:rsid w:val="00143D08"/>
    <w:rsid w:val="00143F15"/>
    <w:rsid w:val="00143F60"/>
    <w:rsid w:val="00143FDE"/>
    <w:rsid w:val="00144319"/>
    <w:rsid w:val="001444F7"/>
    <w:rsid w:val="001445D9"/>
    <w:rsid w:val="0014483D"/>
    <w:rsid w:val="00144B78"/>
    <w:rsid w:val="00144BF1"/>
    <w:rsid w:val="00144D1F"/>
    <w:rsid w:val="0014520A"/>
    <w:rsid w:val="00145561"/>
    <w:rsid w:val="001455E9"/>
    <w:rsid w:val="0014596A"/>
    <w:rsid w:val="001459BD"/>
    <w:rsid w:val="001464BB"/>
    <w:rsid w:val="001466E1"/>
    <w:rsid w:val="00146FA2"/>
    <w:rsid w:val="0014724B"/>
    <w:rsid w:val="00147584"/>
    <w:rsid w:val="00147823"/>
    <w:rsid w:val="00147900"/>
    <w:rsid w:val="00147BFC"/>
    <w:rsid w:val="00147DB1"/>
    <w:rsid w:val="001501B0"/>
    <w:rsid w:val="00150731"/>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F06"/>
    <w:rsid w:val="00153F4B"/>
    <w:rsid w:val="00154101"/>
    <w:rsid w:val="001541EB"/>
    <w:rsid w:val="001543D4"/>
    <w:rsid w:val="0015445C"/>
    <w:rsid w:val="0015450F"/>
    <w:rsid w:val="00154ACD"/>
    <w:rsid w:val="00154B6D"/>
    <w:rsid w:val="00154B81"/>
    <w:rsid w:val="00154E44"/>
    <w:rsid w:val="00154E9A"/>
    <w:rsid w:val="0015523D"/>
    <w:rsid w:val="0015549C"/>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0EBD"/>
    <w:rsid w:val="001614D4"/>
    <w:rsid w:val="00161A39"/>
    <w:rsid w:val="00161B38"/>
    <w:rsid w:val="00161CAF"/>
    <w:rsid w:val="0016204C"/>
    <w:rsid w:val="00162669"/>
    <w:rsid w:val="001626DD"/>
    <w:rsid w:val="0016283C"/>
    <w:rsid w:val="00162C8A"/>
    <w:rsid w:val="00162E86"/>
    <w:rsid w:val="00163357"/>
    <w:rsid w:val="0016426E"/>
    <w:rsid w:val="0016523F"/>
    <w:rsid w:val="00165E4D"/>
    <w:rsid w:val="00165FED"/>
    <w:rsid w:val="001662C0"/>
    <w:rsid w:val="001667A9"/>
    <w:rsid w:val="00167185"/>
    <w:rsid w:val="00167739"/>
    <w:rsid w:val="00170327"/>
    <w:rsid w:val="0017040F"/>
    <w:rsid w:val="00170450"/>
    <w:rsid w:val="00170461"/>
    <w:rsid w:val="00170481"/>
    <w:rsid w:val="00170580"/>
    <w:rsid w:val="00170650"/>
    <w:rsid w:val="0017134C"/>
    <w:rsid w:val="00171546"/>
    <w:rsid w:val="001715BD"/>
    <w:rsid w:val="00172B99"/>
    <w:rsid w:val="00173329"/>
    <w:rsid w:val="00173583"/>
    <w:rsid w:val="00173821"/>
    <w:rsid w:val="00173F1A"/>
    <w:rsid w:val="0017499B"/>
    <w:rsid w:val="001749D1"/>
    <w:rsid w:val="00174A05"/>
    <w:rsid w:val="00174A36"/>
    <w:rsid w:val="001754A4"/>
    <w:rsid w:val="00175A98"/>
    <w:rsid w:val="00176294"/>
    <w:rsid w:val="00176395"/>
    <w:rsid w:val="001766B6"/>
    <w:rsid w:val="001768F2"/>
    <w:rsid w:val="0017692B"/>
    <w:rsid w:val="00176E6E"/>
    <w:rsid w:val="00176E78"/>
    <w:rsid w:val="00177133"/>
    <w:rsid w:val="00177BE3"/>
    <w:rsid w:val="00177D11"/>
    <w:rsid w:val="00177F7C"/>
    <w:rsid w:val="0018000D"/>
    <w:rsid w:val="001806CF"/>
    <w:rsid w:val="00180AC0"/>
    <w:rsid w:val="00180E29"/>
    <w:rsid w:val="00180F49"/>
    <w:rsid w:val="001815B8"/>
    <w:rsid w:val="001816A6"/>
    <w:rsid w:val="0018228D"/>
    <w:rsid w:val="00182367"/>
    <w:rsid w:val="001826DB"/>
    <w:rsid w:val="0018280C"/>
    <w:rsid w:val="00182886"/>
    <w:rsid w:val="00182BAC"/>
    <w:rsid w:val="0018313C"/>
    <w:rsid w:val="00183957"/>
    <w:rsid w:val="00183C10"/>
    <w:rsid w:val="0018413C"/>
    <w:rsid w:val="001844E5"/>
    <w:rsid w:val="00184530"/>
    <w:rsid w:val="00184687"/>
    <w:rsid w:val="001847E6"/>
    <w:rsid w:val="00184EB1"/>
    <w:rsid w:val="00185085"/>
    <w:rsid w:val="001851BD"/>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126B"/>
    <w:rsid w:val="00191619"/>
    <w:rsid w:val="00191C4F"/>
    <w:rsid w:val="00191CAC"/>
    <w:rsid w:val="001921F0"/>
    <w:rsid w:val="00192350"/>
    <w:rsid w:val="00192474"/>
    <w:rsid w:val="00192617"/>
    <w:rsid w:val="00192CCC"/>
    <w:rsid w:val="00193278"/>
    <w:rsid w:val="001933C4"/>
    <w:rsid w:val="0019388E"/>
    <w:rsid w:val="00193C5E"/>
    <w:rsid w:val="001948EB"/>
    <w:rsid w:val="00194F95"/>
    <w:rsid w:val="00195857"/>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9A3"/>
    <w:rsid w:val="001A2AD1"/>
    <w:rsid w:val="001A2B2B"/>
    <w:rsid w:val="001A2F0C"/>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7663"/>
    <w:rsid w:val="001A7C88"/>
    <w:rsid w:val="001A7F1C"/>
    <w:rsid w:val="001B0143"/>
    <w:rsid w:val="001B0472"/>
    <w:rsid w:val="001B06B5"/>
    <w:rsid w:val="001B0B8E"/>
    <w:rsid w:val="001B102B"/>
    <w:rsid w:val="001B11CD"/>
    <w:rsid w:val="001B1726"/>
    <w:rsid w:val="001B1B4D"/>
    <w:rsid w:val="001B1D8E"/>
    <w:rsid w:val="001B20B4"/>
    <w:rsid w:val="001B21B7"/>
    <w:rsid w:val="001B25DC"/>
    <w:rsid w:val="001B2678"/>
    <w:rsid w:val="001B28B1"/>
    <w:rsid w:val="001B3F0C"/>
    <w:rsid w:val="001B40F8"/>
    <w:rsid w:val="001B4B35"/>
    <w:rsid w:val="001B4BD2"/>
    <w:rsid w:val="001B531E"/>
    <w:rsid w:val="001B55DF"/>
    <w:rsid w:val="001B5EAC"/>
    <w:rsid w:val="001B616C"/>
    <w:rsid w:val="001B627A"/>
    <w:rsid w:val="001B63F7"/>
    <w:rsid w:val="001B648A"/>
    <w:rsid w:val="001B6C5E"/>
    <w:rsid w:val="001B75FB"/>
    <w:rsid w:val="001B7615"/>
    <w:rsid w:val="001B76F4"/>
    <w:rsid w:val="001B77C3"/>
    <w:rsid w:val="001C0611"/>
    <w:rsid w:val="001C0653"/>
    <w:rsid w:val="001C0748"/>
    <w:rsid w:val="001C114E"/>
    <w:rsid w:val="001C1332"/>
    <w:rsid w:val="001C16C0"/>
    <w:rsid w:val="001C1BF1"/>
    <w:rsid w:val="001C1EEF"/>
    <w:rsid w:val="001C206C"/>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79F"/>
    <w:rsid w:val="001C499B"/>
    <w:rsid w:val="001C4AC0"/>
    <w:rsid w:val="001C4B0F"/>
    <w:rsid w:val="001C4CED"/>
    <w:rsid w:val="001C4F2F"/>
    <w:rsid w:val="001C5048"/>
    <w:rsid w:val="001C5504"/>
    <w:rsid w:val="001C553F"/>
    <w:rsid w:val="001C62B5"/>
    <w:rsid w:val="001C685A"/>
    <w:rsid w:val="001C6D90"/>
    <w:rsid w:val="001C6E80"/>
    <w:rsid w:val="001C70C3"/>
    <w:rsid w:val="001C7153"/>
    <w:rsid w:val="001C78B4"/>
    <w:rsid w:val="001C7937"/>
    <w:rsid w:val="001C7BD4"/>
    <w:rsid w:val="001C7CA1"/>
    <w:rsid w:val="001D09D0"/>
    <w:rsid w:val="001D14AC"/>
    <w:rsid w:val="001D169E"/>
    <w:rsid w:val="001D19A9"/>
    <w:rsid w:val="001D1AF1"/>
    <w:rsid w:val="001D210F"/>
    <w:rsid w:val="001D2208"/>
    <w:rsid w:val="001D23DC"/>
    <w:rsid w:val="001D25CB"/>
    <w:rsid w:val="001D272E"/>
    <w:rsid w:val="001D285A"/>
    <w:rsid w:val="001D2ABC"/>
    <w:rsid w:val="001D2C3C"/>
    <w:rsid w:val="001D2DA2"/>
    <w:rsid w:val="001D2EE3"/>
    <w:rsid w:val="001D3318"/>
    <w:rsid w:val="001D371D"/>
    <w:rsid w:val="001D38C2"/>
    <w:rsid w:val="001D46DF"/>
    <w:rsid w:val="001D48A4"/>
    <w:rsid w:val="001D5016"/>
    <w:rsid w:val="001D5589"/>
    <w:rsid w:val="001D57C8"/>
    <w:rsid w:val="001D599D"/>
    <w:rsid w:val="001D66F1"/>
    <w:rsid w:val="001D6C22"/>
    <w:rsid w:val="001D701F"/>
    <w:rsid w:val="001D70BF"/>
    <w:rsid w:val="001D7B41"/>
    <w:rsid w:val="001D7BCD"/>
    <w:rsid w:val="001E00D9"/>
    <w:rsid w:val="001E0453"/>
    <w:rsid w:val="001E04DE"/>
    <w:rsid w:val="001E05B5"/>
    <w:rsid w:val="001E0870"/>
    <w:rsid w:val="001E0A22"/>
    <w:rsid w:val="001E0A77"/>
    <w:rsid w:val="001E0F47"/>
    <w:rsid w:val="001E13C5"/>
    <w:rsid w:val="001E1874"/>
    <w:rsid w:val="001E18AC"/>
    <w:rsid w:val="001E1926"/>
    <w:rsid w:val="001E24B5"/>
    <w:rsid w:val="001E2729"/>
    <w:rsid w:val="001E27EC"/>
    <w:rsid w:val="001E2AC2"/>
    <w:rsid w:val="001E2E8E"/>
    <w:rsid w:val="001E3187"/>
    <w:rsid w:val="001E35BF"/>
    <w:rsid w:val="001E35D2"/>
    <w:rsid w:val="001E37CF"/>
    <w:rsid w:val="001E3DC9"/>
    <w:rsid w:val="001E4B1D"/>
    <w:rsid w:val="001E5479"/>
    <w:rsid w:val="001E55CD"/>
    <w:rsid w:val="001E5737"/>
    <w:rsid w:val="001E5F29"/>
    <w:rsid w:val="001E6802"/>
    <w:rsid w:val="001E6B0E"/>
    <w:rsid w:val="001E6D5D"/>
    <w:rsid w:val="001E6EE1"/>
    <w:rsid w:val="001E7E60"/>
    <w:rsid w:val="001F018E"/>
    <w:rsid w:val="001F019F"/>
    <w:rsid w:val="001F0542"/>
    <w:rsid w:val="001F07B9"/>
    <w:rsid w:val="001F09C2"/>
    <w:rsid w:val="001F0B04"/>
    <w:rsid w:val="001F0C13"/>
    <w:rsid w:val="001F126D"/>
    <w:rsid w:val="001F157A"/>
    <w:rsid w:val="001F1868"/>
    <w:rsid w:val="001F1A82"/>
    <w:rsid w:val="001F2449"/>
    <w:rsid w:val="001F2645"/>
    <w:rsid w:val="001F27CF"/>
    <w:rsid w:val="001F294E"/>
    <w:rsid w:val="001F2A1C"/>
    <w:rsid w:val="001F2A57"/>
    <w:rsid w:val="001F2DCA"/>
    <w:rsid w:val="001F30EE"/>
    <w:rsid w:val="001F3221"/>
    <w:rsid w:val="001F33A0"/>
    <w:rsid w:val="001F3AE4"/>
    <w:rsid w:val="001F3C0E"/>
    <w:rsid w:val="001F3C4B"/>
    <w:rsid w:val="001F3E2C"/>
    <w:rsid w:val="001F40B3"/>
    <w:rsid w:val="001F49DA"/>
    <w:rsid w:val="001F4B16"/>
    <w:rsid w:val="001F4C39"/>
    <w:rsid w:val="001F554B"/>
    <w:rsid w:val="001F569B"/>
    <w:rsid w:val="001F65A3"/>
    <w:rsid w:val="001F6856"/>
    <w:rsid w:val="001F73D9"/>
    <w:rsid w:val="001F7478"/>
    <w:rsid w:val="001F76FF"/>
    <w:rsid w:val="001F7EDD"/>
    <w:rsid w:val="001F7FCA"/>
    <w:rsid w:val="00200212"/>
    <w:rsid w:val="00200848"/>
    <w:rsid w:val="002008BE"/>
    <w:rsid w:val="0020111B"/>
    <w:rsid w:val="002019C7"/>
    <w:rsid w:val="00201E61"/>
    <w:rsid w:val="00201F2D"/>
    <w:rsid w:val="00201FE8"/>
    <w:rsid w:val="0020215F"/>
    <w:rsid w:val="002024FC"/>
    <w:rsid w:val="0020264D"/>
    <w:rsid w:val="002027BD"/>
    <w:rsid w:val="00202936"/>
    <w:rsid w:val="00202AE4"/>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4E1"/>
    <w:rsid w:val="00207622"/>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D58"/>
    <w:rsid w:val="00220E16"/>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5F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6DD"/>
    <w:rsid w:val="0023677E"/>
    <w:rsid w:val="0023697A"/>
    <w:rsid w:val="00237721"/>
    <w:rsid w:val="0023777E"/>
    <w:rsid w:val="00237BC1"/>
    <w:rsid w:val="0024010C"/>
    <w:rsid w:val="0024061C"/>
    <w:rsid w:val="002411C9"/>
    <w:rsid w:val="002411E8"/>
    <w:rsid w:val="00241BC8"/>
    <w:rsid w:val="00241D41"/>
    <w:rsid w:val="0024280E"/>
    <w:rsid w:val="00243224"/>
    <w:rsid w:val="002434A7"/>
    <w:rsid w:val="00244291"/>
    <w:rsid w:val="00244882"/>
    <w:rsid w:val="00245DD0"/>
    <w:rsid w:val="0024656F"/>
    <w:rsid w:val="002465BA"/>
    <w:rsid w:val="002467F2"/>
    <w:rsid w:val="00246851"/>
    <w:rsid w:val="002468AE"/>
    <w:rsid w:val="00246D02"/>
    <w:rsid w:val="00246D9D"/>
    <w:rsid w:val="002477E9"/>
    <w:rsid w:val="00247828"/>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3D2C"/>
    <w:rsid w:val="002541D0"/>
    <w:rsid w:val="002548B1"/>
    <w:rsid w:val="0025561E"/>
    <w:rsid w:val="002557C7"/>
    <w:rsid w:val="00256013"/>
    <w:rsid w:val="0025646B"/>
    <w:rsid w:val="00256E13"/>
    <w:rsid w:val="00257066"/>
    <w:rsid w:val="00257582"/>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078"/>
    <w:rsid w:val="0026444D"/>
    <w:rsid w:val="00264752"/>
    <w:rsid w:val="00264787"/>
    <w:rsid w:val="002650E3"/>
    <w:rsid w:val="00265291"/>
    <w:rsid w:val="00265B1A"/>
    <w:rsid w:val="00265E58"/>
    <w:rsid w:val="002662C7"/>
    <w:rsid w:val="0026647A"/>
    <w:rsid w:val="00266603"/>
    <w:rsid w:val="002674BC"/>
    <w:rsid w:val="00267C19"/>
    <w:rsid w:val="00267FCC"/>
    <w:rsid w:val="0027034D"/>
    <w:rsid w:val="0027098C"/>
    <w:rsid w:val="002709A0"/>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4A21"/>
    <w:rsid w:val="002756BE"/>
    <w:rsid w:val="002756F8"/>
    <w:rsid w:val="002759C5"/>
    <w:rsid w:val="00275D78"/>
    <w:rsid w:val="00275E59"/>
    <w:rsid w:val="002761B5"/>
    <w:rsid w:val="002765F4"/>
    <w:rsid w:val="002769EA"/>
    <w:rsid w:val="00276BA1"/>
    <w:rsid w:val="00276EA0"/>
    <w:rsid w:val="002778AC"/>
    <w:rsid w:val="00277B3D"/>
    <w:rsid w:val="002802DC"/>
    <w:rsid w:val="00280706"/>
    <w:rsid w:val="00280F8D"/>
    <w:rsid w:val="00281606"/>
    <w:rsid w:val="00281E5D"/>
    <w:rsid w:val="00281EC3"/>
    <w:rsid w:val="00282592"/>
    <w:rsid w:val="00282B76"/>
    <w:rsid w:val="00282CE6"/>
    <w:rsid w:val="00283084"/>
    <w:rsid w:val="00283251"/>
    <w:rsid w:val="002833CC"/>
    <w:rsid w:val="00283421"/>
    <w:rsid w:val="00283D22"/>
    <w:rsid w:val="0028412B"/>
    <w:rsid w:val="00284502"/>
    <w:rsid w:val="00284C17"/>
    <w:rsid w:val="00284EBB"/>
    <w:rsid w:val="00284F42"/>
    <w:rsid w:val="00284F64"/>
    <w:rsid w:val="002851FB"/>
    <w:rsid w:val="0028552E"/>
    <w:rsid w:val="00286239"/>
    <w:rsid w:val="00286461"/>
    <w:rsid w:val="0028663A"/>
    <w:rsid w:val="0028677C"/>
    <w:rsid w:val="0028685D"/>
    <w:rsid w:val="00286B0E"/>
    <w:rsid w:val="00286B4B"/>
    <w:rsid w:val="00286BD1"/>
    <w:rsid w:val="00287088"/>
    <w:rsid w:val="0028710A"/>
    <w:rsid w:val="00287283"/>
    <w:rsid w:val="0028732F"/>
    <w:rsid w:val="00287590"/>
    <w:rsid w:val="0028777A"/>
    <w:rsid w:val="00287BFE"/>
    <w:rsid w:val="00287E08"/>
    <w:rsid w:val="00287F30"/>
    <w:rsid w:val="00287FE6"/>
    <w:rsid w:val="00290222"/>
    <w:rsid w:val="0029079D"/>
    <w:rsid w:val="00290C72"/>
    <w:rsid w:val="00290CE2"/>
    <w:rsid w:val="00290D61"/>
    <w:rsid w:val="002913B9"/>
    <w:rsid w:val="00291524"/>
    <w:rsid w:val="002917E3"/>
    <w:rsid w:val="002919AB"/>
    <w:rsid w:val="00291A0A"/>
    <w:rsid w:val="00291BF2"/>
    <w:rsid w:val="00291D71"/>
    <w:rsid w:val="00292313"/>
    <w:rsid w:val="0029248F"/>
    <w:rsid w:val="00292614"/>
    <w:rsid w:val="00292C86"/>
    <w:rsid w:val="002930F5"/>
    <w:rsid w:val="00293C3E"/>
    <w:rsid w:val="00293F49"/>
    <w:rsid w:val="0029439C"/>
    <w:rsid w:val="0029493A"/>
    <w:rsid w:val="00294A4E"/>
    <w:rsid w:val="00294D6F"/>
    <w:rsid w:val="00294FDE"/>
    <w:rsid w:val="00295279"/>
    <w:rsid w:val="00295AF5"/>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16"/>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24D"/>
    <w:rsid w:val="002A65FE"/>
    <w:rsid w:val="002A6669"/>
    <w:rsid w:val="002A69BC"/>
    <w:rsid w:val="002A69C8"/>
    <w:rsid w:val="002A6DDE"/>
    <w:rsid w:val="002A7272"/>
    <w:rsid w:val="002A7556"/>
    <w:rsid w:val="002A77D4"/>
    <w:rsid w:val="002A78E4"/>
    <w:rsid w:val="002A7E8B"/>
    <w:rsid w:val="002B0F56"/>
    <w:rsid w:val="002B13CB"/>
    <w:rsid w:val="002B16E0"/>
    <w:rsid w:val="002B1A2F"/>
    <w:rsid w:val="002B1B05"/>
    <w:rsid w:val="002B1D72"/>
    <w:rsid w:val="002B1E91"/>
    <w:rsid w:val="002B1EF1"/>
    <w:rsid w:val="002B22EF"/>
    <w:rsid w:val="002B278A"/>
    <w:rsid w:val="002B3111"/>
    <w:rsid w:val="002B32FC"/>
    <w:rsid w:val="002B389A"/>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B7E72"/>
    <w:rsid w:val="002C0060"/>
    <w:rsid w:val="002C0078"/>
    <w:rsid w:val="002C0B24"/>
    <w:rsid w:val="002C0B97"/>
    <w:rsid w:val="002C10F7"/>
    <w:rsid w:val="002C1218"/>
    <w:rsid w:val="002C134A"/>
    <w:rsid w:val="002C1409"/>
    <w:rsid w:val="002C18B4"/>
    <w:rsid w:val="002C1ABA"/>
    <w:rsid w:val="002C1E79"/>
    <w:rsid w:val="002C1E98"/>
    <w:rsid w:val="002C1E9C"/>
    <w:rsid w:val="002C2185"/>
    <w:rsid w:val="002C2270"/>
    <w:rsid w:val="002C22E5"/>
    <w:rsid w:val="002C2532"/>
    <w:rsid w:val="002C2E51"/>
    <w:rsid w:val="002C2F4A"/>
    <w:rsid w:val="002C30A7"/>
    <w:rsid w:val="002C3DB9"/>
    <w:rsid w:val="002C431F"/>
    <w:rsid w:val="002C4C80"/>
    <w:rsid w:val="002C5202"/>
    <w:rsid w:val="002C522F"/>
    <w:rsid w:val="002C5587"/>
    <w:rsid w:val="002C6236"/>
    <w:rsid w:val="002C62A6"/>
    <w:rsid w:val="002C6444"/>
    <w:rsid w:val="002C6677"/>
    <w:rsid w:val="002C6BA0"/>
    <w:rsid w:val="002C6F73"/>
    <w:rsid w:val="002C70A1"/>
    <w:rsid w:val="002C7C1A"/>
    <w:rsid w:val="002C7E63"/>
    <w:rsid w:val="002C7E8C"/>
    <w:rsid w:val="002D0E5F"/>
    <w:rsid w:val="002D11A3"/>
    <w:rsid w:val="002D16DB"/>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48B"/>
    <w:rsid w:val="002D5750"/>
    <w:rsid w:val="002D58E5"/>
    <w:rsid w:val="002D5EE2"/>
    <w:rsid w:val="002D5F47"/>
    <w:rsid w:val="002D60FB"/>
    <w:rsid w:val="002D62EA"/>
    <w:rsid w:val="002D6996"/>
    <w:rsid w:val="002D6AB5"/>
    <w:rsid w:val="002D7D47"/>
    <w:rsid w:val="002E0263"/>
    <w:rsid w:val="002E0959"/>
    <w:rsid w:val="002E0B8F"/>
    <w:rsid w:val="002E0C25"/>
    <w:rsid w:val="002E0FFF"/>
    <w:rsid w:val="002E116E"/>
    <w:rsid w:val="002E149C"/>
    <w:rsid w:val="002E1AA5"/>
    <w:rsid w:val="002E1E43"/>
    <w:rsid w:val="002E26B3"/>
    <w:rsid w:val="002E2D95"/>
    <w:rsid w:val="002E31A4"/>
    <w:rsid w:val="002E4172"/>
    <w:rsid w:val="002E455D"/>
    <w:rsid w:val="002E45C6"/>
    <w:rsid w:val="002E52D5"/>
    <w:rsid w:val="002E652E"/>
    <w:rsid w:val="002E6559"/>
    <w:rsid w:val="002E685A"/>
    <w:rsid w:val="002E6ABC"/>
    <w:rsid w:val="002E72B2"/>
    <w:rsid w:val="002E75A6"/>
    <w:rsid w:val="002E75F5"/>
    <w:rsid w:val="002F00FF"/>
    <w:rsid w:val="002F01A7"/>
    <w:rsid w:val="002F03C5"/>
    <w:rsid w:val="002F0632"/>
    <w:rsid w:val="002F0CC6"/>
    <w:rsid w:val="002F0D66"/>
    <w:rsid w:val="002F0FF8"/>
    <w:rsid w:val="002F11F3"/>
    <w:rsid w:val="002F148F"/>
    <w:rsid w:val="002F1911"/>
    <w:rsid w:val="002F1D8C"/>
    <w:rsid w:val="002F1EE5"/>
    <w:rsid w:val="002F2CDC"/>
    <w:rsid w:val="002F2D68"/>
    <w:rsid w:val="002F3582"/>
    <w:rsid w:val="002F3954"/>
    <w:rsid w:val="002F3AA4"/>
    <w:rsid w:val="002F3C64"/>
    <w:rsid w:val="002F3F2F"/>
    <w:rsid w:val="002F43F5"/>
    <w:rsid w:val="002F460A"/>
    <w:rsid w:val="002F46E1"/>
    <w:rsid w:val="002F470B"/>
    <w:rsid w:val="002F4905"/>
    <w:rsid w:val="002F4D6E"/>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732"/>
    <w:rsid w:val="00306A0B"/>
    <w:rsid w:val="00307010"/>
    <w:rsid w:val="003070FA"/>
    <w:rsid w:val="00307186"/>
    <w:rsid w:val="003077A5"/>
    <w:rsid w:val="00307F9B"/>
    <w:rsid w:val="00310188"/>
    <w:rsid w:val="003103BE"/>
    <w:rsid w:val="003103FA"/>
    <w:rsid w:val="00310409"/>
    <w:rsid w:val="003106E9"/>
    <w:rsid w:val="00310982"/>
    <w:rsid w:val="00310F45"/>
    <w:rsid w:val="00311460"/>
    <w:rsid w:val="00311E4A"/>
    <w:rsid w:val="003121A6"/>
    <w:rsid w:val="00312777"/>
    <w:rsid w:val="003127D5"/>
    <w:rsid w:val="00312878"/>
    <w:rsid w:val="00312B67"/>
    <w:rsid w:val="00312DFD"/>
    <w:rsid w:val="003131DA"/>
    <w:rsid w:val="00313290"/>
    <w:rsid w:val="003132D1"/>
    <w:rsid w:val="003134BA"/>
    <w:rsid w:val="00313783"/>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23DE"/>
    <w:rsid w:val="003226F3"/>
    <w:rsid w:val="003228AC"/>
    <w:rsid w:val="003228EA"/>
    <w:rsid w:val="00322B57"/>
    <w:rsid w:val="00322F4F"/>
    <w:rsid w:val="00322FCD"/>
    <w:rsid w:val="0032310A"/>
    <w:rsid w:val="003234C4"/>
    <w:rsid w:val="00323783"/>
    <w:rsid w:val="00323DC0"/>
    <w:rsid w:val="00323F7B"/>
    <w:rsid w:val="003240F6"/>
    <w:rsid w:val="00324208"/>
    <w:rsid w:val="0032458F"/>
    <w:rsid w:val="003245AA"/>
    <w:rsid w:val="00324AF7"/>
    <w:rsid w:val="00325655"/>
    <w:rsid w:val="003259A3"/>
    <w:rsid w:val="00325A7A"/>
    <w:rsid w:val="00325ABC"/>
    <w:rsid w:val="00325DDA"/>
    <w:rsid w:val="003266F4"/>
    <w:rsid w:val="0032670D"/>
    <w:rsid w:val="00326ED8"/>
    <w:rsid w:val="00326F1D"/>
    <w:rsid w:val="00327D35"/>
    <w:rsid w:val="00330051"/>
    <w:rsid w:val="00330092"/>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4E96"/>
    <w:rsid w:val="0033515F"/>
    <w:rsid w:val="00335436"/>
    <w:rsid w:val="00335467"/>
    <w:rsid w:val="00335474"/>
    <w:rsid w:val="003356C8"/>
    <w:rsid w:val="00335AFA"/>
    <w:rsid w:val="003367B9"/>
    <w:rsid w:val="00336F3E"/>
    <w:rsid w:val="003374DB"/>
    <w:rsid w:val="00337797"/>
    <w:rsid w:val="003377BE"/>
    <w:rsid w:val="00337CB9"/>
    <w:rsid w:val="00340878"/>
    <w:rsid w:val="00340B7E"/>
    <w:rsid w:val="00340BFC"/>
    <w:rsid w:val="00340D15"/>
    <w:rsid w:val="00340D58"/>
    <w:rsid w:val="00341011"/>
    <w:rsid w:val="0034111B"/>
    <w:rsid w:val="00341440"/>
    <w:rsid w:val="003414D2"/>
    <w:rsid w:val="003416BB"/>
    <w:rsid w:val="003417AD"/>
    <w:rsid w:val="00341A8C"/>
    <w:rsid w:val="003422F0"/>
    <w:rsid w:val="0034236B"/>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62B"/>
    <w:rsid w:val="00347992"/>
    <w:rsid w:val="00347A62"/>
    <w:rsid w:val="00347A9B"/>
    <w:rsid w:val="00347D0F"/>
    <w:rsid w:val="00347E52"/>
    <w:rsid w:val="003501F6"/>
    <w:rsid w:val="00350E74"/>
    <w:rsid w:val="00351D3A"/>
    <w:rsid w:val="00352335"/>
    <w:rsid w:val="00352505"/>
    <w:rsid w:val="003528AE"/>
    <w:rsid w:val="00352904"/>
    <w:rsid w:val="00352A62"/>
    <w:rsid w:val="00352B17"/>
    <w:rsid w:val="0035309B"/>
    <w:rsid w:val="00353571"/>
    <w:rsid w:val="0035403B"/>
    <w:rsid w:val="0035452D"/>
    <w:rsid w:val="00354A12"/>
    <w:rsid w:val="00354FD7"/>
    <w:rsid w:val="00355116"/>
    <w:rsid w:val="00355379"/>
    <w:rsid w:val="003557D1"/>
    <w:rsid w:val="00355AC5"/>
    <w:rsid w:val="0035613B"/>
    <w:rsid w:val="003561CB"/>
    <w:rsid w:val="00356253"/>
    <w:rsid w:val="00356756"/>
    <w:rsid w:val="00356AA4"/>
    <w:rsid w:val="00356B1D"/>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B31"/>
    <w:rsid w:val="00362C4B"/>
    <w:rsid w:val="00362D1B"/>
    <w:rsid w:val="00363169"/>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67991"/>
    <w:rsid w:val="003701AC"/>
    <w:rsid w:val="00370645"/>
    <w:rsid w:val="00370B30"/>
    <w:rsid w:val="00370CBF"/>
    <w:rsid w:val="00370DE0"/>
    <w:rsid w:val="00371090"/>
    <w:rsid w:val="003716BA"/>
    <w:rsid w:val="00371A5B"/>
    <w:rsid w:val="00371B52"/>
    <w:rsid w:val="00372200"/>
    <w:rsid w:val="003725BF"/>
    <w:rsid w:val="003725ED"/>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5E07"/>
    <w:rsid w:val="0037647F"/>
    <w:rsid w:val="00376809"/>
    <w:rsid w:val="003769AB"/>
    <w:rsid w:val="00376B6A"/>
    <w:rsid w:val="0037705C"/>
    <w:rsid w:val="0037744F"/>
    <w:rsid w:val="00377616"/>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BBA"/>
    <w:rsid w:val="00382F70"/>
    <w:rsid w:val="00382F73"/>
    <w:rsid w:val="003831BC"/>
    <w:rsid w:val="0038327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D5"/>
    <w:rsid w:val="00386868"/>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6C3"/>
    <w:rsid w:val="00394791"/>
    <w:rsid w:val="003947BF"/>
    <w:rsid w:val="00395229"/>
    <w:rsid w:val="00395286"/>
    <w:rsid w:val="00395DE9"/>
    <w:rsid w:val="00395F99"/>
    <w:rsid w:val="0039610D"/>
    <w:rsid w:val="00396437"/>
    <w:rsid w:val="0039687E"/>
    <w:rsid w:val="00396A34"/>
    <w:rsid w:val="00396DC3"/>
    <w:rsid w:val="00397620"/>
    <w:rsid w:val="0039769A"/>
    <w:rsid w:val="003A0277"/>
    <w:rsid w:val="003A0316"/>
    <w:rsid w:val="003A063D"/>
    <w:rsid w:val="003A063F"/>
    <w:rsid w:val="003A090B"/>
    <w:rsid w:val="003A0E93"/>
    <w:rsid w:val="003A12D7"/>
    <w:rsid w:val="003A13DE"/>
    <w:rsid w:val="003A17C3"/>
    <w:rsid w:val="003A219B"/>
    <w:rsid w:val="003A21F8"/>
    <w:rsid w:val="003A23A5"/>
    <w:rsid w:val="003A24D1"/>
    <w:rsid w:val="003A284B"/>
    <w:rsid w:val="003A293A"/>
    <w:rsid w:val="003A2A56"/>
    <w:rsid w:val="003A2D67"/>
    <w:rsid w:val="003A3642"/>
    <w:rsid w:val="003A36CE"/>
    <w:rsid w:val="003A3AB4"/>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7A6"/>
    <w:rsid w:val="003A7D3E"/>
    <w:rsid w:val="003B01FF"/>
    <w:rsid w:val="003B0B3A"/>
    <w:rsid w:val="003B0D02"/>
    <w:rsid w:val="003B0DB6"/>
    <w:rsid w:val="003B0E84"/>
    <w:rsid w:val="003B10A8"/>
    <w:rsid w:val="003B1280"/>
    <w:rsid w:val="003B1636"/>
    <w:rsid w:val="003B1814"/>
    <w:rsid w:val="003B197A"/>
    <w:rsid w:val="003B2537"/>
    <w:rsid w:val="003B27C9"/>
    <w:rsid w:val="003B3072"/>
    <w:rsid w:val="003B41FC"/>
    <w:rsid w:val="003B45C0"/>
    <w:rsid w:val="003B4634"/>
    <w:rsid w:val="003B4DB9"/>
    <w:rsid w:val="003B4FDD"/>
    <w:rsid w:val="003B51ED"/>
    <w:rsid w:val="003B5958"/>
    <w:rsid w:val="003B61EE"/>
    <w:rsid w:val="003B6FEC"/>
    <w:rsid w:val="003B70FD"/>
    <w:rsid w:val="003B769E"/>
    <w:rsid w:val="003B7C0A"/>
    <w:rsid w:val="003C0190"/>
    <w:rsid w:val="003C021F"/>
    <w:rsid w:val="003C048B"/>
    <w:rsid w:val="003C0C33"/>
    <w:rsid w:val="003C0C5B"/>
    <w:rsid w:val="003C0E9A"/>
    <w:rsid w:val="003C0FB8"/>
    <w:rsid w:val="003C105F"/>
    <w:rsid w:val="003C12B8"/>
    <w:rsid w:val="003C1304"/>
    <w:rsid w:val="003C2DBF"/>
    <w:rsid w:val="003C2DEA"/>
    <w:rsid w:val="003C2F67"/>
    <w:rsid w:val="003C30BF"/>
    <w:rsid w:val="003C33A6"/>
    <w:rsid w:val="003C37A3"/>
    <w:rsid w:val="003C3BCA"/>
    <w:rsid w:val="003C41B5"/>
    <w:rsid w:val="003C4BB3"/>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EC6"/>
    <w:rsid w:val="003D40CD"/>
    <w:rsid w:val="003D43F0"/>
    <w:rsid w:val="003D4881"/>
    <w:rsid w:val="003D583D"/>
    <w:rsid w:val="003D58FC"/>
    <w:rsid w:val="003D5932"/>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0CE4"/>
    <w:rsid w:val="003E0FEC"/>
    <w:rsid w:val="003E10F4"/>
    <w:rsid w:val="003E126E"/>
    <w:rsid w:val="003E151E"/>
    <w:rsid w:val="003E1535"/>
    <w:rsid w:val="003E1A0C"/>
    <w:rsid w:val="003E1C08"/>
    <w:rsid w:val="003E1C42"/>
    <w:rsid w:val="003E1DC0"/>
    <w:rsid w:val="003E2428"/>
    <w:rsid w:val="003E2D0C"/>
    <w:rsid w:val="003E31BE"/>
    <w:rsid w:val="003E35CF"/>
    <w:rsid w:val="003E3B0F"/>
    <w:rsid w:val="003E3CBD"/>
    <w:rsid w:val="003E3E94"/>
    <w:rsid w:val="003E3E9A"/>
    <w:rsid w:val="003E4721"/>
    <w:rsid w:val="003E5015"/>
    <w:rsid w:val="003E50CB"/>
    <w:rsid w:val="003E5158"/>
    <w:rsid w:val="003E526A"/>
    <w:rsid w:val="003E5405"/>
    <w:rsid w:val="003E5CDE"/>
    <w:rsid w:val="003E6423"/>
    <w:rsid w:val="003E6513"/>
    <w:rsid w:val="003E710B"/>
    <w:rsid w:val="003E7A91"/>
    <w:rsid w:val="003E7B17"/>
    <w:rsid w:val="003F0A1D"/>
    <w:rsid w:val="003F12CE"/>
    <w:rsid w:val="003F1622"/>
    <w:rsid w:val="003F1776"/>
    <w:rsid w:val="003F1843"/>
    <w:rsid w:val="003F1B52"/>
    <w:rsid w:val="003F20A4"/>
    <w:rsid w:val="003F20DE"/>
    <w:rsid w:val="003F23B4"/>
    <w:rsid w:val="003F2764"/>
    <w:rsid w:val="003F3325"/>
    <w:rsid w:val="003F3348"/>
    <w:rsid w:val="003F340D"/>
    <w:rsid w:val="003F3582"/>
    <w:rsid w:val="003F3E40"/>
    <w:rsid w:val="003F3FAB"/>
    <w:rsid w:val="003F40D1"/>
    <w:rsid w:val="003F4C45"/>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741"/>
    <w:rsid w:val="004008A0"/>
    <w:rsid w:val="00400E28"/>
    <w:rsid w:val="0040121B"/>
    <w:rsid w:val="00401287"/>
    <w:rsid w:val="00401EC2"/>
    <w:rsid w:val="0040218F"/>
    <w:rsid w:val="00402274"/>
    <w:rsid w:val="004026AA"/>
    <w:rsid w:val="00402AD4"/>
    <w:rsid w:val="00403D3C"/>
    <w:rsid w:val="00403F36"/>
    <w:rsid w:val="004040FE"/>
    <w:rsid w:val="0040476E"/>
    <w:rsid w:val="00404785"/>
    <w:rsid w:val="00404F2A"/>
    <w:rsid w:val="0040554F"/>
    <w:rsid w:val="00405706"/>
    <w:rsid w:val="00405FB4"/>
    <w:rsid w:val="004062D7"/>
    <w:rsid w:val="004063BD"/>
    <w:rsid w:val="00406B8E"/>
    <w:rsid w:val="00406C23"/>
    <w:rsid w:val="00406E86"/>
    <w:rsid w:val="004071AA"/>
    <w:rsid w:val="004071E1"/>
    <w:rsid w:val="00407691"/>
    <w:rsid w:val="00407B1E"/>
    <w:rsid w:val="00407B24"/>
    <w:rsid w:val="00410192"/>
    <w:rsid w:val="00410386"/>
    <w:rsid w:val="004105C1"/>
    <w:rsid w:val="00410BBB"/>
    <w:rsid w:val="00410E4E"/>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CB0"/>
    <w:rsid w:val="00416D3B"/>
    <w:rsid w:val="00416F71"/>
    <w:rsid w:val="00417431"/>
    <w:rsid w:val="0041773E"/>
    <w:rsid w:val="00417743"/>
    <w:rsid w:val="00417B83"/>
    <w:rsid w:val="00417D24"/>
    <w:rsid w:val="00420984"/>
    <w:rsid w:val="00420A6E"/>
    <w:rsid w:val="00420BA9"/>
    <w:rsid w:val="00420DEC"/>
    <w:rsid w:val="004214FD"/>
    <w:rsid w:val="004216A1"/>
    <w:rsid w:val="004216E4"/>
    <w:rsid w:val="0042209B"/>
    <w:rsid w:val="0042213B"/>
    <w:rsid w:val="00422195"/>
    <w:rsid w:val="004226E7"/>
    <w:rsid w:val="00422C3B"/>
    <w:rsid w:val="00422DF0"/>
    <w:rsid w:val="00422E5E"/>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98"/>
    <w:rsid w:val="004273AC"/>
    <w:rsid w:val="004276C1"/>
    <w:rsid w:val="00427793"/>
    <w:rsid w:val="00427CC2"/>
    <w:rsid w:val="00430220"/>
    <w:rsid w:val="00430244"/>
    <w:rsid w:val="00430804"/>
    <w:rsid w:val="00431E05"/>
    <w:rsid w:val="00432EBC"/>
    <w:rsid w:val="0043363F"/>
    <w:rsid w:val="004339BB"/>
    <w:rsid w:val="00434278"/>
    <w:rsid w:val="00434DF3"/>
    <w:rsid w:val="00434FF6"/>
    <w:rsid w:val="004354CA"/>
    <w:rsid w:val="00435BDC"/>
    <w:rsid w:val="00435CDB"/>
    <w:rsid w:val="00436A99"/>
    <w:rsid w:val="00436FF7"/>
    <w:rsid w:val="0043720F"/>
    <w:rsid w:val="00437592"/>
    <w:rsid w:val="00437B42"/>
    <w:rsid w:val="00437C27"/>
    <w:rsid w:val="00437C9C"/>
    <w:rsid w:val="0044008A"/>
    <w:rsid w:val="0044058B"/>
    <w:rsid w:val="00440B82"/>
    <w:rsid w:val="0044102C"/>
    <w:rsid w:val="00441ABA"/>
    <w:rsid w:val="00441C5C"/>
    <w:rsid w:val="00441E22"/>
    <w:rsid w:val="00442016"/>
    <w:rsid w:val="00442327"/>
    <w:rsid w:val="004426ED"/>
    <w:rsid w:val="00442947"/>
    <w:rsid w:val="00442EB8"/>
    <w:rsid w:val="00442EC8"/>
    <w:rsid w:val="0044308C"/>
    <w:rsid w:val="00443883"/>
    <w:rsid w:val="00443F4D"/>
    <w:rsid w:val="0044443D"/>
    <w:rsid w:val="00444B47"/>
    <w:rsid w:val="00444B5E"/>
    <w:rsid w:val="00445260"/>
    <w:rsid w:val="004456B2"/>
    <w:rsid w:val="00446087"/>
    <w:rsid w:val="0044611D"/>
    <w:rsid w:val="00446284"/>
    <w:rsid w:val="00446343"/>
    <w:rsid w:val="00446AF2"/>
    <w:rsid w:val="00446D39"/>
    <w:rsid w:val="00446FAD"/>
    <w:rsid w:val="00447064"/>
    <w:rsid w:val="0044726D"/>
    <w:rsid w:val="004476C3"/>
    <w:rsid w:val="00450428"/>
    <w:rsid w:val="004506CB"/>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4BB0"/>
    <w:rsid w:val="0045548A"/>
    <w:rsid w:val="004557BC"/>
    <w:rsid w:val="00455A2B"/>
    <w:rsid w:val="00455A6D"/>
    <w:rsid w:val="00455C8B"/>
    <w:rsid w:val="00456124"/>
    <w:rsid w:val="00456237"/>
    <w:rsid w:val="0045644C"/>
    <w:rsid w:val="004568C0"/>
    <w:rsid w:val="00456A16"/>
    <w:rsid w:val="00456A88"/>
    <w:rsid w:val="00456CA0"/>
    <w:rsid w:val="00456E1F"/>
    <w:rsid w:val="004570A0"/>
    <w:rsid w:val="004572B1"/>
    <w:rsid w:val="004577C7"/>
    <w:rsid w:val="00460850"/>
    <w:rsid w:val="00460B03"/>
    <w:rsid w:val="00460B37"/>
    <w:rsid w:val="00461694"/>
    <w:rsid w:val="0046177A"/>
    <w:rsid w:val="0046197F"/>
    <w:rsid w:val="00461ABB"/>
    <w:rsid w:val="00462B65"/>
    <w:rsid w:val="0046305C"/>
    <w:rsid w:val="00463435"/>
    <w:rsid w:val="00463536"/>
    <w:rsid w:val="00463BE8"/>
    <w:rsid w:val="00463DA0"/>
    <w:rsid w:val="00464220"/>
    <w:rsid w:val="0046433D"/>
    <w:rsid w:val="00464399"/>
    <w:rsid w:val="00464ADF"/>
    <w:rsid w:val="00464E85"/>
    <w:rsid w:val="0046517B"/>
    <w:rsid w:val="00465293"/>
    <w:rsid w:val="00465503"/>
    <w:rsid w:val="00465C2D"/>
    <w:rsid w:val="00466490"/>
    <w:rsid w:val="004666A1"/>
    <w:rsid w:val="00466E88"/>
    <w:rsid w:val="004672E8"/>
    <w:rsid w:val="004677CB"/>
    <w:rsid w:val="00467B5D"/>
    <w:rsid w:val="00467D56"/>
    <w:rsid w:val="00470144"/>
    <w:rsid w:val="00470296"/>
    <w:rsid w:val="0047070C"/>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2E6"/>
    <w:rsid w:val="00475935"/>
    <w:rsid w:val="004762B1"/>
    <w:rsid w:val="0047667D"/>
    <w:rsid w:val="004772AB"/>
    <w:rsid w:val="0047739F"/>
    <w:rsid w:val="00477E57"/>
    <w:rsid w:val="00480867"/>
    <w:rsid w:val="00481794"/>
    <w:rsid w:val="00481BA3"/>
    <w:rsid w:val="004822A7"/>
    <w:rsid w:val="0048239B"/>
    <w:rsid w:val="0048258F"/>
    <w:rsid w:val="00482834"/>
    <w:rsid w:val="00482926"/>
    <w:rsid w:val="00482BBD"/>
    <w:rsid w:val="00482C31"/>
    <w:rsid w:val="004831A3"/>
    <w:rsid w:val="004836FA"/>
    <w:rsid w:val="0048374D"/>
    <w:rsid w:val="00483758"/>
    <w:rsid w:val="004838CA"/>
    <w:rsid w:val="00484226"/>
    <w:rsid w:val="0048432C"/>
    <w:rsid w:val="004843F9"/>
    <w:rsid w:val="004848A1"/>
    <w:rsid w:val="00484F25"/>
    <w:rsid w:val="00484FD5"/>
    <w:rsid w:val="004852D0"/>
    <w:rsid w:val="00485F25"/>
    <w:rsid w:val="00485F83"/>
    <w:rsid w:val="004860B6"/>
    <w:rsid w:val="00486140"/>
    <w:rsid w:val="0048724E"/>
    <w:rsid w:val="0048770D"/>
    <w:rsid w:val="004877B8"/>
    <w:rsid w:val="00487C22"/>
    <w:rsid w:val="00487D34"/>
    <w:rsid w:val="004900D9"/>
    <w:rsid w:val="00490118"/>
    <w:rsid w:val="004905CA"/>
    <w:rsid w:val="00490BDA"/>
    <w:rsid w:val="00490D2A"/>
    <w:rsid w:val="00490EE3"/>
    <w:rsid w:val="004910DF"/>
    <w:rsid w:val="00491421"/>
    <w:rsid w:val="00491B2C"/>
    <w:rsid w:val="00491C77"/>
    <w:rsid w:val="00492045"/>
    <w:rsid w:val="0049239F"/>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2E"/>
    <w:rsid w:val="00497E65"/>
    <w:rsid w:val="00497F67"/>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977"/>
    <w:rsid w:val="004B3C43"/>
    <w:rsid w:val="004B3D3A"/>
    <w:rsid w:val="004B3F31"/>
    <w:rsid w:val="004B42EB"/>
    <w:rsid w:val="004B444F"/>
    <w:rsid w:val="004B44CB"/>
    <w:rsid w:val="004B4ABF"/>
    <w:rsid w:val="004B4BD8"/>
    <w:rsid w:val="004B4BF9"/>
    <w:rsid w:val="004B4C91"/>
    <w:rsid w:val="004B4CF8"/>
    <w:rsid w:val="004B4E46"/>
    <w:rsid w:val="004B50B2"/>
    <w:rsid w:val="004B5C7C"/>
    <w:rsid w:val="004B5DD7"/>
    <w:rsid w:val="004B62B2"/>
    <w:rsid w:val="004B66B2"/>
    <w:rsid w:val="004B7280"/>
    <w:rsid w:val="004B7AC0"/>
    <w:rsid w:val="004B7BA2"/>
    <w:rsid w:val="004B7CC1"/>
    <w:rsid w:val="004C03A3"/>
    <w:rsid w:val="004C04D9"/>
    <w:rsid w:val="004C05AD"/>
    <w:rsid w:val="004C0850"/>
    <w:rsid w:val="004C0857"/>
    <w:rsid w:val="004C0A1A"/>
    <w:rsid w:val="004C147B"/>
    <w:rsid w:val="004C1AB2"/>
    <w:rsid w:val="004C1F0F"/>
    <w:rsid w:val="004C2521"/>
    <w:rsid w:val="004C26D1"/>
    <w:rsid w:val="004C29C0"/>
    <w:rsid w:val="004C3057"/>
    <w:rsid w:val="004C3C92"/>
    <w:rsid w:val="004C43DB"/>
    <w:rsid w:val="004C469A"/>
    <w:rsid w:val="004C47F9"/>
    <w:rsid w:val="004C4900"/>
    <w:rsid w:val="004C4C56"/>
    <w:rsid w:val="004C4CF6"/>
    <w:rsid w:val="004C51CA"/>
    <w:rsid w:val="004C52F7"/>
    <w:rsid w:val="004C5C3B"/>
    <w:rsid w:val="004C5C6B"/>
    <w:rsid w:val="004C6049"/>
    <w:rsid w:val="004C6114"/>
    <w:rsid w:val="004C6307"/>
    <w:rsid w:val="004C6338"/>
    <w:rsid w:val="004C6751"/>
    <w:rsid w:val="004C6949"/>
    <w:rsid w:val="004C69CF"/>
    <w:rsid w:val="004C70D4"/>
    <w:rsid w:val="004C7495"/>
    <w:rsid w:val="004C74BD"/>
    <w:rsid w:val="004C78BC"/>
    <w:rsid w:val="004C79E2"/>
    <w:rsid w:val="004D0024"/>
    <w:rsid w:val="004D0029"/>
    <w:rsid w:val="004D0614"/>
    <w:rsid w:val="004D0B12"/>
    <w:rsid w:val="004D13B9"/>
    <w:rsid w:val="004D16F6"/>
    <w:rsid w:val="004D19AD"/>
    <w:rsid w:val="004D1BE3"/>
    <w:rsid w:val="004D1F83"/>
    <w:rsid w:val="004D2158"/>
    <w:rsid w:val="004D21A7"/>
    <w:rsid w:val="004D23D6"/>
    <w:rsid w:val="004D255A"/>
    <w:rsid w:val="004D261C"/>
    <w:rsid w:val="004D2696"/>
    <w:rsid w:val="004D26DB"/>
    <w:rsid w:val="004D3381"/>
    <w:rsid w:val="004D3610"/>
    <w:rsid w:val="004D390D"/>
    <w:rsid w:val="004D3A07"/>
    <w:rsid w:val="004D40C2"/>
    <w:rsid w:val="004D4540"/>
    <w:rsid w:val="004D4C00"/>
    <w:rsid w:val="004D52DC"/>
    <w:rsid w:val="004D59C6"/>
    <w:rsid w:val="004D5AE9"/>
    <w:rsid w:val="004D5B04"/>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CD1"/>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387"/>
    <w:rsid w:val="004F649F"/>
    <w:rsid w:val="004F6AAD"/>
    <w:rsid w:val="004F6C98"/>
    <w:rsid w:val="004F78D8"/>
    <w:rsid w:val="004F7901"/>
    <w:rsid w:val="004F7D47"/>
    <w:rsid w:val="00500220"/>
    <w:rsid w:val="00500699"/>
    <w:rsid w:val="0050170E"/>
    <w:rsid w:val="00501A4C"/>
    <w:rsid w:val="00501FB0"/>
    <w:rsid w:val="00501FDE"/>
    <w:rsid w:val="005028D9"/>
    <w:rsid w:val="00502B2A"/>
    <w:rsid w:val="005030B0"/>
    <w:rsid w:val="005030F5"/>
    <w:rsid w:val="00503394"/>
    <w:rsid w:val="00503CDD"/>
    <w:rsid w:val="00503D57"/>
    <w:rsid w:val="00503DB3"/>
    <w:rsid w:val="00503F68"/>
    <w:rsid w:val="00503FD2"/>
    <w:rsid w:val="00504437"/>
    <w:rsid w:val="005047DA"/>
    <w:rsid w:val="00504CFC"/>
    <w:rsid w:val="00505979"/>
    <w:rsid w:val="00505E15"/>
    <w:rsid w:val="00506131"/>
    <w:rsid w:val="00506466"/>
    <w:rsid w:val="00506554"/>
    <w:rsid w:val="005067BD"/>
    <w:rsid w:val="005069D1"/>
    <w:rsid w:val="00506B18"/>
    <w:rsid w:val="005072EC"/>
    <w:rsid w:val="00507A53"/>
    <w:rsid w:val="00507B8B"/>
    <w:rsid w:val="00507D3E"/>
    <w:rsid w:val="00507DFB"/>
    <w:rsid w:val="00510B81"/>
    <w:rsid w:val="00510EEF"/>
    <w:rsid w:val="00511241"/>
    <w:rsid w:val="00511432"/>
    <w:rsid w:val="00512072"/>
    <w:rsid w:val="005121B7"/>
    <w:rsid w:val="0051299C"/>
    <w:rsid w:val="005129E1"/>
    <w:rsid w:val="00512D4C"/>
    <w:rsid w:val="00512F79"/>
    <w:rsid w:val="005130FA"/>
    <w:rsid w:val="00513872"/>
    <w:rsid w:val="005142BD"/>
    <w:rsid w:val="00514D63"/>
    <w:rsid w:val="005153DF"/>
    <w:rsid w:val="00515452"/>
    <w:rsid w:val="005157F2"/>
    <w:rsid w:val="00515835"/>
    <w:rsid w:val="0051589A"/>
    <w:rsid w:val="00515E02"/>
    <w:rsid w:val="00515E0D"/>
    <w:rsid w:val="005160A5"/>
    <w:rsid w:val="0051617A"/>
    <w:rsid w:val="00516AC0"/>
    <w:rsid w:val="00517010"/>
    <w:rsid w:val="0051720A"/>
    <w:rsid w:val="00517E80"/>
    <w:rsid w:val="005202C6"/>
    <w:rsid w:val="0052094C"/>
    <w:rsid w:val="00520B77"/>
    <w:rsid w:val="00520E13"/>
    <w:rsid w:val="00521089"/>
    <w:rsid w:val="00521302"/>
    <w:rsid w:val="005213BD"/>
    <w:rsid w:val="005215E0"/>
    <w:rsid w:val="00521D85"/>
    <w:rsid w:val="00522193"/>
    <w:rsid w:val="00522448"/>
    <w:rsid w:val="0052254F"/>
    <w:rsid w:val="005225C4"/>
    <w:rsid w:val="005230E3"/>
    <w:rsid w:val="00523956"/>
    <w:rsid w:val="0052419D"/>
    <w:rsid w:val="00524627"/>
    <w:rsid w:val="00524678"/>
    <w:rsid w:val="00524C31"/>
    <w:rsid w:val="00524C4E"/>
    <w:rsid w:val="00524C5F"/>
    <w:rsid w:val="00524E8A"/>
    <w:rsid w:val="00524EC5"/>
    <w:rsid w:val="00525066"/>
    <w:rsid w:val="005250A4"/>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404"/>
    <w:rsid w:val="00534515"/>
    <w:rsid w:val="0053528F"/>
    <w:rsid w:val="00535F02"/>
    <w:rsid w:val="00535FF6"/>
    <w:rsid w:val="00536315"/>
    <w:rsid w:val="00536362"/>
    <w:rsid w:val="0053687C"/>
    <w:rsid w:val="00536B42"/>
    <w:rsid w:val="00536F08"/>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2D7"/>
    <w:rsid w:val="005455C1"/>
    <w:rsid w:val="005457F0"/>
    <w:rsid w:val="0054585F"/>
    <w:rsid w:val="00545B05"/>
    <w:rsid w:val="00545B21"/>
    <w:rsid w:val="00545B72"/>
    <w:rsid w:val="0054615F"/>
    <w:rsid w:val="00546427"/>
    <w:rsid w:val="0054674E"/>
    <w:rsid w:val="00546851"/>
    <w:rsid w:val="00546868"/>
    <w:rsid w:val="0054750A"/>
    <w:rsid w:val="00547893"/>
    <w:rsid w:val="00547A70"/>
    <w:rsid w:val="00547A8E"/>
    <w:rsid w:val="00547B35"/>
    <w:rsid w:val="00547E77"/>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4E4A"/>
    <w:rsid w:val="00555873"/>
    <w:rsid w:val="0055619C"/>
    <w:rsid w:val="005562D5"/>
    <w:rsid w:val="00556F93"/>
    <w:rsid w:val="00557CAA"/>
    <w:rsid w:val="00557DC6"/>
    <w:rsid w:val="00560111"/>
    <w:rsid w:val="005607B6"/>
    <w:rsid w:val="00560CD6"/>
    <w:rsid w:val="005610B6"/>
    <w:rsid w:val="0056124D"/>
    <w:rsid w:val="00561263"/>
    <w:rsid w:val="00561AC7"/>
    <w:rsid w:val="00561B63"/>
    <w:rsid w:val="00561C14"/>
    <w:rsid w:val="005621D4"/>
    <w:rsid w:val="00562922"/>
    <w:rsid w:val="005629E7"/>
    <w:rsid w:val="00562A24"/>
    <w:rsid w:val="00562CB0"/>
    <w:rsid w:val="00562FD5"/>
    <w:rsid w:val="0056304C"/>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6C6"/>
    <w:rsid w:val="00565964"/>
    <w:rsid w:val="00565A76"/>
    <w:rsid w:val="005660DE"/>
    <w:rsid w:val="0056637D"/>
    <w:rsid w:val="00566518"/>
    <w:rsid w:val="00566B1D"/>
    <w:rsid w:val="005671F2"/>
    <w:rsid w:val="0056780E"/>
    <w:rsid w:val="00567B0D"/>
    <w:rsid w:val="005703D9"/>
    <w:rsid w:val="00571100"/>
    <w:rsid w:val="005719EB"/>
    <w:rsid w:val="00571AE6"/>
    <w:rsid w:val="00571E22"/>
    <w:rsid w:val="00571FBA"/>
    <w:rsid w:val="005720BF"/>
    <w:rsid w:val="005722F7"/>
    <w:rsid w:val="00572729"/>
    <w:rsid w:val="005729BF"/>
    <w:rsid w:val="00572FE9"/>
    <w:rsid w:val="00573193"/>
    <w:rsid w:val="0057323E"/>
    <w:rsid w:val="0057345D"/>
    <w:rsid w:val="00573521"/>
    <w:rsid w:val="0057385B"/>
    <w:rsid w:val="00573DA7"/>
    <w:rsid w:val="00573E58"/>
    <w:rsid w:val="0057428B"/>
    <w:rsid w:val="00574629"/>
    <w:rsid w:val="005748E7"/>
    <w:rsid w:val="0057514C"/>
    <w:rsid w:val="00575155"/>
    <w:rsid w:val="005757AF"/>
    <w:rsid w:val="0057630C"/>
    <w:rsid w:val="0057641E"/>
    <w:rsid w:val="00576678"/>
    <w:rsid w:val="005769A0"/>
    <w:rsid w:val="00576BA6"/>
    <w:rsid w:val="00576E45"/>
    <w:rsid w:val="00576FB0"/>
    <w:rsid w:val="0057734E"/>
    <w:rsid w:val="005777E2"/>
    <w:rsid w:val="005778ED"/>
    <w:rsid w:val="00580946"/>
    <w:rsid w:val="005809B6"/>
    <w:rsid w:val="005810DD"/>
    <w:rsid w:val="00581B40"/>
    <w:rsid w:val="00581E9D"/>
    <w:rsid w:val="0058205F"/>
    <w:rsid w:val="005820A2"/>
    <w:rsid w:val="0058226A"/>
    <w:rsid w:val="0058238E"/>
    <w:rsid w:val="00582418"/>
    <w:rsid w:val="00582A25"/>
    <w:rsid w:val="00582C47"/>
    <w:rsid w:val="00583050"/>
    <w:rsid w:val="0058316E"/>
    <w:rsid w:val="005834C8"/>
    <w:rsid w:val="00583522"/>
    <w:rsid w:val="00583D7B"/>
    <w:rsid w:val="00584372"/>
    <w:rsid w:val="0058454D"/>
    <w:rsid w:val="00584742"/>
    <w:rsid w:val="00584AEF"/>
    <w:rsid w:val="00584BC4"/>
    <w:rsid w:val="00585A6A"/>
    <w:rsid w:val="00585C46"/>
    <w:rsid w:val="00585EF3"/>
    <w:rsid w:val="00586078"/>
    <w:rsid w:val="005860FF"/>
    <w:rsid w:val="00586460"/>
    <w:rsid w:val="00586A14"/>
    <w:rsid w:val="00586E40"/>
    <w:rsid w:val="00587207"/>
    <w:rsid w:val="005873B3"/>
    <w:rsid w:val="005874FE"/>
    <w:rsid w:val="00587BC4"/>
    <w:rsid w:val="00587BDA"/>
    <w:rsid w:val="0059089C"/>
    <w:rsid w:val="005911E9"/>
    <w:rsid w:val="005912D3"/>
    <w:rsid w:val="0059135E"/>
    <w:rsid w:val="00591C6D"/>
    <w:rsid w:val="00592401"/>
    <w:rsid w:val="005925DC"/>
    <w:rsid w:val="00592768"/>
    <w:rsid w:val="005932B0"/>
    <w:rsid w:val="005932EE"/>
    <w:rsid w:val="005933A4"/>
    <w:rsid w:val="00593B83"/>
    <w:rsid w:val="00593CD5"/>
    <w:rsid w:val="00593E9C"/>
    <w:rsid w:val="0059421A"/>
    <w:rsid w:val="005947B3"/>
    <w:rsid w:val="00595004"/>
    <w:rsid w:val="00595A3A"/>
    <w:rsid w:val="00595C0F"/>
    <w:rsid w:val="00595E52"/>
    <w:rsid w:val="00595EE6"/>
    <w:rsid w:val="00596021"/>
    <w:rsid w:val="005960CB"/>
    <w:rsid w:val="005962BE"/>
    <w:rsid w:val="00596609"/>
    <w:rsid w:val="00597973"/>
    <w:rsid w:val="005A143F"/>
    <w:rsid w:val="005A1CD8"/>
    <w:rsid w:val="005A22E4"/>
    <w:rsid w:val="005A2B2C"/>
    <w:rsid w:val="005A2D39"/>
    <w:rsid w:val="005A2DB3"/>
    <w:rsid w:val="005A2DF6"/>
    <w:rsid w:val="005A3049"/>
    <w:rsid w:val="005A3306"/>
    <w:rsid w:val="005A3406"/>
    <w:rsid w:val="005A38D6"/>
    <w:rsid w:val="005A4184"/>
    <w:rsid w:val="005A4780"/>
    <w:rsid w:val="005A4A28"/>
    <w:rsid w:val="005A4BCE"/>
    <w:rsid w:val="005A4D7F"/>
    <w:rsid w:val="005A5389"/>
    <w:rsid w:val="005A5856"/>
    <w:rsid w:val="005A585A"/>
    <w:rsid w:val="005A5AB2"/>
    <w:rsid w:val="005A5CA2"/>
    <w:rsid w:val="005A60EB"/>
    <w:rsid w:val="005A75B1"/>
    <w:rsid w:val="005A7E78"/>
    <w:rsid w:val="005B00B6"/>
    <w:rsid w:val="005B020D"/>
    <w:rsid w:val="005B047C"/>
    <w:rsid w:val="005B10CB"/>
    <w:rsid w:val="005B121D"/>
    <w:rsid w:val="005B150C"/>
    <w:rsid w:val="005B16DF"/>
    <w:rsid w:val="005B2635"/>
    <w:rsid w:val="005B2CF0"/>
    <w:rsid w:val="005B2E57"/>
    <w:rsid w:val="005B338D"/>
    <w:rsid w:val="005B39DF"/>
    <w:rsid w:val="005B3A75"/>
    <w:rsid w:val="005B3D42"/>
    <w:rsid w:val="005B3F08"/>
    <w:rsid w:val="005B40D8"/>
    <w:rsid w:val="005B486F"/>
    <w:rsid w:val="005B49F6"/>
    <w:rsid w:val="005B5078"/>
    <w:rsid w:val="005B526F"/>
    <w:rsid w:val="005B5389"/>
    <w:rsid w:val="005B567D"/>
    <w:rsid w:val="005B5D50"/>
    <w:rsid w:val="005B6C31"/>
    <w:rsid w:val="005B6DE4"/>
    <w:rsid w:val="005B6E88"/>
    <w:rsid w:val="005B7363"/>
    <w:rsid w:val="005B736B"/>
    <w:rsid w:val="005B76CF"/>
    <w:rsid w:val="005B7BBB"/>
    <w:rsid w:val="005B7F43"/>
    <w:rsid w:val="005B7FD1"/>
    <w:rsid w:val="005C07E6"/>
    <w:rsid w:val="005C0E12"/>
    <w:rsid w:val="005C1159"/>
    <w:rsid w:val="005C14D3"/>
    <w:rsid w:val="005C2156"/>
    <w:rsid w:val="005C254C"/>
    <w:rsid w:val="005C25AC"/>
    <w:rsid w:val="005C2B04"/>
    <w:rsid w:val="005C3076"/>
    <w:rsid w:val="005C3215"/>
    <w:rsid w:val="005C3478"/>
    <w:rsid w:val="005C36ED"/>
    <w:rsid w:val="005C38AA"/>
    <w:rsid w:val="005C3984"/>
    <w:rsid w:val="005C3A65"/>
    <w:rsid w:val="005C3F17"/>
    <w:rsid w:val="005C41CA"/>
    <w:rsid w:val="005C4406"/>
    <w:rsid w:val="005C44B9"/>
    <w:rsid w:val="005C46FB"/>
    <w:rsid w:val="005C4B55"/>
    <w:rsid w:val="005C4D49"/>
    <w:rsid w:val="005C4DEA"/>
    <w:rsid w:val="005C5107"/>
    <w:rsid w:val="005C51EE"/>
    <w:rsid w:val="005C532F"/>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6A0"/>
    <w:rsid w:val="005D3D41"/>
    <w:rsid w:val="005D4904"/>
    <w:rsid w:val="005D4A61"/>
    <w:rsid w:val="005D4AD6"/>
    <w:rsid w:val="005D55D3"/>
    <w:rsid w:val="005D5790"/>
    <w:rsid w:val="005D589E"/>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0CF3"/>
    <w:rsid w:val="005E1786"/>
    <w:rsid w:val="005E1CEA"/>
    <w:rsid w:val="005E2129"/>
    <w:rsid w:val="005E2150"/>
    <w:rsid w:val="005E2414"/>
    <w:rsid w:val="005E262D"/>
    <w:rsid w:val="005E2D13"/>
    <w:rsid w:val="005E2F8E"/>
    <w:rsid w:val="005E35B3"/>
    <w:rsid w:val="005E3BA1"/>
    <w:rsid w:val="005E3C66"/>
    <w:rsid w:val="005E474B"/>
    <w:rsid w:val="005E48AA"/>
    <w:rsid w:val="005E4BDC"/>
    <w:rsid w:val="005E51EC"/>
    <w:rsid w:val="005E536F"/>
    <w:rsid w:val="005E5652"/>
    <w:rsid w:val="005E5790"/>
    <w:rsid w:val="005E588A"/>
    <w:rsid w:val="005E5C7E"/>
    <w:rsid w:val="005E6730"/>
    <w:rsid w:val="005E6B16"/>
    <w:rsid w:val="005E6E01"/>
    <w:rsid w:val="005E7032"/>
    <w:rsid w:val="005E7452"/>
    <w:rsid w:val="005F01FB"/>
    <w:rsid w:val="005F0B7D"/>
    <w:rsid w:val="005F0FB1"/>
    <w:rsid w:val="005F114E"/>
    <w:rsid w:val="005F13AB"/>
    <w:rsid w:val="005F15F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5DC"/>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46D0"/>
    <w:rsid w:val="00604FFD"/>
    <w:rsid w:val="00605439"/>
    <w:rsid w:val="006055D6"/>
    <w:rsid w:val="00605C47"/>
    <w:rsid w:val="00605CBD"/>
    <w:rsid w:val="0060607D"/>
    <w:rsid w:val="006061F9"/>
    <w:rsid w:val="006069D1"/>
    <w:rsid w:val="00606A6C"/>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5D6"/>
    <w:rsid w:val="00615141"/>
    <w:rsid w:val="00615609"/>
    <w:rsid w:val="00615882"/>
    <w:rsid w:val="006159EC"/>
    <w:rsid w:val="00615C61"/>
    <w:rsid w:val="00615DC5"/>
    <w:rsid w:val="0061656E"/>
    <w:rsid w:val="00616875"/>
    <w:rsid w:val="00617295"/>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BA7"/>
    <w:rsid w:val="00624C30"/>
    <w:rsid w:val="006251BC"/>
    <w:rsid w:val="006251CC"/>
    <w:rsid w:val="00625367"/>
    <w:rsid w:val="006254CE"/>
    <w:rsid w:val="0062554B"/>
    <w:rsid w:val="00625F92"/>
    <w:rsid w:val="00626E22"/>
    <w:rsid w:val="00626E78"/>
    <w:rsid w:val="006277F0"/>
    <w:rsid w:val="00627AC4"/>
    <w:rsid w:val="00627E1A"/>
    <w:rsid w:val="00630263"/>
    <w:rsid w:val="0063079A"/>
    <w:rsid w:val="00630BB7"/>
    <w:rsid w:val="006313F5"/>
    <w:rsid w:val="00631A22"/>
    <w:rsid w:val="00632098"/>
    <w:rsid w:val="006326B6"/>
    <w:rsid w:val="006326C2"/>
    <w:rsid w:val="00632A7C"/>
    <w:rsid w:val="00632CFD"/>
    <w:rsid w:val="006337CF"/>
    <w:rsid w:val="006339CF"/>
    <w:rsid w:val="00633DCA"/>
    <w:rsid w:val="00633EBC"/>
    <w:rsid w:val="0063407D"/>
    <w:rsid w:val="00634113"/>
    <w:rsid w:val="0063466E"/>
    <w:rsid w:val="006346DA"/>
    <w:rsid w:val="00634E6E"/>
    <w:rsid w:val="006350DD"/>
    <w:rsid w:val="006351FE"/>
    <w:rsid w:val="006359A0"/>
    <w:rsid w:val="00635A89"/>
    <w:rsid w:val="00636106"/>
    <w:rsid w:val="00636671"/>
    <w:rsid w:val="00636E8C"/>
    <w:rsid w:val="00636EBB"/>
    <w:rsid w:val="006374D2"/>
    <w:rsid w:val="006374FD"/>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2EE"/>
    <w:rsid w:val="006413F9"/>
    <w:rsid w:val="00641630"/>
    <w:rsid w:val="00641B27"/>
    <w:rsid w:val="00641E96"/>
    <w:rsid w:val="00642308"/>
    <w:rsid w:val="00642483"/>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0E77"/>
    <w:rsid w:val="0065101E"/>
    <w:rsid w:val="006512C1"/>
    <w:rsid w:val="006512CB"/>
    <w:rsid w:val="0065142A"/>
    <w:rsid w:val="00651688"/>
    <w:rsid w:val="0065178C"/>
    <w:rsid w:val="006518B7"/>
    <w:rsid w:val="00651AEA"/>
    <w:rsid w:val="00651AEC"/>
    <w:rsid w:val="00651B15"/>
    <w:rsid w:val="00652356"/>
    <w:rsid w:val="006527C9"/>
    <w:rsid w:val="00652FD7"/>
    <w:rsid w:val="0065332A"/>
    <w:rsid w:val="006545D7"/>
    <w:rsid w:val="00654BAE"/>
    <w:rsid w:val="00654BDE"/>
    <w:rsid w:val="00654EF6"/>
    <w:rsid w:val="006554A7"/>
    <w:rsid w:val="00655CCC"/>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934"/>
    <w:rsid w:val="006669AB"/>
    <w:rsid w:val="00666D8E"/>
    <w:rsid w:val="0066721F"/>
    <w:rsid w:val="006672F9"/>
    <w:rsid w:val="00667310"/>
    <w:rsid w:val="006676A1"/>
    <w:rsid w:val="0066775D"/>
    <w:rsid w:val="00667EC1"/>
    <w:rsid w:val="0067002B"/>
    <w:rsid w:val="0067038F"/>
    <w:rsid w:val="00670765"/>
    <w:rsid w:val="00670C2F"/>
    <w:rsid w:val="00670F32"/>
    <w:rsid w:val="006712F9"/>
    <w:rsid w:val="006717F3"/>
    <w:rsid w:val="0067190B"/>
    <w:rsid w:val="00671994"/>
    <w:rsid w:val="00671EA0"/>
    <w:rsid w:val="00671EF1"/>
    <w:rsid w:val="0067206E"/>
    <w:rsid w:val="00672307"/>
    <w:rsid w:val="0067298E"/>
    <w:rsid w:val="006730F1"/>
    <w:rsid w:val="006731AB"/>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1F"/>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38E"/>
    <w:rsid w:val="006819B7"/>
    <w:rsid w:val="006820D2"/>
    <w:rsid w:val="00682544"/>
    <w:rsid w:val="006825B6"/>
    <w:rsid w:val="00682846"/>
    <w:rsid w:val="0068344E"/>
    <w:rsid w:val="006834D6"/>
    <w:rsid w:val="0068360F"/>
    <w:rsid w:val="006840E5"/>
    <w:rsid w:val="006843CF"/>
    <w:rsid w:val="00684486"/>
    <w:rsid w:val="00684686"/>
    <w:rsid w:val="0068474B"/>
    <w:rsid w:val="0068490A"/>
    <w:rsid w:val="006854AB"/>
    <w:rsid w:val="00685D68"/>
    <w:rsid w:val="00686786"/>
    <w:rsid w:val="00686BCA"/>
    <w:rsid w:val="00686C3D"/>
    <w:rsid w:val="006871EE"/>
    <w:rsid w:val="0068782D"/>
    <w:rsid w:val="00687A7F"/>
    <w:rsid w:val="00687AE3"/>
    <w:rsid w:val="00687C6B"/>
    <w:rsid w:val="00687CC2"/>
    <w:rsid w:val="00687E95"/>
    <w:rsid w:val="00690729"/>
    <w:rsid w:val="0069081B"/>
    <w:rsid w:val="00690CB1"/>
    <w:rsid w:val="00690FC4"/>
    <w:rsid w:val="006910DB"/>
    <w:rsid w:val="0069138B"/>
    <w:rsid w:val="006913A8"/>
    <w:rsid w:val="006914A3"/>
    <w:rsid w:val="0069174B"/>
    <w:rsid w:val="00691E79"/>
    <w:rsid w:val="00692332"/>
    <w:rsid w:val="006926EB"/>
    <w:rsid w:val="00692D73"/>
    <w:rsid w:val="00693853"/>
    <w:rsid w:val="00693ABF"/>
    <w:rsid w:val="00693B86"/>
    <w:rsid w:val="00693C44"/>
    <w:rsid w:val="00694B79"/>
    <w:rsid w:val="00694E22"/>
    <w:rsid w:val="00695271"/>
    <w:rsid w:val="00695359"/>
    <w:rsid w:val="0069575C"/>
    <w:rsid w:val="006959B5"/>
    <w:rsid w:val="00695A75"/>
    <w:rsid w:val="00696061"/>
    <w:rsid w:val="0069699C"/>
    <w:rsid w:val="006969DB"/>
    <w:rsid w:val="00696A4A"/>
    <w:rsid w:val="00697554"/>
    <w:rsid w:val="00697A80"/>
    <w:rsid w:val="00697CCF"/>
    <w:rsid w:val="00697CE8"/>
    <w:rsid w:val="00697DE5"/>
    <w:rsid w:val="00697FA5"/>
    <w:rsid w:val="006A092C"/>
    <w:rsid w:val="006A0F75"/>
    <w:rsid w:val="006A1646"/>
    <w:rsid w:val="006A175A"/>
    <w:rsid w:val="006A24A8"/>
    <w:rsid w:val="006A29AB"/>
    <w:rsid w:val="006A2D7E"/>
    <w:rsid w:val="006A3412"/>
    <w:rsid w:val="006A40A6"/>
    <w:rsid w:val="006A464C"/>
    <w:rsid w:val="006A4916"/>
    <w:rsid w:val="006A4B26"/>
    <w:rsid w:val="006A4C58"/>
    <w:rsid w:val="006A4CD3"/>
    <w:rsid w:val="006A5414"/>
    <w:rsid w:val="006A55A3"/>
    <w:rsid w:val="006A5CA7"/>
    <w:rsid w:val="006A5DBD"/>
    <w:rsid w:val="006A5E6B"/>
    <w:rsid w:val="006A5EBB"/>
    <w:rsid w:val="006A6273"/>
    <w:rsid w:val="006A6605"/>
    <w:rsid w:val="006A668B"/>
    <w:rsid w:val="006A66BD"/>
    <w:rsid w:val="006A6962"/>
    <w:rsid w:val="006A6D1E"/>
    <w:rsid w:val="006A6DAE"/>
    <w:rsid w:val="006A7648"/>
    <w:rsid w:val="006A76A7"/>
    <w:rsid w:val="006A77B9"/>
    <w:rsid w:val="006A7800"/>
    <w:rsid w:val="006A789B"/>
    <w:rsid w:val="006A78D9"/>
    <w:rsid w:val="006B00D5"/>
    <w:rsid w:val="006B0358"/>
    <w:rsid w:val="006B0F30"/>
    <w:rsid w:val="006B11FA"/>
    <w:rsid w:val="006B1392"/>
    <w:rsid w:val="006B1855"/>
    <w:rsid w:val="006B231E"/>
    <w:rsid w:val="006B25A9"/>
    <w:rsid w:val="006B2877"/>
    <w:rsid w:val="006B2893"/>
    <w:rsid w:val="006B2982"/>
    <w:rsid w:val="006B35BA"/>
    <w:rsid w:val="006B38FD"/>
    <w:rsid w:val="006B3CDF"/>
    <w:rsid w:val="006B3E5B"/>
    <w:rsid w:val="006B456F"/>
    <w:rsid w:val="006B49F1"/>
    <w:rsid w:val="006B5413"/>
    <w:rsid w:val="006B5414"/>
    <w:rsid w:val="006B5769"/>
    <w:rsid w:val="006B5F44"/>
    <w:rsid w:val="006B619C"/>
    <w:rsid w:val="006B61A4"/>
    <w:rsid w:val="006B6C73"/>
    <w:rsid w:val="006B7331"/>
    <w:rsid w:val="006B7353"/>
    <w:rsid w:val="006B73D7"/>
    <w:rsid w:val="006B7491"/>
    <w:rsid w:val="006B7561"/>
    <w:rsid w:val="006B783F"/>
    <w:rsid w:val="006B7896"/>
    <w:rsid w:val="006B7AA0"/>
    <w:rsid w:val="006C0766"/>
    <w:rsid w:val="006C0BDA"/>
    <w:rsid w:val="006C0E2F"/>
    <w:rsid w:val="006C0EC1"/>
    <w:rsid w:val="006C0F5D"/>
    <w:rsid w:val="006C1227"/>
    <w:rsid w:val="006C12B6"/>
    <w:rsid w:val="006C137C"/>
    <w:rsid w:val="006C1412"/>
    <w:rsid w:val="006C14DD"/>
    <w:rsid w:val="006C177D"/>
    <w:rsid w:val="006C1FDD"/>
    <w:rsid w:val="006C247C"/>
    <w:rsid w:val="006C2599"/>
    <w:rsid w:val="006C2820"/>
    <w:rsid w:val="006C2D56"/>
    <w:rsid w:val="006C2E2C"/>
    <w:rsid w:val="006C311E"/>
    <w:rsid w:val="006C3583"/>
    <w:rsid w:val="006C393A"/>
    <w:rsid w:val="006C437E"/>
    <w:rsid w:val="006C48DA"/>
    <w:rsid w:val="006C4B18"/>
    <w:rsid w:val="006C4C17"/>
    <w:rsid w:val="006C4F9F"/>
    <w:rsid w:val="006C5571"/>
    <w:rsid w:val="006C5904"/>
    <w:rsid w:val="006C5B9B"/>
    <w:rsid w:val="006C5CC4"/>
    <w:rsid w:val="006C6454"/>
    <w:rsid w:val="006C685E"/>
    <w:rsid w:val="006C6904"/>
    <w:rsid w:val="006C697F"/>
    <w:rsid w:val="006C6B15"/>
    <w:rsid w:val="006C6B2D"/>
    <w:rsid w:val="006C6EC7"/>
    <w:rsid w:val="006C72DD"/>
    <w:rsid w:val="006C73D3"/>
    <w:rsid w:val="006C7507"/>
    <w:rsid w:val="006C7771"/>
    <w:rsid w:val="006C7BE5"/>
    <w:rsid w:val="006C7D05"/>
    <w:rsid w:val="006C7F94"/>
    <w:rsid w:val="006D0BDE"/>
    <w:rsid w:val="006D0CF1"/>
    <w:rsid w:val="006D0D60"/>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41F"/>
    <w:rsid w:val="006D550F"/>
    <w:rsid w:val="006D5568"/>
    <w:rsid w:val="006D5571"/>
    <w:rsid w:val="006D59D3"/>
    <w:rsid w:val="006D5B6A"/>
    <w:rsid w:val="006D5EDF"/>
    <w:rsid w:val="006D62B8"/>
    <w:rsid w:val="006D6525"/>
    <w:rsid w:val="006D6AB4"/>
    <w:rsid w:val="006D759E"/>
    <w:rsid w:val="006D75DB"/>
    <w:rsid w:val="006D76E6"/>
    <w:rsid w:val="006D7819"/>
    <w:rsid w:val="006E0009"/>
    <w:rsid w:val="006E00CA"/>
    <w:rsid w:val="006E022E"/>
    <w:rsid w:val="006E05E3"/>
    <w:rsid w:val="006E097F"/>
    <w:rsid w:val="006E0F8D"/>
    <w:rsid w:val="006E159C"/>
    <w:rsid w:val="006E1715"/>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510"/>
    <w:rsid w:val="006F0577"/>
    <w:rsid w:val="006F0AF2"/>
    <w:rsid w:val="006F0E2F"/>
    <w:rsid w:val="006F0F39"/>
    <w:rsid w:val="006F0F5C"/>
    <w:rsid w:val="006F0F97"/>
    <w:rsid w:val="006F0F9E"/>
    <w:rsid w:val="006F15FC"/>
    <w:rsid w:val="006F1B12"/>
    <w:rsid w:val="006F1D69"/>
    <w:rsid w:val="006F20F6"/>
    <w:rsid w:val="006F21F6"/>
    <w:rsid w:val="006F2283"/>
    <w:rsid w:val="006F22B9"/>
    <w:rsid w:val="006F26A9"/>
    <w:rsid w:val="006F2738"/>
    <w:rsid w:val="006F2B76"/>
    <w:rsid w:val="006F2D67"/>
    <w:rsid w:val="006F3100"/>
    <w:rsid w:val="006F325F"/>
    <w:rsid w:val="006F3367"/>
    <w:rsid w:val="006F3422"/>
    <w:rsid w:val="006F3593"/>
    <w:rsid w:val="006F383D"/>
    <w:rsid w:val="006F391B"/>
    <w:rsid w:val="006F3CE8"/>
    <w:rsid w:val="006F40E1"/>
    <w:rsid w:val="006F41AF"/>
    <w:rsid w:val="006F42DC"/>
    <w:rsid w:val="006F4714"/>
    <w:rsid w:val="006F4B59"/>
    <w:rsid w:val="006F5356"/>
    <w:rsid w:val="006F577D"/>
    <w:rsid w:val="006F585E"/>
    <w:rsid w:val="006F588A"/>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2BD"/>
    <w:rsid w:val="007027E3"/>
    <w:rsid w:val="007027E9"/>
    <w:rsid w:val="0070287F"/>
    <w:rsid w:val="00702C9F"/>
    <w:rsid w:val="00702FD5"/>
    <w:rsid w:val="007032CA"/>
    <w:rsid w:val="007035DC"/>
    <w:rsid w:val="007038F8"/>
    <w:rsid w:val="00703BAB"/>
    <w:rsid w:val="00703D6E"/>
    <w:rsid w:val="00704124"/>
    <w:rsid w:val="00704CB5"/>
    <w:rsid w:val="00704EFA"/>
    <w:rsid w:val="00704F37"/>
    <w:rsid w:val="00706419"/>
    <w:rsid w:val="00706638"/>
    <w:rsid w:val="007074BF"/>
    <w:rsid w:val="007100C5"/>
    <w:rsid w:val="00710166"/>
    <w:rsid w:val="0071024B"/>
    <w:rsid w:val="007104B1"/>
    <w:rsid w:val="0071072B"/>
    <w:rsid w:val="007108F4"/>
    <w:rsid w:val="007109A3"/>
    <w:rsid w:val="00710F38"/>
    <w:rsid w:val="00711410"/>
    <w:rsid w:val="007116C1"/>
    <w:rsid w:val="007117A0"/>
    <w:rsid w:val="00711F0F"/>
    <w:rsid w:val="007125A4"/>
    <w:rsid w:val="007125E4"/>
    <w:rsid w:val="0071266E"/>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711A"/>
    <w:rsid w:val="0071791A"/>
    <w:rsid w:val="00717B7E"/>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603"/>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8CF"/>
    <w:rsid w:val="00732BD7"/>
    <w:rsid w:val="007335E0"/>
    <w:rsid w:val="00733611"/>
    <w:rsid w:val="00733709"/>
    <w:rsid w:val="007337F7"/>
    <w:rsid w:val="007338C8"/>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6E02"/>
    <w:rsid w:val="00737085"/>
    <w:rsid w:val="00737AB0"/>
    <w:rsid w:val="00740570"/>
    <w:rsid w:val="007406E8"/>
    <w:rsid w:val="00740905"/>
    <w:rsid w:val="007409F6"/>
    <w:rsid w:val="00740D08"/>
    <w:rsid w:val="0074132B"/>
    <w:rsid w:val="0074155B"/>
    <w:rsid w:val="00741B84"/>
    <w:rsid w:val="00741CA7"/>
    <w:rsid w:val="007421B8"/>
    <w:rsid w:val="00742419"/>
    <w:rsid w:val="007427BF"/>
    <w:rsid w:val="00742CE6"/>
    <w:rsid w:val="00743AE4"/>
    <w:rsid w:val="00743D6F"/>
    <w:rsid w:val="007443C9"/>
    <w:rsid w:val="007447C8"/>
    <w:rsid w:val="0074495E"/>
    <w:rsid w:val="007449A5"/>
    <w:rsid w:val="00744A17"/>
    <w:rsid w:val="00744C0B"/>
    <w:rsid w:val="00744E23"/>
    <w:rsid w:val="00744F08"/>
    <w:rsid w:val="00745192"/>
    <w:rsid w:val="00745421"/>
    <w:rsid w:val="00745502"/>
    <w:rsid w:val="007459FC"/>
    <w:rsid w:val="00745F15"/>
    <w:rsid w:val="00745FC7"/>
    <w:rsid w:val="00746185"/>
    <w:rsid w:val="00746482"/>
    <w:rsid w:val="0074655C"/>
    <w:rsid w:val="00746634"/>
    <w:rsid w:val="00746A18"/>
    <w:rsid w:val="00746DC3"/>
    <w:rsid w:val="00746DCD"/>
    <w:rsid w:val="00747053"/>
    <w:rsid w:val="00747106"/>
    <w:rsid w:val="0074733C"/>
    <w:rsid w:val="00747F08"/>
    <w:rsid w:val="00747F28"/>
    <w:rsid w:val="00747F8A"/>
    <w:rsid w:val="00747FB9"/>
    <w:rsid w:val="007507AB"/>
    <w:rsid w:val="007507C6"/>
    <w:rsid w:val="00750DBD"/>
    <w:rsid w:val="00750F1C"/>
    <w:rsid w:val="00751024"/>
    <w:rsid w:val="007512CE"/>
    <w:rsid w:val="00751FE8"/>
    <w:rsid w:val="007527D2"/>
    <w:rsid w:val="00752A60"/>
    <w:rsid w:val="00752AC2"/>
    <w:rsid w:val="00752B9E"/>
    <w:rsid w:val="0075321D"/>
    <w:rsid w:val="00753FA6"/>
    <w:rsid w:val="007541E6"/>
    <w:rsid w:val="00754472"/>
    <w:rsid w:val="007547DE"/>
    <w:rsid w:val="00754C17"/>
    <w:rsid w:val="007554E8"/>
    <w:rsid w:val="00755890"/>
    <w:rsid w:val="00755B76"/>
    <w:rsid w:val="007563C9"/>
    <w:rsid w:val="0075658C"/>
    <w:rsid w:val="0075662D"/>
    <w:rsid w:val="00756A9D"/>
    <w:rsid w:val="00756BA2"/>
    <w:rsid w:val="00756C45"/>
    <w:rsid w:val="007578FE"/>
    <w:rsid w:val="00757B85"/>
    <w:rsid w:val="00757CA5"/>
    <w:rsid w:val="00757E63"/>
    <w:rsid w:val="00760198"/>
    <w:rsid w:val="0076068E"/>
    <w:rsid w:val="0076072A"/>
    <w:rsid w:val="007608C3"/>
    <w:rsid w:val="00761B1E"/>
    <w:rsid w:val="00761DB5"/>
    <w:rsid w:val="007623EB"/>
    <w:rsid w:val="0076258B"/>
    <w:rsid w:val="00762CE9"/>
    <w:rsid w:val="00762E2C"/>
    <w:rsid w:val="00762F17"/>
    <w:rsid w:val="00762FDF"/>
    <w:rsid w:val="00763246"/>
    <w:rsid w:val="00763A71"/>
    <w:rsid w:val="007642C0"/>
    <w:rsid w:val="007656A8"/>
    <w:rsid w:val="00765759"/>
    <w:rsid w:val="00765F75"/>
    <w:rsid w:val="007662B2"/>
    <w:rsid w:val="0076670E"/>
    <w:rsid w:val="007667A1"/>
    <w:rsid w:val="007669E0"/>
    <w:rsid w:val="00766DB0"/>
    <w:rsid w:val="0076771C"/>
    <w:rsid w:val="00767B0F"/>
    <w:rsid w:val="00767CEB"/>
    <w:rsid w:val="00767D45"/>
    <w:rsid w:val="00767E82"/>
    <w:rsid w:val="007709DA"/>
    <w:rsid w:val="00770B47"/>
    <w:rsid w:val="00770C53"/>
    <w:rsid w:val="00770E20"/>
    <w:rsid w:val="00771135"/>
    <w:rsid w:val="007713EE"/>
    <w:rsid w:val="00771DB2"/>
    <w:rsid w:val="007722A8"/>
    <w:rsid w:val="00772654"/>
    <w:rsid w:val="00772D23"/>
    <w:rsid w:val="00772FEB"/>
    <w:rsid w:val="0077344F"/>
    <w:rsid w:val="00773788"/>
    <w:rsid w:val="0077378D"/>
    <w:rsid w:val="00773C2C"/>
    <w:rsid w:val="007740C8"/>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103E"/>
    <w:rsid w:val="007811CE"/>
    <w:rsid w:val="00781BDB"/>
    <w:rsid w:val="00781C30"/>
    <w:rsid w:val="007825C0"/>
    <w:rsid w:val="00782CAF"/>
    <w:rsid w:val="007830EB"/>
    <w:rsid w:val="007835AF"/>
    <w:rsid w:val="007836FD"/>
    <w:rsid w:val="00783725"/>
    <w:rsid w:val="007837C5"/>
    <w:rsid w:val="0078384C"/>
    <w:rsid w:val="00783D36"/>
    <w:rsid w:val="007846A1"/>
    <w:rsid w:val="007849FE"/>
    <w:rsid w:val="00785009"/>
    <w:rsid w:val="007850CC"/>
    <w:rsid w:val="00785169"/>
    <w:rsid w:val="00785495"/>
    <w:rsid w:val="0078594D"/>
    <w:rsid w:val="00785B98"/>
    <w:rsid w:val="0078602F"/>
    <w:rsid w:val="00786288"/>
    <w:rsid w:val="007863E4"/>
    <w:rsid w:val="007867C4"/>
    <w:rsid w:val="0078697E"/>
    <w:rsid w:val="00786A90"/>
    <w:rsid w:val="00786AC3"/>
    <w:rsid w:val="00786E5E"/>
    <w:rsid w:val="00786FC1"/>
    <w:rsid w:val="0078797B"/>
    <w:rsid w:val="00787F7C"/>
    <w:rsid w:val="00790045"/>
    <w:rsid w:val="007905AE"/>
    <w:rsid w:val="007907AE"/>
    <w:rsid w:val="00790966"/>
    <w:rsid w:val="007909A2"/>
    <w:rsid w:val="00790F7F"/>
    <w:rsid w:val="00791055"/>
    <w:rsid w:val="00791068"/>
    <w:rsid w:val="00791663"/>
    <w:rsid w:val="00791ADB"/>
    <w:rsid w:val="00791C11"/>
    <w:rsid w:val="00791E4A"/>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AF9"/>
    <w:rsid w:val="00796DBE"/>
    <w:rsid w:val="00797135"/>
    <w:rsid w:val="00797194"/>
    <w:rsid w:val="00797BD3"/>
    <w:rsid w:val="00797F24"/>
    <w:rsid w:val="007A01DE"/>
    <w:rsid w:val="007A0A3B"/>
    <w:rsid w:val="007A13F1"/>
    <w:rsid w:val="007A143E"/>
    <w:rsid w:val="007A1619"/>
    <w:rsid w:val="007A1D8A"/>
    <w:rsid w:val="007A2778"/>
    <w:rsid w:val="007A2A31"/>
    <w:rsid w:val="007A2E9B"/>
    <w:rsid w:val="007A3837"/>
    <w:rsid w:val="007A3E3E"/>
    <w:rsid w:val="007A41A6"/>
    <w:rsid w:val="007A45EF"/>
    <w:rsid w:val="007A4896"/>
    <w:rsid w:val="007A530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154"/>
    <w:rsid w:val="007B3489"/>
    <w:rsid w:val="007B39F5"/>
    <w:rsid w:val="007B3A96"/>
    <w:rsid w:val="007B3AC3"/>
    <w:rsid w:val="007B3F6C"/>
    <w:rsid w:val="007B4685"/>
    <w:rsid w:val="007B468B"/>
    <w:rsid w:val="007B48AA"/>
    <w:rsid w:val="007B48AC"/>
    <w:rsid w:val="007B4938"/>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572"/>
    <w:rsid w:val="007D07F4"/>
    <w:rsid w:val="007D09E0"/>
    <w:rsid w:val="007D12C0"/>
    <w:rsid w:val="007D13F7"/>
    <w:rsid w:val="007D1917"/>
    <w:rsid w:val="007D1EAC"/>
    <w:rsid w:val="007D29E3"/>
    <w:rsid w:val="007D29F7"/>
    <w:rsid w:val="007D2ACF"/>
    <w:rsid w:val="007D34E0"/>
    <w:rsid w:val="007D3A2E"/>
    <w:rsid w:val="007D3AAB"/>
    <w:rsid w:val="007D3B21"/>
    <w:rsid w:val="007D40B5"/>
    <w:rsid w:val="007D4641"/>
    <w:rsid w:val="007D55B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31A2"/>
    <w:rsid w:val="007E3DF7"/>
    <w:rsid w:val="007E3F5C"/>
    <w:rsid w:val="007E4433"/>
    <w:rsid w:val="007E4530"/>
    <w:rsid w:val="007E5149"/>
    <w:rsid w:val="007E5332"/>
    <w:rsid w:val="007E53F0"/>
    <w:rsid w:val="007E562A"/>
    <w:rsid w:val="007E58C5"/>
    <w:rsid w:val="007E5958"/>
    <w:rsid w:val="007E5D35"/>
    <w:rsid w:val="007E5DA7"/>
    <w:rsid w:val="007E5F51"/>
    <w:rsid w:val="007E6AD8"/>
    <w:rsid w:val="007E6BA9"/>
    <w:rsid w:val="007E7C28"/>
    <w:rsid w:val="007E7C34"/>
    <w:rsid w:val="007E7D4F"/>
    <w:rsid w:val="007E7DEE"/>
    <w:rsid w:val="007F0108"/>
    <w:rsid w:val="007F02E5"/>
    <w:rsid w:val="007F0439"/>
    <w:rsid w:val="007F04ED"/>
    <w:rsid w:val="007F07B0"/>
    <w:rsid w:val="007F0B5C"/>
    <w:rsid w:val="007F0FF1"/>
    <w:rsid w:val="007F1042"/>
    <w:rsid w:val="007F11E4"/>
    <w:rsid w:val="007F144B"/>
    <w:rsid w:val="007F14F6"/>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0DA"/>
    <w:rsid w:val="007F62C7"/>
    <w:rsid w:val="007F630C"/>
    <w:rsid w:val="007F6397"/>
    <w:rsid w:val="007F63CC"/>
    <w:rsid w:val="007F66C0"/>
    <w:rsid w:val="007F6926"/>
    <w:rsid w:val="007F698E"/>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334"/>
    <w:rsid w:val="0081194B"/>
    <w:rsid w:val="00811C9D"/>
    <w:rsid w:val="00811D74"/>
    <w:rsid w:val="00812078"/>
    <w:rsid w:val="0081209B"/>
    <w:rsid w:val="008121E3"/>
    <w:rsid w:val="00812D9E"/>
    <w:rsid w:val="00812E80"/>
    <w:rsid w:val="00812E9C"/>
    <w:rsid w:val="00813713"/>
    <w:rsid w:val="0081372B"/>
    <w:rsid w:val="008137A8"/>
    <w:rsid w:val="008137DA"/>
    <w:rsid w:val="00814E53"/>
    <w:rsid w:val="00815058"/>
    <w:rsid w:val="00815271"/>
    <w:rsid w:val="008152E0"/>
    <w:rsid w:val="0081585A"/>
    <w:rsid w:val="00815BEF"/>
    <w:rsid w:val="00816152"/>
    <w:rsid w:val="0081675F"/>
    <w:rsid w:val="00816949"/>
    <w:rsid w:val="00816984"/>
    <w:rsid w:val="00817787"/>
    <w:rsid w:val="00820151"/>
    <w:rsid w:val="0082055C"/>
    <w:rsid w:val="008206FE"/>
    <w:rsid w:val="0082287F"/>
    <w:rsid w:val="00822D77"/>
    <w:rsid w:val="00822F1E"/>
    <w:rsid w:val="00822FAF"/>
    <w:rsid w:val="008237B4"/>
    <w:rsid w:val="00823BCC"/>
    <w:rsid w:val="00823C1F"/>
    <w:rsid w:val="00824FD2"/>
    <w:rsid w:val="008254FB"/>
    <w:rsid w:val="00825680"/>
    <w:rsid w:val="00825E8F"/>
    <w:rsid w:val="00825FD4"/>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C15"/>
    <w:rsid w:val="00832C19"/>
    <w:rsid w:val="00832D51"/>
    <w:rsid w:val="00832D9B"/>
    <w:rsid w:val="00833020"/>
    <w:rsid w:val="0083328B"/>
    <w:rsid w:val="00833425"/>
    <w:rsid w:val="00833957"/>
    <w:rsid w:val="0083396D"/>
    <w:rsid w:val="00833AC6"/>
    <w:rsid w:val="00834200"/>
    <w:rsid w:val="00834512"/>
    <w:rsid w:val="008347EA"/>
    <w:rsid w:val="00834EA9"/>
    <w:rsid w:val="00835770"/>
    <w:rsid w:val="0083583A"/>
    <w:rsid w:val="00835903"/>
    <w:rsid w:val="00835BD3"/>
    <w:rsid w:val="0083619E"/>
    <w:rsid w:val="00836799"/>
    <w:rsid w:val="008367CE"/>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3A46"/>
    <w:rsid w:val="00844297"/>
    <w:rsid w:val="008443F5"/>
    <w:rsid w:val="0084459A"/>
    <w:rsid w:val="008445B5"/>
    <w:rsid w:val="008446F3"/>
    <w:rsid w:val="008447BB"/>
    <w:rsid w:val="00844A9A"/>
    <w:rsid w:val="00844BCC"/>
    <w:rsid w:val="00844EDC"/>
    <w:rsid w:val="00844F8A"/>
    <w:rsid w:val="008453AD"/>
    <w:rsid w:val="008455CB"/>
    <w:rsid w:val="008455DD"/>
    <w:rsid w:val="00845673"/>
    <w:rsid w:val="00846048"/>
    <w:rsid w:val="00846312"/>
    <w:rsid w:val="008463AC"/>
    <w:rsid w:val="00846654"/>
    <w:rsid w:val="008474C2"/>
    <w:rsid w:val="00847669"/>
    <w:rsid w:val="008476E4"/>
    <w:rsid w:val="0084795A"/>
    <w:rsid w:val="00847A90"/>
    <w:rsid w:val="00847B64"/>
    <w:rsid w:val="00847E0D"/>
    <w:rsid w:val="00847F3D"/>
    <w:rsid w:val="008504C9"/>
    <w:rsid w:val="0085051B"/>
    <w:rsid w:val="00850EC3"/>
    <w:rsid w:val="00850EE9"/>
    <w:rsid w:val="0085101D"/>
    <w:rsid w:val="0085169D"/>
    <w:rsid w:val="00851A37"/>
    <w:rsid w:val="00851AA5"/>
    <w:rsid w:val="00852369"/>
    <w:rsid w:val="008526FA"/>
    <w:rsid w:val="00852887"/>
    <w:rsid w:val="00852BA9"/>
    <w:rsid w:val="00852C1E"/>
    <w:rsid w:val="00852E8E"/>
    <w:rsid w:val="00852ECE"/>
    <w:rsid w:val="008532A9"/>
    <w:rsid w:val="008539A9"/>
    <w:rsid w:val="00853A9F"/>
    <w:rsid w:val="00853DE9"/>
    <w:rsid w:val="00853E14"/>
    <w:rsid w:val="00853EED"/>
    <w:rsid w:val="00854544"/>
    <w:rsid w:val="008547D1"/>
    <w:rsid w:val="0085498C"/>
    <w:rsid w:val="008549AF"/>
    <w:rsid w:val="00855637"/>
    <w:rsid w:val="008557D6"/>
    <w:rsid w:val="00855A74"/>
    <w:rsid w:val="00855E2E"/>
    <w:rsid w:val="00855E33"/>
    <w:rsid w:val="00856459"/>
    <w:rsid w:val="00857272"/>
    <w:rsid w:val="00857331"/>
    <w:rsid w:val="0085748B"/>
    <w:rsid w:val="00860077"/>
    <w:rsid w:val="00860283"/>
    <w:rsid w:val="0086058E"/>
    <w:rsid w:val="00860C34"/>
    <w:rsid w:val="00861196"/>
    <w:rsid w:val="0086129E"/>
    <w:rsid w:val="008616A5"/>
    <w:rsid w:val="00861DF7"/>
    <w:rsid w:val="0086263A"/>
    <w:rsid w:val="00862F65"/>
    <w:rsid w:val="00862FC7"/>
    <w:rsid w:val="0086342F"/>
    <w:rsid w:val="0086360A"/>
    <w:rsid w:val="008638F0"/>
    <w:rsid w:val="00863A21"/>
    <w:rsid w:val="00863B9C"/>
    <w:rsid w:val="00864760"/>
    <w:rsid w:val="00864A63"/>
    <w:rsid w:val="00864A7D"/>
    <w:rsid w:val="008653F5"/>
    <w:rsid w:val="008658E1"/>
    <w:rsid w:val="00865C99"/>
    <w:rsid w:val="00865D9B"/>
    <w:rsid w:val="0086614C"/>
    <w:rsid w:val="0086638D"/>
    <w:rsid w:val="0086659C"/>
    <w:rsid w:val="008666EC"/>
    <w:rsid w:val="00866C69"/>
    <w:rsid w:val="00866F64"/>
    <w:rsid w:val="00867060"/>
    <w:rsid w:val="00867137"/>
    <w:rsid w:val="0086785E"/>
    <w:rsid w:val="00867997"/>
    <w:rsid w:val="00867FBB"/>
    <w:rsid w:val="0087073A"/>
    <w:rsid w:val="00870E99"/>
    <w:rsid w:val="0087115D"/>
    <w:rsid w:val="008711EA"/>
    <w:rsid w:val="00871235"/>
    <w:rsid w:val="00871396"/>
    <w:rsid w:val="00871C5A"/>
    <w:rsid w:val="00871C73"/>
    <w:rsid w:val="00871CE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B4C"/>
    <w:rsid w:val="00874F29"/>
    <w:rsid w:val="00875351"/>
    <w:rsid w:val="0087541F"/>
    <w:rsid w:val="00875D4D"/>
    <w:rsid w:val="00875F28"/>
    <w:rsid w:val="00876013"/>
    <w:rsid w:val="008764A6"/>
    <w:rsid w:val="00876903"/>
    <w:rsid w:val="00876AEB"/>
    <w:rsid w:val="00876E27"/>
    <w:rsid w:val="0087711B"/>
    <w:rsid w:val="008779C5"/>
    <w:rsid w:val="00877C13"/>
    <w:rsid w:val="00880F9A"/>
    <w:rsid w:val="00880FA5"/>
    <w:rsid w:val="008811CC"/>
    <w:rsid w:val="008813BB"/>
    <w:rsid w:val="0088175C"/>
    <w:rsid w:val="008818EB"/>
    <w:rsid w:val="00881E57"/>
    <w:rsid w:val="00882A3B"/>
    <w:rsid w:val="008839A8"/>
    <w:rsid w:val="00883F3D"/>
    <w:rsid w:val="00884539"/>
    <w:rsid w:val="008845B3"/>
    <w:rsid w:val="00884BE7"/>
    <w:rsid w:val="00884FAA"/>
    <w:rsid w:val="008851D2"/>
    <w:rsid w:val="00885467"/>
    <w:rsid w:val="00885BA7"/>
    <w:rsid w:val="008861A9"/>
    <w:rsid w:val="00886964"/>
    <w:rsid w:val="00886DC6"/>
    <w:rsid w:val="00886F07"/>
    <w:rsid w:val="00886F21"/>
    <w:rsid w:val="00890D19"/>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A4B"/>
    <w:rsid w:val="00893B79"/>
    <w:rsid w:val="00894190"/>
    <w:rsid w:val="0089431A"/>
    <w:rsid w:val="0089442D"/>
    <w:rsid w:val="00894E93"/>
    <w:rsid w:val="00895253"/>
    <w:rsid w:val="0089537D"/>
    <w:rsid w:val="00895896"/>
    <w:rsid w:val="008959BF"/>
    <w:rsid w:val="00895C85"/>
    <w:rsid w:val="00895CF0"/>
    <w:rsid w:val="0089630C"/>
    <w:rsid w:val="00896666"/>
    <w:rsid w:val="00896AB5"/>
    <w:rsid w:val="00896FD4"/>
    <w:rsid w:val="00897630"/>
    <w:rsid w:val="008977AF"/>
    <w:rsid w:val="00897951"/>
    <w:rsid w:val="00897C35"/>
    <w:rsid w:val="008A004D"/>
    <w:rsid w:val="008A0167"/>
    <w:rsid w:val="008A0B6B"/>
    <w:rsid w:val="008A10DB"/>
    <w:rsid w:val="008A11E3"/>
    <w:rsid w:val="008A1319"/>
    <w:rsid w:val="008A1855"/>
    <w:rsid w:val="008A1E33"/>
    <w:rsid w:val="008A1FAD"/>
    <w:rsid w:val="008A23E6"/>
    <w:rsid w:val="008A2B9F"/>
    <w:rsid w:val="008A2DFA"/>
    <w:rsid w:val="008A3048"/>
    <w:rsid w:val="008A31C9"/>
    <w:rsid w:val="008A31DB"/>
    <w:rsid w:val="008A3C6A"/>
    <w:rsid w:val="008A3CFB"/>
    <w:rsid w:val="008A3D5E"/>
    <w:rsid w:val="008A3D9C"/>
    <w:rsid w:val="008A409C"/>
    <w:rsid w:val="008A48C5"/>
    <w:rsid w:val="008A49E9"/>
    <w:rsid w:val="008A52A3"/>
    <w:rsid w:val="008A563F"/>
    <w:rsid w:val="008A5647"/>
    <w:rsid w:val="008A57DA"/>
    <w:rsid w:val="008A5DB5"/>
    <w:rsid w:val="008A5DEE"/>
    <w:rsid w:val="008A6AD1"/>
    <w:rsid w:val="008A717A"/>
    <w:rsid w:val="008A721A"/>
    <w:rsid w:val="008A7866"/>
    <w:rsid w:val="008A7DA2"/>
    <w:rsid w:val="008A7E22"/>
    <w:rsid w:val="008B008A"/>
    <w:rsid w:val="008B0368"/>
    <w:rsid w:val="008B0376"/>
    <w:rsid w:val="008B0414"/>
    <w:rsid w:val="008B0CDC"/>
    <w:rsid w:val="008B0F2C"/>
    <w:rsid w:val="008B1299"/>
    <w:rsid w:val="008B13D9"/>
    <w:rsid w:val="008B158E"/>
    <w:rsid w:val="008B171F"/>
    <w:rsid w:val="008B219F"/>
    <w:rsid w:val="008B2ECE"/>
    <w:rsid w:val="008B3041"/>
    <w:rsid w:val="008B3407"/>
    <w:rsid w:val="008B42B9"/>
    <w:rsid w:val="008B4312"/>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48A"/>
    <w:rsid w:val="008B7683"/>
    <w:rsid w:val="008C0C29"/>
    <w:rsid w:val="008C0F4C"/>
    <w:rsid w:val="008C1221"/>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844"/>
    <w:rsid w:val="008C5339"/>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208A"/>
    <w:rsid w:val="008D258E"/>
    <w:rsid w:val="008D2725"/>
    <w:rsid w:val="008D2732"/>
    <w:rsid w:val="008D2767"/>
    <w:rsid w:val="008D2C43"/>
    <w:rsid w:val="008D2E9A"/>
    <w:rsid w:val="008D3242"/>
    <w:rsid w:val="008D3AD6"/>
    <w:rsid w:val="008D3C38"/>
    <w:rsid w:val="008D3F63"/>
    <w:rsid w:val="008D4597"/>
    <w:rsid w:val="008D4656"/>
    <w:rsid w:val="008D4AE9"/>
    <w:rsid w:val="008D4F97"/>
    <w:rsid w:val="008D514B"/>
    <w:rsid w:val="008D579C"/>
    <w:rsid w:val="008D5DEB"/>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93C"/>
    <w:rsid w:val="008E4A8A"/>
    <w:rsid w:val="008E4B64"/>
    <w:rsid w:val="008E4D07"/>
    <w:rsid w:val="008E58B9"/>
    <w:rsid w:val="008E5A5A"/>
    <w:rsid w:val="008E5B41"/>
    <w:rsid w:val="008E5F5E"/>
    <w:rsid w:val="008E6483"/>
    <w:rsid w:val="008E66C1"/>
    <w:rsid w:val="008E6B02"/>
    <w:rsid w:val="008E6FA3"/>
    <w:rsid w:val="008E732D"/>
    <w:rsid w:val="008E74EE"/>
    <w:rsid w:val="008E77BB"/>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7DA"/>
    <w:rsid w:val="008F28BB"/>
    <w:rsid w:val="008F2B79"/>
    <w:rsid w:val="008F2DA1"/>
    <w:rsid w:val="008F3B8B"/>
    <w:rsid w:val="008F3FAC"/>
    <w:rsid w:val="008F4B52"/>
    <w:rsid w:val="008F4DD6"/>
    <w:rsid w:val="008F4E09"/>
    <w:rsid w:val="008F53BA"/>
    <w:rsid w:val="008F546B"/>
    <w:rsid w:val="008F55B0"/>
    <w:rsid w:val="008F6729"/>
    <w:rsid w:val="008F67F4"/>
    <w:rsid w:val="008F686A"/>
    <w:rsid w:val="008F6DC3"/>
    <w:rsid w:val="008F7515"/>
    <w:rsid w:val="008F7547"/>
    <w:rsid w:val="008F7DBF"/>
    <w:rsid w:val="008F7F88"/>
    <w:rsid w:val="0090088A"/>
    <w:rsid w:val="009008A3"/>
    <w:rsid w:val="009008E8"/>
    <w:rsid w:val="00900B9A"/>
    <w:rsid w:val="00900DA2"/>
    <w:rsid w:val="009011AE"/>
    <w:rsid w:val="009011B7"/>
    <w:rsid w:val="00901970"/>
    <w:rsid w:val="0090198D"/>
    <w:rsid w:val="00901D44"/>
    <w:rsid w:val="009021D7"/>
    <w:rsid w:val="0090269C"/>
    <w:rsid w:val="0090278B"/>
    <w:rsid w:val="00902A4E"/>
    <w:rsid w:val="00902B00"/>
    <w:rsid w:val="00902BCF"/>
    <w:rsid w:val="00902D7F"/>
    <w:rsid w:val="00903D2A"/>
    <w:rsid w:val="00904951"/>
    <w:rsid w:val="00904B95"/>
    <w:rsid w:val="00905146"/>
    <w:rsid w:val="009051D6"/>
    <w:rsid w:val="0090527B"/>
    <w:rsid w:val="0090532F"/>
    <w:rsid w:val="00905A4C"/>
    <w:rsid w:val="00906319"/>
    <w:rsid w:val="00906775"/>
    <w:rsid w:val="009069CF"/>
    <w:rsid w:val="00907024"/>
    <w:rsid w:val="00907703"/>
    <w:rsid w:val="00907C5B"/>
    <w:rsid w:val="00907EEB"/>
    <w:rsid w:val="009103F1"/>
    <w:rsid w:val="00911195"/>
    <w:rsid w:val="00911340"/>
    <w:rsid w:val="009114DD"/>
    <w:rsid w:val="00911B7D"/>
    <w:rsid w:val="00911C72"/>
    <w:rsid w:val="009123D2"/>
    <w:rsid w:val="00912B40"/>
    <w:rsid w:val="00912D86"/>
    <w:rsid w:val="009131B7"/>
    <w:rsid w:val="009131C5"/>
    <w:rsid w:val="0091369E"/>
    <w:rsid w:val="0091381D"/>
    <w:rsid w:val="009138BF"/>
    <w:rsid w:val="00913A49"/>
    <w:rsid w:val="00913DB1"/>
    <w:rsid w:val="00913F55"/>
    <w:rsid w:val="00914201"/>
    <w:rsid w:val="0091433A"/>
    <w:rsid w:val="00914494"/>
    <w:rsid w:val="00914B94"/>
    <w:rsid w:val="009152EC"/>
    <w:rsid w:val="009157F2"/>
    <w:rsid w:val="00915AAF"/>
    <w:rsid w:val="00915EE7"/>
    <w:rsid w:val="009161A2"/>
    <w:rsid w:val="009165C1"/>
    <w:rsid w:val="00916814"/>
    <w:rsid w:val="0091691D"/>
    <w:rsid w:val="00917388"/>
    <w:rsid w:val="00917925"/>
    <w:rsid w:val="00917961"/>
    <w:rsid w:val="00920A39"/>
    <w:rsid w:val="00920F25"/>
    <w:rsid w:val="00921252"/>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06CA"/>
    <w:rsid w:val="00930F3F"/>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49A1"/>
    <w:rsid w:val="0093508E"/>
    <w:rsid w:val="0093520C"/>
    <w:rsid w:val="0093552B"/>
    <w:rsid w:val="009358A9"/>
    <w:rsid w:val="00936218"/>
    <w:rsid w:val="009378CD"/>
    <w:rsid w:val="00937975"/>
    <w:rsid w:val="00940654"/>
    <w:rsid w:val="0094067B"/>
    <w:rsid w:val="00940746"/>
    <w:rsid w:val="00940C04"/>
    <w:rsid w:val="0094106C"/>
    <w:rsid w:val="009411B3"/>
    <w:rsid w:val="00941297"/>
    <w:rsid w:val="009418A9"/>
    <w:rsid w:val="00941BA3"/>
    <w:rsid w:val="00942747"/>
    <w:rsid w:val="00942798"/>
    <w:rsid w:val="00942BC1"/>
    <w:rsid w:val="00942DB0"/>
    <w:rsid w:val="00942E26"/>
    <w:rsid w:val="009433D5"/>
    <w:rsid w:val="009433FC"/>
    <w:rsid w:val="009436EA"/>
    <w:rsid w:val="009438A4"/>
    <w:rsid w:val="009438E3"/>
    <w:rsid w:val="0094411A"/>
    <w:rsid w:val="009444C2"/>
    <w:rsid w:val="009445D8"/>
    <w:rsid w:val="00944AE7"/>
    <w:rsid w:val="00944B5A"/>
    <w:rsid w:val="00944B7A"/>
    <w:rsid w:val="00944C2C"/>
    <w:rsid w:val="0094565C"/>
    <w:rsid w:val="00945B43"/>
    <w:rsid w:val="00945D9A"/>
    <w:rsid w:val="009462BB"/>
    <w:rsid w:val="00946360"/>
    <w:rsid w:val="0094665B"/>
    <w:rsid w:val="00946B20"/>
    <w:rsid w:val="009473DA"/>
    <w:rsid w:val="00947464"/>
    <w:rsid w:val="00947DCD"/>
    <w:rsid w:val="00950077"/>
    <w:rsid w:val="0095015A"/>
    <w:rsid w:val="00950547"/>
    <w:rsid w:val="0095066B"/>
    <w:rsid w:val="00950DC6"/>
    <w:rsid w:val="00950EA7"/>
    <w:rsid w:val="00950EFD"/>
    <w:rsid w:val="009513FC"/>
    <w:rsid w:val="0095149D"/>
    <w:rsid w:val="009518F2"/>
    <w:rsid w:val="00951A3C"/>
    <w:rsid w:val="00951B60"/>
    <w:rsid w:val="00951CC7"/>
    <w:rsid w:val="00951FB0"/>
    <w:rsid w:val="009528A1"/>
    <w:rsid w:val="009528C9"/>
    <w:rsid w:val="00952CC5"/>
    <w:rsid w:val="00952CCE"/>
    <w:rsid w:val="009531BD"/>
    <w:rsid w:val="009532B7"/>
    <w:rsid w:val="00953530"/>
    <w:rsid w:val="009536B6"/>
    <w:rsid w:val="009536E6"/>
    <w:rsid w:val="0095387A"/>
    <w:rsid w:val="00953886"/>
    <w:rsid w:val="009539E2"/>
    <w:rsid w:val="00953B99"/>
    <w:rsid w:val="00953F9D"/>
    <w:rsid w:val="00954107"/>
    <w:rsid w:val="009544CB"/>
    <w:rsid w:val="00954E54"/>
    <w:rsid w:val="00955113"/>
    <w:rsid w:val="009554C1"/>
    <w:rsid w:val="009559B4"/>
    <w:rsid w:val="00955A3B"/>
    <w:rsid w:val="00955A63"/>
    <w:rsid w:val="00955A6B"/>
    <w:rsid w:val="00955B9C"/>
    <w:rsid w:val="00955E00"/>
    <w:rsid w:val="00955E61"/>
    <w:rsid w:val="009560B3"/>
    <w:rsid w:val="00956235"/>
    <w:rsid w:val="00956409"/>
    <w:rsid w:val="00956969"/>
    <w:rsid w:val="00956C16"/>
    <w:rsid w:val="00956ED4"/>
    <w:rsid w:val="0095710B"/>
    <w:rsid w:val="009575C4"/>
    <w:rsid w:val="009578AA"/>
    <w:rsid w:val="00957B07"/>
    <w:rsid w:val="00960A50"/>
    <w:rsid w:val="00960B83"/>
    <w:rsid w:val="00961291"/>
    <w:rsid w:val="0096133D"/>
    <w:rsid w:val="00961858"/>
    <w:rsid w:val="0096227F"/>
    <w:rsid w:val="009623C9"/>
    <w:rsid w:val="00962651"/>
    <w:rsid w:val="00962EE1"/>
    <w:rsid w:val="0096386D"/>
    <w:rsid w:val="00963ABD"/>
    <w:rsid w:val="00963ACA"/>
    <w:rsid w:val="00963BFA"/>
    <w:rsid w:val="0096447C"/>
    <w:rsid w:val="00964499"/>
    <w:rsid w:val="009644BF"/>
    <w:rsid w:val="00964E2F"/>
    <w:rsid w:val="0096527C"/>
    <w:rsid w:val="009654AF"/>
    <w:rsid w:val="009659B2"/>
    <w:rsid w:val="00965BD6"/>
    <w:rsid w:val="00965D4F"/>
    <w:rsid w:val="00965E5D"/>
    <w:rsid w:val="009661AB"/>
    <w:rsid w:val="00966511"/>
    <w:rsid w:val="009669B0"/>
    <w:rsid w:val="00966CFF"/>
    <w:rsid w:val="00966E9E"/>
    <w:rsid w:val="00967793"/>
    <w:rsid w:val="009679FD"/>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751"/>
    <w:rsid w:val="0097277B"/>
    <w:rsid w:val="00972DAD"/>
    <w:rsid w:val="00973047"/>
    <w:rsid w:val="009734E7"/>
    <w:rsid w:val="00973873"/>
    <w:rsid w:val="00973D52"/>
    <w:rsid w:val="00973DDE"/>
    <w:rsid w:val="00973E9B"/>
    <w:rsid w:val="00974A0D"/>
    <w:rsid w:val="00975374"/>
    <w:rsid w:val="009756A8"/>
    <w:rsid w:val="009756DC"/>
    <w:rsid w:val="009758A9"/>
    <w:rsid w:val="00975A47"/>
    <w:rsid w:val="00975E26"/>
    <w:rsid w:val="00976109"/>
    <w:rsid w:val="0097630B"/>
    <w:rsid w:val="00976320"/>
    <w:rsid w:val="00976695"/>
    <w:rsid w:val="00977BC7"/>
    <w:rsid w:val="00980088"/>
    <w:rsid w:val="009802BE"/>
    <w:rsid w:val="0098044C"/>
    <w:rsid w:val="00980680"/>
    <w:rsid w:val="009806D5"/>
    <w:rsid w:val="00980797"/>
    <w:rsid w:val="00980AE9"/>
    <w:rsid w:val="00981022"/>
    <w:rsid w:val="009811B6"/>
    <w:rsid w:val="009812A4"/>
    <w:rsid w:val="009814D8"/>
    <w:rsid w:val="009815ED"/>
    <w:rsid w:val="00981EE5"/>
    <w:rsid w:val="00981EF8"/>
    <w:rsid w:val="0098227B"/>
    <w:rsid w:val="00982413"/>
    <w:rsid w:val="0098252D"/>
    <w:rsid w:val="009826E4"/>
    <w:rsid w:val="00982C74"/>
    <w:rsid w:val="009830B8"/>
    <w:rsid w:val="00983300"/>
    <w:rsid w:val="009834C6"/>
    <w:rsid w:val="00983577"/>
    <w:rsid w:val="00983722"/>
    <w:rsid w:val="009837CE"/>
    <w:rsid w:val="009838B0"/>
    <w:rsid w:val="00983BB5"/>
    <w:rsid w:val="00983BFF"/>
    <w:rsid w:val="00984786"/>
    <w:rsid w:val="00984D06"/>
    <w:rsid w:val="00984DAA"/>
    <w:rsid w:val="00985131"/>
    <w:rsid w:val="0098699F"/>
    <w:rsid w:val="009869B5"/>
    <w:rsid w:val="00986C76"/>
    <w:rsid w:val="009876A6"/>
    <w:rsid w:val="0098791E"/>
    <w:rsid w:val="00987C10"/>
    <w:rsid w:val="009901E7"/>
    <w:rsid w:val="00990290"/>
    <w:rsid w:val="0099071D"/>
    <w:rsid w:val="00991369"/>
    <w:rsid w:val="009919CD"/>
    <w:rsid w:val="00991CD6"/>
    <w:rsid w:val="0099210B"/>
    <w:rsid w:val="009937D3"/>
    <w:rsid w:val="009939A1"/>
    <w:rsid w:val="00993AF0"/>
    <w:rsid w:val="00994057"/>
    <w:rsid w:val="00994286"/>
    <w:rsid w:val="009945AF"/>
    <w:rsid w:val="0099470F"/>
    <w:rsid w:val="009947D6"/>
    <w:rsid w:val="00994D65"/>
    <w:rsid w:val="0099537E"/>
    <w:rsid w:val="009964EA"/>
    <w:rsid w:val="00996716"/>
    <w:rsid w:val="009967D6"/>
    <w:rsid w:val="00996B27"/>
    <w:rsid w:val="00996D56"/>
    <w:rsid w:val="00996DBB"/>
    <w:rsid w:val="00996E76"/>
    <w:rsid w:val="0099766E"/>
    <w:rsid w:val="00997A2A"/>
    <w:rsid w:val="00997CBE"/>
    <w:rsid w:val="009A0794"/>
    <w:rsid w:val="009A07E9"/>
    <w:rsid w:val="009A0C4F"/>
    <w:rsid w:val="009A0CB4"/>
    <w:rsid w:val="009A17FB"/>
    <w:rsid w:val="009A18C3"/>
    <w:rsid w:val="009A191D"/>
    <w:rsid w:val="009A1E12"/>
    <w:rsid w:val="009A3250"/>
    <w:rsid w:val="009A39E8"/>
    <w:rsid w:val="009A3C7B"/>
    <w:rsid w:val="009A405A"/>
    <w:rsid w:val="009A4150"/>
    <w:rsid w:val="009A4352"/>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56A"/>
    <w:rsid w:val="009A7810"/>
    <w:rsid w:val="009B0249"/>
    <w:rsid w:val="009B03E6"/>
    <w:rsid w:val="009B08A9"/>
    <w:rsid w:val="009B0CD4"/>
    <w:rsid w:val="009B1151"/>
    <w:rsid w:val="009B18A7"/>
    <w:rsid w:val="009B18E6"/>
    <w:rsid w:val="009B1996"/>
    <w:rsid w:val="009B247B"/>
    <w:rsid w:val="009B2949"/>
    <w:rsid w:val="009B2AF4"/>
    <w:rsid w:val="009B34C7"/>
    <w:rsid w:val="009B3592"/>
    <w:rsid w:val="009B3FD0"/>
    <w:rsid w:val="009B438C"/>
    <w:rsid w:val="009B43CA"/>
    <w:rsid w:val="009B4AAC"/>
    <w:rsid w:val="009B4B40"/>
    <w:rsid w:val="009B4BB8"/>
    <w:rsid w:val="009B4C32"/>
    <w:rsid w:val="009B4CF4"/>
    <w:rsid w:val="009B4F00"/>
    <w:rsid w:val="009B5C3A"/>
    <w:rsid w:val="009B6FF9"/>
    <w:rsid w:val="009B70CF"/>
    <w:rsid w:val="009B72CE"/>
    <w:rsid w:val="009B78E3"/>
    <w:rsid w:val="009C0245"/>
    <w:rsid w:val="009C0AC2"/>
    <w:rsid w:val="009C0D72"/>
    <w:rsid w:val="009C0E26"/>
    <w:rsid w:val="009C0E59"/>
    <w:rsid w:val="009C0ED4"/>
    <w:rsid w:val="009C0FE8"/>
    <w:rsid w:val="009C15CC"/>
    <w:rsid w:val="009C1AD3"/>
    <w:rsid w:val="009C21F4"/>
    <w:rsid w:val="009C278B"/>
    <w:rsid w:val="009C2A92"/>
    <w:rsid w:val="009C2B18"/>
    <w:rsid w:val="009C329D"/>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E27"/>
    <w:rsid w:val="009D7FD6"/>
    <w:rsid w:val="009E0411"/>
    <w:rsid w:val="009E04A7"/>
    <w:rsid w:val="009E077F"/>
    <w:rsid w:val="009E0BDC"/>
    <w:rsid w:val="009E0D89"/>
    <w:rsid w:val="009E134F"/>
    <w:rsid w:val="009E13A3"/>
    <w:rsid w:val="009E16A1"/>
    <w:rsid w:val="009E1719"/>
    <w:rsid w:val="009E1B14"/>
    <w:rsid w:val="009E1DC4"/>
    <w:rsid w:val="009E1F5C"/>
    <w:rsid w:val="009E203F"/>
    <w:rsid w:val="009E2064"/>
    <w:rsid w:val="009E2088"/>
    <w:rsid w:val="009E2401"/>
    <w:rsid w:val="009E24B3"/>
    <w:rsid w:val="009E3373"/>
    <w:rsid w:val="009E3506"/>
    <w:rsid w:val="009E3570"/>
    <w:rsid w:val="009E36A0"/>
    <w:rsid w:val="009E3CB6"/>
    <w:rsid w:val="009E48EB"/>
    <w:rsid w:val="009E4AA8"/>
    <w:rsid w:val="009E4D0E"/>
    <w:rsid w:val="009E4DAF"/>
    <w:rsid w:val="009E5180"/>
    <w:rsid w:val="009E5380"/>
    <w:rsid w:val="009E5490"/>
    <w:rsid w:val="009E568A"/>
    <w:rsid w:val="009E58BD"/>
    <w:rsid w:val="009E59AE"/>
    <w:rsid w:val="009E5C2A"/>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8E0"/>
    <w:rsid w:val="009F2A11"/>
    <w:rsid w:val="009F2A71"/>
    <w:rsid w:val="009F2CEC"/>
    <w:rsid w:val="009F2D30"/>
    <w:rsid w:val="009F2FC4"/>
    <w:rsid w:val="009F31C2"/>
    <w:rsid w:val="009F3292"/>
    <w:rsid w:val="009F37B5"/>
    <w:rsid w:val="009F3F39"/>
    <w:rsid w:val="009F418F"/>
    <w:rsid w:val="009F4407"/>
    <w:rsid w:val="009F4815"/>
    <w:rsid w:val="009F4A6E"/>
    <w:rsid w:val="009F4DC0"/>
    <w:rsid w:val="009F502C"/>
    <w:rsid w:val="009F50A5"/>
    <w:rsid w:val="009F5151"/>
    <w:rsid w:val="009F5AC0"/>
    <w:rsid w:val="009F634F"/>
    <w:rsid w:val="009F65B7"/>
    <w:rsid w:val="009F65EA"/>
    <w:rsid w:val="009F69B9"/>
    <w:rsid w:val="009F6C0F"/>
    <w:rsid w:val="009F77AB"/>
    <w:rsid w:val="009F7915"/>
    <w:rsid w:val="009F7F65"/>
    <w:rsid w:val="00A00C8F"/>
    <w:rsid w:val="00A00D88"/>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E8F"/>
    <w:rsid w:val="00A0429A"/>
    <w:rsid w:val="00A046A3"/>
    <w:rsid w:val="00A04D4D"/>
    <w:rsid w:val="00A051A6"/>
    <w:rsid w:val="00A0544B"/>
    <w:rsid w:val="00A05CC0"/>
    <w:rsid w:val="00A05FB8"/>
    <w:rsid w:val="00A066C9"/>
    <w:rsid w:val="00A06775"/>
    <w:rsid w:val="00A06BED"/>
    <w:rsid w:val="00A078CE"/>
    <w:rsid w:val="00A079B4"/>
    <w:rsid w:val="00A07B83"/>
    <w:rsid w:val="00A10779"/>
    <w:rsid w:val="00A110AF"/>
    <w:rsid w:val="00A11452"/>
    <w:rsid w:val="00A11A80"/>
    <w:rsid w:val="00A11AC5"/>
    <w:rsid w:val="00A11BC6"/>
    <w:rsid w:val="00A11D5F"/>
    <w:rsid w:val="00A11E9A"/>
    <w:rsid w:val="00A121B0"/>
    <w:rsid w:val="00A12367"/>
    <w:rsid w:val="00A124EF"/>
    <w:rsid w:val="00A12BF2"/>
    <w:rsid w:val="00A12C60"/>
    <w:rsid w:val="00A13104"/>
    <w:rsid w:val="00A13154"/>
    <w:rsid w:val="00A13448"/>
    <w:rsid w:val="00A14363"/>
    <w:rsid w:val="00A146EA"/>
    <w:rsid w:val="00A1478E"/>
    <w:rsid w:val="00A1495C"/>
    <w:rsid w:val="00A149E6"/>
    <w:rsid w:val="00A14C95"/>
    <w:rsid w:val="00A14D60"/>
    <w:rsid w:val="00A14EE6"/>
    <w:rsid w:val="00A14F77"/>
    <w:rsid w:val="00A14F88"/>
    <w:rsid w:val="00A14F8D"/>
    <w:rsid w:val="00A15058"/>
    <w:rsid w:val="00A15090"/>
    <w:rsid w:val="00A1513E"/>
    <w:rsid w:val="00A155BB"/>
    <w:rsid w:val="00A15714"/>
    <w:rsid w:val="00A15919"/>
    <w:rsid w:val="00A15F91"/>
    <w:rsid w:val="00A15FD9"/>
    <w:rsid w:val="00A16145"/>
    <w:rsid w:val="00A1642B"/>
    <w:rsid w:val="00A1667B"/>
    <w:rsid w:val="00A167F5"/>
    <w:rsid w:val="00A169F1"/>
    <w:rsid w:val="00A1706F"/>
    <w:rsid w:val="00A1743B"/>
    <w:rsid w:val="00A17500"/>
    <w:rsid w:val="00A175FA"/>
    <w:rsid w:val="00A202ED"/>
    <w:rsid w:val="00A2077F"/>
    <w:rsid w:val="00A209FA"/>
    <w:rsid w:val="00A20AEA"/>
    <w:rsid w:val="00A20B3E"/>
    <w:rsid w:val="00A20B90"/>
    <w:rsid w:val="00A20BB9"/>
    <w:rsid w:val="00A210D8"/>
    <w:rsid w:val="00A21256"/>
    <w:rsid w:val="00A21BA3"/>
    <w:rsid w:val="00A21DEA"/>
    <w:rsid w:val="00A21EC1"/>
    <w:rsid w:val="00A22495"/>
    <w:rsid w:val="00A224AE"/>
    <w:rsid w:val="00A224D9"/>
    <w:rsid w:val="00A22501"/>
    <w:rsid w:val="00A2255C"/>
    <w:rsid w:val="00A2257B"/>
    <w:rsid w:val="00A228DC"/>
    <w:rsid w:val="00A22A45"/>
    <w:rsid w:val="00A22B95"/>
    <w:rsid w:val="00A22C40"/>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968"/>
    <w:rsid w:val="00A26D6D"/>
    <w:rsid w:val="00A2742C"/>
    <w:rsid w:val="00A27501"/>
    <w:rsid w:val="00A30449"/>
    <w:rsid w:val="00A305C7"/>
    <w:rsid w:val="00A309C0"/>
    <w:rsid w:val="00A30CE6"/>
    <w:rsid w:val="00A30F5E"/>
    <w:rsid w:val="00A31196"/>
    <w:rsid w:val="00A311E7"/>
    <w:rsid w:val="00A317E2"/>
    <w:rsid w:val="00A319BC"/>
    <w:rsid w:val="00A31A4A"/>
    <w:rsid w:val="00A31C4C"/>
    <w:rsid w:val="00A31F25"/>
    <w:rsid w:val="00A32332"/>
    <w:rsid w:val="00A32C2C"/>
    <w:rsid w:val="00A32D11"/>
    <w:rsid w:val="00A32EF3"/>
    <w:rsid w:val="00A33119"/>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6AB9"/>
    <w:rsid w:val="00A37478"/>
    <w:rsid w:val="00A374E1"/>
    <w:rsid w:val="00A376E6"/>
    <w:rsid w:val="00A3791D"/>
    <w:rsid w:val="00A37984"/>
    <w:rsid w:val="00A37A56"/>
    <w:rsid w:val="00A37AC9"/>
    <w:rsid w:val="00A37D52"/>
    <w:rsid w:val="00A4022B"/>
    <w:rsid w:val="00A405BA"/>
    <w:rsid w:val="00A4067F"/>
    <w:rsid w:val="00A40A25"/>
    <w:rsid w:val="00A40F0D"/>
    <w:rsid w:val="00A41056"/>
    <w:rsid w:val="00A4149C"/>
    <w:rsid w:val="00A41857"/>
    <w:rsid w:val="00A41988"/>
    <w:rsid w:val="00A41D88"/>
    <w:rsid w:val="00A41F8C"/>
    <w:rsid w:val="00A42132"/>
    <w:rsid w:val="00A42691"/>
    <w:rsid w:val="00A42CD1"/>
    <w:rsid w:val="00A43091"/>
    <w:rsid w:val="00A4347A"/>
    <w:rsid w:val="00A43945"/>
    <w:rsid w:val="00A439D0"/>
    <w:rsid w:val="00A43CE7"/>
    <w:rsid w:val="00A441EA"/>
    <w:rsid w:val="00A4466A"/>
    <w:rsid w:val="00A44ACC"/>
    <w:rsid w:val="00A44B08"/>
    <w:rsid w:val="00A44B23"/>
    <w:rsid w:val="00A453F3"/>
    <w:rsid w:val="00A45BDD"/>
    <w:rsid w:val="00A45CE8"/>
    <w:rsid w:val="00A46091"/>
    <w:rsid w:val="00A46391"/>
    <w:rsid w:val="00A470D1"/>
    <w:rsid w:val="00A470F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10D"/>
    <w:rsid w:val="00A55981"/>
    <w:rsid w:val="00A55D6D"/>
    <w:rsid w:val="00A55F55"/>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2876"/>
    <w:rsid w:val="00A72C52"/>
    <w:rsid w:val="00A733D7"/>
    <w:rsid w:val="00A73689"/>
    <w:rsid w:val="00A73B3F"/>
    <w:rsid w:val="00A73ECE"/>
    <w:rsid w:val="00A740B0"/>
    <w:rsid w:val="00A7499B"/>
    <w:rsid w:val="00A74B08"/>
    <w:rsid w:val="00A74C31"/>
    <w:rsid w:val="00A74F2B"/>
    <w:rsid w:val="00A7544B"/>
    <w:rsid w:val="00A7615D"/>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357"/>
    <w:rsid w:val="00A80650"/>
    <w:rsid w:val="00A80679"/>
    <w:rsid w:val="00A80739"/>
    <w:rsid w:val="00A80819"/>
    <w:rsid w:val="00A80B2F"/>
    <w:rsid w:val="00A80E56"/>
    <w:rsid w:val="00A810B2"/>
    <w:rsid w:val="00A8136E"/>
    <w:rsid w:val="00A815A3"/>
    <w:rsid w:val="00A81848"/>
    <w:rsid w:val="00A8204E"/>
    <w:rsid w:val="00A823C1"/>
    <w:rsid w:val="00A8247C"/>
    <w:rsid w:val="00A8254C"/>
    <w:rsid w:val="00A827C4"/>
    <w:rsid w:val="00A829FA"/>
    <w:rsid w:val="00A82FF1"/>
    <w:rsid w:val="00A831AB"/>
    <w:rsid w:val="00A846F4"/>
    <w:rsid w:val="00A84D01"/>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96A"/>
    <w:rsid w:val="00A91CDF"/>
    <w:rsid w:val="00A91DF5"/>
    <w:rsid w:val="00A9273C"/>
    <w:rsid w:val="00A9316B"/>
    <w:rsid w:val="00A93A32"/>
    <w:rsid w:val="00A93C7D"/>
    <w:rsid w:val="00A93ED0"/>
    <w:rsid w:val="00A943ED"/>
    <w:rsid w:val="00A944BE"/>
    <w:rsid w:val="00A9478B"/>
    <w:rsid w:val="00A949DB"/>
    <w:rsid w:val="00A94B3F"/>
    <w:rsid w:val="00A95004"/>
    <w:rsid w:val="00A953A4"/>
    <w:rsid w:val="00A958D5"/>
    <w:rsid w:val="00A95AA0"/>
    <w:rsid w:val="00A95B32"/>
    <w:rsid w:val="00A95BC5"/>
    <w:rsid w:val="00A962A4"/>
    <w:rsid w:val="00A962E6"/>
    <w:rsid w:val="00A969BF"/>
    <w:rsid w:val="00A96B1C"/>
    <w:rsid w:val="00A97333"/>
    <w:rsid w:val="00A974BB"/>
    <w:rsid w:val="00AA0121"/>
    <w:rsid w:val="00AA0268"/>
    <w:rsid w:val="00AA0DE7"/>
    <w:rsid w:val="00AA0EB9"/>
    <w:rsid w:val="00AA1075"/>
    <w:rsid w:val="00AA1809"/>
    <w:rsid w:val="00AA194B"/>
    <w:rsid w:val="00AA225E"/>
    <w:rsid w:val="00AA2272"/>
    <w:rsid w:val="00AA2382"/>
    <w:rsid w:val="00AA26AE"/>
    <w:rsid w:val="00AA390E"/>
    <w:rsid w:val="00AA3AE0"/>
    <w:rsid w:val="00AA413A"/>
    <w:rsid w:val="00AA4242"/>
    <w:rsid w:val="00AA4344"/>
    <w:rsid w:val="00AA4702"/>
    <w:rsid w:val="00AA4713"/>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A16"/>
    <w:rsid w:val="00AA7D67"/>
    <w:rsid w:val="00AB015C"/>
    <w:rsid w:val="00AB0569"/>
    <w:rsid w:val="00AB0D93"/>
    <w:rsid w:val="00AB0FF4"/>
    <w:rsid w:val="00AB103B"/>
    <w:rsid w:val="00AB132C"/>
    <w:rsid w:val="00AB152A"/>
    <w:rsid w:val="00AB18C2"/>
    <w:rsid w:val="00AB1FFB"/>
    <w:rsid w:val="00AB2716"/>
    <w:rsid w:val="00AB2A29"/>
    <w:rsid w:val="00AB31A7"/>
    <w:rsid w:val="00AB33B6"/>
    <w:rsid w:val="00AB341B"/>
    <w:rsid w:val="00AB37BB"/>
    <w:rsid w:val="00AB395A"/>
    <w:rsid w:val="00AB3E57"/>
    <w:rsid w:val="00AB403C"/>
    <w:rsid w:val="00AB40DD"/>
    <w:rsid w:val="00AB4A77"/>
    <w:rsid w:val="00AB4B3A"/>
    <w:rsid w:val="00AB4BE9"/>
    <w:rsid w:val="00AB4DB4"/>
    <w:rsid w:val="00AB4DF7"/>
    <w:rsid w:val="00AB4F84"/>
    <w:rsid w:val="00AB4FD6"/>
    <w:rsid w:val="00AB5357"/>
    <w:rsid w:val="00AB5DD4"/>
    <w:rsid w:val="00AB5FC2"/>
    <w:rsid w:val="00AB63A9"/>
    <w:rsid w:val="00AB641A"/>
    <w:rsid w:val="00AB6505"/>
    <w:rsid w:val="00AB68C4"/>
    <w:rsid w:val="00AB7378"/>
    <w:rsid w:val="00AB743B"/>
    <w:rsid w:val="00AB78CD"/>
    <w:rsid w:val="00AB792A"/>
    <w:rsid w:val="00AC0202"/>
    <w:rsid w:val="00AC0218"/>
    <w:rsid w:val="00AC041F"/>
    <w:rsid w:val="00AC064B"/>
    <w:rsid w:val="00AC0DF3"/>
    <w:rsid w:val="00AC1105"/>
    <w:rsid w:val="00AC162A"/>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0F7"/>
    <w:rsid w:val="00AC5299"/>
    <w:rsid w:val="00AC59C2"/>
    <w:rsid w:val="00AC5F49"/>
    <w:rsid w:val="00AC5FF4"/>
    <w:rsid w:val="00AC60E9"/>
    <w:rsid w:val="00AC698A"/>
    <w:rsid w:val="00AC75A7"/>
    <w:rsid w:val="00AC7C5E"/>
    <w:rsid w:val="00AC7FB9"/>
    <w:rsid w:val="00AD00E6"/>
    <w:rsid w:val="00AD02AF"/>
    <w:rsid w:val="00AD02D3"/>
    <w:rsid w:val="00AD03CF"/>
    <w:rsid w:val="00AD0470"/>
    <w:rsid w:val="00AD0493"/>
    <w:rsid w:val="00AD0530"/>
    <w:rsid w:val="00AD055C"/>
    <w:rsid w:val="00AD05DE"/>
    <w:rsid w:val="00AD0646"/>
    <w:rsid w:val="00AD06C3"/>
    <w:rsid w:val="00AD0911"/>
    <w:rsid w:val="00AD0B88"/>
    <w:rsid w:val="00AD0E01"/>
    <w:rsid w:val="00AD11D4"/>
    <w:rsid w:val="00AD11FA"/>
    <w:rsid w:val="00AD1204"/>
    <w:rsid w:val="00AD12B1"/>
    <w:rsid w:val="00AD139A"/>
    <w:rsid w:val="00AD15EE"/>
    <w:rsid w:val="00AD173A"/>
    <w:rsid w:val="00AD1E90"/>
    <w:rsid w:val="00AD1F8F"/>
    <w:rsid w:val="00AD2AFB"/>
    <w:rsid w:val="00AD2C41"/>
    <w:rsid w:val="00AD2FF3"/>
    <w:rsid w:val="00AD3371"/>
    <w:rsid w:val="00AD3A33"/>
    <w:rsid w:val="00AD3D3C"/>
    <w:rsid w:val="00AD44BD"/>
    <w:rsid w:val="00AD44EE"/>
    <w:rsid w:val="00AD4655"/>
    <w:rsid w:val="00AD4FFB"/>
    <w:rsid w:val="00AD550E"/>
    <w:rsid w:val="00AD5630"/>
    <w:rsid w:val="00AD5714"/>
    <w:rsid w:val="00AD59B0"/>
    <w:rsid w:val="00AD5B3C"/>
    <w:rsid w:val="00AD5BE7"/>
    <w:rsid w:val="00AD5F2F"/>
    <w:rsid w:val="00AD62BA"/>
    <w:rsid w:val="00AD658E"/>
    <w:rsid w:val="00AD6E7C"/>
    <w:rsid w:val="00AD752B"/>
    <w:rsid w:val="00AD7A3A"/>
    <w:rsid w:val="00AD7D86"/>
    <w:rsid w:val="00AD7DC2"/>
    <w:rsid w:val="00AE05EF"/>
    <w:rsid w:val="00AE095D"/>
    <w:rsid w:val="00AE0A60"/>
    <w:rsid w:val="00AE0CB0"/>
    <w:rsid w:val="00AE0FC2"/>
    <w:rsid w:val="00AE0FF1"/>
    <w:rsid w:val="00AE16A6"/>
    <w:rsid w:val="00AE1710"/>
    <w:rsid w:val="00AE1A9F"/>
    <w:rsid w:val="00AE1B44"/>
    <w:rsid w:val="00AE1D35"/>
    <w:rsid w:val="00AE1FB1"/>
    <w:rsid w:val="00AE20D0"/>
    <w:rsid w:val="00AE22DC"/>
    <w:rsid w:val="00AE2386"/>
    <w:rsid w:val="00AE27DE"/>
    <w:rsid w:val="00AE297C"/>
    <w:rsid w:val="00AE2AEE"/>
    <w:rsid w:val="00AE2E35"/>
    <w:rsid w:val="00AE30C8"/>
    <w:rsid w:val="00AE33CB"/>
    <w:rsid w:val="00AE3A95"/>
    <w:rsid w:val="00AE3D09"/>
    <w:rsid w:val="00AE3F97"/>
    <w:rsid w:val="00AE4F58"/>
    <w:rsid w:val="00AE596B"/>
    <w:rsid w:val="00AE5C10"/>
    <w:rsid w:val="00AE5D9C"/>
    <w:rsid w:val="00AE5EBB"/>
    <w:rsid w:val="00AE6012"/>
    <w:rsid w:val="00AE68E2"/>
    <w:rsid w:val="00AE6ADF"/>
    <w:rsid w:val="00AE703D"/>
    <w:rsid w:val="00AE728A"/>
    <w:rsid w:val="00AE7480"/>
    <w:rsid w:val="00AE7EF6"/>
    <w:rsid w:val="00AF005D"/>
    <w:rsid w:val="00AF041E"/>
    <w:rsid w:val="00AF04ED"/>
    <w:rsid w:val="00AF0690"/>
    <w:rsid w:val="00AF0A1D"/>
    <w:rsid w:val="00AF0CC6"/>
    <w:rsid w:val="00AF1BC5"/>
    <w:rsid w:val="00AF1C33"/>
    <w:rsid w:val="00AF1F2C"/>
    <w:rsid w:val="00AF21EC"/>
    <w:rsid w:val="00AF2397"/>
    <w:rsid w:val="00AF2D3C"/>
    <w:rsid w:val="00AF3309"/>
    <w:rsid w:val="00AF364F"/>
    <w:rsid w:val="00AF36FD"/>
    <w:rsid w:val="00AF3761"/>
    <w:rsid w:val="00AF37E8"/>
    <w:rsid w:val="00AF39CE"/>
    <w:rsid w:val="00AF3B30"/>
    <w:rsid w:val="00AF3E81"/>
    <w:rsid w:val="00AF43D5"/>
    <w:rsid w:val="00AF4654"/>
    <w:rsid w:val="00AF4661"/>
    <w:rsid w:val="00AF47E7"/>
    <w:rsid w:val="00AF4A5F"/>
    <w:rsid w:val="00AF4B40"/>
    <w:rsid w:val="00AF4E7A"/>
    <w:rsid w:val="00AF4F56"/>
    <w:rsid w:val="00AF50DA"/>
    <w:rsid w:val="00AF554E"/>
    <w:rsid w:val="00AF5A12"/>
    <w:rsid w:val="00AF5DB7"/>
    <w:rsid w:val="00AF5F65"/>
    <w:rsid w:val="00AF5FA5"/>
    <w:rsid w:val="00AF630B"/>
    <w:rsid w:val="00AF6696"/>
    <w:rsid w:val="00AF6CA2"/>
    <w:rsid w:val="00AF6D72"/>
    <w:rsid w:val="00AF6F55"/>
    <w:rsid w:val="00AF6F57"/>
    <w:rsid w:val="00AF7A9D"/>
    <w:rsid w:val="00AF7FC6"/>
    <w:rsid w:val="00B00F85"/>
    <w:rsid w:val="00B00FBC"/>
    <w:rsid w:val="00B0122F"/>
    <w:rsid w:val="00B012F4"/>
    <w:rsid w:val="00B014A4"/>
    <w:rsid w:val="00B014D4"/>
    <w:rsid w:val="00B01532"/>
    <w:rsid w:val="00B016B8"/>
    <w:rsid w:val="00B01794"/>
    <w:rsid w:val="00B01F39"/>
    <w:rsid w:val="00B03A5D"/>
    <w:rsid w:val="00B03F6E"/>
    <w:rsid w:val="00B0409E"/>
    <w:rsid w:val="00B0464D"/>
    <w:rsid w:val="00B04BAD"/>
    <w:rsid w:val="00B04F22"/>
    <w:rsid w:val="00B04FF0"/>
    <w:rsid w:val="00B054EA"/>
    <w:rsid w:val="00B05852"/>
    <w:rsid w:val="00B0615B"/>
    <w:rsid w:val="00B0735F"/>
    <w:rsid w:val="00B0746F"/>
    <w:rsid w:val="00B07D7C"/>
    <w:rsid w:val="00B07E63"/>
    <w:rsid w:val="00B108C5"/>
    <w:rsid w:val="00B10E8C"/>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4596"/>
    <w:rsid w:val="00B145E2"/>
    <w:rsid w:val="00B15194"/>
    <w:rsid w:val="00B15202"/>
    <w:rsid w:val="00B15321"/>
    <w:rsid w:val="00B15684"/>
    <w:rsid w:val="00B1593E"/>
    <w:rsid w:val="00B15ABC"/>
    <w:rsid w:val="00B15E87"/>
    <w:rsid w:val="00B1665F"/>
    <w:rsid w:val="00B16A40"/>
    <w:rsid w:val="00B170D8"/>
    <w:rsid w:val="00B1732E"/>
    <w:rsid w:val="00B17440"/>
    <w:rsid w:val="00B176F5"/>
    <w:rsid w:val="00B17A42"/>
    <w:rsid w:val="00B17D52"/>
    <w:rsid w:val="00B2040C"/>
    <w:rsid w:val="00B2063E"/>
    <w:rsid w:val="00B20F73"/>
    <w:rsid w:val="00B21AA3"/>
    <w:rsid w:val="00B2248F"/>
    <w:rsid w:val="00B22599"/>
    <w:rsid w:val="00B225FC"/>
    <w:rsid w:val="00B22644"/>
    <w:rsid w:val="00B22C00"/>
    <w:rsid w:val="00B22D32"/>
    <w:rsid w:val="00B22E0A"/>
    <w:rsid w:val="00B22E59"/>
    <w:rsid w:val="00B23038"/>
    <w:rsid w:val="00B233E0"/>
    <w:rsid w:val="00B23F69"/>
    <w:rsid w:val="00B2467D"/>
    <w:rsid w:val="00B24E89"/>
    <w:rsid w:val="00B2592F"/>
    <w:rsid w:val="00B25B6F"/>
    <w:rsid w:val="00B25E48"/>
    <w:rsid w:val="00B25E77"/>
    <w:rsid w:val="00B26C38"/>
    <w:rsid w:val="00B26FEF"/>
    <w:rsid w:val="00B274ED"/>
    <w:rsid w:val="00B2771D"/>
    <w:rsid w:val="00B279EA"/>
    <w:rsid w:val="00B300A1"/>
    <w:rsid w:val="00B307F6"/>
    <w:rsid w:val="00B30B7E"/>
    <w:rsid w:val="00B30C5F"/>
    <w:rsid w:val="00B30E80"/>
    <w:rsid w:val="00B3105D"/>
    <w:rsid w:val="00B31069"/>
    <w:rsid w:val="00B3149A"/>
    <w:rsid w:val="00B316D7"/>
    <w:rsid w:val="00B31901"/>
    <w:rsid w:val="00B31EBC"/>
    <w:rsid w:val="00B3228F"/>
    <w:rsid w:val="00B324D0"/>
    <w:rsid w:val="00B3344B"/>
    <w:rsid w:val="00B339AB"/>
    <w:rsid w:val="00B33D3B"/>
    <w:rsid w:val="00B33EFA"/>
    <w:rsid w:val="00B34148"/>
    <w:rsid w:val="00B348DE"/>
    <w:rsid w:val="00B34CF7"/>
    <w:rsid w:val="00B35C88"/>
    <w:rsid w:val="00B3642C"/>
    <w:rsid w:val="00B3655A"/>
    <w:rsid w:val="00B36703"/>
    <w:rsid w:val="00B3677B"/>
    <w:rsid w:val="00B368FE"/>
    <w:rsid w:val="00B36AE3"/>
    <w:rsid w:val="00B3745E"/>
    <w:rsid w:val="00B375CF"/>
    <w:rsid w:val="00B37741"/>
    <w:rsid w:val="00B37873"/>
    <w:rsid w:val="00B40176"/>
    <w:rsid w:val="00B401DE"/>
    <w:rsid w:val="00B411AC"/>
    <w:rsid w:val="00B416C6"/>
    <w:rsid w:val="00B42586"/>
    <w:rsid w:val="00B42BC5"/>
    <w:rsid w:val="00B42D26"/>
    <w:rsid w:val="00B42F6B"/>
    <w:rsid w:val="00B431BD"/>
    <w:rsid w:val="00B4325E"/>
    <w:rsid w:val="00B43B7D"/>
    <w:rsid w:val="00B43D36"/>
    <w:rsid w:val="00B43ECC"/>
    <w:rsid w:val="00B43FEC"/>
    <w:rsid w:val="00B441F3"/>
    <w:rsid w:val="00B4554E"/>
    <w:rsid w:val="00B45904"/>
    <w:rsid w:val="00B45A02"/>
    <w:rsid w:val="00B45C67"/>
    <w:rsid w:val="00B45CF8"/>
    <w:rsid w:val="00B45EF4"/>
    <w:rsid w:val="00B45FD1"/>
    <w:rsid w:val="00B46006"/>
    <w:rsid w:val="00B4661A"/>
    <w:rsid w:val="00B46C25"/>
    <w:rsid w:val="00B46F16"/>
    <w:rsid w:val="00B476F7"/>
    <w:rsid w:val="00B5007C"/>
    <w:rsid w:val="00B5046D"/>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A6B"/>
    <w:rsid w:val="00B54F33"/>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E69"/>
    <w:rsid w:val="00B60C8E"/>
    <w:rsid w:val="00B61097"/>
    <w:rsid w:val="00B610A2"/>
    <w:rsid w:val="00B61319"/>
    <w:rsid w:val="00B61459"/>
    <w:rsid w:val="00B616FA"/>
    <w:rsid w:val="00B617B7"/>
    <w:rsid w:val="00B622BB"/>
    <w:rsid w:val="00B622D7"/>
    <w:rsid w:val="00B62687"/>
    <w:rsid w:val="00B627F2"/>
    <w:rsid w:val="00B62B13"/>
    <w:rsid w:val="00B62CAC"/>
    <w:rsid w:val="00B62FA3"/>
    <w:rsid w:val="00B632EE"/>
    <w:rsid w:val="00B63751"/>
    <w:rsid w:val="00B637DE"/>
    <w:rsid w:val="00B63D0B"/>
    <w:rsid w:val="00B63F83"/>
    <w:rsid w:val="00B64056"/>
    <w:rsid w:val="00B6412A"/>
    <w:rsid w:val="00B645FF"/>
    <w:rsid w:val="00B64646"/>
    <w:rsid w:val="00B65D1F"/>
    <w:rsid w:val="00B6681A"/>
    <w:rsid w:val="00B669CA"/>
    <w:rsid w:val="00B66ADF"/>
    <w:rsid w:val="00B66D11"/>
    <w:rsid w:val="00B6710F"/>
    <w:rsid w:val="00B67146"/>
    <w:rsid w:val="00B6722E"/>
    <w:rsid w:val="00B67607"/>
    <w:rsid w:val="00B67809"/>
    <w:rsid w:val="00B67976"/>
    <w:rsid w:val="00B70F0F"/>
    <w:rsid w:val="00B710B7"/>
    <w:rsid w:val="00B711B7"/>
    <w:rsid w:val="00B712E9"/>
    <w:rsid w:val="00B715AB"/>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42B7"/>
    <w:rsid w:val="00B74330"/>
    <w:rsid w:val="00B74755"/>
    <w:rsid w:val="00B74A4E"/>
    <w:rsid w:val="00B74B99"/>
    <w:rsid w:val="00B75217"/>
    <w:rsid w:val="00B75D76"/>
    <w:rsid w:val="00B76069"/>
    <w:rsid w:val="00B76283"/>
    <w:rsid w:val="00B76286"/>
    <w:rsid w:val="00B76A77"/>
    <w:rsid w:val="00B775A2"/>
    <w:rsid w:val="00B77E22"/>
    <w:rsid w:val="00B80053"/>
    <w:rsid w:val="00B808FA"/>
    <w:rsid w:val="00B80B4B"/>
    <w:rsid w:val="00B81017"/>
    <w:rsid w:val="00B81A70"/>
    <w:rsid w:val="00B81C07"/>
    <w:rsid w:val="00B81CB9"/>
    <w:rsid w:val="00B820CA"/>
    <w:rsid w:val="00B8260E"/>
    <w:rsid w:val="00B826AE"/>
    <w:rsid w:val="00B82994"/>
    <w:rsid w:val="00B83046"/>
    <w:rsid w:val="00B83C1E"/>
    <w:rsid w:val="00B840D4"/>
    <w:rsid w:val="00B84A37"/>
    <w:rsid w:val="00B85392"/>
    <w:rsid w:val="00B8569B"/>
    <w:rsid w:val="00B85CED"/>
    <w:rsid w:val="00B85D54"/>
    <w:rsid w:val="00B86096"/>
    <w:rsid w:val="00B864B6"/>
    <w:rsid w:val="00B864CD"/>
    <w:rsid w:val="00B864F6"/>
    <w:rsid w:val="00B86576"/>
    <w:rsid w:val="00B86585"/>
    <w:rsid w:val="00B865F0"/>
    <w:rsid w:val="00B8694B"/>
    <w:rsid w:val="00B86BAC"/>
    <w:rsid w:val="00B86C4D"/>
    <w:rsid w:val="00B86C6E"/>
    <w:rsid w:val="00B86FF7"/>
    <w:rsid w:val="00B873A6"/>
    <w:rsid w:val="00B87494"/>
    <w:rsid w:val="00B878FA"/>
    <w:rsid w:val="00B879C3"/>
    <w:rsid w:val="00B87F32"/>
    <w:rsid w:val="00B87F6D"/>
    <w:rsid w:val="00B87FA1"/>
    <w:rsid w:val="00B90146"/>
    <w:rsid w:val="00B9086F"/>
    <w:rsid w:val="00B908BC"/>
    <w:rsid w:val="00B909E2"/>
    <w:rsid w:val="00B90A2C"/>
    <w:rsid w:val="00B90A53"/>
    <w:rsid w:val="00B90B28"/>
    <w:rsid w:val="00B90E8B"/>
    <w:rsid w:val="00B914F2"/>
    <w:rsid w:val="00B915C3"/>
    <w:rsid w:val="00B921E4"/>
    <w:rsid w:val="00B92206"/>
    <w:rsid w:val="00B9230F"/>
    <w:rsid w:val="00B92320"/>
    <w:rsid w:val="00B92444"/>
    <w:rsid w:val="00B924E0"/>
    <w:rsid w:val="00B92750"/>
    <w:rsid w:val="00B92BC8"/>
    <w:rsid w:val="00B92CDE"/>
    <w:rsid w:val="00B93521"/>
    <w:rsid w:val="00B937EC"/>
    <w:rsid w:val="00B93D6C"/>
    <w:rsid w:val="00B946D9"/>
    <w:rsid w:val="00B94752"/>
    <w:rsid w:val="00B947BB"/>
    <w:rsid w:val="00B947F1"/>
    <w:rsid w:val="00B9485D"/>
    <w:rsid w:val="00B94A00"/>
    <w:rsid w:val="00B94F30"/>
    <w:rsid w:val="00B94FA7"/>
    <w:rsid w:val="00B9507A"/>
    <w:rsid w:val="00B950A8"/>
    <w:rsid w:val="00B9510F"/>
    <w:rsid w:val="00B95244"/>
    <w:rsid w:val="00B95498"/>
    <w:rsid w:val="00B95A41"/>
    <w:rsid w:val="00B95BD2"/>
    <w:rsid w:val="00B96269"/>
    <w:rsid w:val="00B96407"/>
    <w:rsid w:val="00B96468"/>
    <w:rsid w:val="00B966F1"/>
    <w:rsid w:val="00B96C1F"/>
    <w:rsid w:val="00B96FB0"/>
    <w:rsid w:val="00B970FC"/>
    <w:rsid w:val="00B9721D"/>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304"/>
    <w:rsid w:val="00BA4A97"/>
    <w:rsid w:val="00BA4B2D"/>
    <w:rsid w:val="00BA4F09"/>
    <w:rsid w:val="00BA5077"/>
    <w:rsid w:val="00BA5453"/>
    <w:rsid w:val="00BA5AE1"/>
    <w:rsid w:val="00BA5B05"/>
    <w:rsid w:val="00BA5C56"/>
    <w:rsid w:val="00BA5D57"/>
    <w:rsid w:val="00BA6738"/>
    <w:rsid w:val="00BA69B5"/>
    <w:rsid w:val="00BA77E9"/>
    <w:rsid w:val="00BA79B5"/>
    <w:rsid w:val="00BA7A2B"/>
    <w:rsid w:val="00BB00D2"/>
    <w:rsid w:val="00BB01A4"/>
    <w:rsid w:val="00BB03A5"/>
    <w:rsid w:val="00BB03BF"/>
    <w:rsid w:val="00BB09C9"/>
    <w:rsid w:val="00BB0EE7"/>
    <w:rsid w:val="00BB1066"/>
    <w:rsid w:val="00BB119F"/>
    <w:rsid w:val="00BB1341"/>
    <w:rsid w:val="00BB141D"/>
    <w:rsid w:val="00BB17D0"/>
    <w:rsid w:val="00BB1B0E"/>
    <w:rsid w:val="00BB1EB6"/>
    <w:rsid w:val="00BB1F22"/>
    <w:rsid w:val="00BB1FE1"/>
    <w:rsid w:val="00BB2479"/>
    <w:rsid w:val="00BB2A0F"/>
    <w:rsid w:val="00BB31EC"/>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C0432"/>
    <w:rsid w:val="00BC083A"/>
    <w:rsid w:val="00BC0AE8"/>
    <w:rsid w:val="00BC13BD"/>
    <w:rsid w:val="00BC1B87"/>
    <w:rsid w:val="00BC1CB9"/>
    <w:rsid w:val="00BC1DEC"/>
    <w:rsid w:val="00BC2233"/>
    <w:rsid w:val="00BC266B"/>
    <w:rsid w:val="00BC279E"/>
    <w:rsid w:val="00BC2A03"/>
    <w:rsid w:val="00BC30C7"/>
    <w:rsid w:val="00BC35AE"/>
    <w:rsid w:val="00BC3CF6"/>
    <w:rsid w:val="00BC3D7B"/>
    <w:rsid w:val="00BC40CA"/>
    <w:rsid w:val="00BC4273"/>
    <w:rsid w:val="00BC45C9"/>
    <w:rsid w:val="00BC45DB"/>
    <w:rsid w:val="00BC467A"/>
    <w:rsid w:val="00BC49B6"/>
    <w:rsid w:val="00BC4E65"/>
    <w:rsid w:val="00BC4EAB"/>
    <w:rsid w:val="00BC5110"/>
    <w:rsid w:val="00BC54CF"/>
    <w:rsid w:val="00BC55CC"/>
    <w:rsid w:val="00BC5661"/>
    <w:rsid w:val="00BC586C"/>
    <w:rsid w:val="00BC5CD5"/>
    <w:rsid w:val="00BC629F"/>
    <w:rsid w:val="00BC650D"/>
    <w:rsid w:val="00BC6709"/>
    <w:rsid w:val="00BC6776"/>
    <w:rsid w:val="00BC6D23"/>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49"/>
    <w:rsid w:val="00BD2ED8"/>
    <w:rsid w:val="00BD3338"/>
    <w:rsid w:val="00BD3954"/>
    <w:rsid w:val="00BD3A50"/>
    <w:rsid w:val="00BD3DF5"/>
    <w:rsid w:val="00BD4615"/>
    <w:rsid w:val="00BD46F3"/>
    <w:rsid w:val="00BD4BCC"/>
    <w:rsid w:val="00BD57B6"/>
    <w:rsid w:val="00BD5E18"/>
    <w:rsid w:val="00BD604B"/>
    <w:rsid w:val="00BD60A0"/>
    <w:rsid w:val="00BD6183"/>
    <w:rsid w:val="00BD6591"/>
    <w:rsid w:val="00BD659D"/>
    <w:rsid w:val="00BD6D2D"/>
    <w:rsid w:val="00BD7999"/>
    <w:rsid w:val="00BD7AB6"/>
    <w:rsid w:val="00BD7D14"/>
    <w:rsid w:val="00BD7DE3"/>
    <w:rsid w:val="00BE010F"/>
    <w:rsid w:val="00BE0858"/>
    <w:rsid w:val="00BE0906"/>
    <w:rsid w:val="00BE0B40"/>
    <w:rsid w:val="00BE180F"/>
    <w:rsid w:val="00BE1B91"/>
    <w:rsid w:val="00BE1EBC"/>
    <w:rsid w:val="00BE223F"/>
    <w:rsid w:val="00BE23EF"/>
    <w:rsid w:val="00BE2565"/>
    <w:rsid w:val="00BE25F2"/>
    <w:rsid w:val="00BE2788"/>
    <w:rsid w:val="00BE2EEF"/>
    <w:rsid w:val="00BE3041"/>
    <w:rsid w:val="00BE3B68"/>
    <w:rsid w:val="00BE3B9C"/>
    <w:rsid w:val="00BE3E56"/>
    <w:rsid w:val="00BE45EE"/>
    <w:rsid w:val="00BE4764"/>
    <w:rsid w:val="00BE4EB9"/>
    <w:rsid w:val="00BE502D"/>
    <w:rsid w:val="00BE53FF"/>
    <w:rsid w:val="00BE5571"/>
    <w:rsid w:val="00BE57DB"/>
    <w:rsid w:val="00BE67D3"/>
    <w:rsid w:val="00BE6C76"/>
    <w:rsid w:val="00BE6E8C"/>
    <w:rsid w:val="00BE6FDB"/>
    <w:rsid w:val="00BE7053"/>
    <w:rsid w:val="00BE7596"/>
    <w:rsid w:val="00BE7681"/>
    <w:rsid w:val="00BE78B9"/>
    <w:rsid w:val="00BF02F3"/>
    <w:rsid w:val="00BF0518"/>
    <w:rsid w:val="00BF0E98"/>
    <w:rsid w:val="00BF146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01C"/>
    <w:rsid w:val="00BF72AB"/>
    <w:rsid w:val="00BF7497"/>
    <w:rsid w:val="00BF75C0"/>
    <w:rsid w:val="00BF770E"/>
    <w:rsid w:val="00BF7BC9"/>
    <w:rsid w:val="00BF7F78"/>
    <w:rsid w:val="00C00552"/>
    <w:rsid w:val="00C00891"/>
    <w:rsid w:val="00C00D48"/>
    <w:rsid w:val="00C0100F"/>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4EBD"/>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CF2"/>
    <w:rsid w:val="00C13D56"/>
    <w:rsid w:val="00C140E0"/>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3F6"/>
    <w:rsid w:val="00C25F3D"/>
    <w:rsid w:val="00C25F7F"/>
    <w:rsid w:val="00C26493"/>
    <w:rsid w:val="00C269F2"/>
    <w:rsid w:val="00C26BB6"/>
    <w:rsid w:val="00C27466"/>
    <w:rsid w:val="00C27697"/>
    <w:rsid w:val="00C27C9F"/>
    <w:rsid w:val="00C301E3"/>
    <w:rsid w:val="00C309F1"/>
    <w:rsid w:val="00C30A93"/>
    <w:rsid w:val="00C30ABC"/>
    <w:rsid w:val="00C30B7F"/>
    <w:rsid w:val="00C31EE5"/>
    <w:rsid w:val="00C320F2"/>
    <w:rsid w:val="00C322C9"/>
    <w:rsid w:val="00C322E5"/>
    <w:rsid w:val="00C3248F"/>
    <w:rsid w:val="00C32E68"/>
    <w:rsid w:val="00C3312E"/>
    <w:rsid w:val="00C33749"/>
    <w:rsid w:val="00C33797"/>
    <w:rsid w:val="00C33B9A"/>
    <w:rsid w:val="00C33BDC"/>
    <w:rsid w:val="00C34139"/>
    <w:rsid w:val="00C3474B"/>
    <w:rsid w:val="00C34A6C"/>
    <w:rsid w:val="00C34AAE"/>
    <w:rsid w:val="00C34B7B"/>
    <w:rsid w:val="00C353D3"/>
    <w:rsid w:val="00C358B7"/>
    <w:rsid w:val="00C35AC4"/>
    <w:rsid w:val="00C35B58"/>
    <w:rsid w:val="00C35E80"/>
    <w:rsid w:val="00C35FA6"/>
    <w:rsid w:val="00C3635F"/>
    <w:rsid w:val="00C3636F"/>
    <w:rsid w:val="00C364C5"/>
    <w:rsid w:val="00C366E0"/>
    <w:rsid w:val="00C36739"/>
    <w:rsid w:val="00C368B9"/>
    <w:rsid w:val="00C36F1C"/>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21"/>
    <w:rsid w:val="00C454D4"/>
    <w:rsid w:val="00C45545"/>
    <w:rsid w:val="00C45B73"/>
    <w:rsid w:val="00C45C2F"/>
    <w:rsid w:val="00C45F38"/>
    <w:rsid w:val="00C4608B"/>
    <w:rsid w:val="00C4624E"/>
    <w:rsid w:val="00C468D5"/>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2621"/>
    <w:rsid w:val="00C527E5"/>
    <w:rsid w:val="00C52ECF"/>
    <w:rsid w:val="00C53460"/>
    <w:rsid w:val="00C53477"/>
    <w:rsid w:val="00C5391F"/>
    <w:rsid w:val="00C5393E"/>
    <w:rsid w:val="00C53977"/>
    <w:rsid w:val="00C53DCD"/>
    <w:rsid w:val="00C53E5D"/>
    <w:rsid w:val="00C54070"/>
    <w:rsid w:val="00C545D9"/>
    <w:rsid w:val="00C54BEA"/>
    <w:rsid w:val="00C54D15"/>
    <w:rsid w:val="00C55629"/>
    <w:rsid w:val="00C55BEB"/>
    <w:rsid w:val="00C564CB"/>
    <w:rsid w:val="00C5698E"/>
    <w:rsid w:val="00C56C9D"/>
    <w:rsid w:val="00C56CE0"/>
    <w:rsid w:val="00C5710C"/>
    <w:rsid w:val="00C5725B"/>
    <w:rsid w:val="00C572DE"/>
    <w:rsid w:val="00C57377"/>
    <w:rsid w:val="00C574BF"/>
    <w:rsid w:val="00C5758D"/>
    <w:rsid w:val="00C575D8"/>
    <w:rsid w:val="00C5763C"/>
    <w:rsid w:val="00C602B9"/>
    <w:rsid w:val="00C604D4"/>
    <w:rsid w:val="00C604DC"/>
    <w:rsid w:val="00C60505"/>
    <w:rsid w:val="00C609ED"/>
    <w:rsid w:val="00C60B8C"/>
    <w:rsid w:val="00C60BCA"/>
    <w:rsid w:val="00C60CD5"/>
    <w:rsid w:val="00C610A7"/>
    <w:rsid w:val="00C6163F"/>
    <w:rsid w:val="00C61F65"/>
    <w:rsid w:val="00C6231D"/>
    <w:rsid w:val="00C62D57"/>
    <w:rsid w:val="00C63094"/>
    <w:rsid w:val="00C635F3"/>
    <w:rsid w:val="00C637EF"/>
    <w:rsid w:val="00C638DD"/>
    <w:rsid w:val="00C63BA2"/>
    <w:rsid w:val="00C63F92"/>
    <w:rsid w:val="00C646DB"/>
    <w:rsid w:val="00C64FA6"/>
    <w:rsid w:val="00C64FBF"/>
    <w:rsid w:val="00C6531B"/>
    <w:rsid w:val="00C65505"/>
    <w:rsid w:val="00C656B5"/>
    <w:rsid w:val="00C65930"/>
    <w:rsid w:val="00C65A63"/>
    <w:rsid w:val="00C65A82"/>
    <w:rsid w:val="00C65A98"/>
    <w:rsid w:val="00C65FBD"/>
    <w:rsid w:val="00C66C8C"/>
    <w:rsid w:val="00C67146"/>
    <w:rsid w:val="00C67501"/>
    <w:rsid w:val="00C67758"/>
    <w:rsid w:val="00C67AAB"/>
    <w:rsid w:val="00C70082"/>
    <w:rsid w:val="00C70250"/>
    <w:rsid w:val="00C704A4"/>
    <w:rsid w:val="00C707EA"/>
    <w:rsid w:val="00C707FA"/>
    <w:rsid w:val="00C70A5C"/>
    <w:rsid w:val="00C70B8C"/>
    <w:rsid w:val="00C70BC8"/>
    <w:rsid w:val="00C70BFA"/>
    <w:rsid w:val="00C70C0D"/>
    <w:rsid w:val="00C71366"/>
    <w:rsid w:val="00C7192B"/>
    <w:rsid w:val="00C71CC7"/>
    <w:rsid w:val="00C72141"/>
    <w:rsid w:val="00C72554"/>
    <w:rsid w:val="00C72B92"/>
    <w:rsid w:val="00C7305F"/>
    <w:rsid w:val="00C7325E"/>
    <w:rsid w:val="00C735B9"/>
    <w:rsid w:val="00C736B9"/>
    <w:rsid w:val="00C7452A"/>
    <w:rsid w:val="00C749C9"/>
    <w:rsid w:val="00C74C29"/>
    <w:rsid w:val="00C75518"/>
    <w:rsid w:val="00C75896"/>
    <w:rsid w:val="00C768B8"/>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56D"/>
    <w:rsid w:val="00C8670F"/>
    <w:rsid w:val="00C86997"/>
    <w:rsid w:val="00C86CC9"/>
    <w:rsid w:val="00C86FD9"/>
    <w:rsid w:val="00C8717D"/>
    <w:rsid w:val="00C872E1"/>
    <w:rsid w:val="00C876B2"/>
    <w:rsid w:val="00C87A3F"/>
    <w:rsid w:val="00C87B97"/>
    <w:rsid w:val="00C87DBF"/>
    <w:rsid w:val="00C90135"/>
    <w:rsid w:val="00C90189"/>
    <w:rsid w:val="00C90337"/>
    <w:rsid w:val="00C904D6"/>
    <w:rsid w:val="00C905C7"/>
    <w:rsid w:val="00C914CE"/>
    <w:rsid w:val="00C91A09"/>
    <w:rsid w:val="00C91A7B"/>
    <w:rsid w:val="00C92804"/>
    <w:rsid w:val="00C92CCE"/>
    <w:rsid w:val="00C930D2"/>
    <w:rsid w:val="00C9320F"/>
    <w:rsid w:val="00C93A92"/>
    <w:rsid w:val="00C93ADA"/>
    <w:rsid w:val="00C93EDF"/>
    <w:rsid w:val="00C93EFA"/>
    <w:rsid w:val="00C9412E"/>
    <w:rsid w:val="00C94657"/>
    <w:rsid w:val="00C94955"/>
    <w:rsid w:val="00C94AE9"/>
    <w:rsid w:val="00C950E1"/>
    <w:rsid w:val="00C95506"/>
    <w:rsid w:val="00C95800"/>
    <w:rsid w:val="00C959DF"/>
    <w:rsid w:val="00C95AE1"/>
    <w:rsid w:val="00C95B42"/>
    <w:rsid w:val="00C95EBC"/>
    <w:rsid w:val="00C96137"/>
    <w:rsid w:val="00C965B2"/>
    <w:rsid w:val="00C968B7"/>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4FE1"/>
    <w:rsid w:val="00CA550F"/>
    <w:rsid w:val="00CA5666"/>
    <w:rsid w:val="00CA5BB7"/>
    <w:rsid w:val="00CA6755"/>
    <w:rsid w:val="00CA7297"/>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2933"/>
    <w:rsid w:val="00CB3139"/>
    <w:rsid w:val="00CB3248"/>
    <w:rsid w:val="00CB3284"/>
    <w:rsid w:val="00CB3428"/>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A56"/>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51"/>
    <w:rsid w:val="00CC2E9D"/>
    <w:rsid w:val="00CC342D"/>
    <w:rsid w:val="00CC369B"/>
    <w:rsid w:val="00CC41DD"/>
    <w:rsid w:val="00CC46AA"/>
    <w:rsid w:val="00CC4B60"/>
    <w:rsid w:val="00CC4D5B"/>
    <w:rsid w:val="00CC5665"/>
    <w:rsid w:val="00CC5A69"/>
    <w:rsid w:val="00CC5CDD"/>
    <w:rsid w:val="00CC6682"/>
    <w:rsid w:val="00CC6977"/>
    <w:rsid w:val="00CC6C7B"/>
    <w:rsid w:val="00CC71AB"/>
    <w:rsid w:val="00CC79FB"/>
    <w:rsid w:val="00CC7C47"/>
    <w:rsid w:val="00CD05B7"/>
    <w:rsid w:val="00CD0D77"/>
    <w:rsid w:val="00CD0FB3"/>
    <w:rsid w:val="00CD139C"/>
    <w:rsid w:val="00CD1B95"/>
    <w:rsid w:val="00CD1BDF"/>
    <w:rsid w:val="00CD1E04"/>
    <w:rsid w:val="00CD25F6"/>
    <w:rsid w:val="00CD2B5B"/>
    <w:rsid w:val="00CD3593"/>
    <w:rsid w:val="00CD3604"/>
    <w:rsid w:val="00CD3909"/>
    <w:rsid w:val="00CD435D"/>
    <w:rsid w:val="00CD498F"/>
    <w:rsid w:val="00CD49AD"/>
    <w:rsid w:val="00CD4B8D"/>
    <w:rsid w:val="00CD4BB1"/>
    <w:rsid w:val="00CD4EB7"/>
    <w:rsid w:val="00CD5175"/>
    <w:rsid w:val="00CD550C"/>
    <w:rsid w:val="00CD5CB0"/>
    <w:rsid w:val="00CD5E5D"/>
    <w:rsid w:val="00CD62C6"/>
    <w:rsid w:val="00CD6440"/>
    <w:rsid w:val="00CD65E9"/>
    <w:rsid w:val="00CD6BD0"/>
    <w:rsid w:val="00CD6C47"/>
    <w:rsid w:val="00CD6F3E"/>
    <w:rsid w:val="00CD77EA"/>
    <w:rsid w:val="00CE09C2"/>
    <w:rsid w:val="00CE0A59"/>
    <w:rsid w:val="00CE0A73"/>
    <w:rsid w:val="00CE0A95"/>
    <w:rsid w:val="00CE0CE4"/>
    <w:rsid w:val="00CE0D8E"/>
    <w:rsid w:val="00CE0E56"/>
    <w:rsid w:val="00CE0FCB"/>
    <w:rsid w:val="00CE10A4"/>
    <w:rsid w:val="00CE17DD"/>
    <w:rsid w:val="00CE1A52"/>
    <w:rsid w:val="00CE1BEC"/>
    <w:rsid w:val="00CE1F85"/>
    <w:rsid w:val="00CE1FF3"/>
    <w:rsid w:val="00CE219F"/>
    <w:rsid w:val="00CE2448"/>
    <w:rsid w:val="00CE2FF0"/>
    <w:rsid w:val="00CE32C6"/>
    <w:rsid w:val="00CE3322"/>
    <w:rsid w:val="00CE3773"/>
    <w:rsid w:val="00CE38ED"/>
    <w:rsid w:val="00CE420A"/>
    <w:rsid w:val="00CE4780"/>
    <w:rsid w:val="00CE4B15"/>
    <w:rsid w:val="00CE5087"/>
    <w:rsid w:val="00CE5938"/>
    <w:rsid w:val="00CE5BC9"/>
    <w:rsid w:val="00CE6922"/>
    <w:rsid w:val="00CE6B6E"/>
    <w:rsid w:val="00CE720B"/>
    <w:rsid w:val="00CE7505"/>
    <w:rsid w:val="00CE7642"/>
    <w:rsid w:val="00CE7927"/>
    <w:rsid w:val="00CE7FCD"/>
    <w:rsid w:val="00CF0073"/>
    <w:rsid w:val="00CF05D5"/>
    <w:rsid w:val="00CF0E55"/>
    <w:rsid w:val="00CF0FBD"/>
    <w:rsid w:val="00CF17A6"/>
    <w:rsid w:val="00CF18D2"/>
    <w:rsid w:val="00CF1941"/>
    <w:rsid w:val="00CF20DC"/>
    <w:rsid w:val="00CF263B"/>
    <w:rsid w:val="00CF294E"/>
    <w:rsid w:val="00CF29B6"/>
    <w:rsid w:val="00CF2A1A"/>
    <w:rsid w:val="00CF2ACE"/>
    <w:rsid w:val="00CF2C34"/>
    <w:rsid w:val="00CF33C2"/>
    <w:rsid w:val="00CF3446"/>
    <w:rsid w:val="00CF3507"/>
    <w:rsid w:val="00CF3526"/>
    <w:rsid w:val="00CF3E93"/>
    <w:rsid w:val="00CF5012"/>
    <w:rsid w:val="00CF5AA9"/>
    <w:rsid w:val="00CF692D"/>
    <w:rsid w:val="00CF6BD3"/>
    <w:rsid w:val="00CF6FBD"/>
    <w:rsid w:val="00CF7110"/>
    <w:rsid w:val="00CF7220"/>
    <w:rsid w:val="00CF722A"/>
    <w:rsid w:val="00CF739C"/>
    <w:rsid w:val="00CF7630"/>
    <w:rsid w:val="00CF7788"/>
    <w:rsid w:val="00CF7BBE"/>
    <w:rsid w:val="00D00D39"/>
    <w:rsid w:val="00D00D87"/>
    <w:rsid w:val="00D0155A"/>
    <w:rsid w:val="00D018AA"/>
    <w:rsid w:val="00D01907"/>
    <w:rsid w:val="00D01A5E"/>
    <w:rsid w:val="00D01FC0"/>
    <w:rsid w:val="00D02619"/>
    <w:rsid w:val="00D027CA"/>
    <w:rsid w:val="00D027F4"/>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608"/>
    <w:rsid w:val="00D05800"/>
    <w:rsid w:val="00D05BF2"/>
    <w:rsid w:val="00D05C53"/>
    <w:rsid w:val="00D061B4"/>
    <w:rsid w:val="00D062AF"/>
    <w:rsid w:val="00D0637F"/>
    <w:rsid w:val="00D0662D"/>
    <w:rsid w:val="00D06785"/>
    <w:rsid w:val="00D067B0"/>
    <w:rsid w:val="00D076BB"/>
    <w:rsid w:val="00D07748"/>
    <w:rsid w:val="00D077F3"/>
    <w:rsid w:val="00D07C2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E10"/>
    <w:rsid w:val="00D17F9C"/>
    <w:rsid w:val="00D20700"/>
    <w:rsid w:val="00D207D8"/>
    <w:rsid w:val="00D20A1E"/>
    <w:rsid w:val="00D20D7F"/>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770"/>
    <w:rsid w:val="00D2483C"/>
    <w:rsid w:val="00D24968"/>
    <w:rsid w:val="00D24DF1"/>
    <w:rsid w:val="00D24F86"/>
    <w:rsid w:val="00D2501F"/>
    <w:rsid w:val="00D25307"/>
    <w:rsid w:val="00D25328"/>
    <w:rsid w:val="00D2539C"/>
    <w:rsid w:val="00D253F2"/>
    <w:rsid w:val="00D254E9"/>
    <w:rsid w:val="00D255CF"/>
    <w:rsid w:val="00D255ED"/>
    <w:rsid w:val="00D2678E"/>
    <w:rsid w:val="00D26863"/>
    <w:rsid w:val="00D2694C"/>
    <w:rsid w:val="00D271C9"/>
    <w:rsid w:val="00D276BB"/>
    <w:rsid w:val="00D276F9"/>
    <w:rsid w:val="00D27853"/>
    <w:rsid w:val="00D301A2"/>
    <w:rsid w:val="00D301AF"/>
    <w:rsid w:val="00D301F6"/>
    <w:rsid w:val="00D30917"/>
    <w:rsid w:val="00D30AE0"/>
    <w:rsid w:val="00D30AE8"/>
    <w:rsid w:val="00D30BB3"/>
    <w:rsid w:val="00D30FAA"/>
    <w:rsid w:val="00D3114C"/>
    <w:rsid w:val="00D31830"/>
    <w:rsid w:val="00D32155"/>
    <w:rsid w:val="00D3239C"/>
    <w:rsid w:val="00D3296E"/>
    <w:rsid w:val="00D32D2D"/>
    <w:rsid w:val="00D3307C"/>
    <w:rsid w:val="00D331A9"/>
    <w:rsid w:val="00D331F1"/>
    <w:rsid w:val="00D33452"/>
    <w:rsid w:val="00D33581"/>
    <w:rsid w:val="00D33AC0"/>
    <w:rsid w:val="00D3434A"/>
    <w:rsid w:val="00D34379"/>
    <w:rsid w:val="00D34FB1"/>
    <w:rsid w:val="00D350AF"/>
    <w:rsid w:val="00D3525E"/>
    <w:rsid w:val="00D35339"/>
    <w:rsid w:val="00D3546A"/>
    <w:rsid w:val="00D358BB"/>
    <w:rsid w:val="00D35EFE"/>
    <w:rsid w:val="00D36107"/>
    <w:rsid w:val="00D36132"/>
    <w:rsid w:val="00D36A87"/>
    <w:rsid w:val="00D36FD9"/>
    <w:rsid w:val="00D37058"/>
    <w:rsid w:val="00D376CF"/>
    <w:rsid w:val="00D37B46"/>
    <w:rsid w:val="00D37BDE"/>
    <w:rsid w:val="00D37F37"/>
    <w:rsid w:val="00D40B8D"/>
    <w:rsid w:val="00D40D1B"/>
    <w:rsid w:val="00D41040"/>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35AD"/>
    <w:rsid w:val="00D4402D"/>
    <w:rsid w:val="00D440A8"/>
    <w:rsid w:val="00D44136"/>
    <w:rsid w:val="00D4421B"/>
    <w:rsid w:val="00D445D9"/>
    <w:rsid w:val="00D447BF"/>
    <w:rsid w:val="00D4542C"/>
    <w:rsid w:val="00D45F34"/>
    <w:rsid w:val="00D462E4"/>
    <w:rsid w:val="00D4673C"/>
    <w:rsid w:val="00D4689C"/>
    <w:rsid w:val="00D472FC"/>
    <w:rsid w:val="00D473AE"/>
    <w:rsid w:val="00D50510"/>
    <w:rsid w:val="00D50CD6"/>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86"/>
    <w:rsid w:val="00D56CA6"/>
    <w:rsid w:val="00D57701"/>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2990"/>
    <w:rsid w:val="00D634B7"/>
    <w:rsid w:val="00D635A7"/>
    <w:rsid w:val="00D63938"/>
    <w:rsid w:val="00D63D8D"/>
    <w:rsid w:val="00D63EEE"/>
    <w:rsid w:val="00D64297"/>
    <w:rsid w:val="00D6438E"/>
    <w:rsid w:val="00D6441B"/>
    <w:rsid w:val="00D647A5"/>
    <w:rsid w:val="00D647B3"/>
    <w:rsid w:val="00D649DE"/>
    <w:rsid w:val="00D64D7A"/>
    <w:rsid w:val="00D64E6F"/>
    <w:rsid w:val="00D64E73"/>
    <w:rsid w:val="00D65148"/>
    <w:rsid w:val="00D65430"/>
    <w:rsid w:val="00D65C6F"/>
    <w:rsid w:val="00D66130"/>
    <w:rsid w:val="00D66A2A"/>
    <w:rsid w:val="00D66E79"/>
    <w:rsid w:val="00D67439"/>
    <w:rsid w:val="00D67515"/>
    <w:rsid w:val="00D67AD0"/>
    <w:rsid w:val="00D67C6B"/>
    <w:rsid w:val="00D67CAC"/>
    <w:rsid w:val="00D70C0A"/>
    <w:rsid w:val="00D717BB"/>
    <w:rsid w:val="00D718B4"/>
    <w:rsid w:val="00D71D41"/>
    <w:rsid w:val="00D7226F"/>
    <w:rsid w:val="00D722F2"/>
    <w:rsid w:val="00D7235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A9"/>
    <w:rsid w:val="00D77582"/>
    <w:rsid w:val="00D77C95"/>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6733"/>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9C2"/>
    <w:rsid w:val="00D92AA1"/>
    <w:rsid w:val="00D92D12"/>
    <w:rsid w:val="00D92E04"/>
    <w:rsid w:val="00D93832"/>
    <w:rsid w:val="00D93C62"/>
    <w:rsid w:val="00D948E4"/>
    <w:rsid w:val="00D94BE4"/>
    <w:rsid w:val="00D94C59"/>
    <w:rsid w:val="00D953B7"/>
    <w:rsid w:val="00D953CC"/>
    <w:rsid w:val="00D953FD"/>
    <w:rsid w:val="00D95578"/>
    <w:rsid w:val="00D9568C"/>
    <w:rsid w:val="00D95AC6"/>
    <w:rsid w:val="00D9623F"/>
    <w:rsid w:val="00D96415"/>
    <w:rsid w:val="00D9648C"/>
    <w:rsid w:val="00D964C0"/>
    <w:rsid w:val="00D9660B"/>
    <w:rsid w:val="00D966FB"/>
    <w:rsid w:val="00D96946"/>
    <w:rsid w:val="00D96BC1"/>
    <w:rsid w:val="00D96C63"/>
    <w:rsid w:val="00D96CD6"/>
    <w:rsid w:val="00D96E51"/>
    <w:rsid w:val="00D96EB1"/>
    <w:rsid w:val="00D9718F"/>
    <w:rsid w:val="00D971BC"/>
    <w:rsid w:val="00D972D1"/>
    <w:rsid w:val="00D97347"/>
    <w:rsid w:val="00D973CF"/>
    <w:rsid w:val="00DA0018"/>
    <w:rsid w:val="00DA0497"/>
    <w:rsid w:val="00DA0678"/>
    <w:rsid w:val="00DA0CDD"/>
    <w:rsid w:val="00DA1133"/>
    <w:rsid w:val="00DA1543"/>
    <w:rsid w:val="00DA1A47"/>
    <w:rsid w:val="00DA1B36"/>
    <w:rsid w:val="00DA1C12"/>
    <w:rsid w:val="00DA2519"/>
    <w:rsid w:val="00DA2661"/>
    <w:rsid w:val="00DA2864"/>
    <w:rsid w:val="00DA2FAF"/>
    <w:rsid w:val="00DA31C5"/>
    <w:rsid w:val="00DA356B"/>
    <w:rsid w:val="00DA3584"/>
    <w:rsid w:val="00DA3719"/>
    <w:rsid w:val="00DA39AF"/>
    <w:rsid w:val="00DA4014"/>
    <w:rsid w:val="00DA41D7"/>
    <w:rsid w:val="00DA4322"/>
    <w:rsid w:val="00DA4548"/>
    <w:rsid w:val="00DA49C7"/>
    <w:rsid w:val="00DA4BA5"/>
    <w:rsid w:val="00DA5723"/>
    <w:rsid w:val="00DA5848"/>
    <w:rsid w:val="00DA5884"/>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1A40"/>
    <w:rsid w:val="00DB2612"/>
    <w:rsid w:val="00DB2745"/>
    <w:rsid w:val="00DB28C9"/>
    <w:rsid w:val="00DB2B5E"/>
    <w:rsid w:val="00DB334F"/>
    <w:rsid w:val="00DB33AC"/>
    <w:rsid w:val="00DB36B3"/>
    <w:rsid w:val="00DB36D3"/>
    <w:rsid w:val="00DB390C"/>
    <w:rsid w:val="00DB3EB7"/>
    <w:rsid w:val="00DB4000"/>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E87"/>
    <w:rsid w:val="00DC00C5"/>
    <w:rsid w:val="00DC0453"/>
    <w:rsid w:val="00DC0C44"/>
    <w:rsid w:val="00DC1550"/>
    <w:rsid w:val="00DC199A"/>
    <w:rsid w:val="00DC19D3"/>
    <w:rsid w:val="00DC1DE5"/>
    <w:rsid w:val="00DC2068"/>
    <w:rsid w:val="00DC231A"/>
    <w:rsid w:val="00DC2675"/>
    <w:rsid w:val="00DC2757"/>
    <w:rsid w:val="00DC28E0"/>
    <w:rsid w:val="00DC2CF9"/>
    <w:rsid w:val="00DC2E05"/>
    <w:rsid w:val="00DC2EF5"/>
    <w:rsid w:val="00DC2F7A"/>
    <w:rsid w:val="00DC30BC"/>
    <w:rsid w:val="00DC30FF"/>
    <w:rsid w:val="00DC3147"/>
    <w:rsid w:val="00DC33A5"/>
    <w:rsid w:val="00DC342A"/>
    <w:rsid w:val="00DC3582"/>
    <w:rsid w:val="00DC3B80"/>
    <w:rsid w:val="00DC3F2C"/>
    <w:rsid w:val="00DC4385"/>
    <w:rsid w:val="00DC456C"/>
    <w:rsid w:val="00DC4CA6"/>
    <w:rsid w:val="00DC4DE8"/>
    <w:rsid w:val="00DC5174"/>
    <w:rsid w:val="00DC5E34"/>
    <w:rsid w:val="00DC60CC"/>
    <w:rsid w:val="00DC6578"/>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C3B"/>
    <w:rsid w:val="00DD2D0E"/>
    <w:rsid w:val="00DD335A"/>
    <w:rsid w:val="00DD35F1"/>
    <w:rsid w:val="00DD401E"/>
    <w:rsid w:val="00DD4595"/>
    <w:rsid w:val="00DD45E7"/>
    <w:rsid w:val="00DD47C9"/>
    <w:rsid w:val="00DD4A14"/>
    <w:rsid w:val="00DD4AB7"/>
    <w:rsid w:val="00DD50C0"/>
    <w:rsid w:val="00DD5E51"/>
    <w:rsid w:val="00DD6332"/>
    <w:rsid w:val="00DD63C8"/>
    <w:rsid w:val="00DD6BDF"/>
    <w:rsid w:val="00DD6D0E"/>
    <w:rsid w:val="00DD76EF"/>
    <w:rsid w:val="00DE0386"/>
    <w:rsid w:val="00DE0635"/>
    <w:rsid w:val="00DE1136"/>
    <w:rsid w:val="00DE1186"/>
    <w:rsid w:val="00DE120C"/>
    <w:rsid w:val="00DE1743"/>
    <w:rsid w:val="00DE19FA"/>
    <w:rsid w:val="00DE2320"/>
    <w:rsid w:val="00DE2411"/>
    <w:rsid w:val="00DE2958"/>
    <w:rsid w:val="00DE2AD2"/>
    <w:rsid w:val="00DE2D50"/>
    <w:rsid w:val="00DE2F92"/>
    <w:rsid w:val="00DE318B"/>
    <w:rsid w:val="00DE3620"/>
    <w:rsid w:val="00DE367F"/>
    <w:rsid w:val="00DE3829"/>
    <w:rsid w:val="00DE38AB"/>
    <w:rsid w:val="00DE3AA0"/>
    <w:rsid w:val="00DE3EE9"/>
    <w:rsid w:val="00DE417C"/>
    <w:rsid w:val="00DE4318"/>
    <w:rsid w:val="00DE476D"/>
    <w:rsid w:val="00DE54B9"/>
    <w:rsid w:val="00DE5782"/>
    <w:rsid w:val="00DE5ABB"/>
    <w:rsid w:val="00DE609D"/>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0700"/>
    <w:rsid w:val="00DF12C9"/>
    <w:rsid w:val="00DF13E0"/>
    <w:rsid w:val="00DF1677"/>
    <w:rsid w:val="00DF1E3F"/>
    <w:rsid w:val="00DF1EDD"/>
    <w:rsid w:val="00DF2375"/>
    <w:rsid w:val="00DF271C"/>
    <w:rsid w:val="00DF273A"/>
    <w:rsid w:val="00DF2791"/>
    <w:rsid w:val="00DF279B"/>
    <w:rsid w:val="00DF2941"/>
    <w:rsid w:val="00DF2950"/>
    <w:rsid w:val="00DF2CBB"/>
    <w:rsid w:val="00DF2FEE"/>
    <w:rsid w:val="00DF35AC"/>
    <w:rsid w:val="00DF35B5"/>
    <w:rsid w:val="00DF3B6D"/>
    <w:rsid w:val="00DF3CEC"/>
    <w:rsid w:val="00DF3F04"/>
    <w:rsid w:val="00DF3F7E"/>
    <w:rsid w:val="00DF41A0"/>
    <w:rsid w:val="00DF41D0"/>
    <w:rsid w:val="00DF44F1"/>
    <w:rsid w:val="00DF4698"/>
    <w:rsid w:val="00DF46D8"/>
    <w:rsid w:val="00DF4808"/>
    <w:rsid w:val="00DF4935"/>
    <w:rsid w:val="00DF4D9C"/>
    <w:rsid w:val="00DF4E30"/>
    <w:rsid w:val="00DF54BA"/>
    <w:rsid w:val="00DF56C1"/>
    <w:rsid w:val="00DF583C"/>
    <w:rsid w:val="00DF596D"/>
    <w:rsid w:val="00DF5A38"/>
    <w:rsid w:val="00DF5D0E"/>
    <w:rsid w:val="00DF60FF"/>
    <w:rsid w:val="00DF6603"/>
    <w:rsid w:val="00DF6660"/>
    <w:rsid w:val="00DF666E"/>
    <w:rsid w:val="00DF6A01"/>
    <w:rsid w:val="00DF6B1B"/>
    <w:rsid w:val="00E00098"/>
    <w:rsid w:val="00E00733"/>
    <w:rsid w:val="00E00749"/>
    <w:rsid w:val="00E00863"/>
    <w:rsid w:val="00E00C2D"/>
    <w:rsid w:val="00E00F5A"/>
    <w:rsid w:val="00E00F61"/>
    <w:rsid w:val="00E0145F"/>
    <w:rsid w:val="00E01461"/>
    <w:rsid w:val="00E014D4"/>
    <w:rsid w:val="00E01786"/>
    <w:rsid w:val="00E01AD6"/>
    <w:rsid w:val="00E01D74"/>
    <w:rsid w:val="00E01F91"/>
    <w:rsid w:val="00E02134"/>
    <w:rsid w:val="00E021BF"/>
    <w:rsid w:val="00E0272B"/>
    <w:rsid w:val="00E027CF"/>
    <w:rsid w:val="00E033E5"/>
    <w:rsid w:val="00E03748"/>
    <w:rsid w:val="00E03C28"/>
    <w:rsid w:val="00E03CB6"/>
    <w:rsid w:val="00E04537"/>
    <w:rsid w:val="00E045E4"/>
    <w:rsid w:val="00E047AF"/>
    <w:rsid w:val="00E04C46"/>
    <w:rsid w:val="00E04CA6"/>
    <w:rsid w:val="00E0561E"/>
    <w:rsid w:val="00E0574C"/>
    <w:rsid w:val="00E05880"/>
    <w:rsid w:val="00E0619D"/>
    <w:rsid w:val="00E06409"/>
    <w:rsid w:val="00E06615"/>
    <w:rsid w:val="00E06A46"/>
    <w:rsid w:val="00E06A7C"/>
    <w:rsid w:val="00E06FCB"/>
    <w:rsid w:val="00E07227"/>
    <w:rsid w:val="00E07CCC"/>
    <w:rsid w:val="00E1000D"/>
    <w:rsid w:val="00E1005D"/>
    <w:rsid w:val="00E104F5"/>
    <w:rsid w:val="00E10595"/>
    <w:rsid w:val="00E10711"/>
    <w:rsid w:val="00E11264"/>
    <w:rsid w:val="00E116D2"/>
    <w:rsid w:val="00E118A2"/>
    <w:rsid w:val="00E11FC1"/>
    <w:rsid w:val="00E121A1"/>
    <w:rsid w:val="00E1246E"/>
    <w:rsid w:val="00E124B0"/>
    <w:rsid w:val="00E12579"/>
    <w:rsid w:val="00E125D4"/>
    <w:rsid w:val="00E128FD"/>
    <w:rsid w:val="00E12BA1"/>
    <w:rsid w:val="00E12C60"/>
    <w:rsid w:val="00E12F98"/>
    <w:rsid w:val="00E1301E"/>
    <w:rsid w:val="00E138F6"/>
    <w:rsid w:val="00E141A4"/>
    <w:rsid w:val="00E14302"/>
    <w:rsid w:val="00E145AA"/>
    <w:rsid w:val="00E14D8B"/>
    <w:rsid w:val="00E154B7"/>
    <w:rsid w:val="00E15851"/>
    <w:rsid w:val="00E160D6"/>
    <w:rsid w:val="00E16109"/>
    <w:rsid w:val="00E16427"/>
    <w:rsid w:val="00E170BD"/>
    <w:rsid w:val="00E17ED4"/>
    <w:rsid w:val="00E2002D"/>
    <w:rsid w:val="00E2032D"/>
    <w:rsid w:val="00E20BBC"/>
    <w:rsid w:val="00E20CB9"/>
    <w:rsid w:val="00E20E9A"/>
    <w:rsid w:val="00E214CF"/>
    <w:rsid w:val="00E2152E"/>
    <w:rsid w:val="00E21871"/>
    <w:rsid w:val="00E21E83"/>
    <w:rsid w:val="00E22433"/>
    <w:rsid w:val="00E232E9"/>
    <w:rsid w:val="00E23537"/>
    <w:rsid w:val="00E2392C"/>
    <w:rsid w:val="00E23FA5"/>
    <w:rsid w:val="00E2432B"/>
    <w:rsid w:val="00E243D5"/>
    <w:rsid w:val="00E24790"/>
    <w:rsid w:val="00E24C59"/>
    <w:rsid w:val="00E24E26"/>
    <w:rsid w:val="00E24F16"/>
    <w:rsid w:val="00E25371"/>
    <w:rsid w:val="00E254E6"/>
    <w:rsid w:val="00E25819"/>
    <w:rsid w:val="00E25B68"/>
    <w:rsid w:val="00E2619E"/>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7CC"/>
    <w:rsid w:val="00E32E2C"/>
    <w:rsid w:val="00E33140"/>
    <w:rsid w:val="00E333D8"/>
    <w:rsid w:val="00E335A0"/>
    <w:rsid w:val="00E336F1"/>
    <w:rsid w:val="00E33BD8"/>
    <w:rsid w:val="00E33C8A"/>
    <w:rsid w:val="00E33E29"/>
    <w:rsid w:val="00E33F61"/>
    <w:rsid w:val="00E34480"/>
    <w:rsid w:val="00E34E25"/>
    <w:rsid w:val="00E35391"/>
    <w:rsid w:val="00E35484"/>
    <w:rsid w:val="00E36708"/>
    <w:rsid w:val="00E36723"/>
    <w:rsid w:val="00E36B22"/>
    <w:rsid w:val="00E36B77"/>
    <w:rsid w:val="00E36F20"/>
    <w:rsid w:val="00E370F5"/>
    <w:rsid w:val="00E37307"/>
    <w:rsid w:val="00E37A4F"/>
    <w:rsid w:val="00E37D9F"/>
    <w:rsid w:val="00E37DEB"/>
    <w:rsid w:val="00E40630"/>
    <w:rsid w:val="00E407DE"/>
    <w:rsid w:val="00E40A22"/>
    <w:rsid w:val="00E40CEE"/>
    <w:rsid w:val="00E40DAD"/>
    <w:rsid w:val="00E41501"/>
    <w:rsid w:val="00E415EA"/>
    <w:rsid w:val="00E4167D"/>
    <w:rsid w:val="00E41853"/>
    <w:rsid w:val="00E418FF"/>
    <w:rsid w:val="00E41923"/>
    <w:rsid w:val="00E42757"/>
    <w:rsid w:val="00E42AC8"/>
    <w:rsid w:val="00E42B53"/>
    <w:rsid w:val="00E42BB6"/>
    <w:rsid w:val="00E42CB4"/>
    <w:rsid w:val="00E42FD6"/>
    <w:rsid w:val="00E43074"/>
    <w:rsid w:val="00E438F8"/>
    <w:rsid w:val="00E43ED4"/>
    <w:rsid w:val="00E43FB3"/>
    <w:rsid w:val="00E445FC"/>
    <w:rsid w:val="00E44A7C"/>
    <w:rsid w:val="00E44EE9"/>
    <w:rsid w:val="00E44F95"/>
    <w:rsid w:val="00E45721"/>
    <w:rsid w:val="00E45B61"/>
    <w:rsid w:val="00E45BBC"/>
    <w:rsid w:val="00E45DA8"/>
    <w:rsid w:val="00E45E04"/>
    <w:rsid w:val="00E46574"/>
    <w:rsid w:val="00E465AD"/>
    <w:rsid w:val="00E46AC9"/>
    <w:rsid w:val="00E46E6E"/>
    <w:rsid w:val="00E47CE8"/>
    <w:rsid w:val="00E50071"/>
    <w:rsid w:val="00E505A8"/>
    <w:rsid w:val="00E50651"/>
    <w:rsid w:val="00E50A0E"/>
    <w:rsid w:val="00E50B5D"/>
    <w:rsid w:val="00E50DB2"/>
    <w:rsid w:val="00E512FB"/>
    <w:rsid w:val="00E513A4"/>
    <w:rsid w:val="00E514C6"/>
    <w:rsid w:val="00E521D8"/>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C2A"/>
    <w:rsid w:val="00E56F6A"/>
    <w:rsid w:val="00E57056"/>
    <w:rsid w:val="00E5764A"/>
    <w:rsid w:val="00E57777"/>
    <w:rsid w:val="00E5793B"/>
    <w:rsid w:val="00E57B75"/>
    <w:rsid w:val="00E57D64"/>
    <w:rsid w:val="00E57E87"/>
    <w:rsid w:val="00E60CDD"/>
    <w:rsid w:val="00E60CF7"/>
    <w:rsid w:val="00E60DDF"/>
    <w:rsid w:val="00E615A0"/>
    <w:rsid w:val="00E61BEC"/>
    <w:rsid w:val="00E622C3"/>
    <w:rsid w:val="00E6250E"/>
    <w:rsid w:val="00E625CD"/>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6FCF"/>
    <w:rsid w:val="00E67342"/>
    <w:rsid w:val="00E67616"/>
    <w:rsid w:val="00E67853"/>
    <w:rsid w:val="00E67ADA"/>
    <w:rsid w:val="00E67B81"/>
    <w:rsid w:val="00E67D2A"/>
    <w:rsid w:val="00E70378"/>
    <w:rsid w:val="00E705CC"/>
    <w:rsid w:val="00E706C8"/>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0"/>
    <w:rsid w:val="00E7583A"/>
    <w:rsid w:val="00E75D52"/>
    <w:rsid w:val="00E77038"/>
    <w:rsid w:val="00E77C00"/>
    <w:rsid w:val="00E77EB8"/>
    <w:rsid w:val="00E77F0A"/>
    <w:rsid w:val="00E800ED"/>
    <w:rsid w:val="00E80546"/>
    <w:rsid w:val="00E80590"/>
    <w:rsid w:val="00E80694"/>
    <w:rsid w:val="00E8072F"/>
    <w:rsid w:val="00E80D20"/>
    <w:rsid w:val="00E811DB"/>
    <w:rsid w:val="00E8171D"/>
    <w:rsid w:val="00E81877"/>
    <w:rsid w:val="00E81BA8"/>
    <w:rsid w:val="00E8212C"/>
    <w:rsid w:val="00E822D9"/>
    <w:rsid w:val="00E823AB"/>
    <w:rsid w:val="00E82E5B"/>
    <w:rsid w:val="00E83209"/>
    <w:rsid w:val="00E835B4"/>
    <w:rsid w:val="00E836B2"/>
    <w:rsid w:val="00E83949"/>
    <w:rsid w:val="00E83BFB"/>
    <w:rsid w:val="00E83CFD"/>
    <w:rsid w:val="00E83DE5"/>
    <w:rsid w:val="00E83E67"/>
    <w:rsid w:val="00E84598"/>
    <w:rsid w:val="00E848C5"/>
    <w:rsid w:val="00E84EF4"/>
    <w:rsid w:val="00E84FAC"/>
    <w:rsid w:val="00E852CF"/>
    <w:rsid w:val="00E8565A"/>
    <w:rsid w:val="00E85675"/>
    <w:rsid w:val="00E85EE6"/>
    <w:rsid w:val="00E86115"/>
    <w:rsid w:val="00E8677D"/>
    <w:rsid w:val="00E86939"/>
    <w:rsid w:val="00E86C3F"/>
    <w:rsid w:val="00E86CA8"/>
    <w:rsid w:val="00E8743E"/>
    <w:rsid w:val="00E8766F"/>
    <w:rsid w:val="00E90156"/>
    <w:rsid w:val="00E90218"/>
    <w:rsid w:val="00E9042B"/>
    <w:rsid w:val="00E906A0"/>
    <w:rsid w:val="00E909D4"/>
    <w:rsid w:val="00E90E1D"/>
    <w:rsid w:val="00E91032"/>
    <w:rsid w:val="00E9112C"/>
    <w:rsid w:val="00E912C1"/>
    <w:rsid w:val="00E9136C"/>
    <w:rsid w:val="00E9149B"/>
    <w:rsid w:val="00E918B9"/>
    <w:rsid w:val="00E91DEC"/>
    <w:rsid w:val="00E91E40"/>
    <w:rsid w:val="00E92BB9"/>
    <w:rsid w:val="00E92BC1"/>
    <w:rsid w:val="00E92C0F"/>
    <w:rsid w:val="00E92C24"/>
    <w:rsid w:val="00E93069"/>
    <w:rsid w:val="00E934BF"/>
    <w:rsid w:val="00E93772"/>
    <w:rsid w:val="00E939E9"/>
    <w:rsid w:val="00E94187"/>
    <w:rsid w:val="00E94357"/>
    <w:rsid w:val="00E9447C"/>
    <w:rsid w:val="00E94CC7"/>
    <w:rsid w:val="00E94D73"/>
    <w:rsid w:val="00E9503B"/>
    <w:rsid w:val="00E9535E"/>
    <w:rsid w:val="00E95695"/>
    <w:rsid w:val="00E95C7C"/>
    <w:rsid w:val="00E96351"/>
    <w:rsid w:val="00E9658E"/>
    <w:rsid w:val="00E9681B"/>
    <w:rsid w:val="00E96A4F"/>
    <w:rsid w:val="00E96B58"/>
    <w:rsid w:val="00E96E5B"/>
    <w:rsid w:val="00E97754"/>
    <w:rsid w:val="00E97AC6"/>
    <w:rsid w:val="00E97BD4"/>
    <w:rsid w:val="00EA0135"/>
    <w:rsid w:val="00EA05D5"/>
    <w:rsid w:val="00EA0A5B"/>
    <w:rsid w:val="00EA10A5"/>
    <w:rsid w:val="00EA17B6"/>
    <w:rsid w:val="00EA18F1"/>
    <w:rsid w:val="00EA1945"/>
    <w:rsid w:val="00EA1A1D"/>
    <w:rsid w:val="00EA1B17"/>
    <w:rsid w:val="00EA1DBB"/>
    <w:rsid w:val="00EA1E33"/>
    <w:rsid w:val="00EA1E84"/>
    <w:rsid w:val="00EA25FF"/>
    <w:rsid w:val="00EA2AC6"/>
    <w:rsid w:val="00EA2B9F"/>
    <w:rsid w:val="00EA302F"/>
    <w:rsid w:val="00EA348D"/>
    <w:rsid w:val="00EA35C4"/>
    <w:rsid w:val="00EA3606"/>
    <w:rsid w:val="00EA369E"/>
    <w:rsid w:val="00EA3A34"/>
    <w:rsid w:val="00EA3F76"/>
    <w:rsid w:val="00EA4424"/>
    <w:rsid w:val="00EA4475"/>
    <w:rsid w:val="00EA4B34"/>
    <w:rsid w:val="00EA5772"/>
    <w:rsid w:val="00EA5C88"/>
    <w:rsid w:val="00EA619E"/>
    <w:rsid w:val="00EA68A4"/>
    <w:rsid w:val="00EA7284"/>
    <w:rsid w:val="00EA74DA"/>
    <w:rsid w:val="00EA7960"/>
    <w:rsid w:val="00EA7C4C"/>
    <w:rsid w:val="00EB0CC9"/>
    <w:rsid w:val="00EB0CDC"/>
    <w:rsid w:val="00EB0D9A"/>
    <w:rsid w:val="00EB0DC3"/>
    <w:rsid w:val="00EB1098"/>
    <w:rsid w:val="00EB1330"/>
    <w:rsid w:val="00EB1B98"/>
    <w:rsid w:val="00EB2188"/>
    <w:rsid w:val="00EB23AE"/>
    <w:rsid w:val="00EB2B75"/>
    <w:rsid w:val="00EB2E0F"/>
    <w:rsid w:val="00EB2F03"/>
    <w:rsid w:val="00EB30F3"/>
    <w:rsid w:val="00EB3135"/>
    <w:rsid w:val="00EB349D"/>
    <w:rsid w:val="00EB45A7"/>
    <w:rsid w:val="00EB4683"/>
    <w:rsid w:val="00EB4FB8"/>
    <w:rsid w:val="00EB5111"/>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3125"/>
    <w:rsid w:val="00ED31E8"/>
    <w:rsid w:val="00ED372A"/>
    <w:rsid w:val="00ED383D"/>
    <w:rsid w:val="00ED42B5"/>
    <w:rsid w:val="00ED44A3"/>
    <w:rsid w:val="00ED4814"/>
    <w:rsid w:val="00ED50DE"/>
    <w:rsid w:val="00ED53EB"/>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604"/>
    <w:rsid w:val="00EE1B6B"/>
    <w:rsid w:val="00EE1DA3"/>
    <w:rsid w:val="00EE252D"/>
    <w:rsid w:val="00EE2DDA"/>
    <w:rsid w:val="00EE2E1D"/>
    <w:rsid w:val="00EE300F"/>
    <w:rsid w:val="00EE3199"/>
    <w:rsid w:val="00EE3AD9"/>
    <w:rsid w:val="00EE3B57"/>
    <w:rsid w:val="00EE3E09"/>
    <w:rsid w:val="00EE4103"/>
    <w:rsid w:val="00EE42C3"/>
    <w:rsid w:val="00EE450B"/>
    <w:rsid w:val="00EE4707"/>
    <w:rsid w:val="00EE487A"/>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1867"/>
    <w:rsid w:val="00EF1B1F"/>
    <w:rsid w:val="00EF2092"/>
    <w:rsid w:val="00EF29FE"/>
    <w:rsid w:val="00EF2F49"/>
    <w:rsid w:val="00EF310B"/>
    <w:rsid w:val="00EF338A"/>
    <w:rsid w:val="00EF3428"/>
    <w:rsid w:val="00EF399E"/>
    <w:rsid w:val="00EF3A75"/>
    <w:rsid w:val="00EF3D0C"/>
    <w:rsid w:val="00EF450D"/>
    <w:rsid w:val="00EF45D7"/>
    <w:rsid w:val="00EF4611"/>
    <w:rsid w:val="00EF47C3"/>
    <w:rsid w:val="00EF483A"/>
    <w:rsid w:val="00EF48BC"/>
    <w:rsid w:val="00EF4967"/>
    <w:rsid w:val="00EF4B4A"/>
    <w:rsid w:val="00EF541C"/>
    <w:rsid w:val="00EF5484"/>
    <w:rsid w:val="00EF5A9C"/>
    <w:rsid w:val="00EF5C74"/>
    <w:rsid w:val="00EF5D21"/>
    <w:rsid w:val="00EF66B9"/>
    <w:rsid w:val="00EF6C76"/>
    <w:rsid w:val="00EF6D17"/>
    <w:rsid w:val="00EF6FB7"/>
    <w:rsid w:val="00EF6FC3"/>
    <w:rsid w:val="00EF71BD"/>
    <w:rsid w:val="00EF72CB"/>
    <w:rsid w:val="00EF736B"/>
    <w:rsid w:val="00EF74A5"/>
    <w:rsid w:val="00EF7AA8"/>
    <w:rsid w:val="00F0039A"/>
    <w:rsid w:val="00F008B6"/>
    <w:rsid w:val="00F0093A"/>
    <w:rsid w:val="00F00ADA"/>
    <w:rsid w:val="00F00CD6"/>
    <w:rsid w:val="00F00F8C"/>
    <w:rsid w:val="00F01233"/>
    <w:rsid w:val="00F017E4"/>
    <w:rsid w:val="00F01F50"/>
    <w:rsid w:val="00F02023"/>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CD6"/>
    <w:rsid w:val="00F06DF9"/>
    <w:rsid w:val="00F06F97"/>
    <w:rsid w:val="00F07174"/>
    <w:rsid w:val="00F0728D"/>
    <w:rsid w:val="00F07843"/>
    <w:rsid w:val="00F07F57"/>
    <w:rsid w:val="00F10131"/>
    <w:rsid w:val="00F107B8"/>
    <w:rsid w:val="00F10BFD"/>
    <w:rsid w:val="00F10D66"/>
    <w:rsid w:val="00F10FBB"/>
    <w:rsid w:val="00F112BC"/>
    <w:rsid w:val="00F1166E"/>
    <w:rsid w:val="00F11A11"/>
    <w:rsid w:val="00F11EC8"/>
    <w:rsid w:val="00F12084"/>
    <w:rsid w:val="00F12702"/>
    <w:rsid w:val="00F128CE"/>
    <w:rsid w:val="00F12C6F"/>
    <w:rsid w:val="00F1319A"/>
    <w:rsid w:val="00F13286"/>
    <w:rsid w:val="00F1478E"/>
    <w:rsid w:val="00F14A28"/>
    <w:rsid w:val="00F14A98"/>
    <w:rsid w:val="00F14C76"/>
    <w:rsid w:val="00F14CBB"/>
    <w:rsid w:val="00F1531B"/>
    <w:rsid w:val="00F15510"/>
    <w:rsid w:val="00F15596"/>
    <w:rsid w:val="00F15AD5"/>
    <w:rsid w:val="00F15E47"/>
    <w:rsid w:val="00F15F0F"/>
    <w:rsid w:val="00F161E1"/>
    <w:rsid w:val="00F1621C"/>
    <w:rsid w:val="00F164D6"/>
    <w:rsid w:val="00F16BFF"/>
    <w:rsid w:val="00F17518"/>
    <w:rsid w:val="00F17E92"/>
    <w:rsid w:val="00F2010A"/>
    <w:rsid w:val="00F20241"/>
    <w:rsid w:val="00F20D01"/>
    <w:rsid w:val="00F21296"/>
    <w:rsid w:val="00F21486"/>
    <w:rsid w:val="00F217FD"/>
    <w:rsid w:val="00F21906"/>
    <w:rsid w:val="00F2193C"/>
    <w:rsid w:val="00F21A36"/>
    <w:rsid w:val="00F21E9D"/>
    <w:rsid w:val="00F22117"/>
    <w:rsid w:val="00F221BC"/>
    <w:rsid w:val="00F2235F"/>
    <w:rsid w:val="00F22726"/>
    <w:rsid w:val="00F228E8"/>
    <w:rsid w:val="00F22D56"/>
    <w:rsid w:val="00F23340"/>
    <w:rsid w:val="00F23397"/>
    <w:rsid w:val="00F2356E"/>
    <w:rsid w:val="00F23B36"/>
    <w:rsid w:val="00F23D17"/>
    <w:rsid w:val="00F2482F"/>
    <w:rsid w:val="00F25323"/>
    <w:rsid w:val="00F2550E"/>
    <w:rsid w:val="00F2554E"/>
    <w:rsid w:val="00F25BC2"/>
    <w:rsid w:val="00F2604A"/>
    <w:rsid w:val="00F26501"/>
    <w:rsid w:val="00F265E6"/>
    <w:rsid w:val="00F265FF"/>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ACB"/>
    <w:rsid w:val="00F32DAB"/>
    <w:rsid w:val="00F33051"/>
    <w:rsid w:val="00F33233"/>
    <w:rsid w:val="00F3371B"/>
    <w:rsid w:val="00F33744"/>
    <w:rsid w:val="00F33B90"/>
    <w:rsid w:val="00F33F0C"/>
    <w:rsid w:val="00F3431C"/>
    <w:rsid w:val="00F34D5F"/>
    <w:rsid w:val="00F34F4A"/>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105"/>
    <w:rsid w:val="00F416A5"/>
    <w:rsid w:val="00F41BD5"/>
    <w:rsid w:val="00F41FAA"/>
    <w:rsid w:val="00F42366"/>
    <w:rsid w:val="00F42C90"/>
    <w:rsid w:val="00F42DE6"/>
    <w:rsid w:val="00F42F9A"/>
    <w:rsid w:val="00F43361"/>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A2C"/>
    <w:rsid w:val="00F5009E"/>
    <w:rsid w:val="00F50478"/>
    <w:rsid w:val="00F508C1"/>
    <w:rsid w:val="00F50F36"/>
    <w:rsid w:val="00F512C3"/>
    <w:rsid w:val="00F5138E"/>
    <w:rsid w:val="00F517FD"/>
    <w:rsid w:val="00F51B4E"/>
    <w:rsid w:val="00F51E29"/>
    <w:rsid w:val="00F5204E"/>
    <w:rsid w:val="00F52181"/>
    <w:rsid w:val="00F52681"/>
    <w:rsid w:val="00F529BF"/>
    <w:rsid w:val="00F53903"/>
    <w:rsid w:val="00F53C64"/>
    <w:rsid w:val="00F53DDB"/>
    <w:rsid w:val="00F53DF3"/>
    <w:rsid w:val="00F5409B"/>
    <w:rsid w:val="00F545FE"/>
    <w:rsid w:val="00F546A4"/>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71F2"/>
    <w:rsid w:val="00F574A1"/>
    <w:rsid w:val="00F5752A"/>
    <w:rsid w:val="00F57B24"/>
    <w:rsid w:val="00F602AB"/>
    <w:rsid w:val="00F60373"/>
    <w:rsid w:val="00F603CA"/>
    <w:rsid w:val="00F60852"/>
    <w:rsid w:val="00F60903"/>
    <w:rsid w:val="00F60E89"/>
    <w:rsid w:val="00F61EE4"/>
    <w:rsid w:val="00F62E31"/>
    <w:rsid w:val="00F6318B"/>
    <w:rsid w:val="00F6377A"/>
    <w:rsid w:val="00F63BDB"/>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6A"/>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91F"/>
    <w:rsid w:val="00F772D0"/>
    <w:rsid w:val="00F77630"/>
    <w:rsid w:val="00F779BA"/>
    <w:rsid w:val="00F77A1B"/>
    <w:rsid w:val="00F77C4D"/>
    <w:rsid w:val="00F77F4A"/>
    <w:rsid w:val="00F807C9"/>
    <w:rsid w:val="00F80B9E"/>
    <w:rsid w:val="00F80D5A"/>
    <w:rsid w:val="00F80F70"/>
    <w:rsid w:val="00F812FB"/>
    <w:rsid w:val="00F813BA"/>
    <w:rsid w:val="00F81E30"/>
    <w:rsid w:val="00F82137"/>
    <w:rsid w:val="00F821B2"/>
    <w:rsid w:val="00F82630"/>
    <w:rsid w:val="00F82A3C"/>
    <w:rsid w:val="00F82C75"/>
    <w:rsid w:val="00F8309D"/>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352"/>
    <w:rsid w:val="00F90A38"/>
    <w:rsid w:val="00F90B95"/>
    <w:rsid w:val="00F913CB"/>
    <w:rsid w:val="00F91465"/>
    <w:rsid w:val="00F91683"/>
    <w:rsid w:val="00F91747"/>
    <w:rsid w:val="00F9187E"/>
    <w:rsid w:val="00F91A45"/>
    <w:rsid w:val="00F91D9A"/>
    <w:rsid w:val="00F91E3F"/>
    <w:rsid w:val="00F91E8A"/>
    <w:rsid w:val="00F922F5"/>
    <w:rsid w:val="00F9259F"/>
    <w:rsid w:val="00F92A0C"/>
    <w:rsid w:val="00F92BBE"/>
    <w:rsid w:val="00F92C73"/>
    <w:rsid w:val="00F92E27"/>
    <w:rsid w:val="00F92F24"/>
    <w:rsid w:val="00F93325"/>
    <w:rsid w:val="00F93EE5"/>
    <w:rsid w:val="00F94B6A"/>
    <w:rsid w:val="00F94B93"/>
    <w:rsid w:val="00F9523F"/>
    <w:rsid w:val="00F958E3"/>
    <w:rsid w:val="00F959DB"/>
    <w:rsid w:val="00F95C16"/>
    <w:rsid w:val="00F95F51"/>
    <w:rsid w:val="00F96290"/>
    <w:rsid w:val="00F968AC"/>
    <w:rsid w:val="00F968C9"/>
    <w:rsid w:val="00F96B30"/>
    <w:rsid w:val="00F96FB5"/>
    <w:rsid w:val="00F971FC"/>
    <w:rsid w:val="00F974CE"/>
    <w:rsid w:val="00F9756C"/>
    <w:rsid w:val="00FA0350"/>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85F"/>
    <w:rsid w:val="00FA4B12"/>
    <w:rsid w:val="00FA4C78"/>
    <w:rsid w:val="00FA4DD8"/>
    <w:rsid w:val="00FA4E1E"/>
    <w:rsid w:val="00FA5411"/>
    <w:rsid w:val="00FA54C8"/>
    <w:rsid w:val="00FA618C"/>
    <w:rsid w:val="00FA61D8"/>
    <w:rsid w:val="00FA6B30"/>
    <w:rsid w:val="00FA6B6A"/>
    <w:rsid w:val="00FA6DEA"/>
    <w:rsid w:val="00FA6EDC"/>
    <w:rsid w:val="00FA742C"/>
    <w:rsid w:val="00FA77A5"/>
    <w:rsid w:val="00FA7955"/>
    <w:rsid w:val="00FA7E79"/>
    <w:rsid w:val="00FB05E1"/>
    <w:rsid w:val="00FB0C6E"/>
    <w:rsid w:val="00FB125E"/>
    <w:rsid w:val="00FB150D"/>
    <w:rsid w:val="00FB165F"/>
    <w:rsid w:val="00FB1BAA"/>
    <w:rsid w:val="00FB1BEB"/>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2C9"/>
    <w:rsid w:val="00FC330C"/>
    <w:rsid w:val="00FC37B9"/>
    <w:rsid w:val="00FC38B2"/>
    <w:rsid w:val="00FC3A49"/>
    <w:rsid w:val="00FC3B08"/>
    <w:rsid w:val="00FC42D3"/>
    <w:rsid w:val="00FC486B"/>
    <w:rsid w:val="00FC4C85"/>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785"/>
    <w:rsid w:val="00FD1D87"/>
    <w:rsid w:val="00FD21D6"/>
    <w:rsid w:val="00FD2F0A"/>
    <w:rsid w:val="00FD33B5"/>
    <w:rsid w:val="00FD33D9"/>
    <w:rsid w:val="00FD35CC"/>
    <w:rsid w:val="00FD3779"/>
    <w:rsid w:val="00FD3F5B"/>
    <w:rsid w:val="00FD4191"/>
    <w:rsid w:val="00FD433A"/>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9A9"/>
    <w:rsid w:val="00FE2B13"/>
    <w:rsid w:val="00FE2C1B"/>
    <w:rsid w:val="00FE2C2F"/>
    <w:rsid w:val="00FE2CBB"/>
    <w:rsid w:val="00FE2E48"/>
    <w:rsid w:val="00FE31EB"/>
    <w:rsid w:val="00FE3AC9"/>
    <w:rsid w:val="00FE3BF0"/>
    <w:rsid w:val="00FE4037"/>
    <w:rsid w:val="00FE45C0"/>
    <w:rsid w:val="00FE4640"/>
    <w:rsid w:val="00FE48E6"/>
    <w:rsid w:val="00FE4ED1"/>
    <w:rsid w:val="00FE5244"/>
    <w:rsid w:val="00FE5979"/>
    <w:rsid w:val="00FE5ACA"/>
    <w:rsid w:val="00FE5C42"/>
    <w:rsid w:val="00FE5D19"/>
    <w:rsid w:val="00FE6189"/>
    <w:rsid w:val="00FE6942"/>
    <w:rsid w:val="00FE6ACB"/>
    <w:rsid w:val="00FE6B3B"/>
    <w:rsid w:val="00FE6C5B"/>
    <w:rsid w:val="00FE7129"/>
    <w:rsid w:val="00FE767F"/>
    <w:rsid w:val="00FE78FD"/>
    <w:rsid w:val="00FE7BCC"/>
    <w:rsid w:val="00FF022D"/>
    <w:rsid w:val="00FF028A"/>
    <w:rsid w:val="00FF03F3"/>
    <w:rsid w:val="00FF08AB"/>
    <w:rsid w:val="00FF0EE5"/>
    <w:rsid w:val="00FF10F0"/>
    <w:rsid w:val="00FF122A"/>
    <w:rsid w:val="00FF1869"/>
    <w:rsid w:val="00FF1D12"/>
    <w:rsid w:val="00FF1FCB"/>
    <w:rsid w:val="00FF2047"/>
    <w:rsid w:val="00FF26F6"/>
    <w:rsid w:val="00FF2859"/>
    <w:rsid w:val="00FF2C73"/>
    <w:rsid w:val="00FF31F9"/>
    <w:rsid w:val="00FF3610"/>
    <w:rsid w:val="00FF3859"/>
    <w:rsid w:val="00FF3BA1"/>
    <w:rsid w:val="00FF433E"/>
    <w:rsid w:val="00FF4458"/>
    <w:rsid w:val="00FF4512"/>
    <w:rsid w:val="00FF4692"/>
    <w:rsid w:val="00FF4D52"/>
    <w:rsid w:val="00FF4F84"/>
    <w:rsid w:val="00FF55CD"/>
    <w:rsid w:val="00FF5D69"/>
    <w:rsid w:val="00FF618D"/>
    <w:rsid w:val="00FF6388"/>
    <w:rsid w:val="00FF64BD"/>
    <w:rsid w:val="00FF6869"/>
    <w:rsid w:val="00FF6AC8"/>
    <w:rsid w:val="00FF6C1C"/>
    <w:rsid w:val="00FF6CB1"/>
    <w:rsid w:val="00FF6DC5"/>
    <w:rsid w:val="00FF6F11"/>
    <w:rsid w:val="00FF7537"/>
    <w:rsid w:val="00FF75EC"/>
    <w:rsid w:val="00FF7A64"/>
    <w:rsid w:val="7AED12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nhideWhenUsed="0" w:uiPriority="99"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1"/>
      <w:szCs w:val="21"/>
      <w:lang w:val="en-US" w:eastAsia="zh-CN" w:bidi="ar-SA"/>
    </w:rPr>
  </w:style>
  <w:style w:type="paragraph" w:styleId="2">
    <w:name w:val="heading 1"/>
    <w:basedOn w:val="1"/>
    <w:next w:val="1"/>
    <w:link w:val="44"/>
    <w:qFormat/>
    <w:uiPriority w:val="99"/>
    <w:pPr>
      <w:keepNext/>
      <w:keepLines/>
      <w:widowControl w:val="0"/>
      <w:spacing w:before="60" w:after="60" w:line="360" w:lineRule="auto"/>
      <w:jc w:val="center"/>
      <w:outlineLvl w:val="0"/>
    </w:pPr>
    <w:rPr>
      <w:rFonts w:ascii="Calibri" w:hAnsi="Calibri" w:eastAsia="黑体" w:cs="Times New Roman"/>
      <w:b/>
      <w:bCs/>
      <w:kern w:val="44"/>
      <w:sz w:val="28"/>
      <w:szCs w:val="44"/>
    </w:rPr>
  </w:style>
  <w:style w:type="paragraph" w:styleId="3">
    <w:name w:val="heading 2"/>
    <w:basedOn w:val="1"/>
    <w:next w:val="1"/>
    <w:link w:val="45"/>
    <w:qFormat/>
    <w:uiPriority w:val="0"/>
    <w:pPr>
      <w:keepNext/>
      <w:keepLines/>
      <w:widowControl w:val="0"/>
      <w:spacing w:before="60" w:after="60"/>
      <w:ind w:left="200" w:hanging="200" w:hangingChars="200"/>
      <w:jc w:val="both"/>
      <w:outlineLvl w:val="1"/>
    </w:pPr>
    <w:rPr>
      <w:rFonts w:ascii="Arial" w:hAnsi="Arial" w:cs="Times New Roman"/>
      <w:b/>
      <w:bCs/>
      <w:kern w:val="2"/>
    </w:rPr>
  </w:style>
  <w:style w:type="paragraph" w:styleId="4">
    <w:name w:val="heading 3"/>
    <w:basedOn w:val="1"/>
    <w:next w:val="1"/>
    <w:link w:val="46"/>
    <w:qFormat/>
    <w:uiPriority w:val="9"/>
    <w:pPr>
      <w:keepNext/>
      <w:keepLines/>
      <w:widowControl w:val="0"/>
      <w:spacing w:before="60" w:after="60"/>
      <w:jc w:val="both"/>
      <w:outlineLvl w:val="2"/>
    </w:pPr>
    <w:rPr>
      <w:rFonts w:ascii="Calibri" w:hAnsi="Calibri" w:cs="Times New Roman"/>
      <w:b/>
      <w:bCs/>
      <w:kern w:val="2"/>
      <w:szCs w:val="32"/>
    </w:rPr>
  </w:style>
  <w:style w:type="paragraph" w:styleId="5">
    <w:name w:val="heading 4"/>
    <w:basedOn w:val="1"/>
    <w:next w:val="1"/>
    <w:link w:val="47"/>
    <w:qFormat/>
    <w:uiPriority w:val="9"/>
    <w:pPr>
      <w:keepNext/>
      <w:keepLines/>
      <w:widowControl w:val="0"/>
      <w:spacing w:before="60" w:after="60"/>
      <w:jc w:val="both"/>
      <w:outlineLvl w:val="3"/>
    </w:pPr>
    <w:rPr>
      <w:rFonts w:ascii="Cambria" w:hAnsi="Cambria" w:cs="Times New Roman"/>
      <w:b/>
      <w:bCs/>
      <w:kern w:val="2"/>
      <w:szCs w:val="28"/>
    </w:rPr>
  </w:style>
  <w:style w:type="paragraph" w:styleId="6">
    <w:name w:val="heading 5"/>
    <w:basedOn w:val="1"/>
    <w:next w:val="1"/>
    <w:link w:val="48"/>
    <w:qFormat/>
    <w:uiPriority w:val="9"/>
    <w:pPr>
      <w:keepNext/>
      <w:keepLines/>
      <w:widowControl w:val="0"/>
      <w:spacing w:before="60" w:after="60"/>
      <w:jc w:val="both"/>
      <w:outlineLvl w:val="4"/>
    </w:pPr>
    <w:rPr>
      <w:rFonts w:ascii="Calibri" w:hAnsi="Calibri" w:cs="Times New Roman"/>
      <w:b/>
      <w:bCs/>
      <w:kern w:val="2"/>
      <w:szCs w:val="28"/>
    </w:rPr>
  </w:style>
  <w:style w:type="paragraph" w:styleId="7">
    <w:name w:val="heading 6"/>
    <w:basedOn w:val="1"/>
    <w:next w:val="1"/>
    <w:link w:val="73"/>
    <w:unhideWhenUsed/>
    <w:qFormat/>
    <w:uiPriority w:val="9"/>
    <w:pPr>
      <w:keepNext/>
      <w:keepLines/>
      <w:spacing w:before="60" w:after="60"/>
      <w:outlineLvl w:val="5"/>
    </w:pPr>
    <w:rPr>
      <w:rFonts w:asciiTheme="majorHAnsi" w:hAnsiTheme="majorHAnsi" w:cstheme="majorBidi"/>
      <w:b/>
      <w:bCs/>
    </w:rPr>
  </w:style>
  <w:style w:type="paragraph" w:styleId="8">
    <w:name w:val="heading 7"/>
    <w:basedOn w:val="1"/>
    <w:next w:val="1"/>
    <w:link w:val="79"/>
    <w:autoRedefine/>
    <w:unhideWhenUsed/>
    <w:qFormat/>
    <w:uiPriority w:val="9"/>
    <w:pPr>
      <w:keepNext/>
      <w:keepLines/>
      <w:spacing w:before="240" w:after="64" w:line="320" w:lineRule="auto"/>
      <w:outlineLvl w:val="6"/>
    </w:pPr>
    <w:rPr>
      <w:b/>
      <w:bCs/>
      <w:sz w:val="24"/>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unhideWhenUsed/>
    <w:uiPriority w:val="39"/>
    <w:pPr>
      <w:widowControl w:val="0"/>
      <w:ind w:left="2520" w:leftChars="1200"/>
      <w:jc w:val="both"/>
    </w:pPr>
    <w:rPr>
      <w:rFonts w:asciiTheme="minorHAnsi" w:hAnsiTheme="minorHAnsi" w:eastAsiaTheme="minorEastAsia" w:cstheme="minorBidi"/>
      <w:kern w:val="2"/>
      <w:szCs w:val="22"/>
    </w:rPr>
  </w:style>
  <w:style w:type="paragraph" w:styleId="10">
    <w:name w:val="Note Heading"/>
    <w:basedOn w:val="1"/>
    <w:next w:val="1"/>
    <w:link w:val="64"/>
    <w:autoRedefine/>
    <w:qFormat/>
    <w:uiPriority w:val="99"/>
    <w:pPr>
      <w:widowControl w:val="0"/>
      <w:jc w:val="center"/>
    </w:pPr>
    <w:rPr>
      <w:rFonts w:ascii="Times New Roman" w:hAnsi="Times New Roman" w:cs="Times New Roman"/>
      <w:kern w:val="2"/>
    </w:rPr>
  </w:style>
  <w:style w:type="paragraph" w:styleId="11">
    <w:name w:val="Normal Indent"/>
    <w:basedOn w:val="1"/>
    <w:autoRedefine/>
    <w:qFormat/>
    <w:uiPriority w:val="0"/>
    <w:pPr>
      <w:widowControl w:val="0"/>
      <w:ind w:firstLine="420" w:firstLineChars="200"/>
      <w:jc w:val="both"/>
    </w:pPr>
    <w:rPr>
      <w:rFonts w:ascii="Times New Roman" w:hAnsi="Times New Roman" w:cs="Times New Roman"/>
      <w:kern w:val="2"/>
    </w:rPr>
  </w:style>
  <w:style w:type="paragraph" w:styleId="12">
    <w:name w:val="Document Map"/>
    <w:basedOn w:val="1"/>
    <w:link w:val="69"/>
    <w:autoRedefine/>
    <w:semiHidden/>
    <w:unhideWhenUsed/>
    <w:qFormat/>
    <w:uiPriority w:val="99"/>
    <w:pPr>
      <w:widowControl w:val="0"/>
      <w:jc w:val="both"/>
    </w:pPr>
    <w:rPr>
      <w:rFonts w:hAnsi="Calibri" w:cs="Times New Roman"/>
      <w:kern w:val="2"/>
      <w:sz w:val="18"/>
      <w:szCs w:val="18"/>
    </w:rPr>
  </w:style>
  <w:style w:type="paragraph" w:styleId="13">
    <w:name w:val="toa heading"/>
    <w:basedOn w:val="1"/>
    <w:next w:val="1"/>
    <w:autoRedefine/>
    <w:semiHidden/>
    <w:qFormat/>
    <w:uiPriority w:val="0"/>
    <w:pPr>
      <w:widowControl w:val="0"/>
      <w:spacing w:before="120"/>
      <w:jc w:val="both"/>
    </w:pPr>
    <w:rPr>
      <w:rFonts w:ascii="Arial" w:hAnsi="Arial" w:cs="Times New Roman"/>
      <w:b/>
      <w:bCs/>
      <w:kern w:val="2"/>
    </w:rPr>
  </w:style>
  <w:style w:type="paragraph" w:styleId="14">
    <w:name w:val="annotation text"/>
    <w:basedOn w:val="1"/>
    <w:link w:val="50"/>
    <w:autoRedefine/>
    <w:qFormat/>
    <w:uiPriority w:val="0"/>
    <w:pPr>
      <w:widowControl w:val="0"/>
    </w:pPr>
    <w:rPr>
      <w:rFonts w:ascii="Times New Roman" w:hAnsi="Times New Roman" w:cs="Times New Roman"/>
      <w:kern w:val="2"/>
    </w:rPr>
  </w:style>
  <w:style w:type="paragraph" w:styleId="15">
    <w:name w:val="Salutation"/>
    <w:basedOn w:val="1"/>
    <w:next w:val="1"/>
    <w:link w:val="52"/>
    <w:autoRedefine/>
    <w:qFormat/>
    <w:uiPriority w:val="99"/>
    <w:pPr>
      <w:widowControl w:val="0"/>
      <w:jc w:val="both"/>
    </w:pPr>
    <w:rPr>
      <w:rFonts w:ascii="Times New Roman" w:hAnsi="Times New Roman" w:cs="Times New Roman"/>
      <w:kern w:val="2"/>
    </w:rPr>
  </w:style>
  <w:style w:type="paragraph" w:styleId="16">
    <w:name w:val="List Bullet 3"/>
    <w:basedOn w:val="1"/>
    <w:uiPriority w:val="0"/>
    <w:pPr>
      <w:widowControl w:val="0"/>
      <w:tabs>
        <w:tab w:val="left" w:pos="1200"/>
      </w:tabs>
      <w:jc w:val="both"/>
    </w:pPr>
    <w:rPr>
      <w:rFonts w:ascii="Times New Roman" w:hAnsi="Times New Roman" w:cs="Times New Roman"/>
      <w:kern w:val="2"/>
    </w:rPr>
  </w:style>
  <w:style w:type="paragraph" w:styleId="17">
    <w:name w:val="Body Text"/>
    <w:basedOn w:val="1"/>
    <w:link w:val="61"/>
    <w:autoRedefine/>
    <w:qFormat/>
    <w:uiPriority w:val="99"/>
    <w:pPr>
      <w:widowControl w:val="0"/>
      <w:spacing w:after="120"/>
      <w:jc w:val="both"/>
    </w:pPr>
    <w:rPr>
      <w:rFonts w:ascii="Times New Roman" w:hAnsi="Times New Roman" w:cs="Times New Roman"/>
      <w:kern w:val="2"/>
    </w:rPr>
  </w:style>
  <w:style w:type="paragraph" w:styleId="18">
    <w:name w:val="toc 5"/>
    <w:basedOn w:val="1"/>
    <w:next w:val="1"/>
    <w:autoRedefine/>
    <w:unhideWhenUsed/>
    <w:qFormat/>
    <w:uiPriority w:val="39"/>
    <w:pPr>
      <w:widowControl w:val="0"/>
      <w:ind w:left="1680" w:leftChars="800"/>
      <w:jc w:val="both"/>
    </w:pPr>
    <w:rPr>
      <w:rFonts w:asciiTheme="minorHAnsi" w:hAnsiTheme="minorHAnsi" w:eastAsiaTheme="minorEastAsia" w:cstheme="minorBidi"/>
      <w:kern w:val="2"/>
      <w:szCs w:val="22"/>
    </w:rPr>
  </w:style>
  <w:style w:type="paragraph" w:styleId="19">
    <w:name w:val="toc 3"/>
    <w:basedOn w:val="1"/>
    <w:next w:val="1"/>
    <w:autoRedefine/>
    <w:unhideWhenUsed/>
    <w:qFormat/>
    <w:uiPriority w:val="39"/>
    <w:pPr>
      <w:spacing w:after="100" w:line="276" w:lineRule="auto"/>
      <w:ind w:left="440"/>
    </w:pPr>
    <w:rPr>
      <w:rFonts w:ascii="Calibri" w:hAnsi="Calibri" w:cs="Times New Roman"/>
      <w:sz w:val="22"/>
      <w:szCs w:val="22"/>
    </w:rPr>
  </w:style>
  <w:style w:type="paragraph" w:styleId="20">
    <w:name w:val="Plain Text"/>
    <w:basedOn w:val="1"/>
    <w:link w:val="59"/>
    <w:autoRedefine/>
    <w:qFormat/>
    <w:uiPriority w:val="0"/>
    <w:pPr>
      <w:widowControl w:val="0"/>
      <w:jc w:val="both"/>
    </w:pPr>
    <w:rPr>
      <w:rFonts w:hAnsi="Courier New" w:cs="Times New Roman"/>
      <w:kern w:val="2"/>
      <w:szCs w:val="20"/>
    </w:rPr>
  </w:style>
  <w:style w:type="paragraph" w:styleId="21">
    <w:name w:val="toc 8"/>
    <w:basedOn w:val="1"/>
    <w:next w:val="1"/>
    <w:autoRedefine/>
    <w:unhideWhenUsed/>
    <w:qFormat/>
    <w:uiPriority w:val="39"/>
    <w:pPr>
      <w:widowControl w:val="0"/>
      <w:ind w:left="2940" w:leftChars="1400"/>
      <w:jc w:val="both"/>
    </w:pPr>
    <w:rPr>
      <w:rFonts w:asciiTheme="minorHAnsi" w:hAnsiTheme="minorHAnsi" w:eastAsiaTheme="minorEastAsia" w:cstheme="minorBidi"/>
      <w:kern w:val="2"/>
      <w:szCs w:val="22"/>
    </w:rPr>
  </w:style>
  <w:style w:type="paragraph" w:styleId="22">
    <w:name w:val="Date"/>
    <w:basedOn w:val="1"/>
    <w:next w:val="1"/>
    <w:link w:val="63"/>
    <w:autoRedefine/>
    <w:qFormat/>
    <w:uiPriority w:val="99"/>
    <w:pPr>
      <w:widowControl w:val="0"/>
      <w:ind w:left="100" w:leftChars="2500"/>
      <w:jc w:val="both"/>
    </w:pPr>
    <w:rPr>
      <w:rFonts w:ascii="Times New Roman" w:hAnsi="Times New Roman" w:cs="Times New Roman"/>
      <w:kern w:val="2"/>
    </w:rPr>
  </w:style>
  <w:style w:type="paragraph" w:styleId="23">
    <w:name w:val="endnote text"/>
    <w:basedOn w:val="1"/>
    <w:link w:val="74"/>
    <w:autoRedefine/>
    <w:semiHidden/>
    <w:unhideWhenUsed/>
    <w:qFormat/>
    <w:uiPriority w:val="99"/>
    <w:pPr>
      <w:snapToGrid w:val="0"/>
    </w:pPr>
  </w:style>
  <w:style w:type="paragraph" w:styleId="24">
    <w:name w:val="Balloon Text"/>
    <w:basedOn w:val="1"/>
    <w:link w:val="51"/>
    <w:autoRedefine/>
    <w:unhideWhenUsed/>
    <w:qFormat/>
    <w:uiPriority w:val="99"/>
    <w:pPr>
      <w:widowControl w:val="0"/>
      <w:jc w:val="both"/>
    </w:pPr>
    <w:rPr>
      <w:rFonts w:ascii="Calibri" w:hAnsi="Calibri" w:cs="Times New Roman"/>
      <w:kern w:val="2"/>
      <w:sz w:val="18"/>
      <w:szCs w:val="18"/>
    </w:rPr>
  </w:style>
  <w:style w:type="paragraph" w:styleId="25">
    <w:name w:val="footer"/>
    <w:basedOn w:val="1"/>
    <w:link w:val="58"/>
    <w:autoRedefine/>
    <w:unhideWhenUsed/>
    <w:qFormat/>
    <w:uiPriority w:val="99"/>
    <w:pPr>
      <w:widowControl w:val="0"/>
      <w:tabs>
        <w:tab w:val="center" w:pos="4153"/>
        <w:tab w:val="right" w:pos="8306"/>
      </w:tabs>
      <w:snapToGrid w:val="0"/>
    </w:pPr>
    <w:rPr>
      <w:rFonts w:ascii="Calibri" w:hAnsi="Calibri" w:cs="Times New Roman"/>
      <w:kern w:val="2"/>
      <w:sz w:val="18"/>
      <w:szCs w:val="18"/>
    </w:rPr>
  </w:style>
  <w:style w:type="paragraph" w:styleId="26">
    <w:name w:val="header"/>
    <w:basedOn w:val="1"/>
    <w:link w:val="57"/>
    <w:autoRedefine/>
    <w:unhideWhenUsed/>
    <w:qFormat/>
    <w:uiPriority w:val="99"/>
    <w:pPr>
      <w:widowControl w:val="0"/>
      <w:pBdr>
        <w:bottom w:val="single" w:color="auto" w:sz="6" w:space="1"/>
      </w:pBdr>
      <w:tabs>
        <w:tab w:val="center" w:pos="4153"/>
        <w:tab w:val="right" w:pos="8306"/>
      </w:tabs>
      <w:snapToGrid w:val="0"/>
      <w:jc w:val="center"/>
    </w:pPr>
    <w:rPr>
      <w:rFonts w:ascii="Calibri" w:hAnsi="Calibri" w:cs="Times New Roman"/>
      <w:kern w:val="2"/>
      <w:sz w:val="18"/>
      <w:szCs w:val="18"/>
    </w:rPr>
  </w:style>
  <w:style w:type="paragraph" w:styleId="27">
    <w:name w:val="toc 1"/>
    <w:basedOn w:val="1"/>
    <w:next w:val="1"/>
    <w:autoRedefine/>
    <w:qFormat/>
    <w:uiPriority w:val="39"/>
    <w:pPr>
      <w:widowControl w:val="0"/>
      <w:tabs>
        <w:tab w:val="left" w:pos="1260"/>
        <w:tab w:val="right" w:leader="dot" w:pos="8823"/>
      </w:tabs>
      <w:jc w:val="center"/>
    </w:pPr>
    <w:rPr>
      <w:rFonts w:ascii="Times New Roman" w:hAnsi="Times New Roman" w:cs="Times New Roman"/>
      <w:kern w:val="2"/>
    </w:rPr>
  </w:style>
  <w:style w:type="paragraph" w:styleId="28">
    <w:name w:val="toc 4"/>
    <w:basedOn w:val="1"/>
    <w:next w:val="1"/>
    <w:autoRedefine/>
    <w:unhideWhenUsed/>
    <w:qFormat/>
    <w:uiPriority w:val="39"/>
    <w:pPr>
      <w:widowControl w:val="0"/>
      <w:ind w:left="1260" w:leftChars="600"/>
      <w:jc w:val="both"/>
    </w:pPr>
    <w:rPr>
      <w:rFonts w:asciiTheme="minorHAnsi" w:hAnsiTheme="minorHAnsi" w:eastAsiaTheme="minorEastAsia" w:cstheme="minorBidi"/>
      <w:kern w:val="2"/>
      <w:szCs w:val="22"/>
    </w:rPr>
  </w:style>
  <w:style w:type="paragraph" w:styleId="29">
    <w:name w:val="footnote text"/>
    <w:basedOn w:val="1"/>
    <w:link w:val="113"/>
    <w:autoRedefine/>
    <w:unhideWhenUsed/>
    <w:qFormat/>
    <w:uiPriority w:val="99"/>
    <w:pPr>
      <w:snapToGrid w:val="0"/>
    </w:pPr>
    <w:rPr>
      <w:sz w:val="18"/>
      <w:szCs w:val="18"/>
    </w:rPr>
  </w:style>
  <w:style w:type="paragraph" w:styleId="30">
    <w:name w:val="toc 6"/>
    <w:basedOn w:val="1"/>
    <w:next w:val="1"/>
    <w:autoRedefine/>
    <w:unhideWhenUsed/>
    <w:qFormat/>
    <w:uiPriority w:val="39"/>
    <w:pPr>
      <w:widowControl w:val="0"/>
      <w:ind w:left="2100" w:leftChars="1000"/>
      <w:jc w:val="both"/>
    </w:pPr>
    <w:rPr>
      <w:rFonts w:asciiTheme="minorHAnsi" w:hAnsiTheme="minorHAnsi" w:eastAsiaTheme="minorEastAsia" w:cstheme="minorBidi"/>
      <w:kern w:val="2"/>
      <w:szCs w:val="22"/>
    </w:rPr>
  </w:style>
  <w:style w:type="paragraph" w:styleId="31">
    <w:name w:val="toc 2"/>
    <w:basedOn w:val="1"/>
    <w:next w:val="1"/>
    <w:autoRedefine/>
    <w:qFormat/>
    <w:uiPriority w:val="39"/>
    <w:pPr>
      <w:widowControl w:val="0"/>
      <w:ind w:left="420" w:leftChars="200"/>
      <w:jc w:val="both"/>
    </w:pPr>
    <w:rPr>
      <w:rFonts w:ascii="Times New Roman" w:hAnsi="Times New Roman" w:cs="Times New Roman"/>
      <w:kern w:val="2"/>
    </w:rPr>
  </w:style>
  <w:style w:type="paragraph" w:styleId="32">
    <w:name w:val="toc 9"/>
    <w:basedOn w:val="1"/>
    <w:next w:val="1"/>
    <w:autoRedefine/>
    <w:unhideWhenUsed/>
    <w:uiPriority w:val="39"/>
    <w:pPr>
      <w:widowControl w:val="0"/>
      <w:ind w:left="3360" w:leftChars="1600"/>
      <w:jc w:val="both"/>
    </w:pPr>
    <w:rPr>
      <w:rFonts w:asciiTheme="minorHAnsi" w:hAnsiTheme="minorHAnsi" w:eastAsiaTheme="minorEastAsia" w:cstheme="minorBidi"/>
      <w:kern w:val="2"/>
      <w:szCs w:val="22"/>
    </w:rPr>
  </w:style>
  <w:style w:type="paragraph" w:styleId="33">
    <w:name w:val="Normal (Web)"/>
    <w:basedOn w:val="1"/>
    <w:autoRedefine/>
    <w:qFormat/>
    <w:uiPriority w:val="99"/>
    <w:pPr>
      <w:spacing w:before="100" w:beforeAutospacing="1" w:after="100" w:afterAutospacing="1"/>
    </w:pPr>
    <w:rPr>
      <w:sz w:val="24"/>
    </w:rPr>
  </w:style>
  <w:style w:type="paragraph" w:styleId="34">
    <w:name w:val="index 1"/>
    <w:basedOn w:val="1"/>
    <w:next w:val="1"/>
    <w:autoRedefine/>
    <w:semiHidden/>
    <w:qFormat/>
    <w:uiPriority w:val="0"/>
    <w:pPr>
      <w:ind w:firstLine="420" w:firstLineChars="200"/>
    </w:pPr>
    <w:rPr>
      <w:rFonts w:cs="Times New Roman"/>
      <w:color w:val="000000"/>
    </w:rPr>
  </w:style>
  <w:style w:type="paragraph" w:styleId="35">
    <w:name w:val="Title"/>
    <w:basedOn w:val="1"/>
    <w:next w:val="1"/>
    <w:link w:val="71"/>
    <w:autoRedefine/>
    <w:qFormat/>
    <w:uiPriority w:val="10"/>
    <w:pPr>
      <w:widowControl w:val="0"/>
      <w:spacing w:before="240" w:after="60"/>
      <w:jc w:val="center"/>
      <w:outlineLvl w:val="0"/>
    </w:pPr>
    <w:rPr>
      <w:rFonts w:asciiTheme="majorHAnsi" w:hAnsiTheme="majorHAnsi" w:cstheme="majorBidi"/>
      <w:b/>
      <w:bCs/>
      <w:kern w:val="2"/>
      <w:sz w:val="32"/>
      <w:szCs w:val="32"/>
    </w:rPr>
  </w:style>
  <w:style w:type="paragraph" w:styleId="36">
    <w:name w:val="annotation subject"/>
    <w:basedOn w:val="14"/>
    <w:next w:val="14"/>
    <w:link w:val="56"/>
    <w:autoRedefine/>
    <w:unhideWhenUsed/>
    <w:qFormat/>
    <w:uiPriority w:val="99"/>
    <w:rPr>
      <w:rFonts w:ascii="Calibri" w:hAnsi="Calibri"/>
      <w:b/>
      <w:bCs/>
      <w:szCs w:val="22"/>
    </w:rPr>
  </w:style>
  <w:style w:type="table" w:styleId="38">
    <w:name w:val="Table Grid"/>
    <w:basedOn w:val="37"/>
    <w:autoRedefine/>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endnote reference"/>
    <w:basedOn w:val="39"/>
    <w:autoRedefine/>
    <w:semiHidden/>
    <w:unhideWhenUsed/>
    <w:qFormat/>
    <w:uiPriority w:val="99"/>
    <w:rPr>
      <w:vertAlign w:val="superscript"/>
    </w:rPr>
  </w:style>
  <w:style w:type="character" w:styleId="41">
    <w:name w:val="Hyperlink"/>
    <w:basedOn w:val="39"/>
    <w:autoRedefine/>
    <w:qFormat/>
    <w:uiPriority w:val="99"/>
    <w:rPr>
      <w:rFonts w:cs="Times New Roman"/>
      <w:color w:val="0000FF"/>
      <w:u w:val="single"/>
    </w:rPr>
  </w:style>
  <w:style w:type="character" w:styleId="42">
    <w:name w:val="annotation reference"/>
    <w:basedOn w:val="39"/>
    <w:autoRedefine/>
    <w:qFormat/>
    <w:uiPriority w:val="99"/>
    <w:rPr>
      <w:rFonts w:eastAsia="宋体" w:cs="Times New Roman"/>
      <w:kern w:val="2"/>
      <w:sz w:val="21"/>
      <w:szCs w:val="21"/>
      <w:lang w:val="en-US" w:eastAsia="zh-CN" w:bidi="ar-SA"/>
    </w:rPr>
  </w:style>
  <w:style w:type="character" w:styleId="43">
    <w:name w:val="footnote reference"/>
    <w:basedOn w:val="39"/>
    <w:autoRedefine/>
    <w:semiHidden/>
    <w:unhideWhenUsed/>
    <w:qFormat/>
    <w:uiPriority w:val="99"/>
    <w:rPr>
      <w:vertAlign w:val="superscript"/>
    </w:rPr>
  </w:style>
  <w:style w:type="character" w:customStyle="1" w:styleId="44">
    <w:name w:val="标题 1 Char"/>
    <w:basedOn w:val="39"/>
    <w:link w:val="2"/>
    <w:autoRedefine/>
    <w:qFormat/>
    <w:uiPriority w:val="99"/>
    <w:rPr>
      <w:rFonts w:eastAsia="黑体"/>
      <w:b/>
      <w:bCs/>
      <w:kern w:val="44"/>
      <w:sz w:val="28"/>
      <w:szCs w:val="44"/>
    </w:rPr>
  </w:style>
  <w:style w:type="character" w:customStyle="1" w:styleId="45">
    <w:name w:val="标题 2 Char2"/>
    <w:basedOn w:val="39"/>
    <w:link w:val="3"/>
    <w:autoRedefine/>
    <w:qFormat/>
    <w:uiPriority w:val="0"/>
    <w:rPr>
      <w:rFonts w:ascii="Arial" w:hAnsi="Arial"/>
      <w:b/>
      <w:bCs/>
      <w:kern w:val="2"/>
      <w:sz w:val="21"/>
      <w:szCs w:val="21"/>
    </w:rPr>
  </w:style>
  <w:style w:type="character" w:customStyle="1" w:styleId="46">
    <w:name w:val="标题 3 Char4"/>
    <w:basedOn w:val="39"/>
    <w:link w:val="4"/>
    <w:autoRedefine/>
    <w:qFormat/>
    <w:uiPriority w:val="9"/>
    <w:rPr>
      <w:b/>
      <w:bCs/>
      <w:kern w:val="2"/>
      <w:sz w:val="21"/>
      <w:szCs w:val="32"/>
    </w:rPr>
  </w:style>
  <w:style w:type="character" w:customStyle="1" w:styleId="47">
    <w:name w:val="标题 4 Char2"/>
    <w:basedOn w:val="39"/>
    <w:link w:val="5"/>
    <w:autoRedefine/>
    <w:qFormat/>
    <w:uiPriority w:val="9"/>
    <w:rPr>
      <w:rFonts w:ascii="Cambria" w:hAnsi="Cambria"/>
      <w:b/>
      <w:bCs/>
      <w:kern w:val="2"/>
      <w:sz w:val="21"/>
      <w:szCs w:val="28"/>
    </w:rPr>
  </w:style>
  <w:style w:type="character" w:customStyle="1" w:styleId="48">
    <w:name w:val="标题 5 Char3"/>
    <w:basedOn w:val="39"/>
    <w:link w:val="6"/>
    <w:autoRedefine/>
    <w:qFormat/>
    <w:uiPriority w:val="9"/>
    <w:rPr>
      <w:b/>
      <w:bCs/>
      <w:kern w:val="2"/>
      <w:sz w:val="21"/>
      <w:szCs w:val="28"/>
    </w:rPr>
  </w:style>
  <w:style w:type="paragraph" w:customStyle="1" w:styleId="49">
    <w:name w:val="TOC Heading"/>
    <w:basedOn w:val="2"/>
    <w:next w:val="1"/>
    <w:autoRedefine/>
    <w:qFormat/>
    <w:uiPriority w:val="39"/>
    <w:pPr>
      <w:widowControl/>
      <w:spacing w:before="480" w:after="0" w:line="276" w:lineRule="auto"/>
      <w:outlineLvl w:val="9"/>
    </w:pPr>
    <w:rPr>
      <w:rFonts w:ascii="Cambria" w:hAnsi="Cambria" w:eastAsia="宋体"/>
      <w:color w:val="365F91"/>
      <w:kern w:val="0"/>
      <w:szCs w:val="28"/>
    </w:rPr>
  </w:style>
  <w:style w:type="character" w:customStyle="1" w:styleId="50">
    <w:name w:val="批注文字 Char4"/>
    <w:basedOn w:val="39"/>
    <w:link w:val="14"/>
    <w:autoRedefine/>
    <w:qFormat/>
    <w:uiPriority w:val="99"/>
    <w:rPr>
      <w:rFonts w:ascii="Times New Roman" w:hAnsi="Times New Roman" w:eastAsia="宋体" w:cs="Times New Roman"/>
      <w:szCs w:val="21"/>
    </w:rPr>
  </w:style>
  <w:style w:type="character" w:customStyle="1" w:styleId="51">
    <w:name w:val="批注框文本 Char"/>
    <w:basedOn w:val="39"/>
    <w:link w:val="24"/>
    <w:autoRedefine/>
    <w:qFormat/>
    <w:uiPriority w:val="99"/>
    <w:rPr>
      <w:rFonts w:ascii="Calibri" w:hAnsi="Calibri" w:eastAsia="宋体" w:cs="Times New Roman"/>
      <w:sz w:val="18"/>
      <w:szCs w:val="18"/>
    </w:rPr>
  </w:style>
  <w:style w:type="character" w:customStyle="1" w:styleId="52">
    <w:name w:val="称呼 Char1"/>
    <w:basedOn w:val="39"/>
    <w:link w:val="15"/>
    <w:autoRedefine/>
    <w:qFormat/>
    <w:uiPriority w:val="99"/>
    <w:rPr>
      <w:rFonts w:ascii="Times New Roman" w:hAnsi="Times New Roman" w:eastAsia="宋体" w:cs="Times New Roman"/>
      <w:szCs w:val="21"/>
    </w:rPr>
  </w:style>
  <w:style w:type="character" w:customStyle="1" w:styleId="53">
    <w:name w:val="notnullcss1"/>
    <w:basedOn w:val="39"/>
    <w:autoRedefine/>
    <w:qFormat/>
    <w:uiPriority w:val="99"/>
    <w:rPr>
      <w:rFonts w:eastAsia="宋体" w:cs="Times New Roman"/>
      <w:color w:val="FF0000"/>
      <w:kern w:val="2"/>
      <w:sz w:val="24"/>
      <w:szCs w:val="24"/>
      <w:lang w:val="en-US" w:eastAsia="zh-CN" w:bidi="ar-SA"/>
    </w:rPr>
  </w:style>
  <w:style w:type="paragraph" w:customStyle="1" w:styleId="54">
    <w:name w:val="xl61"/>
    <w:basedOn w:val="1"/>
    <w:autoRedefine/>
    <w:qFormat/>
    <w:uiPriority w:val="99"/>
    <w:pPr>
      <w:spacing w:before="100" w:after="100"/>
      <w:jc w:val="right"/>
    </w:pPr>
    <w:rPr>
      <w:rFonts w:ascii="Arial Unicode MS" w:hAnsi="Times New Roman" w:eastAsia="Arial Unicode MS" w:cs="Times New Roman"/>
      <w:sz w:val="18"/>
      <w:szCs w:val="18"/>
    </w:rPr>
  </w:style>
  <w:style w:type="paragraph" w:styleId="55">
    <w:name w:val="List Paragraph"/>
    <w:basedOn w:val="1"/>
    <w:autoRedefine/>
    <w:qFormat/>
    <w:uiPriority w:val="34"/>
    <w:pPr>
      <w:widowControl w:val="0"/>
      <w:ind w:firstLine="420" w:firstLineChars="200"/>
      <w:jc w:val="both"/>
    </w:pPr>
    <w:rPr>
      <w:rFonts w:ascii="Calibri" w:hAnsi="Calibri" w:cs="Times New Roman"/>
      <w:kern w:val="2"/>
      <w:szCs w:val="22"/>
    </w:rPr>
  </w:style>
  <w:style w:type="character" w:customStyle="1" w:styleId="56">
    <w:name w:val="批注主题 Char"/>
    <w:basedOn w:val="50"/>
    <w:link w:val="36"/>
    <w:autoRedefine/>
    <w:qFormat/>
    <w:uiPriority w:val="99"/>
    <w:rPr>
      <w:rFonts w:ascii="Calibri" w:hAnsi="Calibri" w:eastAsia="宋体" w:cs="Times New Roman"/>
      <w:b/>
      <w:bCs/>
      <w:szCs w:val="21"/>
    </w:rPr>
  </w:style>
  <w:style w:type="character" w:customStyle="1" w:styleId="57">
    <w:name w:val="页眉 Char"/>
    <w:basedOn w:val="39"/>
    <w:link w:val="26"/>
    <w:autoRedefine/>
    <w:qFormat/>
    <w:uiPriority w:val="99"/>
    <w:rPr>
      <w:rFonts w:ascii="Calibri" w:hAnsi="Calibri" w:eastAsia="宋体" w:cs="Times New Roman"/>
      <w:sz w:val="18"/>
      <w:szCs w:val="18"/>
    </w:rPr>
  </w:style>
  <w:style w:type="character" w:customStyle="1" w:styleId="58">
    <w:name w:val="页脚 Char"/>
    <w:basedOn w:val="39"/>
    <w:link w:val="25"/>
    <w:autoRedefine/>
    <w:qFormat/>
    <w:uiPriority w:val="99"/>
    <w:rPr>
      <w:rFonts w:ascii="Calibri" w:hAnsi="Calibri" w:eastAsia="宋体" w:cs="Times New Roman"/>
      <w:sz w:val="18"/>
      <w:szCs w:val="18"/>
    </w:rPr>
  </w:style>
  <w:style w:type="character" w:customStyle="1" w:styleId="59">
    <w:name w:val="纯文本 Char"/>
    <w:basedOn w:val="39"/>
    <w:link w:val="20"/>
    <w:autoRedefine/>
    <w:qFormat/>
    <w:uiPriority w:val="0"/>
    <w:rPr>
      <w:rFonts w:ascii="宋体" w:hAnsi="Courier New" w:eastAsia="宋体" w:cs="Times New Roman"/>
      <w:szCs w:val="20"/>
    </w:rPr>
  </w:style>
  <w:style w:type="character" w:customStyle="1" w:styleId="60">
    <w:name w:val="headline-content2"/>
    <w:basedOn w:val="39"/>
    <w:autoRedefine/>
    <w:qFormat/>
    <w:uiPriority w:val="0"/>
    <w:rPr>
      <w:rFonts w:eastAsia="宋体" w:cs="Times New Roman"/>
      <w:kern w:val="2"/>
      <w:sz w:val="24"/>
      <w:szCs w:val="24"/>
      <w:lang w:val="en-US" w:eastAsia="zh-CN" w:bidi="ar-SA"/>
    </w:rPr>
  </w:style>
  <w:style w:type="character" w:customStyle="1" w:styleId="61">
    <w:name w:val="正文文本 Char"/>
    <w:basedOn w:val="39"/>
    <w:link w:val="17"/>
    <w:autoRedefine/>
    <w:qFormat/>
    <w:uiPriority w:val="99"/>
    <w:rPr>
      <w:rFonts w:ascii="Times New Roman" w:hAnsi="Times New Roman" w:eastAsia="宋体" w:cs="Times New Roman"/>
      <w:szCs w:val="21"/>
    </w:rPr>
  </w:style>
  <w:style w:type="paragraph" w:customStyle="1" w:styleId="62">
    <w:name w:val="write2"/>
    <w:basedOn w:val="1"/>
    <w:autoRedefine/>
    <w:qFormat/>
    <w:uiPriority w:val="99"/>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63">
    <w:name w:val="日期 Char"/>
    <w:basedOn w:val="39"/>
    <w:link w:val="22"/>
    <w:autoRedefine/>
    <w:qFormat/>
    <w:uiPriority w:val="99"/>
    <w:rPr>
      <w:rFonts w:ascii="Times New Roman" w:hAnsi="Times New Roman" w:eastAsia="宋体" w:cs="Times New Roman"/>
      <w:szCs w:val="21"/>
    </w:rPr>
  </w:style>
  <w:style w:type="character" w:customStyle="1" w:styleId="64">
    <w:name w:val="注释标题 Char"/>
    <w:basedOn w:val="39"/>
    <w:link w:val="10"/>
    <w:autoRedefine/>
    <w:qFormat/>
    <w:uiPriority w:val="99"/>
    <w:rPr>
      <w:rFonts w:ascii="Times New Roman" w:hAnsi="Times New Roman" w:eastAsia="宋体" w:cs="Times New Roman"/>
      <w:szCs w:val="21"/>
    </w:rPr>
  </w:style>
  <w:style w:type="paragraph" w:customStyle="1" w:styleId="65">
    <w:name w:val="标题5"/>
    <w:basedOn w:val="1"/>
    <w:autoRedefine/>
    <w:qFormat/>
    <w:uiPriority w:val="0"/>
    <w:pPr>
      <w:keepNext/>
      <w:keepLines/>
      <w:widowControl w:val="0"/>
      <w:spacing w:before="60" w:after="60"/>
      <w:ind w:hanging="420" w:hangingChars="200"/>
      <w:jc w:val="both"/>
      <w:outlineLvl w:val="4"/>
    </w:pPr>
    <w:rPr>
      <w:rFonts w:cs="Times New Roman"/>
      <w:b/>
      <w:bCs/>
      <w:kern w:val="2"/>
    </w:rPr>
  </w:style>
  <w:style w:type="paragraph" w:customStyle="1" w:styleId="66">
    <w:name w:val="Revision"/>
    <w:autoRedefine/>
    <w:hidden/>
    <w:semiHidden/>
    <w:qFormat/>
    <w:uiPriority w:val="99"/>
    <w:rPr>
      <w:rFonts w:ascii="宋体" w:hAnsi="宋体" w:eastAsia="宋体" w:cs="宋体"/>
      <w:kern w:val="2"/>
      <w:sz w:val="21"/>
      <w:szCs w:val="22"/>
      <w:lang w:val="en-US" w:eastAsia="zh-CN" w:bidi="ar-SA"/>
    </w:rPr>
  </w:style>
  <w:style w:type="character" w:customStyle="1" w:styleId="67">
    <w:name w:val="正文的样式 Char"/>
    <w:basedOn w:val="39"/>
    <w:link w:val="68"/>
    <w:autoRedefine/>
    <w:qFormat/>
    <w:uiPriority w:val="0"/>
    <w:rPr>
      <w:kern w:val="2"/>
      <w:sz w:val="21"/>
      <w:szCs w:val="24"/>
    </w:rPr>
  </w:style>
  <w:style w:type="paragraph" w:customStyle="1" w:styleId="68">
    <w:name w:val="正文的样式"/>
    <w:basedOn w:val="1"/>
    <w:link w:val="67"/>
    <w:autoRedefine/>
    <w:qFormat/>
    <w:uiPriority w:val="0"/>
    <w:pPr>
      <w:widowControl w:val="0"/>
      <w:spacing w:before="100" w:after="100"/>
      <w:jc w:val="both"/>
    </w:pPr>
    <w:rPr>
      <w:rFonts w:ascii="Calibri" w:hAnsi="Calibri" w:cs="Times New Roman"/>
      <w:kern w:val="2"/>
    </w:rPr>
  </w:style>
  <w:style w:type="character" w:customStyle="1" w:styleId="69">
    <w:name w:val="文档结构图 Char"/>
    <w:basedOn w:val="39"/>
    <w:link w:val="12"/>
    <w:autoRedefine/>
    <w:semiHidden/>
    <w:qFormat/>
    <w:uiPriority w:val="99"/>
    <w:rPr>
      <w:rFonts w:ascii="宋体"/>
      <w:kern w:val="2"/>
      <w:sz w:val="18"/>
      <w:szCs w:val="18"/>
    </w:rPr>
  </w:style>
  <w:style w:type="character" w:styleId="70">
    <w:name w:val="Placeholder Text"/>
    <w:basedOn w:val="39"/>
    <w:autoRedefine/>
    <w:semiHidden/>
    <w:qFormat/>
    <w:uiPriority w:val="99"/>
    <w:rPr>
      <w:color w:val="auto"/>
    </w:rPr>
  </w:style>
  <w:style w:type="character" w:customStyle="1" w:styleId="71">
    <w:name w:val="标题 Char"/>
    <w:basedOn w:val="39"/>
    <w:link w:val="35"/>
    <w:autoRedefine/>
    <w:qFormat/>
    <w:uiPriority w:val="10"/>
    <w:rPr>
      <w:rFonts w:asciiTheme="majorHAnsi" w:hAnsiTheme="majorHAnsi" w:cstheme="majorBidi"/>
      <w:b/>
      <w:bCs/>
      <w:kern w:val="2"/>
      <w:sz w:val="32"/>
      <w:szCs w:val="32"/>
    </w:rPr>
  </w:style>
  <w:style w:type="paragraph" w:styleId="72">
    <w:name w:val="No Spacing"/>
    <w:autoRedefine/>
    <w:qFormat/>
    <w:uiPriority w:val="1"/>
    <w:pPr>
      <w:widowControl w:val="0"/>
      <w:jc w:val="both"/>
    </w:pPr>
    <w:rPr>
      <w:rFonts w:ascii="宋体" w:hAnsi="宋体" w:eastAsia="宋体" w:cs="宋体"/>
      <w:kern w:val="2"/>
      <w:sz w:val="21"/>
      <w:szCs w:val="22"/>
      <w:lang w:val="en-US" w:eastAsia="zh-CN" w:bidi="ar-SA"/>
    </w:rPr>
  </w:style>
  <w:style w:type="character" w:customStyle="1" w:styleId="73">
    <w:name w:val="标题 6 Char"/>
    <w:basedOn w:val="39"/>
    <w:link w:val="7"/>
    <w:autoRedefine/>
    <w:uiPriority w:val="9"/>
    <w:rPr>
      <w:rFonts w:asciiTheme="majorHAnsi" w:hAnsiTheme="majorHAnsi" w:cstheme="majorBidi"/>
      <w:b/>
      <w:bCs/>
      <w:sz w:val="21"/>
      <w:szCs w:val="24"/>
    </w:rPr>
  </w:style>
  <w:style w:type="character" w:customStyle="1" w:styleId="74">
    <w:name w:val="尾注文本 Char"/>
    <w:basedOn w:val="39"/>
    <w:link w:val="23"/>
    <w:autoRedefine/>
    <w:semiHidden/>
    <w:uiPriority w:val="99"/>
    <w:rPr>
      <w:rFonts w:ascii="宋体" w:hAnsi="宋体" w:cs="宋体"/>
      <w:sz w:val="21"/>
      <w:szCs w:val="24"/>
    </w:rPr>
  </w:style>
  <w:style w:type="character" w:customStyle="1" w:styleId="75">
    <w:name w:val="批注主题 Char1"/>
    <w:basedOn w:val="50"/>
    <w:semiHidden/>
    <w:uiPriority w:val="99"/>
    <w:rPr>
      <w:rFonts w:ascii="Times New Roman" w:hAnsi="Times New Roman" w:eastAsia="宋体" w:cs="Times New Roman"/>
      <w:b/>
      <w:bCs/>
      <w:szCs w:val="21"/>
    </w:rPr>
  </w:style>
  <w:style w:type="paragraph" w:customStyle="1" w:styleId="76">
    <w:name w:val="标题  3"/>
    <w:basedOn w:val="1"/>
    <w:next w:val="1"/>
    <w:link w:val="77"/>
    <w:autoRedefine/>
    <w:qFormat/>
    <w:uiPriority w:val="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77">
    <w:name w:val="标题  3 Char"/>
    <w:basedOn w:val="39"/>
    <w:link w:val="76"/>
    <w:autoRedefine/>
    <w:qFormat/>
    <w:uiPriority w:val="0"/>
    <w:rPr>
      <w:rFonts w:ascii="Times New Roman" w:hAnsi="Times New Roman"/>
      <w:b/>
      <w:kern w:val="2"/>
      <w:sz w:val="21"/>
      <w:szCs w:val="24"/>
    </w:rPr>
  </w:style>
  <w:style w:type="character" w:customStyle="1" w:styleId="78">
    <w:name w:val="批注主题 字符1"/>
    <w:basedOn w:val="50"/>
    <w:autoRedefine/>
    <w:semiHidden/>
    <w:qFormat/>
    <w:uiPriority w:val="99"/>
    <w:rPr>
      <w:rFonts w:ascii="Times New Roman" w:hAnsi="Times New Roman" w:eastAsia="宋体" w:cs="Times New Roman"/>
      <w:b/>
      <w:bCs/>
      <w:szCs w:val="21"/>
    </w:rPr>
  </w:style>
  <w:style w:type="character" w:customStyle="1" w:styleId="79">
    <w:name w:val="标题 7 Char"/>
    <w:basedOn w:val="39"/>
    <w:link w:val="8"/>
    <w:uiPriority w:val="9"/>
    <w:rPr>
      <w:rFonts w:ascii="宋体" w:hAnsi="宋体" w:cs="宋体"/>
      <w:b/>
      <w:bCs/>
      <w:sz w:val="24"/>
      <w:szCs w:val="24"/>
    </w:rPr>
  </w:style>
  <w:style w:type="character" w:customStyle="1" w:styleId="80">
    <w:name w:val="span_"/>
    <w:basedOn w:val="39"/>
    <w:uiPriority w:val="0"/>
  </w:style>
  <w:style w:type="character" w:customStyle="1" w:styleId="81">
    <w:name w:val="标题 4 Char"/>
    <w:autoRedefine/>
    <w:qFormat/>
    <w:uiPriority w:val="9"/>
    <w:rPr>
      <w:rFonts w:ascii="Cambria" w:hAnsi="Cambria"/>
      <w:b/>
      <w:bCs/>
      <w:kern w:val="2"/>
      <w:sz w:val="21"/>
      <w:szCs w:val="28"/>
    </w:rPr>
  </w:style>
  <w:style w:type="paragraph" w:customStyle="1" w:styleId="82">
    <w:name w:val="4"/>
    <w:basedOn w:val="1"/>
    <w:next w:val="55"/>
    <w:qFormat/>
    <w:uiPriority w:val="34"/>
    <w:pPr>
      <w:widowControl w:val="0"/>
      <w:ind w:firstLine="420" w:firstLineChars="200"/>
      <w:jc w:val="both"/>
    </w:pPr>
    <w:rPr>
      <w:rFonts w:ascii="Calibri" w:hAnsi="Calibri" w:cs="Times New Roman"/>
      <w:kern w:val="2"/>
      <w:szCs w:val="22"/>
    </w:rPr>
  </w:style>
  <w:style w:type="paragraph" w:customStyle="1" w:styleId="83">
    <w:name w:val="3"/>
    <w:basedOn w:val="1"/>
    <w:next w:val="55"/>
    <w:autoRedefine/>
    <w:qFormat/>
    <w:uiPriority w:val="34"/>
    <w:pPr>
      <w:widowControl w:val="0"/>
      <w:ind w:firstLine="420" w:firstLineChars="200"/>
      <w:jc w:val="both"/>
    </w:pPr>
    <w:rPr>
      <w:rFonts w:ascii="Calibri" w:hAnsi="Calibri" w:cs="Times New Roman"/>
      <w:kern w:val="2"/>
      <w:szCs w:val="22"/>
    </w:rPr>
  </w:style>
  <w:style w:type="character" w:customStyle="1" w:styleId="84">
    <w:name w:val="标题 3 Char"/>
    <w:qFormat/>
    <w:uiPriority w:val="9"/>
    <w:rPr>
      <w:b/>
      <w:bCs/>
      <w:kern w:val="2"/>
      <w:sz w:val="21"/>
      <w:szCs w:val="32"/>
    </w:rPr>
  </w:style>
  <w:style w:type="paragraph" w:customStyle="1" w:styleId="85">
    <w:name w:val="2"/>
    <w:basedOn w:val="1"/>
    <w:next w:val="55"/>
    <w:qFormat/>
    <w:uiPriority w:val="34"/>
    <w:pPr>
      <w:widowControl w:val="0"/>
      <w:ind w:firstLine="420" w:firstLineChars="200"/>
      <w:jc w:val="both"/>
    </w:pPr>
    <w:rPr>
      <w:rFonts w:ascii="Calibri" w:hAnsi="Calibri" w:cs="Times New Roman"/>
      <w:kern w:val="2"/>
      <w:szCs w:val="22"/>
    </w:rPr>
  </w:style>
  <w:style w:type="paragraph" w:customStyle="1" w:styleId="86">
    <w:name w:val="1"/>
    <w:basedOn w:val="1"/>
    <w:next w:val="55"/>
    <w:qFormat/>
    <w:uiPriority w:val="34"/>
    <w:pPr>
      <w:widowControl w:val="0"/>
      <w:ind w:firstLine="420" w:firstLineChars="200"/>
      <w:jc w:val="both"/>
    </w:pPr>
    <w:rPr>
      <w:rFonts w:ascii="Calibri" w:hAnsi="Calibri" w:cs="Times New Roman"/>
      <w:kern w:val="2"/>
      <w:szCs w:val="22"/>
    </w:rPr>
  </w:style>
  <w:style w:type="paragraph" w:customStyle="1" w:styleId="87">
    <w:name w:val="Table Paragraph"/>
    <w:basedOn w:val="1"/>
    <w:qFormat/>
    <w:uiPriority w:val="1"/>
    <w:pPr>
      <w:widowControl w:val="0"/>
      <w:autoSpaceDE w:val="0"/>
      <w:autoSpaceDN w:val="0"/>
      <w:spacing w:after="160" w:line="259" w:lineRule="auto"/>
    </w:pPr>
    <w:rPr>
      <w:rFonts w:ascii="Noto Sans CJK JP Regular" w:hAnsi="Noto Sans CJK JP Regular" w:eastAsia="Noto Sans CJK JP Regular" w:cs="Noto Sans CJK JP Regular"/>
      <w:sz w:val="22"/>
      <w:szCs w:val="22"/>
      <w:lang w:eastAsia="en-US"/>
    </w:rPr>
  </w:style>
  <w:style w:type="character" w:customStyle="1" w:styleId="88">
    <w:name w:val="批注文字 Char"/>
    <w:qFormat/>
    <w:uiPriority w:val="0"/>
    <w:rPr>
      <w:rFonts w:ascii="Times New Roman" w:hAnsi="Times New Roman"/>
      <w:kern w:val="2"/>
      <w:sz w:val="21"/>
      <w:szCs w:val="21"/>
    </w:rPr>
  </w:style>
  <w:style w:type="character" w:customStyle="1" w:styleId="89">
    <w:name w:val="标题 5 Char"/>
    <w:autoRedefine/>
    <w:qFormat/>
    <w:uiPriority w:val="9"/>
    <w:rPr>
      <w:b/>
      <w:bCs/>
      <w:kern w:val="2"/>
      <w:sz w:val="21"/>
      <w:szCs w:val="28"/>
    </w:rPr>
  </w:style>
  <w:style w:type="paragraph" w:customStyle="1" w:styleId="90">
    <w:name w:val="_Style 87"/>
    <w:basedOn w:val="1"/>
    <w:next w:val="55"/>
    <w:qFormat/>
    <w:uiPriority w:val="34"/>
    <w:pPr>
      <w:widowControl w:val="0"/>
      <w:ind w:firstLine="420" w:firstLineChars="200"/>
      <w:jc w:val="both"/>
    </w:pPr>
    <w:rPr>
      <w:rFonts w:ascii="Calibri" w:hAnsi="Calibri" w:cs="Times New Roman"/>
      <w:kern w:val="2"/>
      <w:szCs w:val="22"/>
    </w:rPr>
  </w:style>
  <w:style w:type="character" w:customStyle="1" w:styleId="91">
    <w:name w:val="批注文字 Char1"/>
    <w:autoRedefine/>
    <w:qFormat/>
    <w:uiPriority w:val="99"/>
    <w:rPr>
      <w:rFonts w:ascii="Times New Roman" w:hAnsi="Times New Roman"/>
      <w:kern w:val="2"/>
      <w:sz w:val="21"/>
      <w:szCs w:val="21"/>
    </w:rPr>
  </w:style>
  <w:style w:type="character" w:customStyle="1" w:styleId="92">
    <w:name w:val="标题 3 Char1"/>
    <w:uiPriority w:val="9"/>
    <w:rPr>
      <w:b/>
      <w:bCs/>
      <w:kern w:val="2"/>
      <w:sz w:val="21"/>
      <w:szCs w:val="32"/>
    </w:rPr>
  </w:style>
  <w:style w:type="character" w:customStyle="1" w:styleId="93">
    <w:name w:val="标题 2 Char"/>
    <w:uiPriority w:val="0"/>
    <w:rPr>
      <w:rFonts w:ascii="Arial" w:hAnsi="Arial"/>
      <w:b/>
      <w:bCs/>
      <w:kern w:val="2"/>
      <w:sz w:val="21"/>
      <w:szCs w:val="21"/>
    </w:rPr>
  </w:style>
  <w:style w:type="character" w:customStyle="1" w:styleId="94">
    <w:name w:val="标题 4 Char1"/>
    <w:uiPriority w:val="9"/>
    <w:rPr>
      <w:rFonts w:ascii="Cambria" w:hAnsi="Cambria"/>
      <w:b/>
      <w:bCs/>
      <w:kern w:val="2"/>
      <w:sz w:val="21"/>
      <w:szCs w:val="28"/>
    </w:rPr>
  </w:style>
  <w:style w:type="character" w:customStyle="1" w:styleId="95">
    <w:name w:val="标题 5 Char1"/>
    <w:uiPriority w:val="9"/>
    <w:rPr>
      <w:b/>
      <w:bCs/>
      <w:kern w:val="2"/>
      <w:sz w:val="21"/>
      <w:szCs w:val="28"/>
    </w:rPr>
  </w:style>
  <w:style w:type="paragraph" w:customStyle="1" w:styleId="96">
    <w:name w:val="_Style 93"/>
    <w:basedOn w:val="1"/>
    <w:next w:val="55"/>
    <w:autoRedefine/>
    <w:qFormat/>
    <w:uiPriority w:val="34"/>
    <w:pPr>
      <w:widowControl w:val="0"/>
      <w:ind w:firstLine="420" w:firstLineChars="200"/>
      <w:jc w:val="both"/>
    </w:pPr>
    <w:rPr>
      <w:rFonts w:ascii="Calibri" w:hAnsi="Calibri" w:cs="Times New Roman"/>
      <w:kern w:val="2"/>
      <w:szCs w:val="22"/>
    </w:rPr>
  </w:style>
  <w:style w:type="character" w:customStyle="1" w:styleId="97">
    <w:name w:val="批注文字 Char2"/>
    <w:uiPriority w:val="99"/>
    <w:rPr>
      <w:rFonts w:ascii="Times New Roman" w:hAnsi="Times New Roman"/>
      <w:kern w:val="2"/>
      <w:sz w:val="21"/>
      <w:szCs w:val="21"/>
    </w:rPr>
  </w:style>
  <w:style w:type="character" w:customStyle="1" w:styleId="98">
    <w:name w:val="批注文字 Char3"/>
    <w:uiPriority w:val="0"/>
    <w:rPr>
      <w:rFonts w:ascii="Times New Roman" w:hAnsi="Times New Roman" w:cs="Times New Roman"/>
      <w:bCs/>
      <w:kern w:val="2"/>
      <w:sz w:val="21"/>
      <w:szCs w:val="21"/>
    </w:rPr>
  </w:style>
  <w:style w:type="character" w:customStyle="1" w:styleId="99">
    <w:name w:val="称呼 Char"/>
    <w:autoRedefine/>
    <w:qFormat/>
    <w:uiPriority w:val="99"/>
    <w:rPr>
      <w:rFonts w:ascii="Times New Roman" w:hAnsi="Times New Roman"/>
      <w:kern w:val="2"/>
      <w:sz w:val="21"/>
      <w:szCs w:val="21"/>
    </w:rPr>
  </w:style>
  <w:style w:type="character" w:customStyle="1" w:styleId="100">
    <w:name w:val="fontstyle01"/>
    <w:autoRedefine/>
    <w:qFormat/>
    <w:uiPriority w:val="0"/>
    <w:rPr>
      <w:rFonts w:hint="default" w:ascii="FZLTSK--GBK1-0" w:hAnsi="FZLTSK--GBK1-0"/>
      <w:color w:val="000000"/>
      <w:sz w:val="20"/>
      <w:szCs w:val="20"/>
    </w:rPr>
  </w:style>
  <w:style w:type="character" w:customStyle="1" w:styleId="101">
    <w:name w:val="批注文字 字符1"/>
    <w:autoRedefine/>
    <w:semiHidden/>
    <w:qFormat/>
    <w:locked/>
    <w:uiPriority w:val="99"/>
    <w:rPr>
      <w:rFonts w:ascii="Times New Roman" w:hAnsi="Times New Roman"/>
      <w:kern w:val="2"/>
      <w:sz w:val="21"/>
      <w:szCs w:val="21"/>
    </w:rPr>
  </w:style>
  <w:style w:type="character" w:customStyle="1" w:styleId="102">
    <w:name w:val="标题 2 Char1"/>
    <w:uiPriority w:val="0"/>
    <w:rPr>
      <w:rFonts w:ascii="Arial" w:hAnsi="Arial"/>
      <w:b/>
      <w:bCs/>
      <w:kern w:val="2"/>
      <w:sz w:val="21"/>
      <w:szCs w:val="21"/>
    </w:rPr>
  </w:style>
  <w:style w:type="character" w:customStyle="1" w:styleId="103">
    <w:name w:val="标题 5 Char2"/>
    <w:uiPriority w:val="9"/>
    <w:rPr>
      <w:b/>
      <w:bCs/>
      <w:kern w:val="2"/>
      <w:sz w:val="21"/>
      <w:szCs w:val="28"/>
    </w:rPr>
  </w:style>
  <w:style w:type="character" w:customStyle="1" w:styleId="104">
    <w:name w:val="标题 3 Char2"/>
    <w:autoRedefine/>
    <w:qFormat/>
    <w:uiPriority w:val="9"/>
    <w:rPr>
      <w:b/>
      <w:bCs/>
      <w:kern w:val="2"/>
      <w:sz w:val="21"/>
      <w:szCs w:val="32"/>
    </w:rPr>
  </w:style>
  <w:style w:type="character" w:customStyle="1" w:styleId="105">
    <w:name w:val="标题 3 Char3"/>
    <w:autoRedefine/>
    <w:qFormat/>
    <w:uiPriority w:val="9"/>
    <w:rPr>
      <w:b/>
      <w:bCs/>
      <w:kern w:val="2"/>
      <w:sz w:val="21"/>
      <w:szCs w:val="32"/>
    </w:rPr>
  </w:style>
  <w:style w:type="paragraph" w:customStyle="1" w:styleId="106">
    <w:name w:val="列出段落1"/>
    <w:basedOn w:val="1"/>
    <w:uiPriority w:val="0"/>
    <w:pPr>
      <w:widowControl w:val="0"/>
      <w:ind w:firstLine="420" w:firstLineChars="200"/>
      <w:jc w:val="both"/>
    </w:pPr>
    <w:rPr>
      <w:rFonts w:ascii="Calibri" w:hAnsi="Calibri" w:cs="Times New Roman"/>
      <w:kern w:val="2"/>
    </w:rPr>
  </w:style>
  <w:style w:type="paragraph" w:customStyle="1" w:styleId="107">
    <w:name w:val="列出段落11"/>
    <w:basedOn w:val="1"/>
    <w:autoRedefine/>
    <w:qFormat/>
    <w:uiPriority w:val="0"/>
    <w:pPr>
      <w:widowControl w:val="0"/>
      <w:ind w:firstLine="420" w:firstLineChars="200"/>
      <w:jc w:val="both"/>
    </w:pPr>
    <w:rPr>
      <w:rFonts w:ascii="Calibri" w:hAnsi="Calibri" w:cs="Times New Roman"/>
      <w:kern w:val="2"/>
    </w:rPr>
  </w:style>
  <w:style w:type="table" w:customStyle="1" w:styleId="108">
    <w:name w:val="g24"/>
    <w:basedOn w:val="37"/>
    <w:uiPriority w:val="0"/>
    <w:pPr>
      <w:widowControl w:val="0"/>
      <w:jc w:val="both"/>
    </w:pPr>
    <w:rPr>
      <w:rFonts w:ascii="Times New Roman" w:hAnsi="Times New Roman" w:eastAsia="Times New Roman" w:cs="Times New Roman"/>
      <w:bCs/>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
    <w:name w:val="g32"/>
    <w:basedOn w:val="37"/>
    <w:autoRedefine/>
    <w:qFormat/>
    <w:uiPriority w:val="0"/>
    <w:rPr>
      <w:rFonts w:ascii="Calibri" w:hAnsi="Calibri" w:eastAsia="Times New Roman" w:cs="Times New Roman"/>
      <w:bCs/>
      <w:sz w:val="20"/>
      <w:szCs w:val="20"/>
    </w:rPr>
    <w:tblPr/>
  </w:style>
  <w:style w:type="paragraph" w:customStyle="1" w:styleId="110">
    <w:name w:val="正文1"/>
    <w:basedOn w:val="1"/>
    <w:autoRedefine/>
    <w:qFormat/>
    <w:uiPriority w:val="0"/>
    <w:pPr>
      <w:jc w:val="both"/>
    </w:pPr>
    <w:rPr>
      <w:rFonts w:ascii="Calibri" w:hAnsi="Calibri" w:cs="Calibri"/>
      <w:bCs/>
      <w:kern w:val="2"/>
    </w:rPr>
  </w:style>
  <w:style w:type="paragraph" w:customStyle="1" w:styleId="111">
    <w:name w:val="_Style 463"/>
    <w:basedOn w:val="1"/>
    <w:autoRedefine/>
    <w:qFormat/>
    <w:uiPriority w:val="0"/>
    <w:rPr>
      <w:bCs/>
    </w:rPr>
  </w:style>
  <w:style w:type="paragraph" w:customStyle="1" w:styleId="112">
    <w:name w:val="正文2"/>
    <w:uiPriority w:val="0"/>
    <w:pPr>
      <w:jc w:val="both"/>
    </w:pPr>
    <w:rPr>
      <w:rFonts w:ascii="宋体" w:hAnsi="宋体" w:eastAsia="宋体" w:cs="宋体"/>
      <w:bCs/>
      <w:kern w:val="2"/>
      <w:sz w:val="21"/>
      <w:szCs w:val="21"/>
      <w:lang w:val="en-US" w:eastAsia="zh-CN" w:bidi="ar-SA"/>
    </w:rPr>
  </w:style>
  <w:style w:type="character" w:customStyle="1" w:styleId="113">
    <w:name w:val="脚注文本 Char"/>
    <w:basedOn w:val="39"/>
    <w:link w:val="29"/>
    <w:autoRedefine/>
    <w:qFormat/>
    <w:uiPriority w:val="99"/>
    <w:rPr>
      <w:sz w:val="18"/>
      <w:szCs w:val="18"/>
    </w:rPr>
  </w:style>
  <w:style w:type="paragraph" w:customStyle="1" w:styleId="114">
    <w:name w:val="_Style 113"/>
    <w:autoRedefine/>
    <w:qFormat/>
    <w:uiPriority w:val="0"/>
    <w:rPr>
      <w:rFonts w:ascii="宋体" w:hAnsi="宋体" w:eastAsia="宋体" w:cs="宋体"/>
      <w:sz w:val="21"/>
      <w:szCs w:val="21"/>
      <w:lang w:val="en-US" w:eastAsia="zh-CN" w:bidi="ar-SA"/>
    </w:rPr>
  </w:style>
  <w:style w:type="paragraph" w:customStyle="1" w:styleId="115">
    <w:name w:val="_Style 114"/>
    <w:basedOn w:val="114"/>
    <w:autoRedefine/>
    <w:qFormat/>
    <w:uiPriority w:val="99"/>
    <w:pPr>
      <w:keepNext/>
      <w:keepLines/>
      <w:widowControl w:val="0"/>
      <w:spacing w:before="60" w:after="60" w:line="360" w:lineRule="auto"/>
      <w:jc w:val="center"/>
      <w:outlineLvl w:val="0"/>
    </w:pPr>
    <w:rPr>
      <w:rFonts w:ascii="Calibri" w:hAnsi="Calibri" w:eastAsia="黑体" w:cs="Times New Roman"/>
      <w:b/>
      <w:bCs/>
      <w:kern w:val="44"/>
      <w:sz w:val="28"/>
      <w:szCs w:val="44"/>
    </w:rPr>
  </w:style>
  <w:style w:type="paragraph" w:customStyle="1" w:styleId="116">
    <w:name w:val="标题 2 Char Char Char"/>
    <w:basedOn w:val="114"/>
    <w:autoRedefine/>
    <w:qFormat/>
    <w:uiPriority w:val="0"/>
    <w:pPr>
      <w:keepNext/>
      <w:keepLines/>
      <w:widowControl w:val="0"/>
      <w:spacing w:before="60" w:after="60"/>
      <w:ind w:left="200" w:hanging="200" w:hangingChars="200"/>
      <w:jc w:val="both"/>
      <w:outlineLvl w:val="1"/>
    </w:pPr>
    <w:rPr>
      <w:rFonts w:ascii="Arial" w:hAnsi="Arial" w:cs="Times New Roman"/>
      <w:b/>
      <w:bCs/>
      <w:kern w:val="2"/>
    </w:rPr>
  </w:style>
  <w:style w:type="paragraph" w:customStyle="1" w:styleId="117">
    <w:name w:val="_Style 116"/>
    <w:basedOn w:val="114"/>
    <w:autoRedefine/>
    <w:qFormat/>
    <w:uiPriority w:val="9"/>
    <w:pPr>
      <w:keepNext/>
      <w:keepLines/>
      <w:widowControl w:val="0"/>
      <w:spacing w:before="60" w:after="60"/>
      <w:jc w:val="both"/>
      <w:outlineLvl w:val="2"/>
    </w:pPr>
    <w:rPr>
      <w:rFonts w:ascii="Calibri" w:hAnsi="Calibri" w:cs="Times New Roman"/>
      <w:b/>
      <w:bCs/>
      <w:kern w:val="2"/>
      <w:szCs w:val="32"/>
    </w:rPr>
  </w:style>
  <w:style w:type="paragraph" w:customStyle="1" w:styleId="118">
    <w:name w:val="_Style 117"/>
    <w:basedOn w:val="114"/>
    <w:autoRedefine/>
    <w:qFormat/>
    <w:uiPriority w:val="9"/>
    <w:pPr>
      <w:keepNext/>
      <w:keepLines/>
      <w:widowControl w:val="0"/>
      <w:spacing w:before="60" w:after="60"/>
      <w:jc w:val="both"/>
      <w:outlineLvl w:val="3"/>
    </w:pPr>
    <w:rPr>
      <w:rFonts w:ascii="Cambria" w:hAnsi="Cambria" w:cs="Times New Roman"/>
      <w:b/>
      <w:bCs/>
      <w:kern w:val="2"/>
      <w:szCs w:val="28"/>
    </w:rPr>
  </w:style>
  <w:style w:type="paragraph" w:customStyle="1" w:styleId="119">
    <w:name w:val="_Style 118"/>
    <w:basedOn w:val="114"/>
    <w:qFormat/>
    <w:uiPriority w:val="9"/>
    <w:pPr>
      <w:keepNext/>
      <w:keepLines/>
      <w:widowControl w:val="0"/>
      <w:spacing w:before="60" w:after="60"/>
      <w:jc w:val="both"/>
      <w:outlineLvl w:val="4"/>
    </w:pPr>
    <w:rPr>
      <w:rFonts w:ascii="Calibri" w:hAnsi="Calibri" w:cs="Times New Roman"/>
      <w:b/>
      <w:bCs/>
      <w:kern w:val="2"/>
      <w:szCs w:val="28"/>
    </w:rPr>
  </w:style>
  <w:style w:type="paragraph" w:customStyle="1" w:styleId="120">
    <w:name w:val="_Style 119"/>
    <w:basedOn w:val="114"/>
    <w:unhideWhenUsed/>
    <w:qFormat/>
    <w:uiPriority w:val="9"/>
    <w:pPr>
      <w:keepNext/>
      <w:keepLines/>
      <w:spacing w:before="60" w:after="60"/>
      <w:outlineLvl w:val="5"/>
    </w:pPr>
    <w:rPr>
      <w:rFonts w:asciiTheme="majorHAnsi" w:hAnsiTheme="majorHAnsi" w:cstheme="majorBidi"/>
      <w:b/>
      <w:bCs/>
    </w:rPr>
  </w:style>
  <w:style w:type="paragraph" w:customStyle="1" w:styleId="121">
    <w:name w:val="_Style 120"/>
    <w:basedOn w:val="114"/>
    <w:unhideWhenUsed/>
    <w:qFormat/>
    <w:uiPriority w:val="9"/>
    <w:pPr>
      <w:keepNext/>
      <w:keepLines/>
      <w:spacing w:before="240" w:after="64" w:line="320" w:lineRule="auto"/>
      <w:outlineLvl w:val="6"/>
    </w:pPr>
    <w:rPr>
      <w:b/>
      <w:bCs/>
      <w:sz w:val="24"/>
    </w:rPr>
  </w:style>
  <w:style w:type="character" w:customStyle="1" w:styleId="122">
    <w:name w:val="_Style 121"/>
    <w:autoRedefine/>
    <w:unhideWhenUsed/>
    <w:qFormat/>
    <w:uiPriority w:val="1"/>
  </w:style>
  <w:style w:type="table" w:customStyle="1" w:styleId="123">
    <w:name w:val="_Style 122"/>
    <w:semiHidden/>
    <w:unhideWhenUsed/>
    <w:uiPriority w:val="99"/>
    <w:tblPr>
      <w:tblCellMar>
        <w:top w:w="0" w:type="dxa"/>
        <w:left w:w="108" w:type="dxa"/>
        <w:bottom w:w="0" w:type="dxa"/>
        <w:right w:w="108" w:type="dxa"/>
      </w:tblCellMar>
    </w:tblPr>
  </w:style>
  <w:style w:type="character" w:customStyle="1" w:styleId="124">
    <w:name w:val="_Style 123"/>
    <w:basedOn w:val="122"/>
    <w:autoRedefine/>
    <w:qFormat/>
    <w:uiPriority w:val="99"/>
    <w:rPr>
      <w:rFonts w:eastAsia="黑体"/>
      <w:b/>
      <w:bCs/>
      <w:kern w:val="44"/>
      <w:sz w:val="28"/>
      <w:szCs w:val="44"/>
    </w:rPr>
  </w:style>
  <w:style w:type="character" w:customStyle="1" w:styleId="125">
    <w:name w:val="标题 2 Char Char Char Char2"/>
    <w:basedOn w:val="122"/>
    <w:uiPriority w:val="0"/>
    <w:rPr>
      <w:rFonts w:ascii="Arial" w:hAnsi="Arial"/>
      <w:b/>
      <w:bCs/>
      <w:kern w:val="2"/>
      <w:sz w:val="21"/>
      <w:szCs w:val="21"/>
    </w:rPr>
  </w:style>
  <w:style w:type="character" w:customStyle="1" w:styleId="126">
    <w:name w:val="_Style 125"/>
    <w:basedOn w:val="122"/>
    <w:autoRedefine/>
    <w:qFormat/>
    <w:uiPriority w:val="9"/>
    <w:rPr>
      <w:b/>
      <w:bCs/>
      <w:kern w:val="2"/>
      <w:sz w:val="21"/>
      <w:szCs w:val="32"/>
    </w:rPr>
  </w:style>
  <w:style w:type="character" w:customStyle="1" w:styleId="127">
    <w:name w:val="_Style 126"/>
    <w:basedOn w:val="122"/>
    <w:uiPriority w:val="9"/>
    <w:rPr>
      <w:rFonts w:ascii="Cambria" w:hAnsi="Cambria"/>
      <w:b/>
      <w:bCs/>
      <w:kern w:val="2"/>
      <w:sz w:val="21"/>
      <w:szCs w:val="28"/>
    </w:rPr>
  </w:style>
  <w:style w:type="character" w:customStyle="1" w:styleId="128">
    <w:name w:val="_Style 127"/>
    <w:basedOn w:val="122"/>
    <w:autoRedefine/>
    <w:qFormat/>
    <w:uiPriority w:val="9"/>
    <w:rPr>
      <w:b/>
      <w:bCs/>
      <w:kern w:val="2"/>
      <w:sz w:val="21"/>
      <w:szCs w:val="28"/>
    </w:rPr>
  </w:style>
  <w:style w:type="paragraph" w:customStyle="1" w:styleId="129">
    <w:name w:val="_Style 128"/>
    <w:basedOn w:val="115"/>
    <w:qFormat/>
    <w:uiPriority w:val="39"/>
    <w:pPr>
      <w:widowControl/>
      <w:spacing w:before="480" w:after="0" w:line="276" w:lineRule="auto"/>
      <w:outlineLvl w:val="9"/>
    </w:pPr>
    <w:rPr>
      <w:rFonts w:ascii="Cambria" w:hAnsi="Cambria" w:eastAsia="宋体"/>
      <w:color w:val="365F91"/>
      <w:kern w:val="0"/>
      <w:szCs w:val="28"/>
    </w:rPr>
  </w:style>
  <w:style w:type="paragraph" w:customStyle="1" w:styleId="130">
    <w:name w:val="_Style 129"/>
    <w:basedOn w:val="114"/>
    <w:autoRedefine/>
    <w:qFormat/>
    <w:uiPriority w:val="39"/>
    <w:pPr>
      <w:widowControl w:val="0"/>
      <w:tabs>
        <w:tab w:val="left" w:pos="1260"/>
        <w:tab w:val="right" w:leader="dot" w:pos="8823"/>
      </w:tabs>
      <w:jc w:val="center"/>
    </w:pPr>
    <w:rPr>
      <w:rFonts w:ascii="Times New Roman" w:hAnsi="Times New Roman" w:cs="Times New Roman"/>
      <w:kern w:val="2"/>
    </w:rPr>
  </w:style>
  <w:style w:type="paragraph" w:customStyle="1" w:styleId="131">
    <w:name w:val="_Style 130"/>
    <w:basedOn w:val="114"/>
    <w:autoRedefine/>
    <w:qFormat/>
    <w:uiPriority w:val="39"/>
    <w:pPr>
      <w:widowControl w:val="0"/>
      <w:ind w:left="420" w:leftChars="200"/>
      <w:jc w:val="both"/>
    </w:pPr>
    <w:rPr>
      <w:rFonts w:ascii="Times New Roman" w:hAnsi="Times New Roman" w:cs="Times New Roman"/>
      <w:kern w:val="2"/>
    </w:rPr>
  </w:style>
  <w:style w:type="character" w:customStyle="1" w:styleId="132">
    <w:name w:val="_Style 131"/>
    <w:basedOn w:val="122"/>
    <w:uiPriority w:val="99"/>
    <w:rPr>
      <w:rFonts w:cs="Times New Roman"/>
      <w:color w:val="0000FF"/>
      <w:u w:val="single"/>
    </w:rPr>
  </w:style>
  <w:style w:type="character" w:customStyle="1" w:styleId="133">
    <w:name w:val="_Style 132"/>
    <w:basedOn w:val="122"/>
    <w:uiPriority w:val="99"/>
    <w:rPr>
      <w:rFonts w:eastAsia="宋体" w:cs="Times New Roman"/>
      <w:kern w:val="2"/>
      <w:sz w:val="21"/>
      <w:szCs w:val="21"/>
      <w:lang w:val="en-US" w:eastAsia="zh-CN" w:bidi="ar-SA"/>
    </w:rPr>
  </w:style>
  <w:style w:type="paragraph" w:customStyle="1" w:styleId="134">
    <w:name w:val="_Style 133"/>
    <w:basedOn w:val="114"/>
    <w:qFormat/>
    <w:uiPriority w:val="0"/>
    <w:pPr>
      <w:widowControl w:val="0"/>
    </w:pPr>
    <w:rPr>
      <w:rFonts w:ascii="Times New Roman" w:hAnsi="Times New Roman" w:cs="Times New Roman"/>
      <w:kern w:val="2"/>
    </w:rPr>
  </w:style>
  <w:style w:type="character" w:customStyle="1" w:styleId="135">
    <w:name w:val="_Style 134"/>
    <w:basedOn w:val="122"/>
    <w:uiPriority w:val="99"/>
    <w:rPr>
      <w:rFonts w:ascii="Times New Roman" w:hAnsi="Times New Roman" w:eastAsia="宋体" w:cs="Times New Roman"/>
      <w:szCs w:val="21"/>
    </w:rPr>
  </w:style>
  <w:style w:type="paragraph" w:customStyle="1" w:styleId="136">
    <w:name w:val="_Style 135"/>
    <w:basedOn w:val="114"/>
    <w:unhideWhenUsed/>
    <w:uiPriority w:val="99"/>
    <w:pPr>
      <w:widowControl w:val="0"/>
      <w:jc w:val="both"/>
    </w:pPr>
    <w:rPr>
      <w:rFonts w:ascii="Calibri" w:hAnsi="Calibri" w:cs="Times New Roman"/>
      <w:kern w:val="2"/>
      <w:sz w:val="18"/>
      <w:szCs w:val="18"/>
    </w:rPr>
  </w:style>
  <w:style w:type="character" w:customStyle="1" w:styleId="137">
    <w:name w:val="_Style 136"/>
    <w:basedOn w:val="122"/>
    <w:autoRedefine/>
    <w:qFormat/>
    <w:uiPriority w:val="99"/>
    <w:rPr>
      <w:rFonts w:ascii="Calibri" w:hAnsi="Calibri" w:eastAsia="宋体" w:cs="Times New Roman"/>
      <w:sz w:val="18"/>
      <w:szCs w:val="18"/>
    </w:rPr>
  </w:style>
  <w:style w:type="paragraph" w:customStyle="1" w:styleId="138">
    <w:name w:val="_Style 137"/>
    <w:basedOn w:val="114"/>
    <w:uiPriority w:val="99"/>
    <w:pPr>
      <w:widowControl w:val="0"/>
      <w:jc w:val="both"/>
    </w:pPr>
    <w:rPr>
      <w:rFonts w:ascii="Times New Roman" w:hAnsi="Times New Roman" w:cs="Times New Roman"/>
      <w:kern w:val="2"/>
    </w:rPr>
  </w:style>
  <w:style w:type="character" w:customStyle="1" w:styleId="139">
    <w:name w:val="_Style 138"/>
    <w:basedOn w:val="122"/>
    <w:uiPriority w:val="99"/>
    <w:rPr>
      <w:rFonts w:ascii="Times New Roman" w:hAnsi="Times New Roman" w:eastAsia="宋体" w:cs="Times New Roman"/>
      <w:szCs w:val="21"/>
    </w:rPr>
  </w:style>
  <w:style w:type="character" w:customStyle="1" w:styleId="140">
    <w:name w:val="_Style 139"/>
    <w:basedOn w:val="122"/>
    <w:uiPriority w:val="99"/>
    <w:rPr>
      <w:rFonts w:eastAsia="宋体" w:cs="Times New Roman"/>
      <w:color w:val="FF0000"/>
      <w:kern w:val="2"/>
      <w:sz w:val="24"/>
      <w:szCs w:val="24"/>
      <w:lang w:val="en-US" w:eastAsia="zh-CN" w:bidi="ar-SA"/>
    </w:rPr>
  </w:style>
  <w:style w:type="paragraph" w:customStyle="1" w:styleId="141">
    <w:name w:val="_Style 140"/>
    <w:basedOn w:val="114"/>
    <w:uiPriority w:val="99"/>
    <w:pPr>
      <w:spacing w:before="100" w:after="100"/>
      <w:jc w:val="right"/>
    </w:pPr>
    <w:rPr>
      <w:rFonts w:ascii="Arial Unicode MS" w:hAnsi="Times New Roman" w:eastAsia="Arial Unicode MS" w:cs="Times New Roman"/>
      <w:sz w:val="18"/>
      <w:szCs w:val="18"/>
    </w:rPr>
  </w:style>
  <w:style w:type="paragraph" w:customStyle="1" w:styleId="142">
    <w:name w:val="_Style 141"/>
    <w:basedOn w:val="114"/>
    <w:qFormat/>
    <w:uiPriority w:val="34"/>
    <w:pPr>
      <w:widowControl w:val="0"/>
      <w:ind w:firstLine="420" w:firstLineChars="200"/>
      <w:jc w:val="both"/>
    </w:pPr>
    <w:rPr>
      <w:rFonts w:ascii="Calibri" w:hAnsi="Calibri" w:cs="Times New Roman"/>
      <w:kern w:val="2"/>
      <w:szCs w:val="22"/>
    </w:rPr>
  </w:style>
  <w:style w:type="character" w:customStyle="1" w:styleId="143">
    <w:name w:val="_Style 142"/>
    <w:basedOn w:val="135"/>
    <w:uiPriority w:val="99"/>
    <w:rPr>
      <w:rFonts w:ascii="Calibri" w:hAnsi="Calibri" w:eastAsia="宋体" w:cs="Times New Roman"/>
      <w:b/>
      <w:bCs/>
      <w:szCs w:val="21"/>
    </w:rPr>
  </w:style>
  <w:style w:type="paragraph" w:customStyle="1" w:styleId="144">
    <w:name w:val="_Style 143"/>
    <w:basedOn w:val="134"/>
    <w:unhideWhenUsed/>
    <w:uiPriority w:val="99"/>
    <w:rPr>
      <w:rFonts w:ascii="Calibri" w:hAnsi="Calibri"/>
      <w:b/>
      <w:bCs/>
      <w:szCs w:val="22"/>
    </w:rPr>
  </w:style>
  <w:style w:type="paragraph" w:customStyle="1" w:styleId="145">
    <w:name w:val="_Style 144"/>
    <w:basedOn w:val="114"/>
    <w:autoRedefine/>
    <w:unhideWhenUsed/>
    <w:qFormat/>
    <w:uiPriority w:val="39"/>
    <w:pPr>
      <w:spacing w:after="100" w:line="276" w:lineRule="auto"/>
      <w:ind w:left="440"/>
    </w:pPr>
    <w:rPr>
      <w:rFonts w:ascii="Calibri" w:hAnsi="Calibri" w:cs="Times New Roman"/>
      <w:sz w:val="22"/>
      <w:szCs w:val="22"/>
    </w:rPr>
  </w:style>
  <w:style w:type="paragraph" w:customStyle="1" w:styleId="146">
    <w:name w:val="_Style 145"/>
    <w:basedOn w:val="114"/>
    <w:unhideWhenUsed/>
    <w:uiPriority w:val="99"/>
    <w:pPr>
      <w:widowControl w:val="0"/>
      <w:pBdr>
        <w:bottom w:val="single" w:color="auto" w:sz="6" w:space="1"/>
      </w:pBdr>
      <w:tabs>
        <w:tab w:val="center" w:pos="4153"/>
        <w:tab w:val="right" w:pos="8306"/>
      </w:tabs>
      <w:snapToGrid w:val="0"/>
      <w:jc w:val="center"/>
    </w:pPr>
    <w:rPr>
      <w:rFonts w:ascii="Calibri" w:hAnsi="Calibri" w:cs="Times New Roman"/>
      <w:kern w:val="2"/>
      <w:sz w:val="18"/>
      <w:szCs w:val="18"/>
    </w:rPr>
  </w:style>
  <w:style w:type="character" w:customStyle="1" w:styleId="147">
    <w:name w:val="_Style 146"/>
    <w:basedOn w:val="122"/>
    <w:uiPriority w:val="99"/>
    <w:rPr>
      <w:rFonts w:ascii="Calibri" w:hAnsi="Calibri" w:eastAsia="宋体" w:cs="Times New Roman"/>
      <w:sz w:val="18"/>
      <w:szCs w:val="18"/>
    </w:rPr>
  </w:style>
  <w:style w:type="paragraph" w:customStyle="1" w:styleId="148">
    <w:name w:val="_Style 147"/>
    <w:basedOn w:val="114"/>
    <w:unhideWhenUsed/>
    <w:uiPriority w:val="99"/>
    <w:pPr>
      <w:widowControl w:val="0"/>
      <w:tabs>
        <w:tab w:val="center" w:pos="4153"/>
        <w:tab w:val="right" w:pos="8306"/>
      </w:tabs>
      <w:snapToGrid w:val="0"/>
    </w:pPr>
    <w:rPr>
      <w:rFonts w:ascii="Calibri" w:hAnsi="Calibri" w:cs="Times New Roman"/>
      <w:kern w:val="2"/>
      <w:sz w:val="18"/>
      <w:szCs w:val="18"/>
    </w:rPr>
  </w:style>
  <w:style w:type="character" w:customStyle="1" w:styleId="149">
    <w:name w:val="_Style 148"/>
    <w:basedOn w:val="122"/>
    <w:uiPriority w:val="99"/>
    <w:rPr>
      <w:rFonts w:ascii="Calibri" w:hAnsi="Calibri" w:eastAsia="宋体" w:cs="Times New Roman"/>
      <w:sz w:val="18"/>
      <w:szCs w:val="18"/>
    </w:rPr>
  </w:style>
  <w:style w:type="paragraph" w:customStyle="1" w:styleId="150">
    <w:name w:val="_Style 149"/>
    <w:basedOn w:val="114"/>
    <w:uiPriority w:val="0"/>
    <w:pPr>
      <w:widowControl w:val="0"/>
      <w:jc w:val="both"/>
    </w:pPr>
    <w:rPr>
      <w:rFonts w:hAnsi="Courier New" w:cs="Times New Roman"/>
      <w:kern w:val="2"/>
      <w:szCs w:val="20"/>
    </w:rPr>
  </w:style>
  <w:style w:type="character" w:customStyle="1" w:styleId="151">
    <w:name w:val="_Style 150"/>
    <w:basedOn w:val="122"/>
    <w:autoRedefine/>
    <w:qFormat/>
    <w:uiPriority w:val="0"/>
    <w:rPr>
      <w:rFonts w:ascii="宋体" w:hAnsi="Courier New" w:eastAsia="宋体" w:cs="Times New Roman"/>
      <w:szCs w:val="20"/>
    </w:rPr>
  </w:style>
  <w:style w:type="character" w:customStyle="1" w:styleId="152">
    <w:name w:val="_Style 151"/>
    <w:basedOn w:val="122"/>
    <w:uiPriority w:val="0"/>
    <w:rPr>
      <w:rFonts w:eastAsia="宋体" w:cs="Times New Roman"/>
      <w:kern w:val="2"/>
      <w:sz w:val="24"/>
      <w:szCs w:val="24"/>
      <w:lang w:val="en-US" w:eastAsia="zh-CN" w:bidi="ar-SA"/>
    </w:rPr>
  </w:style>
  <w:style w:type="paragraph" w:customStyle="1" w:styleId="153">
    <w:name w:val="_Style 152"/>
    <w:basedOn w:val="114"/>
    <w:uiPriority w:val="99"/>
    <w:pPr>
      <w:widowControl w:val="0"/>
      <w:spacing w:after="120"/>
      <w:jc w:val="both"/>
    </w:pPr>
    <w:rPr>
      <w:rFonts w:ascii="Times New Roman" w:hAnsi="Times New Roman" w:cs="Times New Roman"/>
      <w:kern w:val="2"/>
    </w:rPr>
  </w:style>
  <w:style w:type="character" w:customStyle="1" w:styleId="154">
    <w:name w:val="_Style 153"/>
    <w:basedOn w:val="122"/>
    <w:uiPriority w:val="99"/>
    <w:rPr>
      <w:rFonts w:ascii="Times New Roman" w:hAnsi="Times New Roman" w:eastAsia="宋体" w:cs="Times New Roman"/>
      <w:szCs w:val="21"/>
    </w:rPr>
  </w:style>
  <w:style w:type="paragraph" w:customStyle="1" w:styleId="155">
    <w:name w:val="_Style 154"/>
    <w:basedOn w:val="114"/>
    <w:uiPriority w:val="99"/>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customStyle="1" w:styleId="156">
    <w:name w:val="_Style 155"/>
    <w:basedOn w:val="114"/>
    <w:uiPriority w:val="99"/>
    <w:pPr>
      <w:widowControl w:val="0"/>
      <w:ind w:left="100" w:leftChars="2500"/>
      <w:jc w:val="both"/>
    </w:pPr>
    <w:rPr>
      <w:rFonts w:ascii="Times New Roman" w:hAnsi="Times New Roman" w:cs="Times New Roman"/>
      <w:kern w:val="2"/>
    </w:rPr>
  </w:style>
  <w:style w:type="character" w:customStyle="1" w:styleId="157">
    <w:name w:val="_Style 156"/>
    <w:basedOn w:val="122"/>
    <w:autoRedefine/>
    <w:qFormat/>
    <w:uiPriority w:val="99"/>
    <w:rPr>
      <w:rFonts w:ascii="Times New Roman" w:hAnsi="Times New Roman" w:eastAsia="宋体" w:cs="Times New Roman"/>
      <w:szCs w:val="21"/>
    </w:rPr>
  </w:style>
  <w:style w:type="paragraph" w:customStyle="1" w:styleId="158">
    <w:name w:val="_Style 157"/>
    <w:basedOn w:val="114"/>
    <w:uiPriority w:val="99"/>
    <w:pPr>
      <w:widowControl w:val="0"/>
      <w:jc w:val="center"/>
    </w:pPr>
    <w:rPr>
      <w:rFonts w:ascii="Times New Roman" w:hAnsi="Times New Roman" w:cs="Times New Roman"/>
      <w:kern w:val="2"/>
    </w:rPr>
  </w:style>
  <w:style w:type="character" w:customStyle="1" w:styleId="159">
    <w:name w:val="_Style 158"/>
    <w:basedOn w:val="122"/>
    <w:autoRedefine/>
    <w:qFormat/>
    <w:uiPriority w:val="99"/>
    <w:rPr>
      <w:rFonts w:ascii="Times New Roman" w:hAnsi="Times New Roman" w:eastAsia="宋体" w:cs="Times New Roman"/>
      <w:szCs w:val="21"/>
    </w:rPr>
  </w:style>
  <w:style w:type="paragraph" w:customStyle="1" w:styleId="160">
    <w:name w:val="_Style 159"/>
    <w:basedOn w:val="114"/>
    <w:autoRedefine/>
    <w:semiHidden/>
    <w:qFormat/>
    <w:uiPriority w:val="0"/>
    <w:pPr>
      <w:widowControl w:val="0"/>
      <w:spacing w:before="120"/>
      <w:jc w:val="both"/>
    </w:pPr>
    <w:rPr>
      <w:rFonts w:ascii="Arial" w:hAnsi="Arial" w:cs="Times New Roman"/>
      <w:b/>
      <w:bCs/>
      <w:kern w:val="2"/>
    </w:rPr>
  </w:style>
  <w:style w:type="paragraph" w:customStyle="1" w:styleId="161">
    <w:name w:val="_Style 160"/>
    <w:basedOn w:val="114"/>
    <w:autoRedefine/>
    <w:qFormat/>
    <w:uiPriority w:val="0"/>
    <w:pPr>
      <w:keepNext/>
      <w:keepLines/>
      <w:widowControl w:val="0"/>
      <w:spacing w:before="60" w:after="60"/>
      <w:ind w:hanging="420" w:hangingChars="200"/>
      <w:jc w:val="both"/>
      <w:outlineLvl w:val="4"/>
    </w:pPr>
    <w:rPr>
      <w:rFonts w:cs="Times New Roman"/>
      <w:b/>
      <w:bCs/>
      <w:kern w:val="2"/>
    </w:rPr>
  </w:style>
  <w:style w:type="paragraph" w:customStyle="1" w:styleId="162">
    <w:name w:val="_Style 161"/>
    <w:autoRedefine/>
    <w:hidden/>
    <w:semiHidden/>
    <w:qFormat/>
    <w:uiPriority w:val="99"/>
    <w:rPr>
      <w:rFonts w:ascii="宋体" w:hAnsi="宋体" w:eastAsia="宋体" w:cs="宋体"/>
      <w:kern w:val="2"/>
      <w:sz w:val="21"/>
      <w:szCs w:val="22"/>
      <w:lang w:val="en-US" w:eastAsia="zh-CN" w:bidi="ar-SA"/>
    </w:rPr>
  </w:style>
  <w:style w:type="character" w:customStyle="1" w:styleId="163">
    <w:name w:val="_Style 162"/>
    <w:basedOn w:val="122"/>
    <w:autoRedefine/>
    <w:qFormat/>
    <w:uiPriority w:val="0"/>
    <w:rPr>
      <w:kern w:val="2"/>
      <w:sz w:val="21"/>
      <w:szCs w:val="24"/>
    </w:rPr>
  </w:style>
  <w:style w:type="paragraph" w:customStyle="1" w:styleId="164">
    <w:name w:val="_Style 163"/>
    <w:basedOn w:val="114"/>
    <w:autoRedefine/>
    <w:qFormat/>
    <w:uiPriority w:val="0"/>
    <w:pPr>
      <w:widowControl w:val="0"/>
      <w:spacing w:before="100" w:after="100"/>
      <w:jc w:val="both"/>
    </w:pPr>
    <w:rPr>
      <w:rFonts w:ascii="Calibri" w:hAnsi="Calibri" w:cs="Times New Roman"/>
      <w:kern w:val="2"/>
    </w:rPr>
  </w:style>
  <w:style w:type="paragraph" w:customStyle="1" w:styleId="165">
    <w:name w:val="_Style 164"/>
    <w:basedOn w:val="114"/>
    <w:autoRedefine/>
    <w:semiHidden/>
    <w:unhideWhenUsed/>
    <w:qFormat/>
    <w:uiPriority w:val="99"/>
    <w:pPr>
      <w:widowControl w:val="0"/>
      <w:jc w:val="both"/>
    </w:pPr>
    <w:rPr>
      <w:rFonts w:hAnsi="Calibri" w:cs="Times New Roman"/>
      <w:kern w:val="2"/>
      <w:sz w:val="18"/>
      <w:szCs w:val="18"/>
    </w:rPr>
  </w:style>
  <w:style w:type="character" w:customStyle="1" w:styleId="166">
    <w:name w:val="_Style 165"/>
    <w:basedOn w:val="122"/>
    <w:autoRedefine/>
    <w:semiHidden/>
    <w:qFormat/>
    <w:uiPriority w:val="99"/>
    <w:rPr>
      <w:rFonts w:ascii="宋体"/>
      <w:kern w:val="2"/>
      <w:sz w:val="18"/>
      <w:szCs w:val="18"/>
    </w:rPr>
  </w:style>
  <w:style w:type="character" w:customStyle="1" w:styleId="167">
    <w:name w:val="_Style 166"/>
    <w:basedOn w:val="122"/>
    <w:autoRedefine/>
    <w:semiHidden/>
    <w:qFormat/>
    <w:uiPriority w:val="99"/>
    <w:rPr>
      <w:color w:val="auto"/>
    </w:rPr>
  </w:style>
  <w:style w:type="paragraph" w:customStyle="1" w:styleId="168">
    <w:name w:val="_Style 167"/>
    <w:basedOn w:val="114"/>
    <w:autoRedefine/>
    <w:qFormat/>
    <w:uiPriority w:val="10"/>
    <w:pPr>
      <w:widowControl w:val="0"/>
      <w:spacing w:before="240" w:after="60"/>
      <w:jc w:val="center"/>
      <w:outlineLvl w:val="0"/>
    </w:pPr>
    <w:rPr>
      <w:rFonts w:asciiTheme="majorHAnsi" w:hAnsiTheme="majorHAnsi" w:cstheme="majorBidi"/>
      <w:b/>
      <w:bCs/>
      <w:kern w:val="2"/>
      <w:sz w:val="32"/>
      <w:szCs w:val="32"/>
    </w:rPr>
  </w:style>
  <w:style w:type="character" w:customStyle="1" w:styleId="169">
    <w:name w:val="_Style 168"/>
    <w:basedOn w:val="122"/>
    <w:autoRedefine/>
    <w:qFormat/>
    <w:uiPriority w:val="10"/>
    <w:rPr>
      <w:rFonts w:asciiTheme="majorHAnsi" w:hAnsiTheme="majorHAnsi" w:cstheme="majorBidi"/>
      <w:b/>
      <w:bCs/>
      <w:kern w:val="2"/>
      <w:sz w:val="32"/>
      <w:szCs w:val="32"/>
    </w:rPr>
  </w:style>
  <w:style w:type="paragraph" w:customStyle="1" w:styleId="170">
    <w:name w:val="_Style 169"/>
    <w:qFormat/>
    <w:uiPriority w:val="1"/>
    <w:pPr>
      <w:widowControl w:val="0"/>
      <w:jc w:val="both"/>
    </w:pPr>
    <w:rPr>
      <w:rFonts w:ascii="宋体" w:hAnsi="宋体" w:eastAsia="宋体" w:cs="宋体"/>
      <w:kern w:val="2"/>
      <w:sz w:val="21"/>
      <w:szCs w:val="22"/>
      <w:lang w:val="en-US" w:eastAsia="zh-CN" w:bidi="ar-SA"/>
    </w:rPr>
  </w:style>
  <w:style w:type="paragraph" w:customStyle="1" w:styleId="171">
    <w:name w:val="_Style 170"/>
    <w:basedOn w:val="114"/>
    <w:autoRedefine/>
    <w:unhideWhenUsed/>
    <w:uiPriority w:val="39"/>
    <w:pPr>
      <w:widowControl w:val="0"/>
      <w:ind w:left="1260" w:leftChars="600"/>
      <w:jc w:val="both"/>
    </w:pPr>
    <w:rPr>
      <w:rFonts w:asciiTheme="minorHAnsi" w:hAnsiTheme="minorHAnsi" w:eastAsiaTheme="minorEastAsia" w:cstheme="minorBidi"/>
      <w:kern w:val="2"/>
      <w:szCs w:val="22"/>
    </w:rPr>
  </w:style>
  <w:style w:type="paragraph" w:customStyle="1" w:styleId="172">
    <w:name w:val="_Style 171"/>
    <w:basedOn w:val="114"/>
    <w:autoRedefine/>
    <w:unhideWhenUsed/>
    <w:qFormat/>
    <w:uiPriority w:val="39"/>
    <w:pPr>
      <w:widowControl w:val="0"/>
      <w:ind w:left="1680" w:leftChars="800"/>
      <w:jc w:val="both"/>
    </w:pPr>
    <w:rPr>
      <w:rFonts w:asciiTheme="minorHAnsi" w:hAnsiTheme="minorHAnsi" w:eastAsiaTheme="minorEastAsia" w:cstheme="minorBidi"/>
      <w:kern w:val="2"/>
      <w:szCs w:val="22"/>
    </w:rPr>
  </w:style>
  <w:style w:type="paragraph" w:customStyle="1" w:styleId="173">
    <w:name w:val="_Style 172"/>
    <w:basedOn w:val="114"/>
    <w:autoRedefine/>
    <w:unhideWhenUsed/>
    <w:qFormat/>
    <w:uiPriority w:val="39"/>
    <w:pPr>
      <w:widowControl w:val="0"/>
      <w:ind w:left="2100" w:leftChars="1000"/>
      <w:jc w:val="both"/>
    </w:pPr>
    <w:rPr>
      <w:rFonts w:asciiTheme="minorHAnsi" w:hAnsiTheme="minorHAnsi" w:eastAsiaTheme="minorEastAsia" w:cstheme="minorBidi"/>
      <w:kern w:val="2"/>
      <w:szCs w:val="22"/>
    </w:rPr>
  </w:style>
  <w:style w:type="paragraph" w:customStyle="1" w:styleId="174">
    <w:name w:val="_Style 173"/>
    <w:basedOn w:val="114"/>
    <w:autoRedefine/>
    <w:unhideWhenUsed/>
    <w:qFormat/>
    <w:uiPriority w:val="39"/>
    <w:pPr>
      <w:widowControl w:val="0"/>
      <w:ind w:left="2520" w:leftChars="1200"/>
      <w:jc w:val="both"/>
    </w:pPr>
    <w:rPr>
      <w:rFonts w:asciiTheme="minorHAnsi" w:hAnsiTheme="minorHAnsi" w:eastAsiaTheme="minorEastAsia" w:cstheme="minorBidi"/>
      <w:kern w:val="2"/>
      <w:szCs w:val="22"/>
    </w:rPr>
  </w:style>
  <w:style w:type="paragraph" w:customStyle="1" w:styleId="175">
    <w:name w:val="_Style 174"/>
    <w:basedOn w:val="114"/>
    <w:autoRedefine/>
    <w:unhideWhenUsed/>
    <w:qFormat/>
    <w:uiPriority w:val="39"/>
    <w:pPr>
      <w:widowControl w:val="0"/>
      <w:ind w:left="2940" w:leftChars="1400"/>
      <w:jc w:val="both"/>
    </w:pPr>
    <w:rPr>
      <w:rFonts w:asciiTheme="minorHAnsi" w:hAnsiTheme="minorHAnsi" w:eastAsiaTheme="minorEastAsia" w:cstheme="minorBidi"/>
      <w:kern w:val="2"/>
      <w:szCs w:val="22"/>
    </w:rPr>
  </w:style>
  <w:style w:type="paragraph" w:customStyle="1" w:styleId="176">
    <w:name w:val="_Style 175"/>
    <w:basedOn w:val="114"/>
    <w:autoRedefine/>
    <w:unhideWhenUsed/>
    <w:uiPriority w:val="39"/>
    <w:pPr>
      <w:widowControl w:val="0"/>
      <w:ind w:left="3360" w:leftChars="1600"/>
      <w:jc w:val="both"/>
    </w:pPr>
    <w:rPr>
      <w:rFonts w:asciiTheme="minorHAnsi" w:hAnsiTheme="minorHAnsi" w:eastAsiaTheme="minorEastAsia" w:cstheme="minorBidi"/>
      <w:kern w:val="2"/>
      <w:szCs w:val="22"/>
    </w:rPr>
  </w:style>
  <w:style w:type="character" w:customStyle="1" w:styleId="177">
    <w:name w:val="_Style 176"/>
    <w:basedOn w:val="122"/>
    <w:uiPriority w:val="9"/>
    <w:rPr>
      <w:rFonts w:asciiTheme="majorHAnsi" w:hAnsiTheme="majorHAnsi" w:cstheme="majorBidi"/>
      <w:b/>
      <w:bCs/>
      <w:sz w:val="21"/>
      <w:szCs w:val="24"/>
    </w:rPr>
  </w:style>
  <w:style w:type="paragraph" w:customStyle="1" w:styleId="178">
    <w:name w:val="_Style 177"/>
    <w:basedOn w:val="114"/>
    <w:uiPriority w:val="99"/>
    <w:pPr>
      <w:spacing w:before="100" w:beforeAutospacing="1" w:after="100" w:afterAutospacing="1"/>
    </w:pPr>
    <w:rPr>
      <w:sz w:val="24"/>
    </w:rPr>
  </w:style>
  <w:style w:type="paragraph" w:customStyle="1" w:styleId="179">
    <w:name w:val="_Style 178"/>
    <w:basedOn w:val="114"/>
    <w:autoRedefine/>
    <w:semiHidden/>
    <w:unhideWhenUsed/>
    <w:uiPriority w:val="99"/>
    <w:pPr>
      <w:snapToGrid w:val="0"/>
    </w:pPr>
  </w:style>
  <w:style w:type="character" w:customStyle="1" w:styleId="180">
    <w:name w:val="_Style 179"/>
    <w:basedOn w:val="122"/>
    <w:autoRedefine/>
    <w:semiHidden/>
    <w:uiPriority w:val="99"/>
    <w:rPr>
      <w:rFonts w:ascii="宋体" w:hAnsi="宋体" w:cs="宋体"/>
      <w:sz w:val="21"/>
      <w:szCs w:val="24"/>
    </w:rPr>
  </w:style>
  <w:style w:type="character" w:customStyle="1" w:styleId="181">
    <w:name w:val="_Style 180"/>
    <w:basedOn w:val="122"/>
    <w:autoRedefine/>
    <w:semiHidden/>
    <w:unhideWhenUsed/>
    <w:qFormat/>
    <w:uiPriority w:val="99"/>
    <w:rPr>
      <w:vertAlign w:val="superscript"/>
    </w:rPr>
  </w:style>
  <w:style w:type="character" w:customStyle="1" w:styleId="182">
    <w:name w:val="_Style 181"/>
    <w:basedOn w:val="135"/>
    <w:semiHidden/>
    <w:uiPriority w:val="99"/>
    <w:rPr>
      <w:rFonts w:ascii="Times New Roman" w:hAnsi="Times New Roman" w:eastAsia="宋体" w:cs="Times New Roman"/>
      <w:b/>
      <w:bCs/>
      <w:szCs w:val="21"/>
    </w:rPr>
  </w:style>
  <w:style w:type="paragraph" w:customStyle="1" w:styleId="183">
    <w:name w:val="_Style 182"/>
    <w:basedOn w:val="114"/>
    <w:qFormat/>
    <w:uiPriority w:val="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184">
    <w:name w:val="_Style 183"/>
    <w:basedOn w:val="122"/>
    <w:uiPriority w:val="0"/>
    <w:rPr>
      <w:rFonts w:ascii="Times New Roman" w:hAnsi="Times New Roman"/>
      <w:b/>
      <w:kern w:val="2"/>
      <w:sz w:val="21"/>
      <w:szCs w:val="24"/>
    </w:rPr>
  </w:style>
  <w:style w:type="character" w:customStyle="1" w:styleId="185">
    <w:name w:val="_Style 184"/>
    <w:basedOn w:val="135"/>
    <w:semiHidden/>
    <w:qFormat/>
    <w:uiPriority w:val="99"/>
    <w:rPr>
      <w:rFonts w:ascii="Times New Roman" w:hAnsi="Times New Roman" w:eastAsia="宋体" w:cs="Times New Roman"/>
      <w:b/>
      <w:bCs/>
      <w:szCs w:val="21"/>
    </w:rPr>
  </w:style>
  <w:style w:type="character" w:customStyle="1" w:styleId="186">
    <w:name w:val="_Style 185"/>
    <w:basedOn w:val="122"/>
    <w:autoRedefine/>
    <w:qFormat/>
    <w:uiPriority w:val="9"/>
    <w:rPr>
      <w:rFonts w:ascii="宋体" w:hAnsi="宋体" w:cs="宋体"/>
      <w:b/>
      <w:bCs/>
      <w:sz w:val="24"/>
      <w:szCs w:val="24"/>
    </w:rPr>
  </w:style>
  <w:style w:type="paragraph" w:customStyle="1" w:styleId="187">
    <w:name w:val="_Style 186"/>
    <w:basedOn w:val="114"/>
    <w:autoRedefine/>
    <w:semiHidden/>
    <w:uiPriority w:val="0"/>
    <w:pPr>
      <w:ind w:firstLine="420" w:firstLineChars="200"/>
    </w:pPr>
    <w:rPr>
      <w:rFonts w:cs="Times New Roman"/>
      <w:color w:val="000000"/>
    </w:rPr>
  </w:style>
  <w:style w:type="character" w:customStyle="1" w:styleId="188">
    <w:name w:val="_Style 187"/>
    <w:basedOn w:val="122"/>
    <w:autoRedefine/>
    <w:qFormat/>
    <w:uiPriority w:val="0"/>
  </w:style>
  <w:style w:type="paragraph" w:customStyle="1" w:styleId="189">
    <w:name w:val="_Style 188"/>
    <w:basedOn w:val="114"/>
    <w:uiPriority w:val="0"/>
    <w:pPr>
      <w:widowControl w:val="0"/>
      <w:ind w:firstLine="420" w:firstLineChars="200"/>
      <w:jc w:val="both"/>
    </w:pPr>
    <w:rPr>
      <w:rFonts w:ascii="Times New Roman" w:hAnsi="Times New Roman" w:cs="Times New Roman"/>
      <w:kern w:val="2"/>
    </w:rPr>
  </w:style>
  <w:style w:type="paragraph" w:customStyle="1" w:styleId="190">
    <w:name w:val="_Style 189"/>
    <w:basedOn w:val="114"/>
    <w:uiPriority w:val="0"/>
    <w:pPr>
      <w:widowControl w:val="0"/>
      <w:tabs>
        <w:tab w:val="left" w:pos="1200"/>
      </w:tabs>
      <w:jc w:val="both"/>
    </w:pPr>
    <w:rPr>
      <w:rFonts w:ascii="Times New Roman" w:hAnsi="Times New Roman" w:cs="Times New Roman"/>
      <w:kern w:val="2"/>
    </w:rPr>
  </w:style>
  <w:style w:type="paragraph" w:customStyle="1" w:styleId="191">
    <w:name w:val="_Style 190"/>
    <w:basedOn w:val="114"/>
    <w:autoRedefine/>
    <w:qFormat/>
    <w:uiPriority w:val="34"/>
    <w:pPr>
      <w:widowControl w:val="0"/>
      <w:ind w:firstLine="420" w:firstLineChars="200"/>
      <w:jc w:val="both"/>
    </w:pPr>
    <w:rPr>
      <w:rFonts w:ascii="Calibri" w:hAnsi="Calibri" w:cs="Times New Roman"/>
      <w:kern w:val="2"/>
      <w:szCs w:val="22"/>
    </w:rPr>
  </w:style>
  <w:style w:type="paragraph" w:customStyle="1" w:styleId="192">
    <w:name w:val="_Style 191"/>
    <w:basedOn w:val="114"/>
    <w:autoRedefine/>
    <w:qFormat/>
    <w:uiPriority w:val="34"/>
    <w:pPr>
      <w:widowControl w:val="0"/>
      <w:ind w:firstLine="420" w:firstLineChars="200"/>
      <w:jc w:val="both"/>
    </w:pPr>
    <w:rPr>
      <w:rFonts w:ascii="Calibri" w:hAnsi="Calibri" w:cs="Times New Roman"/>
      <w:kern w:val="2"/>
      <w:szCs w:val="22"/>
    </w:rPr>
  </w:style>
  <w:style w:type="paragraph" w:customStyle="1" w:styleId="193">
    <w:name w:val="_Style 192"/>
    <w:basedOn w:val="114"/>
    <w:qFormat/>
    <w:uiPriority w:val="34"/>
    <w:pPr>
      <w:widowControl w:val="0"/>
      <w:ind w:firstLine="420" w:firstLineChars="200"/>
      <w:jc w:val="both"/>
    </w:pPr>
    <w:rPr>
      <w:rFonts w:ascii="Calibri" w:hAnsi="Calibri" w:cs="Times New Roman"/>
      <w:kern w:val="2"/>
      <w:szCs w:val="22"/>
    </w:rPr>
  </w:style>
  <w:style w:type="paragraph" w:customStyle="1" w:styleId="194">
    <w:name w:val="_Style 193"/>
    <w:basedOn w:val="114"/>
    <w:qFormat/>
    <w:uiPriority w:val="34"/>
    <w:pPr>
      <w:widowControl w:val="0"/>
      <w:ind w:firstLine="420" w:firstLineChars="200"/>
      <w:jc w:val="both"/>
    </w:pPr>
    <w:rPr>
      <w:rFonts w:ascii="Calibri" w:hAnsi="Calibri" w:cs="Times New Roman"/>
      <w:kern w:val="2"/>
      <w:szCs w:val="22"/>
    </w:rPr>
  </w:style>
  <w:style w:type="paragraph" w:customStyle="1" w:styleId="195">
    <w:name w:val="_Style 194"/>
    <w:basedOn w:val="114"/>
    <w:qFormat/>
    <w:uiPriority w:val="1"/>
    <w:pPr>
      <w:widowControl w:val="0"/>
      <w:autoSpaceDE w:val="0"/>
      <w:autoSpaceDN w:val="0"/>
      <w:spacing w:after="160" w:line="259" w:lineRule="auto"/>
    </w:pPr>
    <w:rPr>
      <w:rFonts w:ascii="Noto Sans CJK JP Regular" w:hAnsi="Noto Sans CJK JP Regular" w:eastAsia="Noto Sans CJK JP Regular" w:cs="Noto Sans CJK JP Regular"/>
      <w:sz w:val="22"/>
      <w:szCs w:val="22"/>
      <w:lang w:eastAsia="en-US"/>
    </w:rPr>
  </w:style>
  <w:style w:type="paragraph" w:customStyle="1" w:styleId="196">
    <w:name w:val="_Style 195"/>
    <w:basedOn w:val="114"/>
    <w:qFormat/>
    <w:uiPriority w:val="34"/>
    <w:pPr>
      <w:widowControl w:val="0"/>
      <w:ind w:firstLine="420" w:firstLineChars="200"/>
      <w:jc w:val="both"/>
    </w:pPr>
    <w:rPr>
      <w:rFonts w:ascii="Calibri" w:hAnsi="Calibri" w:cs="Times New Roman"/>
      <w:kern w:val="2"/>
      <w:szCs w:val="22"/>
    </w:rPr>
  </w:style>
  <w:style w:type="paragraph" w:customStyle="1" w:styleId="197">
    <w:name w:val="_Style 196"/>
    <w:basedOn w:val="114"/>
    <w:qFormat/>
    <w:uiPriority w:val="34"/>
    <w:pPr>
      <w:widowControl w:val="0"/>
      <w:ind w:firstLine="420" w:firstLineChars="200"/>
      <w:jc w:val="both"/>
    </w:pPr>
    <w:rPr>
      <w:rFonts w:ascii="Calibri" w:hAnsi="Calibri" w:cs="Times New Roman"/>
      <w:kern w:val="2"/>
      <w:szCs w:val="22"/>
    </w:rPr>
  </w:style>
  <w:style w:type="character" w:customStyle="1" w:styleId="198">
    <w:name w:val="_Style 197"/>
    <w:semiHidden/>
    <w:locked/>
    <w:uiPriority w:val="99"/>
    <w:rPr>
      <w:rFonts w:ascii="Times New Roman" w:hAnsi="Times New Roman"/>
      <w:kern w:val="2"/>
      <w:sz w:val="21"/>
      <w:szCs w:val="21"/>
    </w:rPr>
  </w:style>
  <w:style w:type="paragraph" w:customStyle="1" w:styleId="199">
    <w:name w:val="_Style 198"/>
    <w:basedOn w:val="114"/>
    <w:uiPriority w:val="0"/>
    <w:pPr>
      <w:widowControl w:val="0"/>
      <w:ind w:firstLine="420" w:firstLineChars="200"/>
      <w:jc w:val="both"/>
    </w:pPr>
    <w:rPr>
      <w:rFonts w:ascii="Calibri" w:hAnsi="Calibri" w:cs="Times New Roman"/>
      <w:kern w:val="2"/>
    </w:rPr>
  </w:style>
  <w:style w:type="paragraph" w:customStyle="1" w:styleId="200">
    <w:name w:val="_Style 199"/>
    <w:basedOn w:val="114"/>
    <w:uiPriority w:val="0"/>
    <w:pPr>
      <w:widowControl w:val="0"/>
      <w:ind w:firstLine="420" w:firstLineChars="200"/>
      <w:jc w:val="both"/>
    </w:pPr>
    <w:rPr>
      <w:rFonts w:ascii="Calibri" w:hAnsi="Calibri" w:cs="Times New Roman"/>
      <w:kern w:val="2"/>
    </w:rPr>
  </w:style>
  <w:style w:type="paragraph" w:customStyle="1" w:styleId="201">
    <w:name w:val="_Style 200"/>
    <w:basedOn w:val="114"/>
    <w:autoRedefine/>
    <w:uiPriority w:val="0"/>
    <w:pPr>
      <w:jc w:val="both"/>
    </w:pPr>
    <w:rPr>
      <w:rFonts w:ascii="Calibri" w:hAnsi="Calibri" w:cs="Calibri"/>
      <w:bCs/>
      <w:kern w:val="2"/>
    </w:rPr>
  </w:style>
  <w:style w:type="paragraph" w:customStyle="1" w:styleId="202">
    <w:name w:val="_Style 201"/>
    <w:basedOn w:val="114"/>
    <w:uiPriority w:val="0"/>
    <w:rPr>
      <w:bCs/>
    </w:rPr>
  </w:style>
  <w:style w:type="paragraph" w:customStyle="1" w:styleId="203">
    <w:name w:val="_Style 202"/>
    <w:qFormat/>
    <w:uiPriority w:val="0"/>
    <w:pPr>
      <w:jc w:val="both"/>
    </w:pPr>
    <w:rPr>
      <w:rFonts w:ascii="宋体" w:hAnsi="宋体" w:eastAsia="宋体" w:cs="宋体"/>
      <w:bCs/>
      <w:kern w:val="2"/>
      <w:sz w:val="21"/>
      <w:szCs w:val="21"/>
      <w:lang w:val="en-US" w:eastAsia="zh-CN" w:bidi="ar-SA"/>
    </w:rPr>
  </w:style>
  <w:style w:type="paragraph" w:customStyle="1" w:styleId="204">
    <w:name w:val="_Style 203"/>
    <w:basedOn w:val="114"/>
    <w:unhideWhenUsed/>
    <w:uiPriority w:val="99"/>
    <w:pPr>
      <w:snapToGrid w:val="0"/>
    </w:pPr>
    <w:rPr>
      <w:sz w:val="18"/>
      <w:szCs w:val="18"/>
    </w:rPr>
  </w:style>
  <w:style w:type="character" w:customStyle="1" w:styleId="205">
    <w:name w:val="_Style 204"/>
    <w:basedOn w:val="122"/>
    <w:uiPriority w:val="99"/>
    <w:rPr>
      <w:sz w:val="18"/>
      <w:szCs w:val="18"/>
    </w:rPr>
  </w:style>
  <w:style w:type="character" w:customStyle="1" w:styleId="206">
    <w:name w:val="_Style 205"/>
    <w:basedOn w:val="122"/>
    <w:semiHidden/>
    <w:unhideWhenUsed/>
    <w:uiPriority w:val="99"/>
    <w:rPr>
      <w:vertAlign w:val="superscript"/>
    </w:rPr>
  </w:style>
  <w:style w:type="character" w:customStyle="1" w:styleId="207">
    <w:name w:val="_Style 206"/>
    <w:basedOn w:val="122"/>
    <w:qFormat/>
    <w:uiPriority w:val="22"/>
    <w:rPr>
      <w:b/>
      <w:bCs/>
    </w:rPr>
  </w:style>
  <w:style w:type="paragraph" w:customStyle="1" w:styleId="208">
    <w:name w:val="_Style 207"/>
    <w:autoRedefine/>
    <w:qFormat/>
    <w:uiPriority w:val="0"/>
    <w:rPr>
      <w:rFonts w:ascii="宋体" w:hAnsi="宋体" w:eastAsia="宋体" w:cs="宋体"/>
      <w:sz w:val="21"/>
      <w:szCs w:val="21"/>
      <w:lang w:val="en-US" w:eastAsia="zh-CN" w:bidi="ar-SA"/>
    </w:rPr>
  </w:style>
  <w:style w:type="paragraph" w:customStyle="1" w:styleId="209">
    <w:name w:val="_Style 208"/>
    <w:basedOn w:val="208"/>
    <w:autoRedefine/>
    <w:qFormat/>
    <w:uiPriority w:val="99"/>
    <w:pPr>
      <w:keepNext/>
      <w:keepLines/>
      <w:widowControl w:val="0"/>
      <w:spacing w:before="60" w:after="60" w:line="360" w:lineRule="auto"/>
      <w:jc w:val="center"/>
      <w:outlineLvl w:val="0"/>
    </w:pPr>
    <w:rPr>
      <w:rFonts w:ascii="Calibri" w:hAnsi="Calibri" w:eastAsia="黑体" w:cs="Times New Roman"/>
      <w:b/>
      <w:bCs/>
      <w:kern w:val="44"/>
      <w:sz w:val="28"/>
      <w:szCs w:val="44"/>
    </w:rPr>
  </w:style>
  <w:style w:type="paragraph" w:customStyle="1" w:styleId="210">
    <w:name w:val="标题 2 Char Char Char1"/>
    <w:basedOn w:val="208"/>
    <w:qFormat/>
    <w:uiPriority w:val="0"/>
    <w:pPr>
      <w:keepNext/>
      <w:keepLines/>
      <w:widowControl w:val="0"/>
      <w:spacing w:before="60" w:after="60"/>
      <w:ind w:left="200" w:hanging="200" w:hangingChars="200"/>
      <w:jc w:val="both"/>
      <w:outlineLvl w:val="1"/>
    </w:pPr>
    <w:rPr>
      <w:rFonts w:ascii="Arial" w:hAnsi="Arial" w:cs="Times New Roman"/>
      <w:b/>
      <w:bCs/>
      <w:kern w:val="2"/>
    </w:rPr>
  </w:style>
  <w:style w:type="paragraph" w:customStyle="1" w:styleId="211">
    <w:name w:val="_Style 210"/>
    <w:basedOn w:val="208"/>
    <w:qFormat/>
    <w:uiPriority w:val="9"/>
    <w:pPr>
      <w:keepNext/>
      <w:keepLines/>
      <w:widowControl w:val="0"/>
      <w:spacing w:before="60" w:after="60"/>
      <w:jc w:val="both"/>
      <w:outlineLvl w:val="2"/>
    </w:pPr>
    <w:rPr>
      <w:rFonts w:ascii="Calibri" w:hAnsi="Calibri" w:cs="Times New Roman"/>
      <w:b/>
      <w:bCs/>
      <w:kern w:val="2"/>
      <w:szCs w:val="32"/>
    </w:rPr>
  </w:style>
  <w:style w:type="paragraph" w:customStyle="1" w:styleId="212">
    <w:name w:val="_Style 211"/>
    <w:basedOn w:val="208"/>
    <w:qFormat/>
    <w:uiPriority w:val="9"/>
    <w:pPr>
      <w:keepNext/>
      <w:keepLines/>
      <w:widowControl w:val="0"/>
      <w:spacing w:before="60" w:after="60"/>
      <w:jc w:val="both"/>
      <w:outlineLvl w:val="3"/>
    </w:pPr>
    <w:rPr>
      <w:rFonts w:ascii="Cambria" w:hAnsi="Cambria" w:cs="Times New Roman"/>
      <w:b/>
      <w:bCs/>
      <w:kern w:val="2"/>
      <w:szCs w:val="28"/>
    </w:rPr>
  </w:style>
  <w:style w:type="paragraph" w:customStyle="1" w:styleId="213">
    <w:name w:val="_Style 212"/>
    <w:basedOn w:val="208"/>
    <w:qFormat/>
    <w:uiPriority w:val="9"/>
    <w:pPr>
      <w:keepNext/>
      <w:keepLines/>
      <w:widowControl w:val="0"/>
      <w:spacing w:before="60" w:after="60"/>
      <w:jc w:val="both"/>
      <w:outlineLvl w:val="4"/>
    </w:pPr>
    <w:rPr>
      <w:rFonts w:ascii="Calibri" w:hAnsi="Calibri" w:cs="Times New Roman"/>
      <w:b/>
      <w:bCs/>
      <w:kern w:val="2"/>
      <w:szCs w:val="28"/>
    </w:rPr>
  </w:style>
  <w:style w:type="paragraph" w:customStyle="1" w:styleId="214">
    <w:name w:val="_Style 213"/>
    <w:basedOn w:val="208"/>
    <w:unhideWhenUsed/>
    <w:qFormat/>
    <w:uiPriority w:val="9"/>
    <w:pPr>
      <w:keepNext/>
      <w:keepLines/>
      <w:spacing w:before="60" w:after="60"/>
      <w:outlineLvl w:val="5"/>
    </w:pPr>
    <w:rPr>
      <w:rFonts w:asciiTheme="majorHAnsi" w:hAnsiTheme="majorHAnsi" w:cstheme="majorBidi"/>
      <w:b/>
      <w:bCs/>
    </w:rPr>
  </w:style>
  <w:style w:type="paragraph" w:customStyle="1" w:styleId="215">
    <w:name w:val="_Style 214"/>
    <w:basedOn w:val="208"/>
    <w:autoRedefine/>
    <w:unhideWhenUsed/>
    <w:qFormat/>
    <w:uiPriority w:val="9"/>
    <w:pPr>
      <w:keepNext/>
      <w:keepLines/>
      <w:spacing w:before="240" w:after="64" w:line="320" w:lineRule="auto"/>
      <w:outlineLvl w:val="6"/>
    </w:pPr>
    <w:rPr>
      <w:b/>
      <w:bCs/>
      <w:sz w:val="24"/>
    </w:rPr>
  </w:style>
  <w:style w:type="character" w:customStyle="1" w:styleId="216">
    <w:name w:val="_Style 215"/>
    <w:semiHidden/>
    <w:unhideWhenUsed/>
    <w:qFormat/>
    <w:uiPriority w:val="1"/>
  </w:style>
  <w:style w:type="table" w:customStyle="1" w:styleId="217">
    <w:name w:val="_Style 216"/>
    <w:semiHidden/>
    <w:unhideWhenUsed/>
    <w:uiPriority w:val="99"/>
    <w:tblPr>
      <w:tblCellMar>
        <w:top w:w="0" w:type="dxa"/>
        <w:left w:w="108" w:type="dxa"/>
        <w:bottom w:w="0" w:type="dxa"/>
        <w:right w:w="108" w:type="dxa"/>
      </w:tblCellMar>
    </w:tblPr>
  </w:style>
  <w:style w:type="character" w:customStyle="1" w:styleId="218">
    <w:name w:val="_Style 217"/>
    <w:basedOn w:val="216"/>
    <w:uiPriority w:val="99"/>
    <w:rPr>
      <w:rFonts w:eastAsia="黑体"/>
      <w:b/>
      <w:bCs/>
      <w:kern w:val="44"/>
      <w:sz w:val="28"/>
      <w:szCs w:val="44"/>
    </w:rPr>
  </w:style>
  <w:style w:type="character" w:customStyle="1" w:styleId="219">
    <w:name w:val="标题 2 Char Char Char Char21"/>
    <w:basedOn w:val="216"/>
    <w:qFormat/>
    <w:uiPriority w:val="0"/>
    <w:rPr>
      <w:rFonts w:ascii="Arial" w:hAnsi="Arial"/>
      <w:b/>
      <w:bCs/>
      <w:kern w:val="2"/>
      <w:sz w:val="21"/>
      <w:szCs w:val="21"/>
    </w:rPr>
  </w:style>
  <w:style w:type="character" w:customStyle="1" w:styleId="220">
    <w:name w:val="_Style 219"/>
    <w:basedOn w:val="216"/>
    <w:uiPriority w:val="9"/>
    <w:rPr>
      <w:b/>
      <w:bCs/>
      <w:kern w:val="2"/>
      <w:sz w:val="21"/>
      <w:szCs w:val="32"/>
    </w:rPr>
  </w:style>
  <w:style w:type="character" w:customStyle="1" w:styleId="221">
    <w:name w:val="_Style 220"/>
    <w:basedOn w:val="216"/>
    <w:autoRedefine/>
    <w:uiPriority w:val="9"/>
    <w:rPr>
      <w:rFonts w:ascii="Cambria" w:hAnsi="Cambria"/>
      <w:b/>
      <w:bCs/>
      <w:kern w:val="2"/>
      <w:sz w:val="21"/>
      <w:szCs w:val="28"/>
    </w:rPr>
  </w:style>
  <w:style w:type="character" w:customStyle="1" w:styleId="222">
    <w:name w:val="_Style 221"/>
    <w:basedOn w:val="216"/>
    <w:qFormat/>
    <w:uiPriority w:val="9"/>
    <w:rPr>
      <w:b/>
      <w:bCs/>
      <w:kern w:val="2"/>
      <w:sz w:val="21"/>
      <w:szCs w:val="28"/>
    </w:rPr>
  </w:style>
  <w:style w:type="paragraph" w:customStyle="1" w:styleId="223">
    <w:name w:val="_Style 222"/>
    <w:basedOn w:val="209"/>
    <w:qFormat/>
    <w:uiPriority w:val="39"/>
    <w:pPr>
      <w:widowControl/>
      <w:spacing w:before="480" w:after="0" w:line="276" w:lineRule="auto"/>
      <w:outlineLvl w:val="9"/>
    </w:pPr>
    <w:rPr>
      <w:rFonts w:ascii="Cambria" w:hAnsi="Cambria" w:eastAsia="宋体"/>
      <w:color w:val="365F91"/>
      <w:kern w:val="0"/>
      <w:szCs w:val="28"/>
    </w:rPr>
  </w:style>
  <w:style w:type="paragraph" w:customStyle="1" w:styleId="224">
    <w:name w:val="_Style 223"/>
    <w:basedOn w:val="208"/>
    <w:autoRedefine/>
    <w:qFormat/>
    <w:uiPriority w:val="39"/>
    <w:pPr>
      <w:widowControl w:val="0"/>
      <w:tabs>
        <w:tab w:val="left" w:pos="1260"/>
        <w:tab w:val="right" w:leader="dot" w:pos="8823"/>
      </w:tabs>
      <w:jc w:val="center"/>
    </w:pPr>
    <w:rPr>
      <w:rFonts w:ascii="Times New Roman" w:hAnsi="Times New Roman" w:cs="Times New Roman"/>
      <w:kern w:val="2"/>
    </w:rPr>
  </w:style>
  <w:style w:type="paragraph" w:customStyle="1" w:styleId="225">
    <w:name w:val="_Style 224"/>
    <w:basedOn w:val="208"/>
    <w:autoRedefine/>
    <w:qFormat/>
    <w:uiPriority w:val="39"/>
    <w:pPr>
      <w:widowControl w:val="0"/>
      <w:ind w:left="420" w:leftChars="200"/>
      <w:jc w:val="both"/>
    </w:pPr>
    <w:rPr>
      <w:rFonts w:ascii="Times New Roman" w:hAnsi="Times New Roman" w:cs="Times New Roman"/>
      <w:kern w:val="2"/>
    </w:rPr>
  </w:style>
  <w:style w:type="character" w:customStyle="1" w:styleId="226">
    <w:name w:val="_Style 225"/>
    <w:basedOn w:val="216"/>
    <w:autoRedefine/>
    <w:qFormat/>
    <w:uiPriority w:val="99"/>
    <w:rPr>
      <w:rFonts w:cs="Times New Roman"/>
      <w:color w:val="0000FF"/>
      <w:u w:val="single"/>
    </w:rPr>
  </w:style>
  <w:style w:type="character" w:customStyle="1" w:styleId="227">
    <w:name w:val="_Style 226"/>
    <w:basedOn w:val="216"/>
    <w:qFormat/>
    <w:uiPriority w:val="99"/>
    <w:rPr>
      <w:rFonts w:eastAsia="宋体" w:cs="Times New Roman"/>
      <w:kern w:val="2"/>
      <w:sz w:val="21"/>
      <w:szCs w:val="21"/>
      <w:lang w:val="en-US" w:eastAsia="zh-CN" w:bidi="ar-SA"/>
    </w:rPr>
  </w:style>
  <w:style w:type="paragraph" w:customStyle="1" w:styleId="228">
    <w:name w:val="_Style 227"/>
    <w:basedOn w:val="208"/>
    <w:qFormat/>
    <w:uiPriority w:val="0"/>
    <w:pPr>
      <w:widowControl w:val="0"/>
    </w:pPr>
    <w:rPr>
      <w:rFonts w:ascii="Times New Roman" w:hAnsi="Times New Roman" w:cs="Times New Roman"/>
      <w:kern w:val="2"/>
    </w:rPr>
  </w:style>
  <w:style w:type="character" w:customStyle="1" w:styleId="229">
    <w:name w:val="_Style 228"/>
    <w:basedOn w:val="216"/>
    <w:uiPriority w:val="99"/>
    <w:rPr>
      <w:rFonts w:ascii="Times New Roman" w:hAnsi="Times New Roman" w:eastAsia="宋体" w:cs="Times New Roman"/>
      <w:szCs w:val="21"/>
    </w:rPr>
  </w:style>
  <w:style w:type="paragraph" w:customStyle="1" w:styleId="230">
    <w:name w:val="_Style 229"/>
    <w:basedOn w:val="208"/>
    <w:unhideWhenUsed/>
    <w:uiPriority w:val="99"/>
    <w:pPr>
      <w:widowControl w:val="0"/>
      <w:jc w:val="both"/>
    </w:pPr>
    <w:rPr>
      <w:rFonts w:ascii="Calibri" w:hAnsi="Calibri" w:cs="Times New Roman"/>
      <w:kern w:val="2"/>
      <w:sz w:val="18"/>
      <w:szCs w:val="18"/>
    </w:rPr>
  </w:style>
  <w:style w:type="character" w:customStyle="1" w:styleId="231">
    <w:name w:val="_Style 230"/>
    <w:basedOn w:val="216"/>
    <w:autoRedefine/>
    <w:uiPriority w:val="99"/>
    <w:rPr>
      <w:rFonts w:ascii="Calibri" w:hAnsi="Calibri" w:eastAsia="宋体" w:cs="Times New Roman"/>
      <w:sz w:val="18"/>
      <w:szCs w:val="18"/>
    </w:rPr>
  </w:style>
  <w:style w:type="paragraph" w:customStyle="1" w:styleId="232">
    <w:name w:val="_Style 231"/>
    <w:basedOn w:val="208"/>
    <w:uiPriority w:val="99"/>
    <w:pPr>
      <w:widowControl w:val="0"/>
      <w:jc w:val="both"/>
    </w:pPr>
    <w:rPr>
      <w:rFonts w:ascii="Times New Roman" w:hAnsi="Times New Roman" w:cs="Times New Roman"/>
      <w:kern w:val="2"/>
    </w:rPr>
  </w:style>
  <w:style w:type="character" w:customStyle="1" w:styleId="233">
    <w:name w:val="_Style 232"/>
    <w:basedOn w:val="216"/>
    <w:autoRedefine/>
    <w:uiPriority w:val="99"/>
    <w:rPr>
      <w:rFonts w:ascii="Times New Roman" w:hAnsi="Times New Roman" w:eastAsia="宋体" w:cs="Times New Roman"/>
      <w:szCs w:val="21"/>
    </w:rPr>
  </w:style>
  <w:style w:type="character" w:customStyle="1" w:styleId="234">
    <w:name w:val="_Style 233"/>
    <w:basedOn w:val="216"/>
    <w:uiPriority w:val="99"/>
    <w:rPr>
      <w:rFonts w:eastAsia="宋体" w:cs="Times New Roman"/>
      <w:color w:val="FF0000"/>
      <w:kern w:val="2"/>
      <w:sz w:val="24"/>
      <w:szCs w:val="24"/>
      <w:lang w:val="en-US" w:eastAsia="zh-CN" w:bidi="ar-SA"/>
    </w:rPr>
  </w:style>
  <w:style w:type="paragraph" w:customStyle="1" w:styleId="235">
    <w:name w:val="_Style 234"/>
    <w:basedOn w:val="208"/>
    <w:uiPriority w:val="99"/>
    <w:pPr>
      <w:spacing w:before="100" w:after="100"/>
      <w:jc w:val="right"/>
    </w:pPr>
    <w:rPr>
      <w:rFonts w:ascii="Arial Unicode MS" w:hAnsi="Times New Roman" w:eastAsia="Arial Unicode MS" w:cs="Times New Roman"/>
      <w:sz w:val="18"/>
      <w:szCs w:val="18"/>
    </w:rPr>
  </w:style>
  <w:style w:type="paragraph" w:customStyle="1" w:styleId="236">
    <w:name w:val="_Style 235"/>
    <w:basedOn w:val="208"/>
    <w:autoRedefine/>
    <w:qFormat/>
    <w:uiPriority w:val="34"/>
    <w:pPr>
      <w:widowControl w:val="0"/>
      <w:ind w:firstLine="420" w:firstLineChars="200"/>
      <w:jc w:val="both"/>
    </w:pPr>
    <w:rPr>
      <w:rFonts w:ascii="Calibri" w:hAnsi="Calibri" w:cs="Times New Roman"/>
      <w:kern w:val="2"/>
      <w:szCs w:val="22"/>
    </w:rPr>
  </w:style>
  <w:style w:type="character" w:customStyle="1" w:styleId="237">
    <w:name w:val="_Style 236"/>
    <w:basedOn w:val="229"/>
    <w:autoRedefine/>
    <w:uiPriority w:val="99"/>
    <w:rPr>
      <w:rFonts w:ascii="Calibri" w:hAnsi="Calibri" w:eastAsia="宋体" w:cs="Times New Roman"/>
      <w:b/>
      <w:bCs/>
      <w:szCs w:val="21"/>
    </w:rPr>
  </w:style>
  <w:style w:type="paragraph" w:customStyle="1" w:styleId="238">
    <w:name w:val="_Style 237"/>
    <w:basedOn w:val="228"/>
    <w:unhideWhenUsed/>
    <w:uiPriority w:val="99"/>
    <w:rPr>
      <w:rFonts w:ascii="Calibri" w:hAnsi="Calibri"/>
      <w:b/>
      <w:bCs/>
      <w:szCs w:val="22"/>
    </w:rPr>
  </w:style>
  <w:style w:type="paragraph" w:customStyle="1" w:styleId="239">
    <w:name w:val="_Style 238"/>
    <w:basedOn w:val="208"/>
    <w:autoRedefine/>
    <w:unhideWhenUsed/>
    <w:qFormat/>
    <w:uiPriority w:val="39"/>
    <w:pPr>
      <w:spacing w:after="100" w:line="276" w:lineRule="auto"/>
      <w:ind w:left="440"/>
    </w:pPr>
    <w:rPr>
      <w:rFonts w:ascii="Calibri" w:hAnsi="Calibri" w:cs="Times New Roman"/>
      <w:sz w:val="22"/>
      <w:szCs w:val="22"/>
    </w:rPr>
  </w:style>
  <w:style w:type="paragraph" w:customStyle="1" w:styleId="240">
    <w:name w:val="_Style 239"/>
    <w:basedOn w:val="208"/>
    <w:unhideWhenUsed/>
    <w:uiPriority w:val="99"/>
    <w:pPr>
      <w:widowControl w:val="0"/>
      <w:pBdr>
        <w:bottom w:val="single" w:color="auto" w:sz="6" w:space="1"/>
      </w:pBdr>
      <w:tabs>
        <w:tab w:val="center" w:pos="4153"/>
        <w:tab w:val="right" w:pos="8306"/>
      </w:tabs>
      <w:snapToGrid w:val="0"/>
      <w:jc w:val="center"/>
    </w:pPr>
    <w:rPr>
      <w:rFonts w:ascii="Calibri" w:hAnsi="Calibri" w:cs="Times New Roman"/>
      <w:kern w:val="2"/>
      <w:sz w:val="18"/>
      <w:szCs w:val="18"/>
    </w:rPr>
  </w:style>
  <w:style w:type="character" w:customStyle="1" w:styleId="241">
    <w:name w:val="_Style 240"/>
    <w:basedOn w:val="216"/>
    <w:uiPriority w:val="99"/>
    <w:rPr>
      <w:rFonts w:ascii="Calibri" w:hAnsi="Calibri" w:eastAsia="宋体" w:cs="Times New Roman"/>
      <w:sz w:val="18"/>
      <w:szCs w:val="18"/>
    </w:rPr>
  </w:style>
  <w:style w:type="paragraph" w:customStyle="1" w:styleId="242">
    <w:name w:val="_Style 241"/>
    <w:basedOn w:val="208"/>
    <w:unhideWhenUsed/>
    <w:uiPriority w:val="99"/>
    <w:pPr>
      <w:widowControl w:val="0"/>
      <w:tabs>
        <w:tab w:val="center" w:pos="4153"/>
        <w:tab w:val="right" w:pos="8306"/>
      </w:tabs>
      <w:snapToGrid w:val="0"/>
    </w:pPr>
    <w:rPr>
      <w:rFonts w:ascii="Calibri" w:hAnsi="Calibri" w:cs="Times New Roman"/>
      <w:kern w:val="2"/>
      <w:sz w:val="18"/>
      <w:szCs w:val="18"/>
    </w:rPr>
  </w:style>
  <w:style w:type="character" w:customStyle="1" w:styleId="243">
    <w:name w:val="_Style 242"/>
    <w:basedOn w:val="216"/>
    <w:autoRedefine/>
    <w:uiPriority w:val="99"/>
    <w:rPr>
      <w:rFonts w:ascii="Calibri" w:hAnsi="Calibri" w:eastAsia="宋体" w:cs="Times New Roman"/>
      <w:sz w:val="18"/>
      <w:szCs w:val="18"/>
    </w:rPr>
  </w:style>
  <w:style w:type="paragraph" w:customStyle="1" w:styleId="244">
    <w:name w:val="_Style 243"/>
    <w:basedOn w:val="208"/>
    <w:autoRedefine/>
    <w:uiPriority w:val="0"/>
    <w:pPr>
      <w:widowControl w:val="0"/>
      <w:jc w:val="both"/>
    </w:pPr>
    <w:rPr>
      <w:rFonts w:hAnsi="Courier New" w:cs="Times New Roman"/>
      <w:kern w:val="2"/>
      <w:szCs w:val="20"/>
    </w:rPr>
  </w:style>
  <w:style w:type="character" w:customStyle="1" w:styleId="245">
    <w:name w:val="_Style 244"/>
    <w:basedOn w:val="216"/>
    <w:qFormat/>
    <w:uiPriority w:val="0"/>
    <w:rPr>
      <w:rFonts w:ascii="宋体" w:hAnsi="Courier New" w:eastAsia="宋体" w:cs="Times New Roman"/>
      <w:szCs w:val="20"/>
    </w:rPr>
  </w:style>
  <w:style w:type="character" w:customStyle="1" w:styleId="246">
    <w:name w:val="_Style 245"/>
    <w:basedOn w:val="216"/>
    <w:qFormat/>
    <w:uiPriority w:val="0"/>
    <w:rPr>
      <w:rFonts w:eastAsia="宋体" w:cs="Times New Roman"/>
      <w:kern w:val="2"/>
      <w:sz w:val="24"/>
      <w:szCs w:val="24"/>
      <w:lang w:val="en-US" w:eastAsia="zh-CN" w:bidi="ar-SA"/>
    </w:rPr>
  </w:style>
  <w:style w:type="paragraph" w:customStyle="1" w:styleId="247">
    <w:name w:val="_Style 246"/>
    <w:basedOn w:val="208"/>
    <w:uiPriority w:val="99"/>
    <w:pPr>
      <w:widowControl w:val="0"/>
      <w:spacing w:after="120"/>
      <w:jc w:val="both"/>
    </w:pPr>
    <w:rPr>
      <w:rFonts w:ascii="Times New Roman" w:hAnsi="Times New Roman" w:cs="Times New Roman"/>
      <w:kern w:val="2"/>
    </w:rPr>
  </w:style>
  <w:style w:type="character" w:customStyle="1" w:styleId="248">
    <w:name w:val="_Style 247"/>
    <w:basedOn w:val="216"/>
    <w:autoRedefine/>
    <w:uiPriority w:val="99"/>
    <w:rPr>
      <w:rFonts w:ascii="Times New Roman" w:hAnsi="Times New Roman" w:eastAsia="宋体" w:cs="Times New Roman"/>
      <w:szCs w:val="21"/>
    </w:rPr>
  </w:style>
  <w:style w:type="paragraph" w:customStyle="1" w:styleId="249">
    <w:name w:val="_Style 248"/>
    <w:basedOn w:val="208"/>
    <w:qFormat/>
    <w:uiPriority w:val="99"/>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customStyle="1" w:styleId="250">
    <w:name w:val="_Style 249"/>
    <w:basedOn w:val="208"/>
    <w:uiPriority w:val="99"/>
    <w:pPr>
      <w:widowControl w:val="0"/>
      <w:ind w:left="100" w:leftChars="2500"/>
      <w:jc w:val="both"/>
    </w:pPr>
    <w:rPr>
      <w:rFonts w:ascii="Times New Roman" w:hAnsi="Times New Roman" w:cs="Times New Roman"/>
      <w:kern w:val="2"/>
    </w:rPr>
  </w:style>
  <w:style w:type="character" w:customStyle="1" w:styleId="251">
    <w:name w:val="_Style 250"/>
    <w:basedOn w:val="216"/>
    <w:uiPriority w:val="99"/>
    <w:rPr>
      <w:rFonts w:ascii="Times New Roman" w:hAnsi="Times New Roman" w:eastAsia="宋体" w:cs="Times New Roman"/>
      <w:szCs w:val="21"/>
    </w:rPr>
  </w:style>
  <w:style w:type="paragraph" w:customStyle="1" w:styleId="252">
    <w:name w:val="_Style 251"/>
    <w:basedOn w:val="208"/>
    <w:autoRedefine/>
    <w:uiPriority w:val="99"/>
    <w:pPr>
      <w:widowControl w:val="0"/>
      <w:jc w:val="center"/>
    </w:pPr>
    <w:rPr>
      <w:rFonts w:ascii="Times New Roman" w:hAnsi="Times New Roman" w:cs="Times New Roman"/>
      <w:kern w:val="2"/>
    </w:rPr>
  </w:style>
  <w:style w:type="character" w:customStyle="1" w:styleId="253">
    <w:name w:val="_Style 252"/>
    <w:basedOn w:val="216"/>
    <w:autoRedefine/>
    <w:uiPriority w:val="99"/>
    <w:rPr>
      <w:rFonts w:ascii="Times New Roman" w:hAnsi="Times New Roman" w:eastAsia="宋体" w:cs="Times New Roman"/>
      <w:szCs w:val="21"/>
    </w:rPr>
  </w:style>
  <w:style w:type="paragraph" w:customStyle="1" w:styleId="254">
    <w:name w:val="_Style 253"/>
    <w:basedOn w:val="208"/>
    <w:autoRedefine/>
    <w:semiHidden/>
    <w:qFormat/>
    <w:uiPriority w:val="0"/>
    <w:pPr>
      <w:widowControl w:val="0"/>
      <w:spacing w:before="120"/>
      <w:jc w:val="both"/>
    </w:pPr>
    <w:rPr>
      <w:rFonts w:ascii="Arial" w:hAnsi="Arial" w:cs="Times New Roman"/>
      <w:b/>
      <w:bCs/>
      <w:kern w:val="2"/>
    </w:rPr>
  </w:style>
  <w:style w:type="paragraph" w:customStyle="1" w:styleId="255">
    <w:name w:val="_Style 254"/>
    <w:basedOn w:val="208"/>
    <w:uiPriority w:val="0"/>
    <w:pPr>
      <w:keepNext/>
      <w:keepLines/>
      <w:widowControl w:val="0"/>
      <w:spacing w:before="60" w:after="60"/>
      <w:ind w:hanging="420" w:hangingChars="200"/>
      <w:jc w:val="both"/>
      <w:outlineLvl w:val="4"/>
    </w:pPr>
    <w:rPr>
      <w:rFonts w:cs="Times New Roman"/>
      <w:b/>
      <w:bCs/>
      <w:kern w:val="2"/>
    </w:rPr>
  </w:style>
  <w:style w:type="paragraph" w:customStyle="1" w:styleId="256">
    <w:name w:val="_Style 255"/>
    <w:hidden/>
    <w:semiHidden/>
    <w:qFormat/>
    <w:uiPriority w:val="99"/>
    <w:rPr>
      <w:rFonts w:ascii="宋体" w:hAnsi="宋体" w:eastAsia="宋体" w:cs="宋体"/>
      <w:kern w:val="2"/>
      <w:sz w:val="21"/>
      <w:szCs w:val="22"/>
      <w:lang w:val="en-US" w:eastAsia="zh-CN" w:bidi="ar-SA"/>
    </w:rPr>
  </w:style>
  <w:style w:type="character" w:customStyle="1" w:styleId="257">
    <w:name w:val="_Style 256"/>
    <w:basedOn w:val="216"/>
    <w:autoRedefine/>
    <w:qFormat/>
    <w:uiPriority w:val="0"/>
    <w:rPr>
      <w:kern w:val="2"/>
      <w:sz w:val="21"/>
      <w:szCs w:val="24"/>
    </w:rPr>
  </w:style>
  <w:style w:type="paragraph" w:customStyle="1" w:styleId="258">
    <w:name w:val="_Style 257"/>
    <w:basedOn w:val="208"/>
    <w:autoRedefine/>
    <w:qFormat/>
    <w:uiPriority w:val="0"/>
    <w:pPr>
      <w:widowControl w:val="0"/>
      <w:spacing w:before="100" w:after="100"/>
      <w:jc w:val="both"/>
    </w:pPr>
    <w:rPr>
      <w:rFonts w:ascii="Calibri" w:hAnsi="Calibri" w:cs="Times New Roman"/>
      <w:kern w:val="2"/>
    </w:rPr>
  </w:style>
  <w:style w:type="paragraph" w:customStyle="1" w:styleId="259">
    <w:name w:val="_Style 258"/>
    <w:basedOn w:val="208"/>
    <w:semiHidden/>
    <w:unhideWhenUsed/>
    <w:qFormat/>
    <w:uiPriority w:val="99"/>
    <w:pPr>
      <w:widowControl w:val="0"/>
      <w:jc w:val="both"/>
    </w:pPr>
    <w:rPr>
      <w:rFonts w:hAnsi="Calibri" w:cs="Times New Roman"/>
      <w:kern w:val="2"/>
      <w:sz w:val="18"/>
      <w:szCs w:val="18"/>
    </w:rPr>
  </w:style>
  <w:style w:type="character" w:customStyle="1" w:styleId="260">
    <w:name w:val="_Style 259"/>
    <w:basedOn w:val="216"/>
    <w:semiHidden/>
    <w:uiPriority w:val="99"/>
    <w:rPr>
      <w:rFonts w:ascii="宋体"/>
      <w:kern w:val="2"/>
      <w:sz w:val="18"/>
      <w:szCs w:val="18"/>
    </w:rPr>
  </w:style>
  <w:style w:type="character" w:customStyle="1" w:styleId="261">
    <w:name w:val="_Style 260"/>
    <w:basedOn w:val="216"/>
    <w:semiHidden/>
    <w:qFormat/>
    <w:uiPriority w:val="99"/>
    <w:rPr>
      <w:color w:val="auto"/>
    </w:rPr>
  </w:style>
  <w:style w:type="paragraph" w:customStyle="1" w:styleId="262">
    <w:name w:val="_Style 261"/>
    <w:basedOn w:val="208"/>
    <w:autoRedefine/>
    <w:qFormat/>
    <w:uiPriority w:val="10"/>
    <w:pPr>
      <w:widowControl w:val="0"/>
      <w:spacing w:before="240" w:after="60"/>
      <w:jc w:val="center"/>
      <w:outlineLvl w:val="0"/>
    </w:pPr>
    <w:rPr>
      <w:rFonts w:asciiTheme="majorHAnsi" w:hAnsiTheme="majorHAnsi" w:cstheme="majorBidi"/>
      <w:b/>
      <w:bCs/>
      <w:kern w:val="2"/>
      <w:sz w:val="32"/>
      <w:szCs w:val="32"/>
    </w:rPr>
  </w:style>
  <w:style w:type="character" w:customStyle="1" w:styleId="263">
    <w:name w:val="_Style 262"/>
    <w:basedOn w:val="216"/>
    <w:uiPriority w:val="10"/>
    <w:rPr>
      <w:rFonts w:asciiTheme="majorHAnsi" w:hAnsiTheme="majorHAnsi" w:cstheme="majorBidi"/>
      <w:b/>
      <w:bCs/>
      <w:kern w:val="2"/>
      <w:sz w:val="32"/>
      <w:szCs w:val="32"/>
    </w:rPr>
  </w:style>
  <w:style w:type="paragraph" w:customStyle="1" w:styleId="264">
    <w:name w:val="_Style 263"/>
    <w:qFormat/>
    <w:uiPriority w:val="1"/>
    <w:pPr>
      <w:widowControl w:val="0"/>
      <w:jc w:val="both"/>
    </w:pPr>
    <w:rPr>
      <w:rFonts w:ascii="宋体" w:hAnsi="宋体" w:eastAsia="宋体" w:cs="宋体"/>
      <w:kern w:val="2"/>
      <w:sz w:val="21"/>
      <w:szCs w:val="22"/>
      <w:lang w:val="en-US" w:eastAsia="zh-CN" w:bidi="ar-SA"/>
    </w:rPr>
  </w:style>
  <w:style w:type="paragraph" w:customStyle="1" w:styleId="265">
    <w:name w:val="_Style 264"/>
    <w:basedOn w:val="208"/>
    <w:autoRedefine/>
    <w:unhideWhenUsed/>
    <w:uiPriority w:val="39"/>
    <w:pPr>
      <w:widowControl w:val="0"/>
      <w:ind w:left="1260" w:leftChars="600"/>
      <w:jc w:val="both"/>
    </w:pPr>
    <w:rPr>
      <w:rFonts w:asciiTheme="minorHAnsi" w:hAnsiTheme="minorHAnsi" w:eastAsiaTheme="minorEastAsia" w:cstheme="minorBidi"/>
      <w:kern w:val="2"/>
      <w:szCs w:val="22"/>
    </w:rPr>
  </w:style>
  <w:style w:type="paragraph" w:customStyle="1" w:styleId="266">
    <w:name w:val="_Style 265"/>
    <w:basedOn w:val="208"/>
    <w:autoRedefine/>
    <w:unhideWhenUsed/>
    <w:uiPriority w:val="39"/>
    <w:pPr>
      <w:widowControl w:val="0"/>
      <w:ind w:left="1680" w:leftChars="800"/>
      <w:jc w:val="both"/>
    </w:pPr>
    <w:rPr>
      <w:rFonts w:asciiTheme="minorHAnsi" w:hAnsiTheme="minorHAnsi" w:eastAsiaTheme="minorEastAsia" w:cstheme="minorBidi"/>
      <w:kern w:val="2"/>
      <w:szCs w:val="22"/>
    </w:rPr>
  </w:style>
  <w:style w:type="paragraph" w:customStyle="1" w:styleId="267">
    <w:name w:val="_Style 266"/>
    <w:basedOn w:val="208"/>
    <w:autoRedefine/>
    <w:unhideWhenUsed/>
    <w:uiPriority w:val="39"/>
    <w:pPr>
      <w:widowControl w:val="0"/>
      <w:ind w:left="2100" w:leftChars="1000"/>
      <w:jc w:val="both"/>
    </w:pPr>
    <w:rPr>
      <w:rFonts w:asciiTheme="minorHAnsi" w:hAnsiTheme="minorHAnsi" w:eastAsiaTheme="minorEastAsia" w:cstheme="minorBidi"/>
      <w:kern w:val="2"/>
      <w:szCs w:val="22"/>
    </w:rPr>
  </w:style>
  <w:style w:type="paragraph" w:customStyle="1" w:styleId="268">
    <w:name w:val="_Style 267"/>
    <w:basedOn w:val="208"/>
    <w:autoRedefine/>
    <w:unhideWhenUsed/>
    <w:uiPriority w:val="39"/>
    <w:pPr>
      <w:widowControl w:val="0"/>
      <w:ind w:left="2520" w:leftChars="1200"/>
      <w:jc w:val="both"/>
    </w:pPr>
    <w:rPr>
      <w:rFonts w:asciiTheme="minorHAnsi" w:hAnsiTheme="minorHAnsi" w:eastAsiaTheme="minorEastAsia" w:cstheme="minorBidi"/>
      <w:kern w:val="2"/>
      <w:szCs w:val="22"/>
    </w:rPr>
  </w:style>
  <w:style w:type="paragraph" w:customStyle="1" w:styleId="269">
    <w:name w:val="_Style 268"/>
    <w:basedOn w:val="208"/>
    <w:autoRedefine/>
    <w:unhideWhenUsed/>
    <w:qFormat/>
    <w:uiPriority w:val="39"/>
    <w:pPr>
      <w:widowControl w:val="0"/>
      <w:ind w:left="2940" w:leftChars="1400"/>
      <w:jc w:val="both"/>
    </w:pPr>
    <w:rPr>
      <w:rFonts w:asciiTheme="minorHAnsi" w:hAnsiTheme="minorHAnsi" w:eastAsiaTheme="minorEastAsia" w:cstheme="minorBidi"/>
      <w:kern w:val="2"/>
      <w:szCs w:val="22"/>
    </w:rPr>
  </w:style>
  <w:style w:type="paragraph" w:customStyle="1" w:styleId="270">
    <w:name w:val="_Style 269"/>
    <w:basedOn w:val="208"/>
    <w:autoRedefine/>
    <w:unhideWhenUsed/>
    <w:qFormat/>
    <w:uiPriority w:val="39"/>
    <w:pPr>
      <w:widowControl w:val="0"/>
      <w:ind w:left="3360" w:leftChars="1600"/>
      <w:jc w:val="both"/>
    </w:pPr>
    <w:rPr>
      <w:rFonts w:asciiTheme="minorHAnsi" w:hAnsiTheme="minorHAnsi" w:eastAsiaTheme="minorEastAsia" w:cstheme="minorBidi"/>
      <w:kern w:val="2"/>
      <w:szCs w:val="22"/>
    </w:rPr>
  </w:style>
  <w:style w:type="character" w:customStyle="1" w:styleId="271">
    <w:name w:val="_Style 270"/>
    <w:basedOn w:val="216"/>
    <w:qFormat/>
    <w:uiPriority w:val="9"/>
    <w:rPr>
      <w:rFonts w:asciiTheme="majorHAnsi" w:hAnsiTheme="majorHAnsi" w:cstheme="majorBidi"/>
      <w:b/>
      <w:bCs/>
      <w:sz w:val="21"/>
      <w:szCs w:val="24"/>
    </w:rPr>
  </w:style>
  <w:style w:type="paragraph" w:customStyle="1" w:styleId="272">
    <w:name w:val="_Style 271"/>
    <w:basedOn w:val="208"/>
    <w:uiPriority w:val="99"/>
    <w:pPr>
      <w:spacing w:before="100" w:beforeAutospacing="1" w:after="100" w:afterAutospacing="1"/>
    </w:pPr>
    <w:rPr>
      <w:sz w:val="24"/>
    </w:rPr>
  </w:style>
  <w:style w:type="paragraph" w:customStyle="1" w:styleId="273">
    <w:name w:val="_Style 272"/>
    <w:basedOn w:val="208"/>
    <w:autoRedefine/>
    <w:semiHidden/>
    <w:unhideWhenUsed/>
    <w:uiPriority w:val="99"/>
    <w:pPr>
      <w:snapToGrid w:val="0"/>
    </w:pPr>
  </w:style>
  <w:style w:type="character" w:customStyle="1" w:styleId="274">
    <w:name w:val="_Style 273"/>
    <w:basedOn w:val="216"/>
    <w:semiHidden/>
    <w:uiPriority w:val="99"/>
    <w:rPr>
      <w:rFonts w:ascii="宋体" w:hAnsi="宋体" w:cs="宋体"/>
      <w:sz w:val="21"/>
      <w:szCs w:val="24"/>
    </w:rPr>
  </w:style>
  <w:style w:type="character" w:customStyle="1" w:styleId="275">
    <w:name w:val="_Style 274"/>
    <w:basedOn w:val="216"/>
    <w:semiHidden/>
    <w:unhideWhenUsed/>
    <w:uiPriority w:val="99"/>
    <w:rPr>
      <w:vertAlign w:val="superscript"/>
    </w:rPr>
  </w:style>
  <w:style w:type="character" w:customStyle="1" w:styleId="276">
    <w:name w:val="_Style 275"/>
    <w:basedOn w:val="229"/>
    <w:semiHidden/>
    <w:qFormat/>
    <w:uiPriority w:val="99"/>
    <w:rPr>
      <w:rFonts w:ascii="Times New Roman" w:hAnsi="Times New Roman" w:eastAsia="宋体" w:cs="Times New Roman"/>
      <w:b/>
      <w:bCs/>
      <w:szCs w:val="21"/>
    </w:rPr>
  </w:style>
  <w:style w:type="paragraph" w:customStyle="1" w:styleId="277">
    <w:name w:val="_Style 276"/>
    <w:basedOn w:val="208"/>
    <w:qFormat/>
    <w:uiPriority w:val="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278">
    <w:name w:val="_Style 277"/>
    <w:basedOn w:val="216"/>
    <w:autoRedefine/>
    <w:uiPriority w:val="0"/>
    <w:rPr>
      <w:rFonts w:ascii="Times New Roman" w:hAnsi="Times New Roman"/>
      <w:b/>
      <w:kern w:val="2"/>
      <w:sz w:val="21"/>
      <w:szCs w:val="24"/>
    </w:rPr>
  </w:style>
  <w:style w:type="character" w:customStyle="1" w:styleId="279">
    <w:name w:val="_Style 278"/>
    <w:basedOn w:val="229"/>
    <w:semiHidden/>
    <w:qFormat/>
    <w:uiPriority w:val="99"/>
    <w:rPr>
      <w:rFonts w:ascii="Times New Roman" w:hAnsi="Times New Roman" w:eastAsia="宋体" w:cs="Times New Roman"/>
      <w:b/>
      <w:bCs/>
      <w:szCs w:val="21"/>
    </w:rPr>
  </w:style>
  <w:style w:type="character" w:customStyle="1" w:styleId="280">
    <w:name w:val="_Style 279"/>
    <w:basedOn w:val="216"/>
    <w:qFormat/>
    <w:uiPriority w:val="9"/>
    <w:rPr>
      <w:rFonts w:ascii="宋体" w:hAnsi="宋体" w:cs="宋体"/>
      <w:b/>
      <w:bCs/>
      <w:sz w:val="24"/>
      <w:szCs w:val="24"/>
    </w:rPr>
  </w:style>
  <w:style w:type="paragraph" w:customStyle="1" w:styleId="281">
    <w:name w:val="_Style 280"/>
    <w:basedOn w:val="208"/>
    <w:autoRedefine/>
    <w:semiHidden/>
    <w:uiPriority w:val="0"/>
    <w:pPr>
      <w:ind w:firstLine="420" w:firstLineChars="200"/>
    </w:pPr>
    <w:rPr>
      <w:rFonts w:cs="Times New Roman"/>
      <w:color w:val="000000"/>
    </w:rPr>
  </w:style>
  <w:style w:type="character" w:customStyle="1" w:styleId="282">
    <w:name w:val="_Style 281"/>
    <w:basedOn w:val="216"/>
    <w:autoRedefine/>
    <w:qFormat/>
    <w:uiPriority w:val="0"/>
  </w:style>
  <w:style w:type="paragraph" w:customStyle="1" w:styleId="283">
    <w:name w:val="_Style 282"/>
    <w:basedOn w:val="208"/>
    <w:qFormat/>
    <w:uiPriority w:val="0"/>
    <w:pPr>
      <w:widowControl w:val="0"/>
      <w:ind w:firstLine="420" w:firstLineChars="200"/>
      <w:jc w:val="both"/>
    </w:pPr>
    <w:rPr>
      <w:rFonts w:ascii="Times New Roman" w:hAnsi="Times New Roman" w:cs="Times New Roman"/>
      <w:kern w:val="2"/>
    </w:rPr>
  </w:style>
  <w:style w:type="paragraph" w:customStyle="1" w:styleId="284">
    <w:name w:val="_Style 283"/>
    <w:basedOn w:val="208"/>
    <w:uiPriority w:val="0"/>
    <w:pPr>
      <w:widowControl w:val="0"/>
      <w:tabs>
        <w:tab w:val="left" w:pos="1200"/>
      </w:tabs>
      <w:jc w:val="both"/>
    </w:pPr>
    <w:rPr>
      <w:rFonts w:ascii="Times New Roman" w:hAnsi="Times New Roman" w:cs="Times New Roman"/>
      <w:kern w:val="2"/>
    </w:rPr>
  </w:style>
  <w:style w:type="paragraph" w:customStyle="1" w:styleId="285">
    <w:name w:val="_Style 284"/>
    <w:basedOn w:val="208"/>
    <w:qFormat/>
    <w:uiPriority w:val="34"/>
    <w:pPr>
      <w:widowControl w:val="0"/>
      <w:ind w:firstLine="420" w:firstLineChars="200"/>
      <w:jc w:val="both"/>
    </w:pPr>
    <w:rPr>
      <w:rFonts w:ascii="Calibri" w:hAnsi="Calibri" w:cs="Times New Roman"/>
      <w:kern w:val="2"/>
      <w:szCs w:val="22"/>
    </w:rPr>
  </w:style>
  <w:style w:type="paragraph" w:customStyle="1" w:styleId="286">
    <w:name w:val="_Style 285"/>
    <w:basedOn w:val="208"/>
    <w:autoRedefine/>
    <w:qFormat/>
    <w:uiPriority w:val="34"/>
    <w:pPr>
      <w:widowControl w:val="0"/>
      <w:ind w:firstLine="420" w:firstLineChars="200"/>
      <w:jc w:val="both"/>
    </w:pPr>
    <w:rPr>
      <w:rFonts w:ascii="Calibri" w:hAnsi="Calibri" w:cs="Times New Roman"/>
      <w:kern w:val="2"/>
      <w:szCs w:val="22"/>
    </w:rPr>
  </w:style>
  <w:style w:type="paragraph" w:customStyle="1" w:styleId="287">
    <w:name w:val="_Style 286"/>
    <w:basedOn w:val="208"/>
    <w:autoRedefine/>
    <w:qFormat/>
    <w:uiPriority w:val="34"/>
    <w:pPr>
      <w:widowControl w:val="0"/>
      <w:ind w:firstLine="420" w:firstLineChars="200"/>
      <w:jc w:val="both"/>
    </w:pPr>
    <w:rPr>
      <w:rFonts w:ascii="Calibri" w:hAnsi="Calibri" w:cs="Times New Roman"/>
      <w:kern w:val="2"/>
      <w:szCs w:val="22"/>
    </w:rPr>
  </w:style>
  <w:style w:type="paragraph" w:customStyle="1" w:styleId="288">
    <w:name w:val="_Style 287"/>
    <w:basedOn w:val="208"/>
    <w:qFormat/>
    <w:uiPriority w:val="34"/>
    <w:pPr>
      <w:widowControl w:val="0"/>
      <w:ind w:firstLine="420" w:firstLineChars="200"/>
      <w:jc w:val="both"/>
    </w:pPr>
    <w:rPr>
      <w:rFonts w:ascii="Calibri" w:hAnsi="Calibri" w:cs="Times New Roman"/>
      <w:kern w:val="2"/>
      <w:szCs w:val="22"/>
    </w:rPr>
  </w:style>
  <w:style w:type="paragraph" w:customStyle="1" w:styleId="289">
    <w:name w:val="_Style 288"/>
    <w:basedOn w:val="208"/>
    <w:qFormat/>
    <w:uiPriority w:val="1"/>
    <w:pPr>
      <w:widowControl w:val="0"/>
      <w:autoSpaceDE w:val="0"/>
      <w:autoSpaceDN w:val="0"/>
      <w:spacing w:after="160" w:line="259" w:lineRule="auto"/>
    </w:pPr>
    <w:rPr>
      <w:rFonts w:ascii="Noto Sans CJK JP Regular" w:hAnsi="Noto Sans CJK JP Regular" w:eastAsia="Noto Sans CJK JP Regular" w:cs="Noto Sans CJK JP Regular"/>
      <w:sz w:val="22"/>
      <w:szCs w:val="22"/>
      <w:lang w:eastAsia="en-US"/>
    </w:rPr>
  </w:style>
  <w:style w:type="paragraph" w:customStyle="1" w:styleId="290">
    <w:name w:val="_Style 289"/>
    <w:basedOn w:val="208"/>
    <w:qFormat/>
    <w:uiPriority w:val="34"/>
    <w:pPr>
      <w:widowControl w:val="0"/>
      <w:ind w:firstLine="420" w:firstLineChars="200"/>
      <w:jc w:val="both"/>
    </w:pPr>
    <w:rPr>
      <w:rFonts w:ascii="Calibri" w:hAnsi="Calibri" w:cs="Times New Roman"/>
      <w:kern w:val="2"/>
      <w:szCs w:val="22"/>
    </w:rPr>
  </w:style>
  <w:style w:type="paragraph" w:customStyle="1" w:styleId="291">
    <w:name w:val="_Style 290"/>
    <w:basedOn w:val="208"/>
    <w:autoRedefine/>
    <w:qFormat/>
    <w:uiPriority w:val="34"/>
    <w:pPr>
      <w:widowControl w:val="0"/>
      <w:ind w:firstLine="420" w:firstLineChars="200"/>
      <w:jc w:val="both"/>
    </w:pPr>
    <w:rPr>
      <w:rFonts w:ascii="Calibri" w:hAnsi="Calibri" w:cs="Times New Roman"/>
      <w:kern w:val="2"/>
      <w:szCs w:val="22"/>
    </w:rPr>
  </w:style>
  <w:style w:type="character" w:customStyle="1" w:styleId="292">
    <w:name w:val="_Style 291"/>
    <w:semiHidden/>
    <w:locked/>
    <w:uiPriority w:val="99"/>
    <w:rPr>
      <w:rFonts w:ascii="Times New Roman" w:hAnsi="Times New Roman"/>
      <w:kern w:val="2"/>
      <w:sz w:val="21"/>
      <w:szCs w:val="21"/>
    </w:rPr>
  </w:style>
  <w:style w:type="paragraph" w:customStyle="1" w:styleId="293">
    <w:name w:val="_Style 292"/>
    <w:basedOn w:val="208"/>
    <w:uiPriority w:val="0"/>
    <w:pPr>
      <w:widowControl w:val="0"/>
      <w:ind w:firstLine="420" w:firstLineChars="200"/>
      <w:jc w:val="both"/>
    </w:pPr>
    <w:rPr>
      <w:rFonts w:ascii="Calibri" w:hAnsi="Calibri" w:cs="Times New Roman"/>
      <w:kern w:val="2"/>
    </w:rPr>
  </w:style>
  <w:style w:type="paragraph" w:customStyle="1" w:styleId="294">
    <w:name w:val="_Style 293"/>
    <w:basedOn w:val="208"/>
    <w:autoRedefine/>
    <w:qFormat/>
    <w:uiPriority w:val="0"/>
    <w:pPr>
      <w:widowControl w:val="0"/>
      <w:ind w:firstLine="420" w:firstLineChars="200"/>
      <w:jc w:val="both"/>
    </w:pPr>
    <w:rPr>
      <w:rFonts w:ascii="Calibri" w:hAnsi="Calibri" w:cs="Times New Roman"/>
      <w:kern w:val="2"/>
    </w:rPr>
  </w:style>
  <w:style w:type="paragraph" w:customStyle="1" w:styleId="295">
    <w:name w:val="_Style 294"/>
    <w:basedOn w:val="208"/>
    <w:uiPriority w:val="0"/>
    <w:pPr>
      <w:jc w:val="both"/>
    </w:pPr>
    <w:rPr>
      <w:rFonts w:ascii="Calibri" w:hAnsi="Calibri" w:cs="Calibri"/>
      <w:bCs/>
      <w:kern w:val="2"/>
    </w:rPr>
  </w:style>
  <w:style w:type="paragraph" w:customStyle="1" w:styleId="296">
    <w:name w:val="_Style 295"/>
    <w:basedOn w:val="208"/>
    <w:uiPriority w:val="0"/>
    <w:rPr>
      <w:bCs/>
    </w:rPr>
  </w:style>
  <w:style w:type="paragraph" w:customStyle="1" w:styleId="297">
    <w:name w:val="_Style 296"/>
    <w:uiPriority w:val="0"/>
    <w:pPr>
      <w:jc w:val="both"/>
    </w:pPr>
    <w:rPr>
      <w:rFonts w:ascii="宋体" w:hAnsi="宋体" w:eastAsia="宋体" w:cs="宋体"/>
      <w:bCs/>
      <w:kern w:val="2"/>
      <w:sz w:val="21"/>
      <w:szCs w:val="21"/>
      <w:lang w:val="en-US" w:eastAsia="zh-CN" w:bidi="ar-SA"/>
    </w:rPr>
  </w:style>
  <w:style w:type="paragraph" w:customStyle="1" w:styleId="298">
    <w:name w:val="_Style 297"/>
    <w:basedOn w:val="208"/>
    <w:unhideWhenUsed/>
    <w:uiPriority w:val="99"/>
    <w:pPr>
      <w:snapToGrid w:val="0"/>
    </w:pPr>
    <w:rPr>
      <w:sz w:val="18"/>
      <w:szCs w:val="18"/>
    </w:rPr>
  </w:style>
  <w:style w:type="character" w:customStyle="1" w:styleId="299">
    <w:name w:val="_Style 298"/>
    <w:basedOn w:val="216"/>
    <w:autoRedefine/>
    <w:qFormat/>
    <w:uiPriority w:val="99"/>
    <w:rPr>
      <w:sz w:val="18"/>
      <w:szCs w:val="18"/>
    </w:rPr>
  </w:style>
  <w:style w:type="character" w:customStyle="1" w:styleId="300">
    <w:name w:val="_Style 299"/>
    <w:basedOn w:val="216"/>
    <w:autoRedefine/>
    <w:semiHidden/>
    <w:unhideWhenUsed/>
    <w:qFormat/>
    <w:uiPriority w:val="99"/>
    <w:rPr>
      <w:vertAlign w:val="superscript"/>
    </w:rPr>
  </w:style>
  <w:style w:type="paragraph" w:customStyle="1" w:styleId="301">
    <w:name w:val="_Style 300"/>
    <w:autoRedefine/>
    <w:qFormat/>
    <w:uiPriority w:val="0"/>
    <w:rPr>
      <w:rFonts w:ascii="宋体" w:hAnsi="宋体" w:eastAsia="宋体" w:cs="宋体"/>
      <w:sz w:val="21"/>
      <w:szCs w:val="21"/>
      <w:lang w:val="en-US" w:eastAsia="zh-CN" w:bidi="ar-SA"/>
    </w:rPr>
  </w:style>
  <w:style w:type="paragraph" w:customStyle="1" w:styleId="302">
    <w:name w:val="_Style 301"/>
    <w:basedOn w:val="301"/>
    <w:autoRedefine/>
    <w:qFormat/>
    <w:uiPriority w:val="99"/>
    <w:pPr>
      <w:keepNext/>
      <w:keepLines/>
      <w:widowControl w:val="0"/>
      <w:spacing w:before="60" w:after="60" w:line="360" w:lineRule="auto"/>
      <w:jc w:val="center"/>
      <w:outlineLvl w:val="0"/>
    </w:pPr>
    <w:rPr>
      <w:rFonts w:ascii="Calibri" w:hAnsi="Calibri" w:eastAsia="黑体" w:cs="Times New Roman"/>
      <w:b/>
      <w:bCs/>
      <w:kern w:val="44"/>
      <w:sz w:val="28"/>
      <w:szCs w:val="44"/>
    </w:rPr>
  </w:style>
  <w:style w:type="paragraph" w:customStyle="1" w:styleId="303">
    <w:name w:val="标题 2 Char Char Char2"/>
    <w:basedOn w:val="301"/>
    <w:autoRedefine/>
    <w:qFormat/>
    <w:uiPriority w:val="0"/>
    <w:pPr>
      <w:keepNext/>
      <w:keepLines/>
      <w:widowControl w:val="0"/>
      <w:spacing w:before="60" w:after="60"/>
      <w:ind w:left="200" w:hanging="200" w:hangingChars="200"/>
      <w:jc w:val="both"/>
      <w:outlineLvl w:val="1"/>
    </w:pPr>
    <w:rPr>
      <w:rFonts w:ascii="Arial" w:hAnsi="Arial" w:cs="Times New Roman"/>
      <w:b/>
      <w:bCs/>
      <w:kern w:val="2"/>
    </w:rPr>
  </w:style>
  <w:style w:type="paragraph" w:customStyle="1" w:styleId="304">
    <w:name w:val="_Style 303"/>
    <w:basedOn w:val="301"/>
    <w:autoRedefine/>
    <w:qFormat/>
    <w:uiPriority w:val="9"/>
    <w:pPr>
      <w:keepNext/>
      <w:keepLines/>
      <w:widowControl w:val="0"/>
      <w:spacing w:before="60" w:after="60"/>
      <w:jc w:val="both"/>
      <w:outlineLvl w:val="2"/>
    </w:pPr>
    <w:rPr>
      <w:rFonts w:ascii="Calibri" w:hAnsi="Calibri" w:cs="Times New Roman"/>
      <w:b/>
      <w:bCs/>
      <w:kern w:val="2"/>
      <w:szCs w:val="32"/>
    </w:rPr>
  </w:style>
  <w:style w:type="paragraph" w:customStyle="1" w:styleId="305">
    <w:name w:val="_Style 304"/>
    <w:basedOn w:val="301"/>
    <w:autoRedefine/>
    <w:qFormat/>
    <w:uiPriority w:val="9"/>
    <w:pPr>
      <w:keepNext/>
      <w:keepLines/>
      <w:widowControl w:val="0"/>
      <w:spacing w:before="60" w:after="60"/>
      <w:jc w:val="both"/>
      <w:outlineLvl w:val="3"/>
    </w:pPr>
    <w:rPr>
      <w:rFonts w:ascii="Cambria" w:hAnsi="Cambria" w:cs="Times New Roman"/>
      <w:b/>
      <w:bCs/>
      <w:kern w:val="2"/>
      <w:szCs w:val="28"/>
    </w:rPr>
  </w:style>
  <w:style w:type="paragraph" w:customStyle="1" w:styleId="306">
    <w:name w:val="_Style 305"/>
    <w:basedOn w:val="301"/>
    <w:autoRedefine/>
    <w:qFormat/>
    <w:uiPriority w:val="9"/>
    <w:pPr>
      <w:keepNext/>
      <w:keepLines/>
      <w:widowControl w:val="0"/>
      <w:spacing w:before="60" w:after="60"/>
      <w:jc w:val="both"/>
      <w:outlineLvl w:val="4"/>
    </w:pPr>
    <w:rPr>
      <w:rFonts w:ascii="Calibri" w:hAnsi="Calibri" w:cs="Times New Roman"/>
      <w:b/>
      <w:bCs/>
      <w:kern w:val="2"/>
      <w:szCs w:val="28"/>
    </w:rPr>
  </w:style>
  <w:style w:type="paragraph" w:customStyle="1" w:styleId="307">
    <w:name w:val="_Style 306"/>
    <w:basedOn w:val="301"/>
    <w:autoRedefine/>
    <w:unhideWhenUsed/>
    <w:qFormat/>
    <w:uiPriority w:val="9"/>
    <w:pPr>
      <w:keepNext/>
      <w:keepLines/>
      <w:spacing w:before="60" w:after="60"/>
      <w:outlineLvl w:val="5"/>
    </w:pPr>
    <w:rPr>
      <w:rFonts w:asciiTheme="majorHAnsi" w:hAnsiTheme="majorHAnsi" w:cstheme="majorBidi"/>
      <w:b/>
      <w:bCs/>
    </w:rPr>
  </w:style>
  <w:style w:type="paragraph" w:customStyle="1" w:styleId="308">
    <w:name w:val="_Style 307"/>
    <w:basedOn w:val="301"/>
    <w:autoRedefine/>
    <w:unhideWhenUsed/>
    <w:qFormat/>
    <w:uiPriority w:val="9"/>
    <w:pPr>
      <w:keepNext/>
      <w:keepLines/>
      <w:spacing w:before="240" w:after="64" w:line="320" w:lineRule="auto"/>
      <w:outlineLvl w:val="6"/>
    </w:pPr>
    <w:rPr>
      <w:b/>
      <w:bCs/>
      <w:sz w:val="24"/>
    </w:rPr>
  </w:style>
  <w:style w:type="character" w:customStyle="1" w:styleId="309">
    <w:name w:val="_Style 308"/>
    <w:autoRedefine/>
    <w:unhideWhenUsed/>
    <w:qFormat/>
    <w:uiPriority w:val="1"/>
  </w:style>
  <w:style w:type="table" w:customStyle="1" w:styleId="310">
    <w:name w:val="_Style 309"/>
    <w:autoRedefine/>
    <w:semiHidden/>
    <w:unhideWhenUsed/>
    <w:qFormat/>
    <w:uiPriority w:val="99"/>
    <w:tblPr>
      <w:tblCellMar>
        <w:top w:w="0" w:type="dxa"/>
        <w:left w:w="108" w:type="dxa"/>
        <w:bottom w:w="0" w:type="dxa"/>
        <w:right w:w="108" w:type="dxa"/>
      </w:tblCellMar>
    </w:tblPr>
  </w:style>
  <w:style w:type="character" w:customStyle="1" w:styleId="311">
    <w:name w:val="_Style 310"/>
    <w:basedOn w:val="309"/>
    <w:autoRedefine/>
    <w:qFormat/>
    <w:uiPriority w:val="99"/>
    <w:rPr>
      <w:rFonts w:eastAsia="黑体"/>
      <w:b/>
      <w:bCs/>
      <w:kern w:val="44"/>
      <w:sz w:val="28"/>
      <w:szCs w:val="44"/>
    </w:rPr>
  </w:style>
  <w:style w:type="character" w:customStyle="1" w:styleId="312">
    <w:name w:val="标题 2 Char Char Char Char22"/>
    <w:basedOn w:val="309"/>
    <w:autoRedefine/>
    <w:qFormat/>
    <w:uiPriority w:val="0"/>
    <w:rPr>
      <w:rFonts w:ascii="Arial" w:hAnsi="Arial"/>
      <w:b/>
      <w:bCs/>
      <w:kern w:val="2"/>
      <w:sz w:val="21"/>
      <w:szCs w:val="21"/>
    </w:rPr>
  </w:style>
  <w:style w:type="character" w:customStyle="1" w:styleId="313">
    <w:name w:val="_Style 312"/>
    <w:basedOn w:val="309"/>
    <w:autoRedefine/>
    <w:qFormat/>
    <w:uiPriority w:val="9"/>
    <w:rPr>
      <w:b/>
      <w:bCs/>
      <w:kern w:val="2"/>
      <w:sz w:val="21"/>
      <w:szCs w:val="32"/>
    </w:rPr>
  </w:style>
  <w:style w:type="character" w:customStyle="1" w:styleId="314">
    <w:name w:val="_Style 313"/>
    <w:basedOn w:val="309"/>
    <w:autoRedefine/>
    <w:qFormat/>
    <w:uiPriority w:val="9"/>
    <w:rPr>
      <w:rFonts w:ascii="Cambria" w:hAnsi="Cambria"/>
      <w:b/>
      <w:bCs/>
      <w:kern w:val="2"/>
      <w:sz w:val="21"/>
      <w:szCs w:val="28"/>
    </w:rPr>
  </w:style>
  <w:style w:type="character" w:customStyle="1" w:styleId="315">
    <w:name w:val="_Style 314"/>
    <w:basedOn w:val="309"/>
    <w:autoRedefine/>
    <w:qFormat/>
    <w:uiPriority w:val="9"/>
    <w:rPr>
      <w:b/>
      <w:bCs/>
      <w:kern w:val="2"/>
      <w:sz w:val="21"/>
      <w:szCs w:val="28"/>
    </w:rPr>
  </w:style>
  <w:style w:type="paragraph" w:customStyle="1" w:styleId="316">
    <w:name w:val="_Style 315"/>
    <w:basedOn w:val="302"/>
    <w:autoRedefine/>
    <w:qFormat/>
    <w:uiPriority w:val="39"/>
    <w:pPr>
      <w:widowControl/>
      <w:spacing w:before="480" w:after="0" w:line="276" w:lineRule="auto"/>
      <w:outlineLvl w:val="9"/>
    </w:pPr>
    <w:rPr>
      <w:rFonts w:ascii="Cambria" w:hAnsi="Cambria" w:eastAsia="宋体"/>
      <w:color w:val="365F91"/>
      <w:kern w:val="0"/>
      <w:szCs w:val="28"/>
    </w:rPr>
  </w:style>
  <w:style w:type="paragraph" w:customStyle="1" w:styleId="317">
    <w:name w:val="_Style 316"/>
    <w:basedOn w:val="301"/>
    <w:autoRedefine/>
    <w:qFormat/>
    <w:uiPriority w:val="39"/>
    <w:pPr>
      <w:widowControl w:val="0"/>
      <w:tabs>
        <w:tab w:val="left" w:pos="1260"/>
        <w:tab w:val="right" w:leader="dot" w:pos="8823"/>
      </w:tabs>
      <w:jc w:val="center"/>
    </w:pPr>
    <w:rPr>
      <w:rFonts w:ascii="Times New Roman" w:hAnsi="Times New Roman" w:cs="Times New Roman"/>
      <w:kern w:val="2"/>
    </w:rPr>
  </w:style>
  <w:style w:type="paragraph" w:customStyle="1" w:styleId="318">
    <w:name w:val="_Style 317"/>
    <w:basedOn w:val="301"/>
    <w:autoRedefine/>
    <w:qFormat/>
    <w:uiPriority w:val="39"/>
    <w:pPr>
      <w:widowControl w:val="0"/>
      <w:ind w:left="420" w:leftChars="200"/>
      <w:jc w:val="both"/>
    </w:pPr>
    <w:rPr>
      <w:rFonts w:ascii="Times New Roman" w:hAnsi="Times New Roman" w:cs="Times New Roman"/>
      <w:kern w:val="2"/>
    </w:rPr>
  </w:style>
  <w:style w:type="character" w:customStyle="1" w:styleId="319">
    <w:name w:val="_Style 318"/>
    <w:basedOn w:val="309"/>
    <w:autoRedefine/>
    <w:qFormat/>
    <w:uiPriority w:val="99"/>
    <w:rPr>
      <w:rFonts w:cs="Times New Roman"/>
      <w:color w:val="0000FF"/>
      <w:u w:val="single"/>
    </w:rPr>
  </w:style>
  <w:style w:type="character" w:customStyle="1" w:styleId="320">
    <w:name w:val="_Style 319"/>
    <w:basedOn w:val="309"/>
    <w:autoRedefine/>
    <w:qFormat/>
    <w:uiPriority w:val="99"/>
    <w:rPr>
      <w:rFonts w:eastAsia="宋体" w:cs="Times New Roman"/>
      <w:kern w:val="2"/>
      <w:sz w:val="21"/>
      <w:szCs w:val="21"/>
      <w:lang w:val="en-US" w:eastAsia="zh-CN" w:bidi="ar-SA"/>
    </w:rPr>
  </w:style>
  <w:style w:type="paragraph" w:customStyle="1" w:styleId="321">
    <w:name w:val="_Style 320"/>
    <w:basedOn w:val="301"/>
    <w:autoRedefine/>
    <w:qFormat/>
    <w:uiPriority w:val="0"/>
    <w:pPr>
      <w:widowControl w:val="0"/>
    </w:pPr>
    <w:rPr>
      <w:rFonts w:ascii="Times New Roman" w:hAnsi="Times New Roman" w:cs="Times New Roman"/>
      <w:kern w:val="2"/>
    </w:rPr>
  </w:style>
  <w:style w:type="character" w:customStyle="1" w:styleId="322">
    <w:name w:val="_Style 321"/>
    <w:basedOn w:val="309"/>
    <w:autoRedefine/>
    <w:qFormat/>
    <w:uiPriority w:val="99"/>
    <w:rPr>
      <w:rFonts w:ascii="Times New Roman" w:hAnsi="Times New Roman" w:eastAsia="宋体" w:cs="Times New Roman"/>
      <w:szCs w:val="21"/>
    </w:rPr>
  </w:style>
  <w:style w:type="paragraph" w:customStyle="1" w:styleId="323">
    <w:name w:val="_Style 322"/>
    <w:basedOn w:val="301"/>
    <w:autoRedefine/>
    <w:unhideWhenUsed/>
    <w:qFormat/>
    <w:uiPriority w:val="99"/>
    <w:pPr>
      <w:widowControl w:val="0"/>
      <w:jc w:val="both"/>
    </w:pPr>
    <w:rPr>
      <w:rFonts w:ascii="Calibri" w:hAnsi="Calibri" w:cs="Times New Roman"/>
      <w:kern w:val="2"/>
      <w:sz w:val="18"/>
      <w:szCs w:val="18"/>
    </w:rPr>
  </w:style>
  <w:style w:type="character" w:customStyle="1" w:styleId="324">
    <w:name w:val="_Style 323"/>
    <w:basedOn w:val="309"/>
    <w:autoRedefine/>
    <w:qFormat/>
    <w:uiPriority w:val="99"/>
    <w:rPr>
      <w:rFonts w:ascii="Calibri" w:hAnsi="Calibri" w:eastAsia="宋体" w:cs="Times New Roman"/>
      <w:sz w:val="18"/>
      <w:szCs w:val="18"/>
    </w:rPr>
  </w:style>
  <w:style w:type="paragraph" w:customStyle="1" w:styleId="325">
    <w:name w:val="_Style 324"/>
    <w:basedOn w:val="301"/>
    <w:autoRedefine/>
    <w:qFormat/>
    <w:uiPriority w:val="99"/>
    <w:pPr>
      <w:widowControl w:val="0"/>
      <w:jc w:val="both"/>
    </w:pPr>
    <w:rPr>
      <w:rFonts w:ascii="Times New Roman" w:hAnsi="Times New Roman" w:cs="Times New Roman"/>
      <w:kern w:val="2"/>
    </w:rPr>
  </w:style>
  <w:style w:type="character" w:customStyle="1" w:styleId="326">
    <w:name w:val="_Style 325"/>
    <w:basedOn w:val="309"/>
    <w:autoRedefine/>
    <w:qFormat/>
    <w:uiPriority w:val="99"/>
    <w:rPr>
      <w:rFonts w:ascii="Times New Roman" w:hAnsi="Times New Roman" w:eastAsia="宋体" w:cs="Times New Roman"/>
      <w:szCs w:val="21"/>
    </w:rPr>
  </w:style>
  <w:style w:type="character" w:customStyle="1" w:styleId="327">
    <w:name w:val="_Style 326"/>
    <w:basedOn w:val="309"/>
    <w:autoRedefine/>
    <w:qFormat/>
    <w:uiPriority w:val="99"/>
    <w:rPr>
      <w:rFonts w:eastAsia="宋体" w:cs="Times New Roman"/>
      <w:color w:val="FF0000"/>
      <w:kern w:val="2"/>
      <w:sz w:val="24"/>
      <w:szCs w:val="24"/>
      <w:lang w:val="en-US" w:eastAsia="zh-CN" w:bidi="ar-SA"/>
    </w:rPr>
  </w:style>
  <w:style w:type="paragraph" w:customStyle="1" w:styleId="328">
    <w:name w:val="_Style 327"/>
    <w:basedOn w:val="301"/>
    <w:autoRedefine/>
    <w:qFormat/>
    <w:uiPriority w:val="99"/>
    <w:pPr>
      <w:spacing w:before="100" w:after="100"/>
      <w:jc w:val="right"/>
    </w:pPr>
    <w:rPr>
      <w:rFonts w:ascii="Arial Unicode MS" w:hAnsi="Times New Roman" w:eastAsia="Arial Unicode MS" w:cs="Times New Roman"/>
      <w:sz w:val="18"/>
      <w:szCs w:val="18"/>
    </w:rPr>
  </w:style>
  <w:style w:type="paragraph" w:customStyle="1" w:styleId="329">
    <w:name w:val="_Style 328"/>
    <w:basedOn w:val="301"/>
    <w:autoRedefine/>
    <w:qFormat/>
    <w:uiPriority w:val="34"/>
    <w:pPr>
      <w:widowControl w:val="0"/>
      <w:ind w:firstLine="420" w:firstLineChars="200"/>
      <w:jc w:val="both"/>
    </w:pPr>
    <w:rPr>
      <w:rFonts w:ascii="Calibri" w:hAnsi="Calibri" w:cs="Times New Roman"/>
      <w:kern w:val="2"/>
      <w:szCs w:val="22"/>
    </w:rPr>
  </w:style>
  <w:style w:type="character" w:customStyle="1" w:styleId="330">
    <w:name w:val="_Style 329"/>
    <w:basedOn w:val="322"/>
    <w:autoRedefine/>
    <w:qFormat/>
    <w:uiPriority w:val="99"/>
    <w:rPr>
      <w:rFonts w:ascii="Calibri" w:hAnsi="Calibri" w:eastAsia="宋体" w:cs="Times New Roman"/>
      <w:b/>
      <w:bCs/>
      <w:szCs w:val="21"/>
    </w:rPr>
  </w:style>
  <w:style w:type="paragraph" w:customStyle="1" w:styleId="331">
    <w:name w:val="_Style 330"/>
    <w:basedOn w:val="321"/>
    <w:autoRedefine/>
    <w:unhideWhenUsed/>
    <w:qFormat/>
    <w:uiPriority w:val="99"/>
    <w:rPr>
      <w:rFonts w:ascii="Calibri" w:hAnsi="Calibri"/>
      <w:b/>
      <w:bCs/>
      <w:szCs w:val="22"/>
    </w:rPr>
  </w:style>
  <w:style w:type="paragraph" w:customStyle="1" w:styleId="332">
    <w:name w:val="_Style 331"/>
    <w:basedOn w:val="301"/>
    <w:autoRedefine/>
    <w:unhideWhenUsed/>
    <w:qFormat/>
    <w:uiPriority w:val="39"/>
    <w:pPr>
      <w:spacing w:after="100" w:line="276" w:lineRule="auto"/>
      <w:ind w:left="440"/>
    </w:pPr>
    <w:rPr>
      <w:rFonts w:ascii="Calibri" w:hAnsi="Calibri" w:cs="Times New Roman"/>
      <w:sz w:val="22"/>
      <w:szCs w:val="22"/>
    </w:rPr>
  </w:style>
  <w:style w:type="paragraph" w:customStyle="1" w:styleId="333">
    <w:name w:val="_Style 332"/>
    <w:basedOn w:val="301"/>
    <w:autoRedefine/>
    <w:unhideWhenUsed/>
    <w:qFormat/>
    <w:uiPriority w:val="99"/>
    <w:pPr>
      <w:widowControl w:val="0"/>
      <w:pBdr>
        <w:bottom w:val="single" w:color="auto" w:sz="6" w:space="1"/>
      </w:pBdr>
      <w:tabs>
        <w:tab w:val="center" w:pos="4153"/>
        <w:tab w:val="right" w:pos="8306"/>
      </w:tabs>
      <w:snapToGrid w:val="0"/>
      <w:jc w:val="center"/>
    </w:pPr>
    <w:rPr>
      <w:rFonts w:ascii="Calibri" w:hAnsi="Calibri" w:cs="Times New Roman"/>
      <w:kern w:val="2"/>
      <w:sz w:val="18"/>
      <w:szCs w:val="18"/>
    </w:rPr>
  </w:style>
  <w:style w:type="character" w:customStyle="1" w:styleId="334">
    <w:name w:val="_Style 333"/>
    <w:basedOn w:val="309"/>
    <w:autoRedefine/>
    <w:qFormat/>
    <w:uiPriority w:val="99"/>
    <w:rPr>
      <w:rFonts w:ascii="Calibri" w:hAnsi="Calibri" w:eastAsia="宋体" w:cs="Times New Roman"/>
      <w:sz w:val="18"/>
      <w:szCs w:val="18"/>
    </w:rPr>
  </w:style>
  <w:style w:type="paragraph" w:customStyle="1" w:styleId="335">
    <w:name w:val="_Style 334"/>
    <w:basedOn w:val="301"/>
    <w:autoRedefine/>
    <w:unhideWhenUsed/>
    <w:qFormat/>
    <w:uiPriority w:val="99"/>
    <w:pPr>
      <w:widowControl w:val="0"/>
      <w:tabs>
        <w:tab w:val="center" w:pos="4153"/>
        <w:tab w:val="right" w:pos="8306"/>
      </w:tabs>
      <w:snapToGrid w:val="0"/>
    </w:pPr>
    <w:rPr>
      <w:rFonts w:ascii="Calibri" w:hAnsi="Calibri" w:cs="Times New Roman"/>
      <w:kern w:val="2"/>
      <w:sz w:val="18"/>
      <w:szCs w:val="18"/>
    </w:rPr>
  </w:style>
  <w:style w:type="character" w:customStyle="1" w:styleId="336">
    <w:name w:val="_Style 335"/>
    <w:basedOn w:val="309"/>
    <w:autoRedefine/>
    <w:qFormat/>
    <w:uiPriority w:val="99"/>
    <w:rPr>
      <w:rFonts w:ascii="Calibri" w:hAnsi="Calibri" w:eastAsia="宋体" w:cs="Times New Roman"/>
      <w:sz w:val="18"/>
      <w:szCs w:val="18"/>
    </w:rPr>
  </w:style>
  <w:style w:type="paragraph" w:customStyle="1" w:styleId="337">
    <w:name w:val="_Style 336"/>
    <w:basedOn w:val="301"/>
    <w:autoRedefine/>
    <w:qFormat/>
    <w:uiPriority w:val="0"/>
    <w:pPr>
      <w:widowControl w:val="0"/>
      <w:jc w:val="both"/>
    </w:pPr>
    <w:rPr>
      <w:rFonts w:hAnsi="Courier New" w:cs="Times New Roman"/>
      <w:kern w:val="2"/>
      <w:szCs w:val="20"/>
    </w:rPr>
  </w:style>
  <w:style w:type="character" w:customStyle="1" w:styleId="338">
    <w:name w:val="_Style 337"/>
    <w:basedOn w:val="309"/>
    <w:autoRedefine/>
    <w:qFormat/>
    <w:uiPriority w:val="0"/>
    <w:rPr>
      <w:rFonts w:ascii="宋体" w:hAnsi="Courier New" w:eastAsia="宋体" w:cs="Times New Roman"/>
      <w:szCs w:val="20"/>
    </w:rPr>
  </w:style>
  <w:style w:type="character" w:customStyle="1" w:styleId="339">
    <w:name w:val="_Style 338"/>
    <w:basedOn w:val="309"/>
    <w:autoRedefine/>
    <w:qFormat/>
    <w:uiPriority w:val="0"/>
    <w:rPr>
      <w:rFonts w:eastAsia="宋体" w:cs="Times New Roman"/>
      <w:kern w:val="2"/>
      <w:sz w:val="24"/>
      <w:szCs w:val="24"/>
      <w:lang w:val="en-US" w:eastAsia="zh-CN" w:bidi="ar-SA"/>
    </w:rPr>
  </w:style>
  <w:style w:type="paragraph" w:customStyle="1" w:styleId="340">
    <w:name w:val="_Style 339"/>
    <w:basedOn w:val="301"/>
    <w:autoRedefine/>
    <w:qFormat/>
    <w:uiPriority w:val="99"/>
    <w:pPr>
      <w:widowControl w:val="0"/>
      <w:spacing w:after="120"/>
      <w:jc w:val="both"/>
    </w:pPr>
    <w:rPr>
      <w:rFonts w:ascii="Times New Roman" w:hAnsi="Times New Roman" w:cs="Times New Roman"/>
      <w:kern w:val="2"/>
    </w:rPr>
  </w:style>
  <w:style w:type="character" w:customStyle="1" w:styleId="341">
    <w:name w:val="_Style 340"/>
    <w:basedOn w:val="309"/>
    <w:autoRedefine/>
    <w:qFormat/>
    <w:uiPriority w:val="99"/>
    <w:rPr>
      <w:rFonts w:ascii="Times New Roman" w:hAnsi="Times New Roman" w:eastAsia="宋体" w:cs="Times New Roman"/>
      <w:szCs w:val="21"/>
    </w:rPr>
  </w:style>
  <w:style w:type="paragraph" w:customStyle="1" w:styleId="342">
    <w:name w:val="_Style 341"/>
    <w:basedOn w:val="301"/>
    <w:autoRedefine/>
    <w:qFormat/>
    <w:uiPriority w:val="99"/>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customStyle="1" w:styleId="343">
    <w:name w:val="_Style 342"/>
    <w:basedOn w:val="301"/>
    <w:autoRedefine/>
    <w:qFormat/>
    <w:uiPriority w:val="99"/>
    <w:pPr>
      <w:widowControl w:val="0"/>
      <w:ind w:left="100" w:leftChars="2500"/>
      <w:jc w:val="both"/>
    </w:pPr>
    <w:rPr>
      <w:rFonts w:ascii="Times New Roman" w:hAnsi="Times New Roman" w:cs="Times New Roman"/>
      <w:kern w:val="2"/>
    </w:rPr>
  </w:style>
  <w:style w:type="character" w:customStyle="1" w:styleId="344">
    <w:name w:val="_Style 343"/>
    <w:basedOn w:val="309"/>
    <w:autoRedefine/>
    <w:qFormat/>
    <w:uiPriority w:val="99"/>
    <w:rPr>
      <w:rFonts w:ascii="Times New Roman" w:hAnsi="Times New Roman" w:eastAsia="宋体" w:cs="Times New Roman"/>
      <w:szCs w:val="21"/>
    </w:rPr>
  </w:style>
  <w:style w:type="paragraph" w:customStyle="1" w:styleId="345">
    <w:name w:val="_Style 344"/>
    <w:basedOn w:val="301"/>
    <w:autoRedefine/>
    <w:qFormat/>
    <w:uiPriority w:val="99"/>
    <w:pPr>
      <w:widowControl w:val="0"/>
      <w:jc w:val="center"/>
    </w:pPr>
    <w:rPr>
      <w:rFonts w:ascii="Times New Roman" w:hAnsi="Times New Roman" w:cs="Times New Roman"/>
      <w:kern w:val="2"/>
    </w:rPr>
  </w:style>
  <w:style w:type="character" w:customStyle="1" w:styleId="346">
    <w:name w:val="_Style 345"/>
    <w:basedOn w:val="309"/>
    <w:autoRedefine/>
    <w:qFormat/>
    <w:uiPriority w:val="99"/>
    <w:rPr>
      <w:rFonts w:ascii="Times New Roman" w:hAnsi="Times New Roman" w:eastAsia="宋体" w:cs="Times New Roman"/>
      <w:szCs w:val="21"/>
    </w:rPr>
  </w:style>
  <w:style w:type="paragraph" w:customStyle="1" w:styleId="347">
    <w:name w:val="_Style 346"/>
    <w:basedOn w:val="301"/>
    <w:autoRedefine/>
    <w:semiHidden/>
    <w:qFormat/>
    <w:uiPriority w:val="0"/>
    <w:pPr>
      <w:widowControl w:val="0"/>
      <w:spacing w:before="120"/>
      <w:jc w:val="both"/>
    </w:pPr>
    <w:rPr>
      <w:rFonts w:ascii="Arial" w:hAnsi="Arial" w:cs="Times New Roman"/>
      <w:b/>
      <w:bCs/>
      <w:kern w:val="2"/>
    </w:rPr>
  </w:style>
  <w:style w:type="paragraph" w:customStyle="1" w:styleId="348">
    <w:name w:val="_Style 347"/>
    <w:basedOn w:val="301"/>
    <w:autoRedefine/>
    <w:qFormat/>
    <w:uiPriority w:val="0"/>
    <w:pPr>
      <w:keepNext/>
      <w:keepLines/>
      <w:widowControl w:val="0"/>
      <w:spacing w:before="60" w:after="60"/>
      <w:ind w:hanging="420" w:hangingChars="200"/>
      <w:jc w:val="both"/>
      <w:outlineLvl w:val="4"/>
    </w:pPr>
    <w:rPr>
      <w:rFonts w:cs="Times New Roman"/>
      <w:b/>
      <w:bCs/>
      <w:kern w:val="2"/>
    </w:rPr>
  </w:style>
  <w:style w:type="paragraph" w:customStyle="1" w:styleId="349">
    <w:name w:val="_Style 348"/>
    <w:autoRedefine/>
    <w:hidden/>
    <w:semiHidden/>
    <w:qFormat/>
    <w:uiPriority w:val="99"/>
    <w:rPr>
      <w:rFonts w:ascii="宋体" w:hAnsi="宋体" w:eastAsia="宋体" w:cs="宋体"/>
      <w:kern w:val="2"/>
      <w:sz w:val="21"/>
      <w:szCs w:val="22"/>
      <w:lang w:val="en-US" w:eastAsia="zh-CN" w:bidi="ar-SA"/>
    </w:rPr>
  </w:style>
  <w:style w:type="character" w:customStyle="1" w:styleId="350">
    <w:name w:val="_Style 349"/>
    <w:basedOn w:val="309"/>
    <w:autoRedefine/>
    <w:qFormat/>
    <w:uiPriority w:val="0"/>
    <w:rPr>
      <w:kern w:val="2"/>
      <w:sz w:val="21"/>
      <w:szCs w:val="24"/>
    </w:rPr>
  </w:style>
  <w:style w:type="paragraph" w:customStyle="1" w:styleId="351">
    <w:name w:val="_Style 350"/>
    <w:basedOn w:val="301"/>
    <w:autoRedefine/>
    <w:qFormat/>
    <w:uiPriority w:val="0"/>
    <w:pPr>
      <w:widowControl w:val="0"/>
      <w:spacing w:before="100" w:after="100"/>
      <w:jc w:val="both"/>
    </w:pPr>
    <w:rPr>
      <w:rFonts w:ascii="Calibri" w:hAnsi="Calibri" w:cs="Times New Roman"/>
      <w:kern w:val="2"/>
    </w:rPr>
  </w:style>
  <w:style w:type="paragraph" w:customStyle="1" w:styleId="352">
    <w:name w:val="_Style 351"/>
    <w:basedOn w:val="301"/>
    <w:autoRedefine/>
    <w:semiHidden/>
    <w:unhideWhenUsed/>
    <w:qFormat/>
    <w:uiPriority w:val="99"/>
    <w:pPr>
      <w:widowControl w:val="0"/>
      <w:jc w:val="both"/>
    </w:pPr>
    <w:rPr>
      <w:rFonts w:hAnsi="Calibri" w:cs="Times New Roman"/>
      <w:kern w:val="2"/>
      <w:sz w:val="18"/>
      <w:szCs w:val="18"/>
    </w:rPr>
  </w:style>
  <w:style w:type="character" w:customStyle="1" w:styleId="353">
    <w:name w:val="_Style 352"/>
    <w:basedOn w:val="309"/>
    <w:autoRedefine/>
    <w:semiHidden/>
    <w:qFormat/>
    <w:uiPriority w:val="99"/>
    <w:rPr>
      <w:rFonts w:ascii="宋体"/>
      <w:kern w:val="2"/>
      <w:sz w:val="18"/>
      <w:szCs w:val="18"/>
    </w:rPr>
  </w:style>
  <w:style w:type="character" w:customStyle="1" w:styleId="354">
    <w:name w:val="_Style 353"/>
    <w:basedOn w:val="309"/>
    <w:autoRedefine/>
    <w:semiHidden/>
    <w:qFormat/>
    <w:uiPriority w:val="99"/>
    <w:rPr>
      <w:color w:val="auto"/>
    </w:rPr>
  </w:style>
  <w:style w:type="paragraph" w:customStyle="1" w:styleId="355">
    <w:name w:val="_Style 354"/>
    <w:basedOn w:val="301"/>
    <w:autoRedefine/>
    <w:qFormat/>
    <w:uiPriority w:val="10"/>
    <w:pPr>
      <w:widowControl w:val="0"/>
      <w:spacing w:before="240" w:after="60"/>
      <w:jc w:val="center"/>
      <w:outlineLvl w:val="0"/>
    </w:pPr>
    <w:rPr>
      <w:rFonts w:asciiTheme="majorHAnsi" w:hAnsiTheme="majorHAnsi" w:cstheme="majorBidi"/>
      <w:b/>
      <w:bCs/>
      <w:kern w:val="2"/>
      <w:sz w:val="32"/>
      <w:szCs w:val="32"/>
    </w:rPr>
  </w:style>
  <w:style w:type="character" w:customStyle="1" w:styleId="356">
    <w:name w:val="_Style 355"/>
    <w:basedOn w:val="309"/>
    <w:autoRedefine/>
    <w:qFormat/>
    <w:uiPriority w:val="10"/>
    <w:rPr>
      <w:rFonts w:asciiTheme="majorHAnsi" w:hAnsiTheme="majorHAnsi" w:cstheme="majorBidi"/>
      <w:b/>
      <w:bCs/>
      <w:kern w:val="2"/>
      <w:sz w:val="32"/>
      <w:szCs w:val="32"/>
    </w:rPr>
  </w:style>
  <w:style w:type="paragraph" w:customStyle="1" w:styleId="357">
    <w:name w:val="_Style 356"/>
    <w:autoRedefine/>
    <w:qFormat/>
    <w:uiPriority w:val="1"/>
    <w:pPr>
      <w:widowControl w:val="0"/>
      <w:jc w:val="both"/>
    </w:pPr>
    <w:rPr>
      <w:rFonts w:ascii="宋体" w:hAnsi="宋体" w:eastAsia="宋体" w:cs="宋体"/>
      <w:kern w:val="2"/>
      <w:sz w:val="21"/>
      <w:szCs w:val="22"/>
      <w:lang w:val="en-US" w:eastAsia="zh-CN" w:bidi="ar-SA"/>
    </w:rPr>
  </w:style>
  <w:style w:type="paragraph" w:customStyle="1" w:styleId="358">
    <w:name w:val="_Style 357"/>
    <w:basedOn w:val="301"/>
    <w:autoRedefine/>
    <w:unhideWhenUsed/>
    <w:qFormat/>
    <w:uiPriority w:val="39"/>
    <w:pPr>
      <w:widowControl w:val="0"/>
      <w:ind w:left="1260" w:leftChars="600"/>
      <w:jc w:val="both"/>
    </w:pPr>
    <w:rPr>
      <w:rFonts w:asciiTheme="minorHAnsi" w:hAnsiTheme="minorHAnsi" w:eastAsiaTheme="minorEastAsia" w:cstheme="minorBidi"/>
      <w:kern w:val="2"/>
      <w:szCs w:val="22"/>
    </w:rPr>
  </w:style>
  <w:style w:type="paragraph" w:customStyle="1" w:styleId="359">
    <w:name w:val="_Style 358"/>
    <w:basedOn w:val="301"/>
    <w:autoRedefine/>
    <w:unhideWhenUsed/>
    <w:qFormat/>
    <w:uiPriority w:val="39"/>
    <w:pPr>
      <w:widowControl w:val="0"/>
      <w:ind w:left="1680" w:leftChars="800"/>
      <w:jc w:val="both"/>
    </w:pPr>
    <w:rPr>
      <w:rFonts w:asciiTheme="minorHAnsi" w:hAnsiTheme="minorHAnsi" w:eastAsiaTheme="minorEastAsia" w:cstheme="minorBidi"/>
      <w:kern w:val="2"/>
      <w:szCs w:val="22"/>
    </w:rPr>
  </w:style>
  <w:style w:type="paragraph" w:customStyle="1" w:styleId="360">
    <w:name w:val="_Style 359"/>
    <w:basedOn w:val="301"/>
    <w:autoRedefine/>
    <w:unhideWhenUsed/>
    <w:qFormat/>
    <w:uiPriority w:val="39"/>
    <w:pPr>
      <w:widowControl w:val="0"/>
      <w:ind w:left="2100" w:leftChars="1000"/>
      <w:jc w:val="both"/>
    </w:pPr>
    <w:rPr>
      <w:rFonts w:asciiTheme="minorHAnsi" w:hAnsiTheme="minorHAnsi" w:eastAsiaTheme="minorEastAsia" w:cstheme="minorBidi"/>
      <w:kern w:val="2"/>
      <w:szCs w:val="22"/>
    </w:rPr>
  </w:style>
  <w:style w:type="paragraph" w:customStyle="1" w:styleId="361">
    <w:name w:val="_Style 360"/>
    <w:basedOn w:val="301"/>
    <w:autoRedefine/>
    <w:unhideWhenUsed/>
    <w:qFormat/>
    <w:uiPriority w:val="39"/>
    <w:pPr>
      <w:widowControl w:val="0"/>
      <w:ind w:left="2520" w:leftChars="1200"/>
      <w:jc w:val="both"/>
    </w:pPr>
    <w:rPr>
      <w:rFonts w:asciiTheme="minorHAnsi" w:hAnsiTheme="minorHAnsi" w:eastAsiaTheme="minorEastAsia" w:cstheme="minorBidi"/>
      <w:kern w:val="2"/>
      <w:szCs w:val="22"/>
    </w:rPr>
  </w:style>
  <w:style w:type="paragraph" w:customStyle="1" w:styleId="362">
    <w:name w:val="_Style 361"/>
    <w:basedOn w:val="301"/>
    <w:autoRedefine/>
    <w:unhideWhenUsed/>
    <w:qFormat/>
    <w:uiPriority w:val="39"/>
    <w:pPr>
      <w:widowControl w:val="0"/>
      <w:ind w:left="2940" w:leftChars="1400"/>
      <w:jc w:val="both"/>
    </w:pPr>
    <w:rPr>
      <w:rFonts w:asciiTheme="minorHAnsi" w:hAnsiTheme="minorHAnsi" w:eastAsiaTheme="minorEastAsia" w:cstheme="minorBidi"/>
      <w:kern w:val="2"/>
      <w:szCs w:val="22"/>
    </w:rPr>
  </w:style>
  <w:style w:type="paragraph" w:customStyle="1" w:styleId="363">
    <w:name w:val="_Style 362"/>
    <w:basedOn w:val="301"/>
    <w:autoRedefine/>
    <w:unhideWhenUsed/>
    <w:qFormat/>
    <w:uiPriority w:val="39"/>
    <w:pPr>
      <w:widowControl w:val="0"/>
      <w:ind w:left="3360" w:leftChars="1600"/>
      <w:jc w:val="both"/>
    </w:pPr>
    <w:rPr>
      <w:rFonts w:asciiTheme="minorHAnsi" w:hAnsiTheme="minorHAnsi" w:eastAsiaTheme="minorEastAsia" w:cstheme="minorBidi"/>
      <w:kern w:val="2"/>
      <w:szCs w:val="22"/>
    </w:rPr>
  </w:style>
  <w:style w:type="character" w:customStyle="1" w:styleId="364">
    <w:name w:val="_Style 363"/>
    <w:basedOn w:val="309"/>
    <w:autoRedefine/>
    <w:qFormat/>
    <w:uiPriority w:val="9"/>
    <w:rPr>
      <w:rFonts w:asciiTheme="majorHAnsi" w:hAnsiTheme="majorHAnsi" w:cstheme="majorBidi"/>
      <w:b/>
      <w:bCs/>
      <w:sz w:val="21"/>
      <w:szCs w:val="24"/>
    </w:rPr>
  </w:style>
  <w:style w:type="paragraph" w:customStyle="1" w:styleId="365">
    <w:name w:val="_Style 364"/>
    <w:basedOn w:val="301"/>
    <w:autoRedefine/>
    <w:qFormat/>
    <w:uiPriority w:val="99"/>
    <w:pPr>
      <w:spacing w:before="100" w:beforeAutospacing="1" w:after="100" w:afterAutospacing="1"/>
    </w:pPr>
    <w:rPr>
      <w:sz w:val="24"/>
    </w:rPr>
  </w:style>
  <w:style w:type="paragraph" w:customStyle="1" w:styleId="366">
    <w:name w:val="_Style 365"/>
    <w:basedOn w:val="301"/>
    <w:autoRedefine/>
    <w:semiHidden/>
    <w:unhideWhenUsed/>
    <w:qFormat/>
    <w:uiPriority w:val="99"/>
    <w:pPr>
      <w:snapToGrid w:val="0"/>
    </w:pPr>
  </w:style>
  <w:style w:type="character" w:customStyle="1" w:styleId="367">
    <w:name w:val="_Style 366"/>
    <w:basedOn w:val="309"/>
    <w:autoRedefine/>
    <w:semiHidden/>
    <w:qFormat/>
    <w:uiPriority w:val="99"/>
    <w:rPr>
      <w:rFonts w:ascii="宋体" w:hAnsi="宋体" w:cs="宋体"/>
      <w:sz w:val="21"/>
      <w:szCs w:val="24"/>
    </w:rPr>
  </w:style>
  <w:style w:type="character" w:customStyle="1" w:styleId="368">
    <w:name w:val="_Style 367"/>
    <w:basedOn w:val="309"/>
    <w:autoRedefine/>
    <w:semiHidden/>
    <w:unhideWhenUsed/>
    <w:qFormat/>
    <w:uiPriority w:val="99"/>
    <w:rPr>
      <w:vertAlign w:val="superscript"/>
    </w:rPr>
  </w:style>
  <w:style w:type="character" w:customStyle="1" w:styleId="369">
    <w:name w:val="_Style 368"/>
    <w:basedOn w:val="322"/>
    <w:autoRedefine/>
    <w:semiHidden/>
    <w:qFormat/>
    <w:uiPriority w:val="99"/>
    <w:rPr>
      <w:rFonts w:ascii="Times New Roman" w:hAnsi="Times New Roman" w:eastAsia="宋体" w:cs="Times New Roman"/>
      <w:b/>
      <w:bCs/>
      <w:szCs w:val="21"/>
    </w:rPr>
  </w:style>
  <w:style w:type="paragraph" w:customStyle="1" w:styleId="370">
    <w:name w:val="_Style 369"/>
    <w:basedOn w:val="301"/>
    <w:autoRedefine/>
    <w:qFormat/>
    <w:uiPriority w:val="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71">
    <w:name w:val="_Style 370"/>
    <w:basedOn w:val="309"/>
    <w:autoRedefine/>
    <w:qFormat/>
    <w:uiPriority w:val="0"/>
    <w:rPr>
      <w:rFonts w:ascii="Times New Roman" w:hAnsi="Times New Roman"/>
      <w:b/>
      <w:kern w:val="2"/>
      <w:sz w:val="21"/>
      <w:szCs w:val="24"/>
    </w:rPr>
  </w:style>
  <w:style w:type="character" w:customStyle="1" w:styleId="372">
    <w:name w:val="_Style 371"/>
    <w:basedOn w:val="322"/>
    <w:autoRedefine/>
    <w:semiHidden/>
    <w:qFormat/>
    <w:uiPriority w:val="99"/>
    <w:rPr>
      <w:rFonts w:ascii="Times New Roman" w:hAnsi="Times New Roman" w:eastAsia="宋体" w:cs="Times New Roman"/>
      <w:b/>
      <w:bCs/>
      <w:szCs w:val="21"/>
    </w:rPr>
  </w:style>
  <w:style w:type="character" w:customStyle="1" w:styleId="373">
    <w:name w:val="_Style 372"/>
    <w:basedOn w:val="309"/>
    <w:autoRedefine/>
    <w:qFormat/>
    <w:uiPriority w:val="9"/>
    <w:rPr>
      <w:rFonts w:ascii="宋体" w:hAnsi="宋体" w:cs="宋体"/>
      <w:b/>
      <w:bCs/>
      <w:sz w:val="24"/>
      <w:szCs w:val="24"/>
    </w:rPr>
  </w:style>
  <w:style w:type="paragraph" w:customStyle="1" w:styleId="374">
    <w:name w:val="_Style 373"/>
    <w:basedOn w:val="301"/>
    <w:autoRedefine/>
    <w:semiHidden/>
    <w:qFormat/>
    <w:uiPriority w:val="0"/>
    <w:pPr>
      <w:ind w:firstLine="420" w:firstLineChars="200"/>
    </w:pPr>
    <w:rPr>
      <w:rFonts w:cs="Times New Roman"/>
      <w:color w:val="000000"/>
    </w:rPr>
  </w:style>
  <w:style w:type="character" w:customStyle="1" w:styleId="375">
    <w:name w:val="_Style 374"/>
    <w:basedOn w:val="309"/>
    <w:autoRedefine/>
    <w:qFormat/>
    <w:uiPriority w:val="0"/>
  </w:style>
  <w:style w:type="paragraph" w:customStyle="1" w:styleId="376">
    <w:name w:val="_Style 375"/>
    <w:basedOn w:val="301"/>
    <w:autoRedefine/>
    <w:qFormat/>
    <w:uiPriority w:val="0"/>
    <w:pPr>
      <w:widowControl w:val="0"/>
      <w:ind w:firstLine="420" w:firstLineChars="200"/>
      <w:jc w:val="both"/>
    </w:pPr>
    <w:rPr>
      <w:rFonts w:ascii="Times New Roman" w:hAnsi="Times New Roman" w:cs="Times New Roman"/>
      <w:kern w:val="2"/>
    </w:rPr>
  </w:style>
  <w:style w:type="paragraph" w:customStyle="1" w:styleId="377">
    <w:name w:val="_Style 376"/>
    <w:basedOn w:val="301"/>
    <w:autoRedefine/>
    <w:qFormat/>
    <w:uiPriority w:val="0"/>
    <w:pPr>
      <w:widowControl w:val="0"/>
      <w:tabs>
        <w:tab w:val="left" w:pos="1200"/>
      </w:tabs>
      <w:jc w:val="both"/>
    </w:pPr>
    <w:rPr>
      <w:rFonts w:ascii="Times New Roman" w:hAnsi="Times New Roman" w:cs="Times New Roman"/>
      <w:kern w:val="2"/>
    </w:rPr>
  </w:style>
  <w:style w:type="paragraph" w:customStyle="1" w:styleId="378">
    <w:name w:val="_Style 377"/>
    <w:basedOn w:val="301"/>
    <w:autoRedefine/>
    <w:qFormat/>
    <w:uiPriority w:val="34"/>
    <w:pPr>
      <w:widowControl w:val="0"/>
      <w:ind w:firstLine="420" w:firstLineChars="200"/>
      <w:jc w:val="both"/>
    </w:pPr>
    <w:rPr>
      <w:rFonts w:ascii="Calibri" w:hAnsi="Calibri" w:cs="Times New Roman"/>
      <w:kern w:val="2"/>
      <w:szCs w:val="22"/>
    </w:rPr>
  </w:style>
  <w:style w:type="paragraph" w:customStyle="1" w:styleId="379">
    <w:name w:val="_Style 378"/>
    <w:basedOn w:val="301"/>
    <w:autoRedefine/>
    <w:qFormat/>
    <w:uiPriority w:val="34"/>
    <w:pPr>
      <w:widowControl w:val="0"/>
      <w:ind w:firstLine="420" w:firstLineChars="200"/>
      <w:jc w:val="both"/>
    </w:pPr>
    <w:rPr>
      <w:rFonts w:ascii="Calibri" w:hAnsi="Calibri" w:cs="Times New Roman"/>
      <w:kern w:val="2"/>
      <w:szCs w:val="22"/>
    </w:rPr>
  </w:style>
  <w:style w:type="paragraph" w:customStyle="1" w:styleId="380">
    <w:name w:val="_Style 379"/>
    <w:basedOn w:val="301"/>
    <w:autoRedefine/>
    <w:qFormat/>
    <w:uiPriority w:val="34"/>
    <w:pPr>
      <w:widowControl w:val="0"/>
      <w:ind w:firstLine="420" w:firstLineChars="200"/>
      <w:jc w:val="both"/>
    </w:pPr>
    <w:rPr>
      <w:rFonts w:ascii="Calibri" w:hAnsi="Calibri" w:cs="Times New Roman"/>
      <w:kern w:val="2"/>
      <w:szCs w:val="22"/>
    </w:rPr>
  </w:style>
  <w:style w:type="paragraph" w:customStyle="1" w:styleId="381">
    <w:name w:val="_Style 380"/>
    <w:basedOn w:val="301"/>
    <w:autoRedefine/>
    <w:qFormat/>
    <w:uiPriority w:val="34"/>
    <w:pPr>
      <w:widowControl w:val="0"/>
      <w:ind w:firstLine="420" w:firstLineChars="200"/>
      <w:jc w:val="both"/>
    </w:pPr>
    <w:rPr>
      <w:rFonts w:ascii="Calibri" w:hAnsi="Calibri" w:cs="Times New Roman"/>
      <w:kern w:val="2"/>
      <w:szCs w:val="22"/>
    </w:rPr>
  </w:style>
  <w:style w:type="paragraph" w:customStyle="1" w:styleId="382">
    <w:name w:val="_Style 381"/>
    <w:basedOn w:val="301"/>
    <w:autoRedefine/>
    <w:qFormat/>
    <w:uiPriority w:val="1"/>
    <w:pPr>
      <w:widowControl w:val="0"/>
      <w:autoSpaceDE w:val="0"/>
      <w:autoSpaceDN w:val="0"/>
      <w:spacing w:after="160" w:line="259" w:lineRule="auto"/>
    </w:pPr>
    <w:rPr>
      <w:rFonts w:ascii="Noto Sans CJK JP Regular" w:hAnsi="Noto Sans CJK JP Regular" w:eastAsia="Noto Sans CJK JP Regular" w:cs="Noto Sans CJK JP Regular"/>
      <w:sz w:val="22"/>
      <w:szCs w:val="22"/>
      <w:lang w:eastAsia="en-US"/>
    </w:rPr>
  </w:style>
  <w:style w:type="paragraph" w:customStyle="1" w:styleId="383">
    <w:name w:val="_Style 382"/>
    <w:basedOn w:val="301"/>
    <w:autoRedefine/>
    <w:qFormat/>
    <w:uiPriority w:val="34"/>
    <w:pPr>
      <w:widowControl w:val="0"/>
      <w:ind w:firstLine="420" w:firstLineChars="200"/>
      <w:jc w:val="both"/>
    </w:pPr>
    <w:rPr>
      <w:rFonts w:ascii="Calibri" w:hAnsi="Calibri" w:cs="Times New Roman"/>
      <w:kern w:val="2"/>
      <w:szCs w:val="22"/>
    </w:rPr>
  </w:style>
  <w:style w:type="paragraph" w:customStyle="1" w:styleId="384">
    <w:name w:val="_Style 383"/>
    <w:basedOn w:val="301"/>
    <w:autoRedefine/>
    <w:qFormat/>
    <w:uiPriority w:val="34"/>
    <w:pPr>
      <w:widowControl w:val="0"/>
      <w:ind w:firstLine="420" w:firstLineChars="200"/>
      <w:jc w:val="both"/>
    </w:pPr>
    <w:rPr>
      <w:rFonts w:ascii="Calibri" w:hAnsi="Calibri" w:cs="Times New Roman"/>
      <w:kern w:val="2"/>
      <w:szCs w:val="22"/>
    </w:rPr>
  </w:style>
  <w:style w:type="character" w:customStyle="1" w:styleId="385">
    <w:name w:val="_Style 384"/>
    <w:autoRedefine/>
    <w:semiHidden/>
    <w:qFormat/>
    <w:locked/>
    <w:uiPriority w:val="99"/>
    <w:rPr>
      <w:rFonts w:ascii="Times New Roman" w:hAnsi="Times New Roman"/>
      <w:kern w:val="2"/>
      <w:sz w:val="21"/>
      <w:szCs w:val="21"/>
    </w:rPr>
  </w:style>
  <w:style w:type="paragraph" w:customStyle="1" w:styleId="386">
    <w:name w:val="_Style 385"/>
    <w:basedOn w:val="301"/>
    <w:autoRedefine/>
    <w:qFormat/>
    <w:uiPriority w:val="0"/>
    <w:pPr>
      <w:widowControl w:val="0"/>
      <w:ind w:firstLine="420" w:firstLineChars="200"/>
      <w:jc w:val="both"/>
    </w:pPr>
    <w:rPr>
      <w:rFonts w:ascii="Calibri" w:hAnsi="Calibri" w:cs="Times New Roman"/>
      <w:kern w:val="2"/>
    </w:rPr>
  </w:style>
  <w:style w:type="paragraph" w:customStyle="1" w:styleId="387">
    <w:name w:val="_Style 386"/>
    <w:basedOn w:val="301"/>
    <w:autoRedefine/>
    <w:qFormat/>
    <w:uiPriority w:val="0"/>
    <w:pPr>
      <w:widowControl w:val="0"/>
      <w:ind w:firstLine="420" w:firstLineChars="200"/>
      <w:jc w:val="both"/>
    </w:pPr>
    <w:rPr>
      <w:rFonts w:ascii="Calibri" w:hAnsi="Calibri" w:cs="Times New Roman"/>
      <w:kern w:val="2"/>
    </w:rPr>
  </w:style>
  <w:style w:type="paragraph" w:customStyle="1" w:styleId="388">
    <w:name w:val="_Style 387"/>
    <w:basedOn w:val="301"/>
    <w:autoRedefine/>
    <w:qFormat/>
    <w:uiPriority w:val="0"/>
    <w:pPr>
      <w:jc w:val="both"/>
    </w:pPr>
    <w:rPr>
      <w:rFonts w:ascii="Calibri" w:hAnsi="Calibri" w:cs="Calibri"/>
      <w:bCs/>
      <w:kern w:val="2"/>
    </w:rPr>
  </w:style>
  <w:style w:type="paragraph" w:customStyle="1" w:styleId="389">
    <w:name w:val="_Style 388"/>
    <w:basedOn w:val="301"/>
    <w:autoRedefine/>
    <w:qFormat/>
    <w:uiPriority w:val="0"/>
    <w:rPr>
      <w:bCs/>
    </w:rPr>
  </w:style>
  <w:style w:type="paragraph" w:customStyle="1" w:styleId="390">
    <w:name w:val="_Style 389"/>
    <w:autoRedefine/>
    <w:qFormat/>
    <w:uiPriority w:val="0"/>
    <w:pPr>
      <w:jc w:val="both"/>
    </w:pPr>
    <w:rPr>
      <w:rFonts w:ascii="宋体" w:hAnsi="宋体" w:eastAsia="宋体" w:cs="宋体"/>
      <w:bCs/>
      <w:kern w:val="2"/>
      <w:sz w:val="21"/>
      <w:szCs w:val="21"/>
      <w:lang w:val="en-US" w:eastAsia="zh-CN" w:bidi="ar-SA"/>
    </w:rPr>
  </w:style>
  <w:style w:type="paragraph" w:customStyle="1" w:styleId="391">
    <w:name w:val="_Style 390"/>
    <w:basedOn w:val="301"/>
    <w:autoRedefine/>
    <w:unhideWhenUsed/>
    <w:qFormat/>
    <w:uiPriority w:val="99"/>
    <w:pPr>
      <w:snapToGrid w:val="0"/>
    </w:pPr>
    <w:rPr>
      <w:sz w:val="18"/>
      <w:szCs w:val="18"/>
    </w:rPr>
  </w:style>
  <w:style w:type="character" w:customStyle="1" w:styleId="392">
    <w:name w:val="_Style 391"/>
    <w:basedOn w:val="309"/>
    <w:autoRedefine/>
    <w:qFormat/>
    <w:uiPriority w:val="99"/>
    <w:rPr>
      <w:sz w:val="18"/>
      <w:szCs w:val="18"/>
    </w:rPr>
  </w:style>
  <w:style w:type="character" w:customStyle="1" w:styleId="393">
    <w:name w:val="_Style 392"/>
    <w:basedOn w:val="309"/>
    <w:autoRedefine/>
    <w:semiHidden/>
    <w:unhideWhenUsed/>
    <w:qFormat/>
    <w:uiPriority w:val="99"/>
    <w:rPr>
      <w:vertAlign w:val="superscript"/>
    </w:rPr>
  </w:style>
  <w:style w:type="character" w:customStyle="1" w:styleId="394">
    <w:name w:val="_Style 393"/>
    <w:basedOn w:val="309"/>
    <w:autoRedefine/>
    <w:qFormat/>
    <w:uiPriority w:val="22"/>
    <w:rPr>
      <w:b/>
      <w:bCs/>
    </w:rPr>
  </w:style>
  <w:style w:type="table" w:customStyle="1" w:styleId="395">
    <w:name w:val="g3"/>
    <w:autoRedefine/>
    <w:semiHidden/>
    <w:unhideWhenUsed/>
    <w:qFormat/>
    <w:uiPriority w:val="99"/>
    <w:tblPr>
      <w:tblCellMar>
        <w:top w:w="0" w:type="dxa"/>
        <w:left w:w="108" w:type="dxa"/>
        <w:bottom w:w="0" w:type="dxa"/>
        <w:right w:w="108" w:type="dxa"/>
      </w:tblCellMar>
    </w:tblPr>
  </w:style>
  <w:style w:type="paragraph" w:customStyle="1" w:styleId="396">
    <w:name w:val="_Style 395"/>
    <w:basedOn w:val="1"/>
    <w:next w:val="55"/>
    <w:autoRedefine/>
    <w:qFormat/>
    <w:uiPriority w:val="34"/>
    <w:pPr>
      <w:widowControl w:val="0"/>
      <w:ind w:firstLine="420" w:firstLineChars="200"/>
      <w:jc w:val="both"/>
    </w:pPr>
    <w:rPr>
      <w:rFonts w:ascii="Calibri" w:hAnsi="Calibri" w:cs="Times New Roman"/>
      <w:kern w:val="2"/>
      <w:szCs w:val="22"/>
    </w:rPr>
  </w:style>
  <w:style w:type="paragraph" w:customStyle="1" w:styleId="397">
    <w:name w:val="_Style 396"/>
    <w:autoRedefine/>
    <w:qFormat/>
    <w:uiPriority w:val="0"/>
    <w:pPr>
      <w:jc w:val="both"/>
    </w:pPr>
    <w:rPr>
      <w:rFonts w:ascii="宋体" w:hAnsi="宋体" w:eastAsia="宋体" w:cs="宋体"/>
      <w:bCs/>
      <w:kern w:val="2"/>
      <w:sz w:val="21"/>
      <w:szCs w:val="21"/>
      <w:lang w:val="en-US" w:eastAsia="zh-CN" w:bidi="ar-SA"/>
    </w:rPr>
  </w:style>
  <w:style w:type="table" w:customStyle="1" w:styleId="398">
    <w:name w:val="g1"/>
    <w:autoRedefine/>
    <w:semiHidden/>
    <w:unhideWhenUsed/>
    <w:qFormat/>
    <w:uiPriority w:val="99"/>
    <w:tblPr>
      <w:tblCellMar>
        <w:top w:w="0" w:type="dxa"/>
        <w:left w:w="108" w:type="dxa"/>
        <w:bottom w:w="0" w:type="dxa"/>
        <w:right w:w="108" w:type="dxa"/>
      </w:tblCellMar>
    </w:tblPr>
  </w:style>
  <w:style w:type="paragraph" w:customStyle="1" w:styleId="399">
    <w:name w:val="_Style 398"/>
    <w:basedOn w:val="1"/>
    <w:next w:val="55"/>
    <w:autoRedefine/>
    <w:qFormat/>
    <w:uiPriority w:val="34"/>
    <w:pPr>
      <w:widowControl w:val="0"/>
      <w:ind w:firstLine="420" w:firstLineChars="200"/>
      <w:jc w:val="both"/>
    </w:pPr>
    <w:rPr>
      <w:rFonts w:ascii="Calibri" w:hAnsi="Calibri" w:cs="Times New Roman"/>
      <w:kern w:val="2"/>
      <w:szCs w:val="22"/>
    </w:rPr>
  </w:style>
  <w:style w:type="paragraph" w:customStyle="1" w:styleId="400">
    <w:name w:val="_Style 399"/>
    <w:autoRedefine/>
    <w:qFormat/>
    <w:uiPriority w:val="0"/>
    <w:pPr>
      <w:jc w:val="both"/>
    </w:pPr>
    <w:rPr>
      <w:rFonts w:ascii="宋体" w:hAnsi="宋体" w:eastAsia="宋体" w:cs="宋体"/>
      <w:bCs/>
      <w:kern w:val="2"/>
      <w:sz w:val="21"/>
      <w:szCs w:val="21"/>
      <w:lang w:val="en-US" w:eastAsia="zh-CN" w:bidi="ar-SA"/>
    </w:rPr>
  </w:style>
  <w:style w:type="table" w:customStyle="1" w:styleId="401">
    <w:name w:val="g4"/>
    <w:autoRedefine/>
    <w:semiHidden/>
    <w:unhideWhenUsed/>
    <w:qFormat/>
    <w:uiPriority w:val="99"/>
    <w:tblPr>
      <w:tblCellMar>
        <w:top w:w="0" w:type="dxa"/>
        <w:left w:w="108" w:type="dxa"/>
        <w:bottom w:w="0" w:type="dxa"/>
        <w:right w:w="108" w:type="dxa"/>
      </w:tblCellMar>
    </w:tblPr>
  </w:style>
  <w:style w:type="paragraph" w:customStyle="1" w:styleId="402">
    <w:name w:val="_Style 401"/>
    <w:basedOn w:val="1"/>
    <w:next w:val="55"/>
    <w:autoRedefine/>
    <w:qFormat/>
    <w:uiPriority w:val="34"/>
    <w:pPr>
      <w:widowControl w:val="0"/>
      <w:ind w:firstLine="420" w:firstLineChars="200"/>
      <w:jc w:val="both"/>
    </w:pPr>
    <w:rPr>
      <w:rFonts w:ascii="Calibri" w:hAnsi="Calibri" w:cs="Times New Roman"/>
      <w:kern w:val="2"/>
      <w:szCs w:val="22"/>
    </w:rPr>
  </w:style>
  <w:style w:type="paragraph" w:customStyle="1" w:styleId="403">
    <w:name w:val="_Style 402"/>
    <w:autoRedefine/>
    <w:qFormat/>
    <w:uiPriority w:val="0"/>
    <w:pPr>
      <w:jc w:val="both"/>
    </w:pPr>
    <w:rPr>
      <w:rFonts w:ascii="宋体" w:hAnsi="宋体" w:eastAsia="宋体" w:cs="宋体"/>
      <w:bCs/>
      <w:kern w:val="2"/>
      <w:sz w:val="21"/>
      <w:szCs w:val="21"/>
      <w:lang w:val="en-US" w:eastAsia="zh-CN" w:bidi="ar-SA"/>
    </w:rPr>
  </w:style>
  <w:style w:type="table" w:customStyle="1" w:styleId="404">
    <w:name w:val="g2"/>
    <w:autoRedefine/>
    <w:semiHidden/>
    <w:unhideWhenUsed/>
    <w:qFormat/>
    <w:uiPriority w:val="99"/>
    <w:tblPr>
      <w:tblCellMar>
        <w:top w:w="0" w:type="dxa"/>
        <w:left w:w="108" w:type="dxa"/>
        <w:bottom w:w="0" w:type="dxa"/>
        <w:right w:w="108" w:type="dxa"/>
      </w:tblCellMar>
    </w:tblPr>
  </w:style>
  <w:style w:type="paragraph" w:customStyle="1" w:styleId="405">
    <w:name w:val="_Style 404"/>
    <w:basedOn w:val="1"/>
    <w:next w:val="55"/>
    <w:autoRedefine/>
    <w:qFormat/>
    <w:uiPriority w:val="34"/>
    <w:pPr>
      <w:widowControl w:val="0"/>
      <w:ind w:firstLine="420" w:firstLineChars="200"/>
      <w:jc w:val="both"/>
    </w:pPr>
    <w:rPr>
      <w:rFonts w:ascii="Calibri" w:hAnsi="Calibri" w:cs="Times New Roman"/>
      <w:kern w:val="2"/>
      <w:szCs w:val="22"/>
    </w:rPr>
  </w:style>
  <w:style w:type="paragraph" w:customStyle="1" w:styleId="406">
    <w:name w:val="_Style 405"/>
    <w:autoRedefine/>
    <w:qFormat/>
    <w:uiPriority w:val="0"/>
    <w:pPr>
      <w:jc w:val="both"/>
    </w:pPr>
    <w:rPr>
      <w:rFonts w:ascii="宋体" w:hAnsi="宋体" w:eastAsia="宋体" w:cs="宋体"/>
      <w:bCs/>
      <w:kern w:val="2"/>
      <w:sz w:val="21"/>
      <w:szCs w:val="21"/>
      <w:lang w:val="en-US" w:eastAsia="zh-CN" w:bidi="ar-SA"/>
    </w:rPr>
  </w:style>
  <w:style w:type="table" w:customStyle="1" w:styleId="407">
    <w:name w:val="g5"/>
    <w:autoRedefine/>
    <w:semiHidden/>
    <w:unhideWhenUsed/>
    <w:qFormat/>
    <w:uiPriority w:val="99"/>
    <w:tblPr>
      <w:tblCellMar>
        <w:top w:w="0" w:type="dxa"/>
        <w:left w:w="108" w:type="dxa"/>
        <w:bottom w:w="0" w:type="dxa"/>
        <w:right w:w="108" w:type="dxa"/>
      </w:tblCellMar>
    </w:tblPr>
  </w:style>
  <w:style w:type="paragraph" w:customStyle="1" w:styleId="408">
    <w:name w:val="_Style 407"/>
    <w:basedOn w:val="1"/>
    <w:next w:val="55"/>
    <w:autoRedefine/>
    <w:qFormat/>
    <w:uiPriority w:val="34"/>
    <w:pPr>
      <w:widowControl w:val="0"/>
      <w:ind w:firstLine="420" w:firstLineChars="200"/>
      <w:jc w:val="both"/>
    </w:pPr>
    <w:rPr>
      <w:rFonts w:ascii="Calibri" w:hAnsi="Calibri" w:cs="Times New Roman"/>
      <w:kern w:val="2"/>
      <w:szCs w:val="22"/>
    </w:rPr>
  </w:style>
  <w:style w:type="paragraph" w:customStyle="1" w:styleId="409">
    <w:name w:val="_Style 408"/>
    <w:autoRedefine/>
    <w:qFormat/>
    <w:uiPriority w:val="0"/>
    <w:pPr>
      <w:jc w:val="both"/>
    </w:pPr>
    <w:rPr>
      <w:rFonts w:ascii="宋体" w:hAnsi="宋体" w:eastAsia="宋体" w:cs="宋体"/>
      <w:bCs/>
      <w:kern w:val="2"/>
      <w:sz w:val="21"/>
      <w:szCs w:val="21"/>
      <w:lang w:val="en-US" w:eastAsia="zh-CN" w:bidi="ar-SA"/>
    </w:rPr>
  </w:style>
  <w:style w:type="character" w:customStyle="1" w:styleId="410">
    <w:name w:val="ui-provider"/>
    <w:basedOn w:val="39"/>
    <w:autoRedefine/>
    <w:qFormat/>
    <w:uiPriority w:val="0"/>
  </w:style>
  <w:style w:type="table" w:customStyle="1" w:styleId="411">
    <w:name w:val="g33"/>
    <w:autoRedefine/>
    <w:semiHidden/>
    <w:unhideWhenUsed/>
    <w:qFormat/>
    <w:uiPriority w:val="99"/>
    <w:rPr>
      <w:rFonts w:ascii="Calibri" w:hAnsi="Calibri" w:cs="Times New Roman"/>
      <w:sz w:val="20"/>
      <w:szCs w:val="20"/>
    </w:rPr>
    <w:tblPr>
      <w:tblCellMar>
        <w:top w:w="0" w:type="dxa"/>
        <w:left w:w="108" w:type="dxa"/>
        <w:bottom w:w="0" w:type="dxa"/>
        <w:right w:w="108" w:type="dxa"/>
      </w:tblCellMar>
    </w:tblPr>
  </w:style>
  <w:style w:type="table" w:customStyle="1" w:styleId="412">
    <w:name w:val="g6"/>
    <w:autoRedefine/>
    <w:semiHidden/>
    <w:unhideWhenUsed/>
    <w:qFormat/>
    <w:uiPriority w:val="99"/>
    <w:tblPr>
      <w:tblCellMar>
        <w:top w:w="0" w:type="dxa"/>
        <w:left w:w="108" w:type="dxa"/>
        <w:bottom w:w="0" w:type="dxa"/>
        <w:right w:w="108" w:type="dxa"/>
      </w:tblCellMar>
    </w:tblPr>
  </w:style>
  <w:style w:type="table" w:customStyle="1" w:styleId="413">
    <w:name w:val="g8"/>
    <w:basedOn w:val="37"/>
    <w:autoRedefine/>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14">
    <w:name w:val="_Style 413"/>
    <w:autoRedefine/>
    <w:semiHidden/>
    <w:unhideWhenUsed/>
    <w:qFormat/>
    <w:uiPriority w:val="99"/>
    <w:tblPr>
      <w:tblCellMar>
        <w:top w:w="0" w:type="dxa"/>
        <w:left w:w="108" w:type="dxa"/>
        <w:bottom w:w="0" w:type="dxa"/>
        <w:right w:w="108" w:type="dxa"/>
      </w:tblCellMar>
    </w:tblPr>
  </w:style>
  <w:style w:type="table" w:customStyle="1" w:styleId="415">
    <w:name w:val="_Style 414"/>
    <w:autoRedefine/>
    <w:semiHidden/>
    <w:unhideWhenUsed/>
    <w:qFormat/>
    <w:uiPriority w:val="99"/>
    <w:tblPr>
      <w:tblCellMar>
        <w:top w:w="0" w:type="dxa"/>
        <w:left w:w="108" w:type="dxa"/>
        <w:bottom w:w="0" w:type="dxa"/>
        <w:right w:w="108" w:type="dxa"/>
      </w:tblCellMar>
    </w:tblPr>
  </w:style>
  <w:style w:type="table" w:customStyle="1" w:styleId="416">
    <w:name w:val="_Style 415"/>
    <w:autoRedefine/>
    <w:semiHidden/>
    <w:unhideWhenUsed/>
    <w:qFormat/>
    <w:uiPriority w:val="99"/>
    <w:tblPr>
      <w:tblCellMar>
        <w:top w:w="0" w:type="dxa"/>
        <w:left w:w="108" w:type="dxa"/>
        <w:bottom w:w="0" w:type="dxa"/>
        <w:right w:w="108" w:type="dxa"/>
      </w:tblCellMar>
    </w:tblPr>
  </w:style>
  <w:style w:type="table" w:customStyle="1" w:styleId="417">
    <w:name w:val="g14"/>
    <w:autoRedefine/>
    <w:semiHidden/>
    <w:unhideWhenUsed/>
    <w:qFormat/>
    <w:uiPriority w:val="99"/>
    <w:tblPr>
      <w:tblCellMar>
        <w:top w:w="0" w:type="dxa"/>
        <w:left w:w="108" w:type="dxa"/>
        <w:bottom w:w="0" w:type="dxa"/>
        <w:right w:w="108" w:type="dxa"/>
      </w:tblCellMar>
    </w:tblPr>
  </w:style>
  <w:style w:type="table" w:customStyle="1" w:styleId="418">
    <w:name w:val="g15"/>
    <w:autoRedefine/>
    <w:semiHidden/>
    <w:unhideWhenUsed/>
    <w:qFormat/>
    <w:uiPriority w:val="99"/>
    <w:tblPr>
      <w:tblCellMar>
        <w:top w:w="0" w:type="dxa"/>
        <w:left w:w="108" w:type="dxa"/>
        <w:bottom w:w="0" w:type="dxa"/>
        <w:right w:w="108" w:type="dxa"/>
      </w:tblCellMar>
    </w:tblPr>
  </w:style>
  <w:style w:type="table" w:customStyle="1" w:styleId="419">
    <w:name w:val="g16"/>
    <w:autoRedefine/>
    <w:semiHidden/>
    <w:unhideWhenUsed/>
    <w:qFormat/>
    <w:uiPriority w:val="99"/>
    <w:tblPr>
      <w:tblCellMar>
        <w:top w:w="0" w:type="dxa"/>
        <w:left w:w="108" w:type="dxa"/>
        <w:bottom w:w="0" w:type="dxa"/>
        <w:right w:w="108" w:type="dxa"/>
      </w:tblCellMar>
    </w:tblPr>
  </w:style>
  <w:style w:type="table" w:customStyle="1" w:styleId="420">
    <w:name w:val="g17"/>
    <w:autoRedefine/>
    <w:semiHidden/>
    <w:unhideWhenUsed/>
    <w:qFormat/>
    <w:uiPriority w:val="99"/>
    <w:tblPr>
      <w:tblCellMar>
        <w:top w:w="0" w:type="dxa"/>
        <w:left w:w="108" w:type="dxa"/>
        <w:bottom w:w="0" w:type="dxa"/>
        <w:right w:w="108" w:type="dxa"/>
      </w:tblCellMar>
    </w:tblPr>
  </w:style>
  <w:style w:type="table" w:customStyle="1" w:styleId="421">
    <w:name w:val="g18"/>
    <w:autoRedefine/>
    <w:semiHidden/>
    <w:unhideWhenUsed/>
    <w:qFormat/>
    <w:uiPriority w:val="99"/>
    <w:tblPr>
      <w:tblCellMar>
        <w:top w:w="0" w:type="dxa"/>
        <w:left w:w="108" w:type="dxa"/>
        <w:bottom w:w="0" w:type="dxa"/>
        <w:right w:w="108" w:type="dxa"/>
      </w:tblCellMar>
    </w:tblPr>
  </w:style>
  <w:style w:type="table" w:customStyle="1" w:styleId="422">
    <w:name w:val="g20"/>
    <w:autoRedefine/>
    <w:semiHidden/>
    <w:unhideWhenUsed/>
    <w:qFormat/>
    <w:uiPriority w:val="99"/>
    <w:rPr>
      <w:rFonts w:ascii="Calibri" w:hAnsi="Calibri" w:cs="Times New Roman"/>
      <w:sz w:val="20"/>
      <w:szCs w:val="20"/>
    </w:rPr>
    <w:tblPr>
      <w:tblCellMar>
        <w:top w:w="0" w:type="dxa"/>
        <w:left w:w="108" w:type="dxa"/>
        <w:bottom w:w="0" w:type="dxa"/>
        <w:right w:w="108" w:type="dxa"/>
      </w:tblCellMar>
    </w:tblPr>
  </w:style>
  <w:style w:type="paragraph" w:customStyle="1" w:styleId="423">
    <w:name w:val="_Style 422"/>
    <w:basedOn w:val="1"/>
    <w:autoRedefine/>
    <w:semiHidden/>
    <w:unhideWhenUsed/>
    <w:qFormat/>
    <w:uiPriority w:val="99"/>
    <w:pPr>
      <w:spacing w:after="120"/>
    </w:pPr>
    <w:rPr>
      <w:sz w:val="16"/>
      <w:szCs w:val="16"/>
    </w:rPr>
  </w:style>
  <w:style w:type="character" w:customStyle="1" w:styleId="424">
    <w:name w:val="_Style 423"/>
    <w:basedOn w:val="39"/>
    <w:autoRedefine/>
    <w:semiHidden/>
    <w:qFormat/>
    <w:uiPriority w:val="99"/>
    <w:rPr>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8.xml"/><Relationship Id="rId2" Type="http://schemas.openxmlformats.org/officeDocument/2006/relationships/settings" Target="settings.xml"/><Relationship Id="rId19" Type="http://schemas.openxmlformats.org/officeDocument/2006/relationships/customXml" Target="../customXml/item7.xml"/><Relationship Id="rId18" Type="http://schemas.openxmlformats.org/officeDocument/2006/relationships/customXml" Target="../customXml/item6.xml"/><Relationship Id="rId17" Type="http://schemas.openxmlformats.org/officeDocument/2006/relationships/customXml" Target="../customXml/item5.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162653D1-13D4-4E4F-AD1C-ABDFC36FDDF6}"/>
      </w:docPartPr>
      <w:docPartBody>
        <w:p>
          <w:r>
            <w:rPr>
              <w:rStyle w:val="4"/>
              <w:rFonts w:hint="eastAsia"/>
              <w:color w:val="333399"/>
              <w:u w:val="single"/>
            </w:rPr>
            <w:t>　　　</w:t>
          </w:r>
        </w:p>
      </w:docPartBody>
    </w:docPart>
    <w:docPart>
      <w:docPartPr>
        <w:name w:val="2341854804BE4A628335198F239862A1"/>
        <w:style w:val=""/>
        <w:category>
          <w:name w:val="常规"/>
          <w:gallery w:val="placeholder"/>
        </w:category>
        <w:types>
          <w:type w:val="bbPlcHdr"/>
        </w:types>
        <w:behaviors>
          <w:behavior w:val="content"/>
        </w:behaviors>
        <w:description w:val=""/>
        <w:guid w:val="{1CF607EE-3A6C-46C8-AA41-D1D13DD9DB1B}"/>
      </w:docPartPr>
      <w:docPartBody>
        <w:p>
          <w:pPr>
            <w:pStyle w:val="5"/>
          </w:pPr>
          <w:r>
            <w:rPr>
              <w:rStyle w:val="4"/>
              <w:rFonts w:hint="eastAsia"/>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554CD"/>
    <w:rsid w:val="00055561"/>
    <w:rsid w:val="000565A1"/>
    <w:rsid w:val="0005740A"/>
    <w:rsid w:val="00060E7E"/>
    <w:rsid w:val="00061F65"/>
    <w:rsid w:val="000633F4"/>
    <w:rsid w:val="00063874"/>
    <w:rsid w:val="00063A46"/>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A6845"/>
    <w:rsid w:val="000B1835"/>
    <w:rsid w:val="000B3464"/>
    <w:rsid w:val="000B513A"/>
    <w:rsid w:val="000B5761"/>
    <w:rsid w:val="000B5C82"/>
    <w:rsid w:val="000C50BC"/>
    <w:rsid w:val="000C5E8F"/>
    <w:rsid w:val="000C5F2F"/>
    <w:rsid w:val="000C656D"/>
    <w:rsid w:val="000D0276"/>
    <w:rsid w:val="000D4067"/>
    <w:rsid w:val="000E18BB"/>
    <w:rsid w:val="000E3728"/>
    <w:rsid w:val="000E5940"/>
    <w:rsid w:val="000E7091"/>
    <w:rsid w:val="000E7B4D"/>
    <w:rsid w:val="000F0BE1"/>
    <w:rsid w:val="000F147D"/>
    <w:rsid w:val="000F3B57"/>
    <w:rsid w:val="000F41A3"/>
    <w:rsid w:val="000F440D"/>
    <w:rsid w:val="000F597A"/>
    <w:rsid w:val="000F711E"/>
    <w:rsid w:val="000F7993"/>
    <w:rsid w:val="001002C0"/>
    <w:rsid w:val="00101C5F"/>
    <w:rsid w:val="00101EE7"/>
    <w:rsid w:val="00103415"/>
    <w:rsid w:val="00104269"/>
    <w:rsid w:val="00105693"/>
    <w:rsid w:val="00105A26"/>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39F4"/>
    <w:rsid w:val="00165D2C"/>
    <w:rsid w:val="00167914"/>
    <w:rsid w:val="00167B4F"/>
    <w:rsid w:val="001705F9"/>
    <w:rsid w:val="001722CC"/>
    <w:rsid w:val="001812E2"/>
    <w:rsid w:val="00182C09"/>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812"/>
    <w:rsid w:val="001B7C3F"/>
    <w:rsid w:val="001C18E2"/>
    <w:rsid w:val="001C2312"/>
    <w:rsid w:val="001C6758"/>
    <w:rsid w:val="001D261F"/>
    <w:rsid w:val="001D2ED1"/>
    <w:rsid w:val="001D5727"/>
    <w:rsid w:val="001E2A87"/>
    <w:rsid w:val="001E32E7"/>
    <w:rsid w:val="001E649A"/>
    <w:rsid w:val="001E6954"/>
    <w:rsid w:val="001E7AC2"/>
    <w:rsid w:val="001E7CE1"/>
    <w:rsid w:val="001F792E"/>
    <w:rsid w:val="001F7AEB"/>
    <w:rsid w:val="00202BF5"/>
    <w:rsid w:val="00203E4B"/>
    <w:rsid w:val="002040F5"/>
    <w:rsid w:val="002118F6"/>
    <w:rsid w:val="00214451"/>
    <w:rsid w:val="002157E5"/>
    <w:rsid w:val="002203AB"/>
    <w:rsid w:val="00222C1F"/>
    <w:rsid w:val="00223F84"/>
    <w:rsid w:val="002249B4"/>
    <w:rsid w:val="002318AF"/>
    <w:rsid w:val="00234A4C"/>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5510"/>
    <w:rsid w:val="0026700C"/>
    <w:rsid w:val="00267758"/>
    <w:rsid w:val="0027269C"/>
    <w:rsid w:val="00277A8A"/>
    <w:rsid w:val="002806A5"/>
    <w:rsid w:val="00282709"/>
    <w:rsid w:val="002909E9"/>
    <w:rsid w:val="00291691"/>
    <w:rsid w:val="002939B4"/>
    <w:rsid w:val="00295B2D"/>
    <w:rsid w:val="00296AA3"/>
    <w:rsid w:val="002A01D2"/>
    <w:rsid w:val="002A047F"/>
    <w:rsid w:val="002A133C"/>
    <w:rsid w:val="002A1B3D"/>
    <w:rsid w:val="002A3D43"/>
    <w:rsid w:val="002A53ED"/>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51D6"/>
    <w:rsid w:val="002E52A1"/>
    <w:rsid w:val="002F1139"/>
    <w:rsid w:val="002F2BCD"/>
    <w:rsid w:val="003023FA"/>
    <w:rsid w:val="0030473E"/>
    <w:rsid w:val="003052E1"/>
    <w:rsid w:val="00305936"/>
    <w:rsid w:val="003076E0"/>
    <w:rsid w:val="003107C9"/>
    <w:rsid w:val="00311067"/>
    <w:rsid w:val="00313916"/>
    <w:rsid w:val="003145A5"/>
    <w:rsid w:val="003161CE"/>
    <w:rsid w:val="00321D6D"/>
    <w:rsid w:val="003234BB"/>
    <w:rsid w:val="00323E29"/>
    <w:rsid w:val="0032625F"/>
    <w:rsid w:val="003262C7"/>
    <w:rsid w:val="00326ECB"/>
    <w:rsid w:val="003333AF"/>
    <w:rsid w:val="00335DE6"/>
    <w:rsid w:val="00342477"/>
    <w:rsid w:val="00343D04"/>
    <w:rsid w:val="00344D91"/>
    <w:rsid w:val="00347369"/>
    <w:rsid w:val="00353AE0"/>
    <w:rsid w:val="00356A92"/>
    <w:rsid w:val="00357D61"/>
    <w:rsid w:val="0036347B"/>
    <w:rsid w:val="00363E3B"/>
    <w:rsid w:val="0037315D"/>
    <w:rsid w:val="00374D45"/>
    <w:rsid w:val="00377616"/>
    <w:rsid w:val="003804EA"/>
    <w:rsid w:val="00381BC0"/>
    <w:rsid w:val="00381E21"/>
    <w:rsid w:val="00382F4F"/>
    <w:rsid w:val="00385122"/>
    <w:rsid w:val="00386864"/>
    <w:rsid w:val="0039064D"/>
    <w:rsid w:val="003908FA"/>
    <w:rsid w:val="00391982"/>
    <w:rsid w:val="0039324D"/>
    <w:rsid w:val="003962B1"/>
    <w:rsid w:val="003967B0"/>
    <w:rsid w:val="003A26AD"/>
    <w:rsid w:val="003A2DE3"/>
    <w:rsid w:val="003A4370"/>
    <w:rsid w:val="003A5ECC"/>
    <w:rsid w:val="003A61DE"/>
    <w:rsid w:val="003A738C"/>
    <w:rsid w:val="003B2E3D"/>
    <w:rsid w:val="003B4A6B"/>
    <w:rsid w:val="003B4D40"/>
    <w:rsid w:val="003C0C12"/>
    <w:rsid w:val="003C1982"/>
    <w:rsid w:val="003C1EE8"/>
    <w:rsid w:val="003C5569"/>
    <w:rsid w:val="003C56E7"/>
    <w:rsid w:val="003D0725"/>
    <w:rsid w:val="003D26F4"/>
    <w:rsid w:val="003D3FEC"/>
    <w:rsid w:val="003D5E62"/>
    <w:rsid w:val="003D7851"/>
    <w:rsid w:val="003D7CE7"/>
    <w:rsid w:val="003E169C"/>
    <w:rsid w:val="003E29F3"/>
    <w:rsid w:val="003E3750"/>
    <w:rsid w:val="003E4A55"/>
    <w:rsid w:val="003E7481"/>
    <w:rsid w:val="003F10C8"/>
    <w:rsid w:val="003F1975"/>
    <w:rsid w:val="003F3961"/>
    <w:rsid w:val="003F3A03"/>
    <w:rsid w:val="003F61C2"/>
    <w:rsid w:val="003F7DF3"/>
    <w:rsid w:val="0040196D"/>
    <w:rsid w:val="0040287B"/>
    <w:rsid w:val="004073B3"/>
    <w:rsid w:val="00410006"/>
    <w:rsid w:val="00410557"/>
    <w:rsid w:val="004140D9"/>
    <w:rsid w:val="00414CEC"/>
    <w:rsid w:val="004158B7"/>
    <w:rsid w:val="00415A60"/>
    <w:rsid w:val="004223B5"/>
    <w:rsid w:val="00422452"/>
    <w:rsid w:val="00424A0C"/>
    <w:rsid w:val="00425135"/>
    <w:rsid w:val="00430224"/>
    <w:rsid w:val="0043080F"/>
    <w:rsid w:val="00432A1F"/>
    <w:rsid w:val="004336EF"/>
    <w:rsid w:val="0043488A"/>
    <w:rsid w:val="00440F19"/>
    <w:rsid w:val="0044105B"/>
    <w:rsid w:val="00442316"/>
    <w:rsid w:val="00442E13"/>
    <w:rsid w:val="00447E3B"/>
    <w:rsid w:val="004506BE"/>
    <w:rsid w:val="00452790"/>
    <w:rsid w:val="004533D1"/>
    <w:rsid w:val="00455499"/>
    <w:rsid w:val="00455B73"/>
    <w:rsid w:val="00455C0C"/>
    <w:rsid w:val="00456406"/>
    <w:rsid w:val="004565C9"/>
    <w:rsid w:val="00457596"/>
    <w:rsid w:val="00462366"/>
    <w:rsid w:val="004629D5"/>
    <w:rsid w:val="00470F61"/>
    <w:rsid w:val="004714A5"/>
    <w:rsid w:val="004714D5"/>
    <w:rsid w:val="004719CF"/>
    <w:rsid w:val="0047340A"/>
    <w:rsid w:val="00475FC2"/>
    <w:rsid w:val="004808A5"/>
    <w:rsid w:val="00480CD1"/>
    <w:rsid w:val="004814D3"/>
    <w:rsid w:val="0048763F"/>
    <w:rsid w:val="00487A62"/>
    <w:rsid w:val="00491337"/>
    <w:rsid w:val="0049223A"/>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4DA6"/>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4F13"/>
    <w:rsid w:val="004D6AE4"/>
    <w:rsid w:val="004D7489"/>
    <w:rsid w:val="004D7840"/>
    <w:rsid w:val="004E04F7"/>
    <w:rsid w:val="004E19E9"/>
    <w:rsid w:val="004E3AF1"/>
    <w:rsid w:val="004E7288"/>
    <w:rsid w:val="004F009B"/>
    <w:rsid w:val="004F0706"/>
    <w:rsid w:val="004F207A"/>
    <w:rsid w:val="004F2904"/>
    <w:rsid w:val="004F401F"/>
    <w:rsid w:val="004F6AED"/>
    <w:rsid w:val="004F7002"/>
    <w:rsid w:val="005027B4"/>
    <w:rsid w:val="005027F0"/>
    <w:rsid w:val="00503995"/>
    <w:rsid w:val="00504773"/>
    <w:rsid w:val="00506383"/>
    <w:rsid w:val="005068BC"/>
    <w:rsid w:val="005127FE"/>
    <w:rsid w:val="00512EE4"/>
    <w:rsid w:val="00516D73"/>
    <w:rsid w:val="00520485"/>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22E3"/>
    <w:rsid w:val="00542A0E"/>
    <w:rsid w:val="0054615B"/>
    <w:rsid w:val="005472A5"/>
    <w:rsid w:val="00550C78"/>
    <w:rsid w:val="00550DEC"/>
    <w:rsid w:val="00550E51"/>
    <w:rsid w:val="00551DFD"/>
    <w:rsid w:val="00552952"/>
    <w:rsid w:val="00556A44"/>
    <w:rsid w:val="0055746E"/>
    <w:rsid w:val="00560A87"/>
    <w:rsid w:val="00562685"/>
    <w:rsid w:val="00564CD3"/>
    <w:rsid w:val="0056541D"/>
    <w:rsid w:val="005654AC"/>
    <w:rsid w:val="00565C40"/>
    <w:rsid w:val="00565DA6"/>
    <w:rsid w:val="005670C9"/>
    <w:rsid w:val="00567462"/>
    <w:rsid w:val="00567CB4"/>
    <w:rsid w:val="00567D9E"/>
    <w:rsid w:val="00567F61"/>
    <w:rsid w:val="00571479"/>
    <w:rsid w:val="0057265E"/>
    <w:rsid w:val="00573A32"/>
    <w:rsid w:val="005752A8"/>
    <w:rsid w:val="00575D97"/>
    <w:rsid w:val="00576019"/>
    <w:rsid w:val="0057667E"/>
    <w:rsid w:val="005779AE"/>
    <w:rsid w:val="005821C1"/>
    <w:rsid w:val="005822A8"/>
    <w:rsid w:val="00582E12"/>
    <w:rsid w:val="0058466B"/>
    <w:rsid w:val="005848D9"/>
    <w:rsid w:val="005856BC"/>
    <w:rsid w:val="0058588D"/>
    <w:rsid w:val="0059545D"/>
    <w:rsid w:val="005A2C40"/>
    <w:rsid w:val="005A2E6F"/>
    <w:rsid w:val="005A6D6C"/>
    <w:rsid w:val="005A6ED8"/>
    <w:rsid w:val="005B2C3C"/>
    <w:rsid w:val="005B3CB6"/>
    <w:rsid w:val="005B5439"/>
    <w:rsid w:val="005C028E"/>
    <w:rsid w:val="005C2D90"/>
    <w:rsid w:val="005C4B09"/>
    <w:rsid w:val="005C5DA2"/>
    <w:rsid w:val="005D64A0"/>
    <w:rsid w:val="005D6837"/>
    <w:rsid w:val="005D6C4C"/>
    <w:rsid w:val="005E2D1E"/>
    <w:rsid w:val="005E3B88"/>
    <w:rsid w:val="005E4703"/>
    <w:rsid w:val="005E61F9"/>
    <w:rsid w:val="005E63F7"/>
    <w:rsid w:val="005E7CE3"/>
    <w:rsid w:val="005F0430"/>
    <w:rsid w:val="005F1E03"/>
    <w:rsid w:val="005F3BA5"/>
    <w:rsid w:val="005F589F"/>
    <w:rsid w:val="005F5C28"/>
    <w:rsid w:val="006008DC"/>
    <w:rsid w:val="00601FDC"/>
    <w:rsid w:val="0060301F"/>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3CC"/>
    <w:rsid w:val="00643FA8"/>
    <w:rsid w:val="0064473F"/>
    <w:rsid w:val="00644CC2"/>
    <w:rsid w:val="00653689"/>
    <w:rsid w:val="00653904"/>
    <w:rsid w:val="00654ABD"/>
    <w:rsid w:val="0065606C"/>
    <w:rsid w:val="00664E7A"/>
    <w:rsid w:val="0066586F"/>
    <w:rsid w:val="0066607A"/>
    <w:rsid w:val="006679B5"/>
    <w:rsid w:val="00667ED8"/>
    <w:rsid w:val="0067183E"/>
    <w:rsid w:val="00671DB1"/>
    <w:rsid w:val="00672440"/>
    <w:rsid w:val="00674B33"/>
    <w:rsid w:val="0067564A"/>
    <w:rsid w:val="00675684"/>
    <w:rsid w:val="00676119"/>
    <w:rsid w:val="00677626"/>
    <w:rsid w:val="0068287F"/>
    <w:rsid w:val="0069152F"/>
    <w:rsid w:val="00696D0B"/>
    <w:rsid w:val="006979F0"/>
    <w:rsid w:val="006A05A7"/>
    <w:rsid w:val="006A0BBE"/>
    <w:rsid w:val="006A20D1"/>
    <w:rsid w:val="006A2991"/>
    <w:rsid w:val="006A585C"/>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1D1D"/>
    <w:rsid w:val="006D2E8E"/>
    <w:rsid w:val="006D61A3"/>
    <w:rsid w:val="006D7649"/>
    <w:rsid w:val="006E5795"/>
    <w:rsid w:val="006E6B2E"/>
    <w:rsid w:val="006E7EC9"/>
    <w:rsid w:val="006F09DE"/>
    <w:rsid w:val="006F13FA"/>
    <w:rsid w:val="006F39D6"/>
    <w:rsid w:val="006F4FF6"/>
    <w:rsid w:val="00703C57"/>
    <w:rsid w:val="00705C49"/>
    <w:rsid w:val="00706FB7"/>
    <w:rsid w:val="00710A14"/>
    <w:rsid w:val="00711502"/>
    <w:rsid w:val="00711627"/>
    <w:rsid w:val="00712509"/>
    <w:rsid w:val="0071327A"/>
    <w:rsid w:val="007172CA"/>
    <w:rsid w:val="00731723"/>
    <w:rsid w:val="00732BBD"/>
    <w:rsid w:val="00734566"/>
    <w:rsid w:val="007355F3"/>
    <w:rsid w:val="00740175"/>
    <w:rsid w:val="0074178D"/>
    <w:rsid w:val="00742B8F"/>
    <w:rsid w:val="007433AC"/>
    <w:rsid w:val="00743F53"/>
    <w:rsid w:val="0074600A"/>
    <w:rsid w:val="007534BD"/>
    <w:rsid w:val="00753789"/>
    <w:rsid w:val="0075396A"/>
    <w:rsid w:val="007571F3"/>
    <w:rsid w:val="00760883"/>
    <w:rsid w:val="00764A07"/>
    <w:rsid w:val="00765FF6"/>
    <w:rsid w:val="007662F5"/>
    <w:rsid w:val="007675EA"/>
    <w:rsid w:val="007715A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967C1"/>
    <w:rsid w:val="007A0A96"/>
    <w:rsid w:val="007B135F"/>
    <w:rsid w:val="007B1B69"/>
    <w:rsid w:val="007B4384"/>
    <w:rsid w:val="007B5F58"/>
    <w:rsid w:val="007C0882"/>
    <w:rsid w:val="007C1043"/>
    <w:rsid w:val="007C4BE1"/>
    <w:rsid w:val="007C4E2D"/>
    <w:rsid w:val="007C57B7"/>
    <w:rsid w:val="007D419F"/>
    <w:rsid w:val="007D5690"/>
    <w:rsid w:val="007D6F29"/>
    <w:rsid w:val="007D735A"/>
    <w:rsid w:val="007E3A9C"/>
    <w:rsid w:val="007E4C54"/>
    <w:rsid w:val="007F0584"/>
    <w:rsid w:val="007F11B8"/>
    <w:rsid w:val="007F3ADC"/>
    <w:rsid w:val="007F3EEA"/>
    <w:rsid w:val="007F776F"/>
    <w:rsid w:val="00801A03"/>
    <w:rsid w:val="00802845"/>
    <w:rsid w:val="00802AE6"/>
    <w:rsid w:val="00802CB7"/>
    <w:rsid w:val="00803299"/>
    <w:rsid w:val="00804F6D"/>
    <w:rsid w:val="00805068"/>
    <w:rsid w:val="00805EE7"/>
    <w:rsid w:val="00811EE1"/>
    <w:rsid w:val="008165EA"/>
    <w:rsid w:val="00816907"/>
    <w:rsid w:val="00816CF0"/>
    <w:rsid w:val="0081790A"/>
    <w:rsid w:val="008201BA"/>
    <w:rsid w:val="00821CF3"/>
    <w:rsid w:val="00822E96"/>
    <w:rsid w:val="00823DE0"/>
    <w:rsid w:val="00825D16"/>
    <w:rsid w:val="0083006E"/>
    <w:rsid w:val="00830A74"/>
    <w:rsid w:val="008325A3"/>
    <w:rsid w:val="0083354E"/>
    <w:rsid w:val="008339EF"/>
    <w:rsid w:val="008348F3"/>
    <w:rsid w:val="00837A15"/>
    <w:rsid w:val="00842FF3"/>
    <w:rsid w:val="0084344B"/>
    <w:rsid w:val="00845A28"/>
    <w:rsid w:val="00846C3B"/>
    <w:rsid w:val="00850ABF"/>
    <w:rsid w:val="00850C34"/>
    <w:rsid w:val="00850F04"/>
    <w:rsid w:val="008543E1"/>
    <w:rsid w:val="008549B6"/>
    <w:rsid w:val="00856596"/>
    <w:rsid w:val="0086068B"/>
    <w:rsid w:val="008620B4"/>
    <w:rsid w:val="008657EC"/>
    <w:rsid w:val="00865910"/>
    <w:rsid w:val="00870DBE"/>
    <w:rsid w:val="008718D8"/>
    <w:rsid w:val="00872037"/>
    <w:rsid w:val="00873818"/>
    <w:rsid w:val="00873F7F"/>
    <w:rsid w:val="00874239"/>
    <w:rsid w:val="00877A6D"/>
    <w:rsid w:val="00882006"/>
    <w:rsid w:val="00884EC1"/>
    <w:rsid w:val="00885BC5"/>
    <w:rsid w:val="00886903"/>
    <w:rsid w:val="00890F00"/>
    <w:rsid w:val="00891373"/>
    <w:rsid w:val="0089283A"/>
    <w:rsid w:val="008964D6"/>
    <w:rsid w:val="0089696C"/>
    <w:rsid w:val="00897586"/>
    <w:rsid w:val="00897A46"/>
    <w:rsid w:val="008A1089"/>
    <w:rsid w:val="008A12DA"/>
    <w:rsid w:val="008A5DB2"/>
    <w:rsid w:val="008B1A1A"/>
    <w:rsid w:val="008B1FF2"/>
    <w:rsid w:val="008B231B"/>
    <w:rsid w:val="008B4BFE"/>
    <w:rsid w:val="008B691B"/>
    <w:rsid w:val="008C255E"/>
    <w:rsid w:val="008C3D5E"/>
    <w:rsid w:val="008D4FC7"/>
    <w:rsid w:val="008D59A1"/>
    <w:rsid w:val="008E0178"/>
    <w:rsid w:val="008E0994"/>
    <w:rsid w:val="008E42C5"/>
    <w:rsid w:val="008E668B"/>
    <w:rsid w:val="008E7C48"/>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3D62"/>
    <w:rsid w:val="009242EA"/>
    <w:rsid w:val="00924381"/>
    <w:rsid w:val="0093045C"/>
    <w:rsid w:val="009314BE"/>
    <w:rsid w:val="00932281"/>
    <w:rsid w:val="00934D2C"/>
    <w:rsid w:val="00935407"/>
    <w:rsid w:val="009355B1"/>
    <w:rsid w:val="009402A5"/>
    <w:rsid w:val="009406CA"/>
    <w:rsid w:val="00941494"/>
    <w:rsid w:val="00941566"/>
    <w:rsid w:val="00941728"/>
    <w:rsid w:val="009422D4"/>
    <w:rsid w:val="00944BA5"/>
    <w:rsid w:val="009450E7"/>
    <w:rsid w:val="009457DA"/>
    <w:rsid w:val="00945BA6"/>
    <w:rsid w:val="0095041C"/>
    <w:rsid w:val="00952BD6"/>
    <w:rsid w:val="00952EAE"/>
    <w:rsid w:val="009535A7"/>
    <w:rsid w:val="00953A46"/>
    <w:rsid w:val="0095529C"/>
    <w:rsid w:val="0096111A"/>
    <w:rsid w:val="00967C28"/>
    <w:rsid w:val="00974A56"/>
    <w:rsid w:val="00976D34"/>
    <w:rsid w:val="00977734"/>
    <w:rsid w:val="009779C3"/>
    <w:rsid w:val="009862E9"/>
    <w:rsid w:val="00986A33"/>
    <w:rsid w:val="00991F79"/>
    <w:rsid w:val="00992658"/>
    <w:rsid w:val="009966D6"/>
    <w:rsid w:val="00996906"/>
    <w:rsid w:val="00997435"/>
    <w:rsid w:val="009A550B"/>
    <w:rsid w:val="009A58AB"/>
    <w:rsid w:val="009A5B98"/>
    <w:rsid w:val="009A67AF"/>
    <w:rsid w:val="009A6C69"/>
    <w:rsid w:val="009A6CCE"/>
    <w:rsid w:val="009B293C"/>
    <w:rsid w:val="009B36AE"/>
    <w:rsid w:val="009B3A1B"/>
    <w:rsid w:val="009B472A"/>
    <w:rsid w:val="009C0F45"/>
    <w:rsid w:val="009C187A"/>
    <w:rsid w:val="009C2F06"/>
    <w:rsid w:val="009C64EC"/>
    <w:rsid w:val="009D05C1"/>
    <w:rsid w:val="009D15B0"/>
    <w:rsid w:val="009D3FDD"/>
    <w:rsid w:val="009D6332"/>
    <w:rsid w:val="009D6F4A"/>
    <w:rsid w:val="009E0E59"/>
    <w:rsid w:val="009E0F04"/>
    <w:rsid w:val="009E3402"/>
    <w:rsid w:val="009E3473"/>
    <w:rsid w:val="009E3622"/>
    <w:rsid w:val="009E4101"/>
    <w:rsid w:val="009E4398"/>
    <w:rsid w:val="009E49FB"/>
    <w:rsid w:val="009E5DAB"/>
    <w:rsid w:val="009F0978"/>
    <w:rsid w:val="009F367F"/>
    <w:rsid w:val="009F5000"/>
    <w:rsid w:val="009F5450"/>
    <w:rsid w:val="009F7222"/>
    <w:rsid w:val="00A01D8D"/>
    <w:rsid w:val="00A02BBC"/>
    <w:rsid w:val="00A02CA0"/>
    <w:rsid w:val="00A02ED9"/>
    <w:rsid w:val="00A044B5"/>
    <w:rsid w:val="00A04892"/>
    <w:rsid w:val="00A04BB1"/>
    <w:rsid w:val="00A07390"/>
    <w:rsid w:val="00A0798E"/>
    <w:rsid w:val="00A10C4B"/>
    <w:rsid w:val="00A13335"/>
    <w:rsid w:val="00A15BB3"/>
    <w:rsid w:val="00A24107"/>
    <w:rsid w:val="00A24A10"/>
    <w:rsid w:val="00A262B8"/>
    <w:rsid w:val="00A270B9"/>
    <w:rsid w:val="00A27792"/>
    <w:rsid w:val="00A30A00"/>
    <w:rsid w:val="00A32526"/>
    <w:rsid w:val="00A3567A"/>
    <w:rsid w:val="00A41AB8"/>
    <w:rsid w:val="00A423C8"/>
    <w:rsid w:val="00A42B52"/>
    <w:rsid w:val="00A52BC4"/>
    <w:rsid w:val="00A5314E"/>
    <w:rsid w:val="00A54F3D"/>
    <w:rsid w:val="00A6203F"/>
    <w:rsid w:val="00A653BB"/>
    <w:rsid w:val="00A65574"/>
    <w:rsid w:val="00A677A4"/>
    <w:rsid w:val="00A70728"/>
    <w:rsid w:val="00A74CBD"/>
    <w:rsid w:val="00A75E22"/>
    <w:rsid w:val="00A76206"/>
    <w:rsid w:val="00A80295"/>
    <w:rsid w:val="00A80F35"/>
    <w:rsid w:val="00A83E9B"/>
    <w:rsid w:val="00A85F54"/>
    <w:rsid w:val="00A93100"/>
    <w:rsid w:val="00A93989"/>
    <w:rsid w:val="00A97852"/>
    <w:rsid w:val="00AA1E6B"/>
    <w:rsid w:val="00AA2031"/>
    <w:rsid w:val="00AA2955"/>
    <w:rsid w:val="00AA407F"/>
    <w:rsid w:val="00AA4A42"/>
    <w:rsid w:val="00AB22E0"/>
    <w:rsid w:val="00AB3FDB"/>
    <w:rsid w:val="00AB431D"/>
    <w:rsid w:val="00AB49FC"/>
    <w:rsid w:val="00AB4F81"/>
    <w:rsid w:val="00AB7DCC"/>
    <w:rsid w:val="00AC3C53"/>
    <w:rsid w:val="00AC5F56"/>
    <w:rsid w:val="00AC65C2"/>
    <w:rsid w:val="00AC7870"/>
    <w:rsid w:val="00AD1DD9"/>
    <w:rsid w:val="00AD55AC"/>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10F3E"/>
    <w:rsid w:val="00B116E7"/>
    <w:rsid w:val="00B1389C"/>
    <w:rsid w:val="00B235ED"/>
    <w:rsid w:val="00B24F71"/>
    <w:rsid w:val="00B251A2"/>
    <w:rsid w:val="00B259FF"/>
    <w:rsid w:val="00B25A6D"/>
    <w:rsid w:val="00B2605C"/>
    <w:rsid w:val="00B269B5"/>
    <w:rsid w:val="00B30435"/>
    <w:rsid w:val="00B314C5"/>
    <w:rsid w:val="00B331CF"/>
    <w:rsid w:val="00B355DA"/>
    <w:rsid w:val="00B35B8F"/>
    <w:rsid w:val="00B412B5"/>
    <w:rsid w:val="00B421E5"/>
    <w:rsid w:val="00B426EF"/>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5B52"/>
    <w:rsid w:val="00B80537"/>
    <w:rsid w:val="00B81785"/>
    <w:rsid w:val="00B82959"/>
    <w:rsid w:val="00B84141"/>
    <w:rsid w:val="00B84645"/>
    <w:rsid w:val="00B85909"/>
    <w:rsid w:val="00B85C61"/>
    <w:rsid w:val="00B917D9"/>
    <w:rsid w:val="00B94B8B"/>
    <w:rsid w:val="00BA1623"/>
    <w:rsid w:val="00BA3F3A"/>
    <w:rsid w:val="00BA45EF"/>
    <w:rsid w:val="00BB2D98"/>
    <w:rsid w:val="00BB2FE6"/>
    <w:rsid w:val="00BB5F27"/>
    <w:rsid w:val="00BB64AF"/>
    <w:rsid w:val="00BC285D"/>
    <w:rsid w:val="00BC37E4"/>
    <w:rsid w:val="00BC44A2"/>
    <w:rsid w:val="00BC6582"/>
    <w:rsid w:val="00BD038E"/>
    <w:rsid w:val="00BD1760"/>
    <w:rsid w:val="00BD272F"/>
    <w:rsid w:val="00BD2DA7"/>
    <w:rsid w:val="00BE0542"/>
    <w:rsid w:val="00BE326D"/>
    <w:rsid w:val="00BE5E61"/>
    <w:rsid w:val="00BF2714"/>
    <w:rsid w:val="00BF278F"/>
    <w:rsid w:val="00BF2A9F"/>
    <w:rsid w:val="00BF5D15"/>
    <w:rsid w:val="00BF7208"/>
    <w:rsid w:val="00C003A4"/>
    <w:rsid w:val="00C018C9"/>
    <w:rsid w:val="00C054C7"/>
    <w:rsid w:val="00C0767E"/>
    <w:rsid w:val="00C078B0"/>
    <w:rsid w:val="00C100A3"/>
    <w:rsid w:val="00C10164"/>
    <w:rsid w:val="00C15DC5"/>
    <w:rsid w:val="00C16784"/>
    <w:rsid w:val="00C16A2C"/>
    <w:rsid w:val="00C20CD3"/>
    <w:rsid w:val="00C23296"/>
    <w:rsid w:val="00C23E2C"/>
    <w:rsid w:val="00C23EC6"/>
    <w:rsid w:val="00C2637F"/>
    <w:rsid w:val="00C3021A"/>
    <w:rsid w:val="00C307D6"/>
    <w:rsid w:val="00C30B4B"/>
    <w:rsid w:val="00C31799"/>
    <w:rsid w:val="00C3290A"/>
    <w:rsid w:val="00C360F6"/>
    <w:rsid w:val="00C36EEA"/>
    <w:rsid w:val="00C371D5"/>
    <w:rsid w:val="00C41406"/>
    <w:rsid w:val="00C43F05"/>
    <w:rsid w:val="00C43FC2"/>
    <w:rsid w:val="00C446D0"/>
    <w:rsid w:val="00C4516C"/>
    <w:rsid w:val="00C4655D"/>
    <w:rsid w:val="00C508E4"/>
    <w:rsid w:val="00C52C02"/>
    <w:rsid w:val="00C53EF3"/>
    <w:rsid w:val="00C5468E"/>
    <w:rsid w:val="00C54E4F"/>
    <w:rsid w:val="00C62834"/>
    <w:rsid w:val="00C63576"/>
    <w:rsid w:val="00C63E3B"/>
    <w:rsid w:val="00C64B4D"/>
    <w:rsid w:val="00C653A2"/>
    <w:rsid w:val="00C657B6"/>
    <w:rsid w:val="00C66ECB"/>
    <w:rsid w:val="00C70C3B"/>
    <w:rsid w:val="00C746FA"/>
    <w:rsid w:val="00C82982"/>
    <w:rsid w:val="00C84339"/>
    <w:rsid w:val="00C846DB"/>
    <w:rsid w:val="00C85478"/>
    <w:rsid w:val="00C86118"/>
    <w:rsid w:val="00C86188"/>
    <w:rsid w:val="00C86AAC"/>
    <w:rsid w:val="00C87130"/>
    <w:rsid w:val="00C953FB"/>
    <w:rsid w:val="00CA08D7"/>
    <w:rsid w:val="00CA2544"/>
    <w:rsid w:val="00CA2B37"/>
    <w:rsid w:val="00CA3008"/>
    <w:rsid w:val="00CB0F42"/>
    <w:rsid w:val="00CB3D3E"/>
    <w:rsid w:val="00CB55CF"/>
    <w:rsid w:val="00CB5A04"/>
    <w:rsid w:val="00CB633B"/>
    <w:rsid w:val="00CC224C"/>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7F45"/>
    <w:rsid w:val="00D658E6"/>
    <w:rsid w:val="00D7004A"/>
    <w:rsid w:val="00D70462"/>
    <w:rsid w:val="00D725E7"/>
    <w:rsid w:val="00D727F0"/>
    <w:rsid w:val="00D749EE"/>
    <w:rsid w:val="00D753B1"/>
    <w:rsid w:val="00D75C3F"/>
    <w:rsid w:val="00D76320"/>
    <w:rsid w:val="00D77C39"/>
    <w:rsid w:val="00D8279D"/>
    <w:rsid w:val="00D82E7A"/>
    <w:rsid w:val="00D83A14"/>
    <w:rsid w:val="00D8504A"/>
    <w:rsid w:val="00D866A6"/>
    <w:rsid w:val="00D87B29"/>
    <w:rsid w:val="00D94305"/>
    <w:rsid w:val="00D945A7"/>
    <w:rsid w:val="00D9649C"/>
    <w:rsid w:val="00DA16AE"/>
    <w:rsid w:val="00DA6EC7"/>
    <w:rsid w:val="00DA7FA8"/>
    <w:rsid w:val="00DB03AF"/>
    <w:rsid w:val="00DB1443"/>
    <w:rsid w:val="00DB1758"/>
    <w:rsid w:val="00DB2FA7"/>
    <w:rsid w:val="00DB64E6"/>
    <w:rsid w:val="00DC08D5"/>
    <w:rsid w:val="00DC1EB4"/>
    <w:rsid w:val="00DC1FE5"/>
    <w:rsid w:val="00DC5A17"/>
    <w:rsid w:val="00DC639E"/>
    <w:rsid w:val="00DC7D1C"/>
    <w:rsid w:val="00DD0A6A"/>
    <w:rsid w:val="00DD4CDB"/>
    <w:rsid w:val="00DD6A35"/>
    <w:rsid w:val="00DD7C5E"/>
    <w:rsid w:val="00DE02C2"/>
    <w:rsid w:val="00DE3145"/>
    <w:rsid w:val="00DE68D4"/>
    <w:rsid w:val="00DE7148"/>
    <w:rsid w:val="00DF0AA5"/>
    <w:rsid w:val="00DF100E"/>
    <w:rsid w:val="00DF24E9"/>
    <w:rsid w:val="00DF64A7"/>
    <w:rsid w:val="00DF6DB3"/>
    <w:rsid w:val="00DF7366"/>
    <w:rsid w:val="00E00C93"/>
    <w:rsid w:val="00E02EBD"/>
    <w:rsid w:val="00E0415A"/>
    <w:rsid w:val="00E11CBA"/>
    <w:rsid w:val="00E1473C"/>
    <w:rsid w:val="00E1571C"/>
    <w:rsid w:val="00E15924"/>
    <w:rsid w:val="00E17B79"/>
    <w:rsid w:val="00E22970"/>
    <w:rsid w:val="00E22EA6"/>
    <w:rsid w:val="00E260CE"/>
    <w:rsid w:val="00E30789"/>
    <w:rsid w:val="00E3194B"/>
    <w:rsid w:val="00E3204F"/>
    <w:rsid w:val="00E33C52"/>
    <w:rsid w:val="00E33FB8"/>
    <w:rsid w:val="00E35136"/>
    <w:rsid w:val="00E40A31"/>
    <w:rsid w:val="00E40CE8"/>
    <w:rsid w:val="00E42BE9"/>
    <w:rsid w:val="00E433BA"/>
    <w:rsid w:val="00E45DB2"/>
    <w:rsid w:val="00E45E79"/>
    <w:rsid w:val="00E46646"/>
    <w:rsid w:val="00E50E43"/>
    <w:rsid w:val="00E525E5"/>
    <w:rsid w:val="00E533AE"/>
    <w:rsid w:val="00E6063C"/>
    <w:rsid w:val="00E6177C"/>
    <w:rsid w:val="00E66266"/>
    <w:rsid w:val="00E70071"/>
    <w:rsid w:val="00E71530"/>
    <w:rsid w:val="00E71DB2"/>
    <w:rsid w:val="00E750F1"/>
    <w:rsid w:val="00E75506"/>
    <w:rsid w:val="00E80852"/>
    <w:rsid w:val="00E822A7"/>
    <w:rsid w:val="00E83CCB"/>
    <w:rsid w:val="00E84F48"/>
    <w:rsid w:val="00E86DC6"/>
    <w:rsid w:val="00E87146"/>
    <w:rsid w:val="00E90610"/>
    <w:rsid w:val="00E91C6E"/>
    <w:rsid w:val="00E92645"/>
    <w:rsid w:val="00E928CB"/>
    <w:rsid w:val="00E93248"/>
    <w:rsid w:val="00EA35D2"/>
    <w:rsid w:val="00EA3BC2"/>
    <w:rsid w:val="00EA4000"/>
    <w:rsid w:val="00EA4F59"/>
    <w:rsid w:val="00EA515B"/>
    <w:rsid w:val="00EB0325"/>
    <w:rsid w:val="00EB03F0"/>
    <w:rsid w:val="00EB07C7"/>
    <w:rsid w:val="00EB271D"/>
    <w:rsid w:val="00EC07FA"/>
    <w:rsid w:val="00EC152B"/>
    <w:rsid w:val="00EC7F75"/>
    <w:rsid w:val="00ED1BD9"/>
    <w:rsid w:val="00ED27AA"/>
    <w:rsid w:val="00ED4CA9"/>
    <w:rsid w:val="00EE066A"/>
    <w:rsid w:val="00EE14AE"/>
    <w:rsid w:val="00EE2142"/>
    <w:rsid w:val="00EE425E"/>
    <w:rsid w:val="00EE4B30"/>
    <w:rsid w:val="00EE58C6"/>
    <w:rsid w:val="00EF1B9B"/>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303F9"/>
    <w:rsid w:val="00F37A07"/>
    <w:rsid w:val="00F40BA2"/>
    <w:rsid w:val="00F41FE5"/>
    <w:rsid w:val="00F42EEF"/>
    <w:rsid w:val="00F44285"/>
    <w:rsid w:val="00F45171"/>
    <w:rsid w:val="00F476B3"/>
    <w:rsid w:val="00F47A33"/>
    <w:rsid w:val="00F51AA8"/>
    <w:rsid w:val="00F548A8"/>
    <w:rsid w:val="00F55406"/>
    <w:rsid w:val="00F6039B"/>
    <w:rsid w:val="00F65A84"/>
    <w:rsid w:val="00F703C2"/>
    <w:rsid w:val="00F71FBE"/>
    <w:rsid w:val="00F72C3D"/>
    <w:rsid w:val="00F74180"/>
    <w:rsid w:val="00F76512"/>
    <w:rsid w:val="00F76638"/>
    <w:rsid w:val="00F77164"/>
    <w:rsid w:val="00F775FB"/>
    <w:rsid w:val="00F80652"/>
    <w:rsid w:val="00F81367"/>
    <w:rsid w:val="00F8218A"/>
    <w:rsid w:val="00F838AC"/>
    <w:rsid w:val="00F83F69"/>
    <w:rsid w:val="00F8494E"/>
    <w:rsid w:val="00F8531C"/>
    <w:rsid w:val="00F9117D"/>
    <w:rsid w:val="00F94EB2"/>
    <w:rsid w:val="00FA0FA6"/>
    <w:rsid w:val="00FA173A"/>
    <w:rsid w:val="00FA33ED"/>
    <w:rsid w:val="00FA343E"/>
    <w:rsid w:val="00FA410E"/>
    <w:rsid w:val="00FA4B00"/>
    <w:rsid w:val="00FA5149"/>
    <w:rsid w:val="00FA688E"/>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786E"/>
    <w:rsid w:val="00FC7A92"/>
    <w:rsid w:val="00FD2CAE"/>
    <w:rsid w:val="00FE03EB"/>
    <w:rsid w:val="00FE125F"/>
    <w:rsid w:val="00FF064B"/>
    <w:rsid w:val="00FF1A62"/>
    <w:rsid w:val="00FF24FC"/>
    <w:rsid w:val="00FF28D2"/>
    <w:rsid w:val="00FF58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auto"/>
    </w:rPr>
  </w:style>
  <w:style w:type="paragraph" w:customStyle="1" w:styleId="5">
    <w:name w:val="2341854804BE4A628335198F239862A1"/>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F6DE6F7C2BBF24EA5CEEF332D64B3FD" ma:contentTypeVersion="" ma:contentTypeDescription="Create a new document." ma:contentTypeScope="" ma:versionID="ee8ace7e7b4ab46528318d478b9f430c">
  <xsd:schema xmlns:xsd="http://www.w3.org/2001/XMLSchema" xmlns:xs="http://www.w3.org/2001/XMLSchema" xmlns:p="http://schemas.microsoft.com/office/2006/metadata/properties" xmlns:ns1="http://schemas.microsoft.com/sharepoint/v3" xmlns:ns2="61c59613-fa3d-49ac-a488-29be1c5cd5ec" targetNamespace="http://schemas.microsoft.com/office/2006/metadata/properties" ma:root="true" ma:fieldsID="facab81b0f108df44d0d1ce77558c797" ns1:_="" ns2:_="">
    <xsd:import namespace="http://schemas.microsoft.com/sharepoint/v3"/>
    <xsd:import namespace="61c59613-fa3d-49ac-a488-29be1c5cd5e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c59613-fa3d-49ac-a488-29be1c5cd5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江苏宁沪高速公路股份有限公司</clcid-cgi:GongSiFaDingZhongWenMingCheng>
  <clcid-mr:GongSiFuZeRenXingMing xmlns:clcid-mr="clcid-mr">陈云江</clcid-mr:GongSiFuZeRenXingMing>
  <clcid-mr:ZhuGuanKuaiJiGongZuoFuZeRenXingMing xmlns:clcid-mr="clcid-mr">陈晋佳</clcid-mr:ZhuGuanKuaiJiGongZuoFuZeRenXingMing>
  <clcid-mr:KuaiJiJiGouFuZeRenXingMing xmlns:clcid-mr="clcid-mr">姚群芳</clcid-mr:KuaiJiJiGouFuZeRenXingMing>
  <clcid-cgi:GongSiFaDingDaiBiaoRen xmlns:clcid-cgi="clcid-cgi">陈云江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4,789,530.84</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11,806,394.00</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25,071,566.88</clcid-pte:ShouTuoJingYingQuDeDeTuoGuanFeiShouRu>
  <clcid-pte:ShouTuoJingYingQuDeDeTuoGuanFeiShouRuShuoMing xmlns:clcid-pte="clcid-pte"/>
  <clcid-pte:ChuShangShuGeXiangZhiWaiDeQiTaYingYeWaiShouZhiJingE xmlns:clcid-pte="clcid-pte">(2,654,584.33)</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(4,644,088.12)</clcid-pte:FeiJingChangXingSunYiXiangMuZhongShaoShuGuDongQuanYiYingXiangE>
  <clcid-pte:FeiJingChangXingSunYiXiangMuZhongShaoShuGuDongQuanYiYingXiangEShuoMing xmlns:clcid-pte="clcid-pte"/>
  <clcid-pte:FeiJingChangXingSunYiDeKouChuXiangMuDuiSuoDeShuiDeYingXiang xmlns:clcid-pte="clcid-pte">(46,125,661.35)</clcid-pte:FeiJingChangXingSunYiDeKouChuXiangMuDuiSuoDeShuiDeYingXiang>
  <clcid-pte:FeiJingChangXingSunYiDeKouChuXiangMuDuiSuoDeShuiDeYingXiangShuoMing xmlns:clcid-pte="clcid-pte"/>
  <clcid-pte:KouChuDeFeiJingChangXingSunYiHeJi xmlns:clcid-pte="clcid-pte">133,732,895.92</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mapping xmlns:m="http://mapping.word.org/2012/mapping">
  <m:sm4><![CDATA[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]]></m:sm4>
</m:mapping>
</file>

<file path=customXml/item6.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7.xml><?xml version="1.0" encoding="utf-8"?>
<sc:sections xmlns:sc="http://mapping.word.org/2014/section/customize"/>
</file>

<file path=customXml/item8.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]]></t:sse>
</t:template>
</file>

<file path=customXml/itemProps1.xml><?xml version="1.0" encoding="utf-8"?>
<ds:datastoreItem xmlns:ds="http://schemas.openxmlformats.org/officeDocument/2006/customXml" ds:itemID="{60D21407-65A9-4EAD-B3F7-A0C6244FCCD5}">
  <ds:schemaRefs/>
</ds:datastoreItem>
</file>

<file path=customXml/itemProps2.xml><?xml version="1.0" encoding="utf-8"?>
<ds:datastoreItem xmlns:ds="http://schemas.openxmlformats.org/officeDocument/2006/customXml" ds:itemID="{D0F8A009-F46B-4B72-A490-D03F0E01989B}">
  <ds:schemaRefs/>
</ds:datastoreItem>
</file>

<file path=customXml/itemProps3.xml><?xml version="1.0" encoding="utf-8"?>
<ds:datastoreItem xmlns:ds="http://schemas.openxmlformats.org/officeDocument/2006/customXml" ds:itemID="{89EBAB94-44A0-46A2-B712-30D997D04A6D}">
  <ds:schemaRefs/>
</ds:datastoreItem>
</file>

<file path=customXml/itemProps4.xml><?xml version="1.0" encoding="utf-8"?>
<ds:datastoreItem xmlns:ds="http://schemas.openxmlformats.org/officeDocument/2006/customXml" ds:itemID="{96E4DDA9-7511-4260-B384-CBE53DA5D442}">
  <ds:schemaRefs/>
</ds:datastoreItem>
</file>

<file path=customXml/itemProps5.xml><?xml version="1.0" encoding="utf-8"?>
<ds:datastoreItem xmlns:ds="http://schemas.openxmlformats.org/officeDocument/2006/customXml" ds:itemID="{4F1A3E32-F7D6-4065-96EB-F90123164CED}">
  <ds:schemaRefs/>
</ds:datastoreItem>
</file>

<file path=customXml/itemProps6.xml><?xml version="1.0" encoding="utf-8"?>
<ds:datastoreItem xmlns:ds="http://schemas.openxmlformats.org/officeDocument/2006/customXml" ds:itemID="{8E22D349-2F9A-49E1-AE9D-60D34365AC9D}">
  <ds:schemaRefs/>
</ds:datastoreItem>
</file>

<file path=customXml/itemProps7.xml><?xml version="1.0" encoding="utf-8"?>
<ds:datastoreItem xmlns:ds="http://schemas.openxmlformats.org/officeDocument/2006/customXml" ds:itemID="{1F37729E-89F6-4D70-BC0B-8EF77515B409}">
  <ds:schemaRefs/>
</ds:datastoreItem>
</file>

<file path=customXml/itemProps8.xml><?xml version="1.0" encoding="utf-8"?>
<ds:datastoreItem xmlns:ds="http://schemas.openxmlformats.org/officeDocument/2006/customXml" ds:itemID="{ddf82235-d63b-4f7a-8fa0-1528b5cc10fc}">
  <ds:schemaRefs/>
</ds:datastoreItem>
</file>

<file path=docProps/app.xml><?xml version="1.0" encoding="utf-8"?>
<Properties xmlns="http://schemas.openxmlformats.org/officeDocument/2006/extended-properties" xmlns:vt="http://schemas.openxmlformats.org/officeDocument/2006/docPropsVTypes">
  <Template>SSEReport</Template>
  <Company>Sky123.Org</Company>
  <Pages>193</Pages>
  <Words>36515</Words>
  <Characters>208137</Characters>
  <Lines>1734</Lines>
  <Paragraphs>488</Paragraphs>
  <TotalTime>1675</TotalTime>
  <ScaleCrop>false</ScaleCrop>
  <LinksUpToDate>false</LinksUpToDate>
  <CharactersWithSpaces>244164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2023-08-23T07:26:00Z</dcterms:created>
  <dc:creator>czq</dc:creator>
  <cp:lastModifiedBy>Lky</cp:lastModifiedBy>
  <cp:lastPrinted>2023-08-24T02:44:00Z</cp:lastPrinted>
  <dcterms:modified xsi:type="dcterms:W3CDTF">2024-03-01T06:48:42Z</dcterms:modified>
  <dc:title>股份有限公司</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0x010100FF6DE6F7C2BBF24EA5CEEF332D64B3FD</vt:lpwstr>
  </property>
  <property fmtid="{D5CDD505-2E9C-101B-9397-08002B2CF9AE}" pid="3" name="KSOProductBuildVer">
    <vt:lpwstr>2052-12.1.0.16388</vt:lpwstr>
  </property>
  <property fmtid="{D5CDD505-2E9C-101B-9397-08002B2CF9AE}" pid="4" name="ICV">
    <vt:lpwstr>1AE5E19E230F4130A1644E85153354D0_12</vt:lpwstr>
  </property>
</Properties>
</file>