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75C" w:rsidRDefault="00CA275C">
      <w:pPr>
        <w:spacing w:line="580" w:lineRule="exact"/>
        <w:jc w:val="center"/>
        <w:rPr>
          <w:rFonts w:ascii="方正大标宋简体" w:eastAsia="方正大标宋简体" w:hAnsiTheme="minorHAnsi" w:cstheme="minorBidi"/>
          <w:sz w:val="44"/>
          <w:szCs w:val="44"/>
        </w:rPr>
      </w:pPr>
    </w:p>
    <w:p w:rsidR="00CA275C" w:rsidRDefault="00EC02E9">
      <w:pPr>
        <w:spacing w:line="580" w:lineRule="exact"/>
        <w:jc w:val="center"/>
        <w:rPr>
          <w:rFonts w:ascii="方正大标宋简体" w:eastAsia="方正大标宋简体" w:hAnsiTheme="minorHAnsi" w:cstheme="minorBidi"/>
          <w:sz w:val="36"/>
          <w:szCs w:val="36"/>
        </w:rPr>
      </w:pPr>
      <w:r>
        <w:rPr>
          <w:rFonts w:ascii="方正大标宋简体" w:eastAsia="方正大标宋简体" w:hAnsiTheme="minorHAnsi" w:cstheme="minorBidi" w:hint="eastAsia"/>
          <w:sz w:val="36"/>
          <w:szCs w:val="36"/>
        </w:rPr>
        <w:t>江苏宁沪高速公路股份有限公司</w:t>
      </w:r>
    </w:p>
    <w:p w:rsidR="00CA275C" w:rsidRDefault="00EC02E9">
      <w:pPr>
        <w:spacing w:line="580" w:lineRule="exact"/>
        <w:jc w:val="center"/>
        <w:rPr>
          <w:rFonts w:ascii="方正大标宋简体" w:eastAsia="方正大标宋简体" w:hAnsiTheme="minorHAnsi" w:cstheme="minorBidi"/>
          <w:sz w:val="36"/>
          <w:szCs w:val="36"/>
        </w:rPr>
      </w:pPr>
      <w:r>
        <w:rPr>
          <w:rFonts w:ascii="方正大标宋简体" w:eastAsia="方正大标宋简体" w:hAnsiTheme="minorHAnsi" w:cstheme="minorBidi" w:hint="eastAsia"/>
          <w:sz w:val="36"/>
          <w:szCs w:val="36"/>
        </w:rPr>
        <w:t>董事会审计委员会对会计师事务所2023年度履行</w:t>
      </w:r>
    </w:p>
    <w:p w:rsidR="00CA275C" w:rsidRDefault="00EC02E9">
      <w:pPr>
        <w:spacing w:line="580" w:lineRule="exact"/>
        <w:jc w:val="center"/>
        <w:rPr>
          <w:rFonts w:ascii="方正大标宋简体" w:eastAsia="方正大标宋简体" w:hAnsiTheme="minorHAnsi" w:cstheme="minorBidi"/>
          <w:sz w:val="36"/>
          <w:szCs w:val="36"/>
        </w:rPr>
      </w:pPr>
      <w:r>
        <w:rPr>
          <w:rFonts w:ascii="方正大标宋简体" w:eastAsia="方正大标宋简体" w:hAnsiTheme="minorHAnsi" w:cstheme="minorBidi" w:hint="eastAsia"/>
          <w:sz w:val="36"/>
          <w:szCs w:val="36"/>
        </w:rPr>
        <w:t>监督职责情况报告</w:t>
      </w:r>
    </w:p>
    <w:p w:rsidR="00CA275C" w:rsidRDefault="00CA275C">
      <w:pPr>
        <w:ind w:firstLineChars="200" w:firstLine="600"/>
        <w:rPr>
          <w:rFonts w:ascii="monospace" w:eastAsia="monospace" w:hAnsi="monospace" w:cs="monospace"/>
          <w:sz w:val="30"/>
          <w:szCs w:val="30"/>
          <w:shd w:val="clear" w:color="auto" w:fill="FFFFFF"/>
        </w:rPr>
      </w:pPr>
    </w:p>
    <w:p w:rsidR="00CA275C" w:rsidRDefault="00EC02E9" w:rsidP="00093EDE">
      <w:pPr>
        <w:widowControl/>
        <w:ind w:firstLineChars="189" w:firstLine="605"/>
        <w:jc w:val="left"/>
        <w:rPr>
          <w:rFonts w:ascii="仿宋_GB2312" w:eastAsia="仿宋_GB2312" w:cs="微软雅黑"/>
          <w:color w:val="000000"/>
          <w:kern w:val="0"/>
          <w:sz w:val="32"/>
          <w:szCs w:val="32"/>
          <w:lang w:val="zh-CN"/>
        </w:rPr>
      </w:pPr>
      <w:r>
        <w:rPr>
          <w:rFonts w:ascii="仿宋_GB2312" w:eastAsia="仿宋_GB2312" w:cs="微软雅黑" w:hint="eastAsia"/>
          <w:color w:val="000000"/>
          <w:kern w:val="0"/>
          <w:sz w:val="32"/>
          <w:szCs w:val="32"/>
          <w:lang w:val="zh-CN"/>
        </w:rPr>
        <w:t>根</w:t>
      </w:r>
      <w:r>
        <w:rPr>
          <w:rFonts w:ascii="仿宋_GB2312" w:eastAsia="仿宋_GB2312" w:cs="微软雅黑"/>
          <w:color w:val="000000"/>
          <w:kern w:val="0"/>
          <w:sz w:val="32"/>
          <w:szCs w:val="32"/>
          <w:lang w:val="zh-CN"/>
        </w:rPr>
        <w:t>据《中华人民共和国公司法》《中华人民共和国证券法》《上市公司治理准则》《国有企业、上市公司选聘会计师事务所管理办法》《上海证券交易所上市公司自律监管指引第</w:t>
      </w:r>
      <w:r>
        <w:rPr>
          <w:rFonts w:ascii="仿宋_GB2312" w:eastAsia="仿宋_GB2312" w:cs="微软雅黑" w:hint="eastAsia"/>
          <w:color w:val="000000"/>
          <w:kern w:val="0"/>
          <w:sz w:val="32"/>
          <w:szCs w:val="32"/>
          <w:lang w:val="zh-CN"/>
        </w:rPr>
        <w:t>1</w:t>
      </w:r>
      <w:r>
        <w:rPr>
          <w:rFonts w:ascii="仿宋_GB2312" w:eastAsia="仿宋_GB2312" w:cs="微软雅黑"/>
          <w:color w:val="000000"/>
          <w:kern w:val="0"/>
          <w:sz w:val="32"/>
          <w:szCs w:val="32"/>
          <w:lang w:val="zh-CN"/>
        </w:rPr>
        <w:t>号</w:t>
      </w:r>
      <w:r>
        <w:rPr>
          <w:rFonts w:ascii="仿宋_GB2312" w:eastAsia="仿宋_GB2312" w:cs="微软雅黑"/>
          <w:color w:val="000000"/>
          <w:kern w:val="0"/>
          <w:sz w:val="32"/>
          <w:szCs w:val="32"/>
          <w:lang w:val="zh-CN"/>
        </w:rPr>
        <w:t>——</w:t>
      </w:r>
      <w:r>
        <w:rPr>
          <w:rFonts w:ascii="仿宋_GB2312" w:eastAsia="仿宋_GB2312" w:cs="微软雅黑"/>
          <w:color w:val="000000"/>
          <w:kern w:val="0"/>
          <w:sz w:val="32"/>
          <w:szCs w:val="32"/>
          <w:lang w:val="zh-CN"/>
        </w:rPr>
        <w:t>规范运作》和</w:t>
      </w:r>
      <w:r>
        <w:rPr>
          <w:rFonts w:ascii="仿宋_GB2312" w:eastAsia="仿宋_GB2312" w:cs="微软雅黑" w:hint="eastAsia"/>
          <w:color w:val="000000"/>
          <w:kern w:val="0"/>
          <w:sz w:val="32"/>
          <w:szCs w:val="32"/>
        </w:rPr>
        <w:t>江苏宁沪高速公路</w:t>
      </w:r>
      <w:r>
        <w:rPr>
          <w:rFonts w:ascii="仿宋_GB2312" w:eastAsia="仿宋_GB2312" w:cs="微软雅黑"/>
          <w:color w:val="000000"/>
          <w:kern w:val="0"/>
          <w:sz w:val="32"/>
          <w:szCs w:val="32"/>
          <w:lang w:val="zh-CN"/>
        </w:rPr>
        <w:t>股份有限公司（以下简称</w:t>
      </w:r>
      <w:r>
        <w:rPr>
          <w:rFonts w:ascii="仿宋_GB2312" w:eastAsia="仿宋_GB2312" w:cs="微软雅黑"/>
          <w:color w:val="000000"/>
          <w:kern w:val="0"/>
          <w:sz w:val="32"/>
          <w:szCs w:val="32"/>
          <w:lang w:val="zh-CN"/>
        </w:rPr>
        <w:t>“</w:t>
      </w:r>
      <w:r>
        <w:rPr>
          <w:rFonts w:ascii="仿宋_GB2312" w:eastAsia="仿宋_GB2312" w:cs="微软雅黑" w:hint="eastAsia"/>
          <w:color w:val="000000"/>
          <w:kern w:val="0"/>
          <w:sz w:val="32"/>
          <w:szCs w:val="32"/>
        </w:rPr>
        <w:t>本</w:t>
      </w:r>
      <w:r>
        <w:rPr>
          <w:rFonts w:ascii="仿宋_GB2312" w:eastAsia="仿宋_GB2312" w:cs="微软雅黑"/>
          <w:color w:val="000000"/>
          <w:kern w:val="0"/>
          <w:sz w:val="32"/>
          <w:szCs w:val="32"/>
          <w:lang w:val="zh-CN"/>
        </w:rPr>
        <w:t>公司</w:t>
      </w:r>
      <w:r>
        <w:rPr>
          <w:rFonts w:ascii="仿宋_GB2312" w:eastAsia="仿宋_GB2312" w:cs="微软雅黑"/>
          <w:color w:val="000000"/>
          <w:kern w:val="0"/>
          <w:sz w:val="32"/>
          <w:szCs w:val="32"/>
          <w:lang w:val="zh-CN"/>
        </w:rPr>
        <w:t>”</w:t>
      </w:r>
      <w:r>
        <w:rPr>
          <w:rFonts w:ascii="仿宋_GB2312" w:eastAsia="仿宋_GB2312" w:cs="微软雅黑"/>
          <w:color w:val="000000"/>
          <w:kern w:val="0"/>
          <w:sz w:val="32"/>
          <w:szCs w:val="32"/>
          <w:lang w:val="zh-CN"/>
        </w:rPr>
        <w:t>）的《公司章程》《董事会审计委员会议事规则》等规定和要求，董事会审计委员会本着勤勉尽责的原则，恪尽职守，认真履职。现将董事会审计委员会对会计师事务所2023年度履职评估及履行监督职责的情况汇报如下：</w:t>
      </w:r>
    </w:p>
    <w:p w:rsidR="00CA275C" w:rsidRDefault="00EC02E9">
      <w:pPr>
        <w:widowControl/>
        <w:ind w:firstLineChars="189" w:firstLine="607"/>
        <w:jc w:val="left"/>
        <w:rPr>
          <w:rFonts w:ascii="仿宋_GB2312" w:eastAsia="仿宋_GB2312" w:cs="微软雅黑"/>
          <w:b/>
          <w:bCs/>
          <w:color w:val="000000"/>
          <w:kern w:val="0"/>
          <w:sz w:val="32"/>
          <w:szCs w:val="32"/>
          <w:lang w:val="zh-CN"/>
        </w:rPr>
      </w:pPr>
      <w:r>
        <w:rPr>
          <w:rFonts w:ascii="仿宋_GB2312" w:eastAsia="仿宋_GB2312" w:cs="微软雅黑"/>
          <w:b/>
          <w:bCs/>
          <w:color w:val="000000"/>
          <w:kern w:val="0"/>
          <w:sz w:val="32"/>
          <w:szCs w:val="32"/>
          <w:lang w:val="zh-CN"/>
        </w:rPr>
        <w:t>一、2023年年审会计师事务所基本情况</w:t>
      </w:r>
    </w:p>
    <w:p w:rsidR="00CA275C" w:rsidRDefault="00EC02E9">
      <w:pPr>
        <w:ind w:firstLineChars="200" w:firstLine="640"/>
        <w:rPr>
          <w:rFonts w:ascii="仿宋_GB2312" w:eastAsia="仿宋_GB2312"/>
          <w:sz w:val="32"/>
          <w:szCs w:val="32"/>
        </w:rPr>
      </w:pPr>
      <w:r>
        <w:rPr>
          <w:rFonts w:ascii="仿宋_GB2312" w:eastAsia="仿宋_GB2312" w:cs="微软雅黑"/>
          <w:color w:val="000000"/>
          <w:kern w:val="0"/>
          <w:sz w:val="32"/>
          <w:szCs w:val="32"/>
          <w:lang w:val="zh-CN"/>
        </w:rPr>
        <w:t>（一</w:t>
      </w:r>
      <w:r>
        <w:rPr>
          <w:rFonts w:ascii="仿宋_GB2312" w:eastAsia="仿宋_GB2312" w:cs="微软雅黑"/>
          <w:color w:val="C00000"/>
          <w:kern w:val="0"/>
          <w:sz w:val="32"/>
          <w:szCs w:val="32"/>
          <w:lang w:val="zh-CN"/>
        </w:rPr>
        <w:t>）</w:t>
      </w:r>
      <w:r>
        <w:rPr>
          <w:rFonts w:ascii="仿宋_GB2312" w:eastAsia="仿宋_GB2312" w:cs="微软雅黑"/>
          <w:color w:val="000000"/>
          <w:kern w:val="0"/>
          <w:sz w:val="32"/>
          <w:szCs w:val="32"/>
          <w:lang w:val="zh-CN"/>
        </w:rPr>
        <w:t>会计师事务所基本情况</w:t>
      </w:r>
      <w:r>
        <w:rPr>
          <w:rFonts w:ascii="仿宋_GB2312" w:eastAsia="仿宋_GB2312" w:cs="微软雅黑" w:hint="eastAsia"/>
          <w:color w:val="000000"/>
          <w:kern w:val="0"/>
          <w:sz w:val="32"/>
          <w:szCs w:val="32"/>
          <w:lang w:val="zh-CN"/>
        </w:rPr>
        <w:t xml:space="preserve"> </w:t>
      </w:r>
      <w:r>
        <w:rPr>
          <w:rFonts w:ascii="仿宋_GB2312" w:eastAsia="仿宋_GB2312" w:cs="微软雅黑"/>
          <w:color w:val="000000"/>
          <w:kern w:val="0"/>
          <w:sz w:val="32"/>
          <w:szCs w:val="32"/>
          <w:lang w:val="zh-CN"/>
        </w:rPr>
        <w:t xml:space="preserve">  </w:t>
      </w:r>
      <w:r>
        <w:rPr>
          <w:rFonts w:ascii="仿宋_GB2312" w:eastAsia="仿宋_GB2312"/>
          <w:sz w:val="32"/>
          <w:szCs w:val="32"/>
        </w:rPr>
        <w:t xml:space="preserve">                </w:t>
      </w:r>
    </w:p>
    <w:p w:rsidR="00CA275C" w:rsidRDefault="00EC02E9" w:rsidP="00093EDE">
      <w:pPr>
        <w:widowControl/>
        <w:ind w:firstLineChars="189" w:firstLine="605"/>
        <w:jc w:val="left"/>
        <w:rPr>
          <w:rFonts w:ascii="仿宋_GB2312" w:eastAsia="仿宋_GB2312" w:cs="微软雅黑"/>
          <w:color w:val="000000"/>
          <w:kern w:val="0"/>
          <w:sz w:val="32"/>
          <w:szCs w:val="32"/>
          <w:lang w:val="zh-CN"/>
        </w:rPr>
      </w:pPr>
      <w:r>
        <w:rPr>
          <w:rFonts w:ascii="仿宋_GB2312" w:eastAsia="仿宋_GB2312" w:cs="微软雅黑"/>
          <w:color w:val="000000"/>
          <w:kern w:val="0"/>
          <w:sz w:val="32"/>
          <w:szCs w:val="32"/>
          <w:lang w:val="zh-CN"/>
        </w:rPr>
        <w:t>毕马威华振会计师事务所于1992年8月18日在北京成立，于2012年7月5日获财政部批准转制为特殊普通合伙的合伙制企业，更名为毕马威华振会计师事务所（特殊普通合伙）（以下简称</w:t>
      </w:r>
      <w:r>
        <w:rPr>
          <w:rFonts w:ascii="仿宋_GB2312" w:eastAsia="仿宋_GB2312" w:cs="微软雅黑" w:hint="eastAsia"/>
          <w:color w:val="000000"/>
          <w:kern w:val="0"/>
          <w:sz w:val="32"/>
          <w:szCs w:val="32"/>
          <w:lang w:val="zh-CN"/>
        </w:rPr>
        <w:t>“</w:t>
      </w:r>
      <w:r>
        <w:rPr>
          <w:rFonts w:ascii="仿宋_GB2312" w:eastAsia="仿宋_GB2312" w:cs="微软雅黑"/>
          <w:color w:val="000000"/>
          <w:kern w:val="0"/>
          <w:sz w:val="32"/>
          <w:szCs w:val="32"/>
          <w:lang w:val="zh-CN"/>
        </w:rPr>
        <w:t>毕马威华振</w:t>
      </w:r>
      <w:r>
        <w:rPr>
          <w:rFonts w:ascii="仿宋_GB2312" w:eastAsia="仿宋_GB2312" w:cs="微软雅黑" w:hint="eastAsia"/>
          <w:color w:val="000000"/>
          <w:kern w:val="0"/>
          <w:sz w:val="32"/>
          <w:szCs w:val="32"/>
          <w:lang w:val="zh-CN"/>
        </w:rPr>
        <w:t>”</w:t>
      </w:r>
      <w:r>
        <w:rPr>
          <w:rFonts w:ascii="仿宋_GB2312" w:eastAsia="仿宋_GB2312" w:cs="微软雅黑"/>
          <w:color w:val="000000"/>
          <w:kern w:val="0"/>
          <w:sz w:val="32"/>
          <w:szCs w:val="32"/>
          <w:lang w:val="zh-CN"/>
        </w:rPr>
        <w:t>），2012年7月10日取得工商营业执照，并于2012年8月1日正式运营。毕马威华振总所位于北京，注册地址为北京市东城区东长安街1号</w:t>
      </w:r>
      <w:r>
        <w:rPr>
          <w:rFonts w:ascii="仿宋_GB2312" w:eastAsia="仿宋_GB2312" w:cs="微软雅黑"/>
          <w:color w:val="000000"/>
          <w:kern w:val="0"/>
          <w:sz w:val="32"/>
          <w:szCs w:val="32"/>
          <w:lang w:val="zh-CN"/>
        </w:rPr>
        <w:lastRenderedPageBreak/>
        <w:t>东方广场东2座办公楼8层。毕马威华振的首席合伙人邹俊，中国国籍，具有中国注册会计师资格。</w:t>
      </w:r>
    </w:p>
    <w:p w:rsidR="00CA275C" w:rsidRDefault="00EC02E9" w:rsidP="00093EDE">
      <w:pPr>
        <w:widowControl/>
        <w:ind w:firstLineChars="189" w:firstLine="605"/>
        <w:jc w:val="left"/>
        <w:rPr>
          <w:rFonts w:ascii="仿宋_GB2312" w:eastAsia="仿宋_GB2312" w:cs="微软雅黑"/>
          <w:color w:val="000000"/>
          <w:kern w:val="0"/>
          <w:sz w:val="32"/>
          <w:szCs w:val="32"/>
          <w:lang w:val="zh-CN"/>
        </w:rPr>
      </w:pPr>
      <w:r>
        <w:rPr>
          <w:rFonts w:ascii="仿宋_GB2312" w:eastAsia="仿宋_GB2312" w:cs="微软雅黑" w:hint="eastAsia"/>
          <w:color w:val="000000"/>
          <w:kern w:val="0"/>
          <w:sz w:val="32"/>
          <w:szCs w:val="32"/>
        </w:rPr>
        <w:t>截至</w:t>
      </w:r>
      <w:r>
        <w:rPr>
          <w:rFonts w:ascii="仿宋_GB2312" w:eastAsia="仿宋_GB2312" w:cs="微软雅黑"/>
          <w:color w:val="000000"/>
          <w:kern w:val="0"/>
          <w:sz w:val="32"/>
          <w:szCs w:val="32"/>
          <w:lang w:val="zh-CN"/>
        </w:rPr>
        <w:t>20</w:t>
      </w:r>
      <w:r>
        <w:rPr>
          <w:rFonts w:ascii="仿宋_GB2312" w:eastAsia="仿宋_GB2312" w:cs="微软雅黑" w:hint="eastAsia"/>
          <w:color w:val="000000"/>
          <w:kern w:val="0"/>
          <w:sz w:val="32"/>
          <w:szCs w:val="32"/>
          <w:lang w:val="zh-CN"/>
        </w:rPr>
        <w:t>2</w:t>
      </w:r>
      <w:r>
        <w:rPr>
          <w:rFonts w:ascii="仿宋_GB2312" w:eastAsia="仿宋_GB2312" w:cs="微软雅黑"/>
          <w:color w:val="000000"/>
          <w:kern w:val="0"/>
          <w:sz w:val="32"/>
          <w:szCs w:val="32"/>
          <w:lang w:val="zh-CN"/>
        </w:rPr>
        <w:t>3年12月31日，毕马威华振</w:t>
      </w:r>
      <w:r>
        <w:rPr>
          <w:rFonts w:ascii="仿宋_GB2312" w:eastAsia="仿宋_GB2312" w:cs="微软雅黑" w:hint="eastAsia"/>
          <w:color w:val="000000"/>
          <w:kern w:val="0"/>
          <w:sz w:val="32"/>
          <w:szCs w:val="32"/>
          <w:lang w:val="zh-CN"/>
        </w:rPr>
        <w:t>有</w:t>
      </w:r>
      <w:r>
        <w:rPr>
          <w:rFonts w:ascii="仿宋_GB2312" w:eastAsia="仿宋_GB2312" w:cs="微软雅黑"/>
          <w:color w:val="000000"/>
          <w:kern w:val="0"/>
          <w:sz w:val="32"/>
          <w:szCs w:val="32"/>
          <w:lang w:val="zh-CN"/>
        </w:rPr>
        <w:t>合伙人234人，注册会计师1,121人，其中签署过证券服务业务审计报告的注册会计师超过260人。毕马威华振2022</w:t>
      </w:r>
      <w:r>
        <w:rPr>
          <w:rFonts w:ascii="仿宋_GB2312" w:eastAsia="仿宋_GB2312" w:cs="微软雅黑" w:hint="eastAsia"/>
          <w:color w:val="000000"/>
          <w:kern w:val="0"/>
          <w:sz w:val="32"/>
          <w:szCs w:val="32"/>
          <w:lang w:val="zh-CN"/>
        </w:rPr>
        <w:t>年</w:t>
      </w:r>
      <w:r>
        <w:rPr>
          <w:rFonts w:ascii="仿宋_GB2312" w:eastAsia="仿宋_GB2312" w:cs="微软雅黑"/>
          <w:color w:val="000000"/>
          <w:kern w:val="0"/>
          <w:sz w:val="32"/>
          <w:szCs w:val="32"/>
          <w:lang w:val="zh-CN"/>
        </w:rPr>
        <w:t>经审计的业务收入总额超过人民币41亿元，其中审计业务收入超过人民币39亿元（包括境内法定证券</w:t>
      </w:r>
      <w:r>
        <w:rPr>
          <w:rFonts w:ascii="仿宋_GB2312" w:eastAsia="仿宋_GB2312" w:cs="微软雅黑" w:hint="eastAsia"/>
          <w:color w:val="000000"/>
          <w:kern w:val="0"/>
          <w:sz w:val="32"/>
          <w:szCs w:val="32"/>
          <w:lang w:val="zh-CN"/>
        </w:rPr>
        <w:t>服务</w:t>
      </w:r>
      <w:r>
        <w:rPr>
          <w:rFonts w:ascii="仿宋_GB2312" w:eastAsia="仿宋_GB2312" w:cs="微软雅黑"/>
          <w:color w:val="000000"/>
          <w:kern w:val="0"/>
          <w:sz w:val="32"/>
          <w:szCs w:val="32"/>
          <w:lang w:val="zh-CN"/>
        </w:rPr>
        <w:t>业务收入超过人民币9亿元，其他证券</w:t>
      </w:r>
      <w:r>
        <w:rPr>
          <w:rFonts w:ascii="仿宋_GB2312" w:eastAsia="仿宋_GB2312" w:cs="微软雅黑" w:hint="eastAsia"/>
          <w:color w:val="000000"/>
          <w:kern w:val="0"/>
          <w:sz w:val="32"/>
          <w:szCs w:val="32"/>
          <w:lang w:val="zh-CN"/>
        </w:rPr>
        <w:t>服务</w:t>
      </w:r>
      <w:r>
        <w:rPr>
          <w:rFonts w:ascii="仿宋_GB2312" w:eastAsia="仿宋_GB2312" w:cs="微软雅黑"/>
          <w:color w:val="000000"/>
          <w:kern w:val="0"/>
          <w:sz w:val="32"/>
          <w:szCs w:val="32"/>
          <w:lang w:val="zh-CN"/>
        </w:rPr>
        <w:t>业务收入超过人民币10亿元，证券</w:t>
      </w:r>
      <w:r>
        <w:rPr>
          <w:rFonts w:ascii="仿宋_GB2312" w:eastAsia="仿宋_GB2312" w:cs="微软雅黑" w:hint="eastAsia"/>
          <w:color w:val="000000"/>
          <w:kern w:val="0"/>
          <w:sz w:val="32"/>
          <w:szCs w:val="32"/>
          <w:lang w:val="zh-CN"/>
        </w:rPr>
        <w:t>服务</w:t>
      </w:r>
      <w:r>
        <w:rPr>
          <w:rFonts w:ascii="仿宋_GB2312" w:eastAsia="仿宋_GB2312" w:cs="微软雅黑"/>
          <w:color w:val="000000"/>
          <w:kern w:val="0"/>
          <w:sz w:val="32"/>
          <w:szCs w:val="32"/>
          <w:lang w:val="zh-CN"/>
        </w:rPr>
        <w:t>业务收入共计超过人民币19亿元）。</w:t>
      </w:r>
    </w:p>
    <w:p w:rsidR="00CA275C" w:rsidRDefault="00EC02E9" w:rsidP="00093EDE">
      <w:pPr>
        <w:widowControl/>
        <w:ind w:firstLineChars="189" w:firstLine="605"/>
        <w:jc w:val="left"/>
        <w:rPr>
          <w:rFonts w:ascii="仿宋_GB2312" w:eastAsia="仿宋_GB2312"/>
          <w:sz w:val="32"/>
          <w:szCs w:val="32"/>
        </w:rPr>
      </w:pPr>
      <w:r>
        <w:rPr>
          <w:rFonts w:ascii="仿宋_GB2312" w:eastAsia="仿宋_GB2312" w:cs="微软雅黑"/>
          <w:color w:val="000000"/>
          <w:kern w:val="0"/>
          <w:sz w:val="32"/>
          <w:szCs w:val="32"/>
          <w:lang w:val="zh-CN"/>
        </w:rPr>
        <w:t>毕马威华振2022</w:t>
      </w:r>
      <w:r>
        <w:rPr>
          <w:rFonts w:ascii="仿宋_GB2312" w:eastAsia="仿宋_GB2312" w:cs="微软雅黑" w:hint="eastAsia"/>
          <w:color w:val="000000"/>
          <w:kern w:val="0"/>
          <w:sz w:val="32"/>
          <w:szCs w:val="32"/>
          <w:lang w:val="zh-CN"/>
        </w:rPr>
        <w:t>年</w:t>
      </w:r>
      <w:r>
        <w:rPr>
          <w:rFonts w:ascii="仿宋_GB2312" w:eastAsia="仿宋_GB2312" w:cs="微软雅黑"/>
          <w:color w:val="000000"/>
          <w:kern w:val="0"/>
          <w:sz w:val="32"/>
          <w:szCs w:val="32"/>
          <w:lang w:val="zh-CN"/>
        </w:rPr>
        <w:t>上市公司</w:t>
      </w:r>
      <w:r>
        <w:rPr>
          <w:rFonts w:ascii="仿宋_GB2312" w:eastAsia="仿宋_GB2312" w:cs="微软雅黑" w:hint="eastAsia"/>
          <w:color w:val="000000"/>
          <w:kern w:val="0"/>
          <w:sz w:val="32"/>
          <w:szCs w:val="32"/>
          <w:lang w:val="zh-CN"/>
        </w:rPr>
        <w:t>年报</w:t>
      </w:r>
      <w:r>
        <w:rPr>
          <w:rFonts w:ascii="仿宋_GB2312" w:eastAsia="仿宋_GB2312" w:cs="微软雅黑"/>
          <w:color w:val="000000"/>
          <w:kern w:val="0"/>
          <w:sz w:val="32"/>
          <w:szCs w:val="32"/>
          <w:lang w:val="zh-CN"/>
        </w:rPr>
        <w:t>审计</w:t>
      </w:r>
      <w:r>
        <w:rPr>
          <w:rFonts w:ascii="仿宋_GB2312" w:eastAsia="仿宋_GB2312" w:cs="微软雅黑" w:hint="eastAsia"/>
          <w:color w:val="000000"/>
          <w:kern w:val="0"/>
          <w:sz w:val="32"/>
          <w:szCs w:val="32"/>
          <w:lang w:val="zh-CN"/>
        </w:rPr>
        <w:t>客户家数为</w:t>
      </w:r>
      <w:r>
        <w:rPr>
          <w:rFonts w:ascii="仿宋_GB2312" w:eastAsia="仿宋_GB2312" w:cs="微软雅黑"/>
          <w:color w:val="000000"/>
          <w:kern w:val="0"/>
          <w:sz w:val="32"/>
          <w:szCs w:val="32"/>
          <w:lang w:val="zh-CN"/>
        </w:rPr>
        <w:t>80家，上市公司财务报表审计收费总额</w:t>
      </w:r>
      <w:r>
        <w:rPr>
          <w:rFonts w:ascii="仿宋_GB2312" w:eastAsia="仿宋_GB2312" w:cs="微软雅黑" w:hint="eastAsia"/>
          <w:color w:val="000000"/>
          <w:kern w:val="0"/>
          <w:sz w:val="32"/>
          <w:szCs w:val="32"/>
          <w:lang w:val="zh-CN"/>
        </w:rPr>
        <w:t>约</w:t>
      </w:r>
      <w:r>
        <w:rPr>
          <w:rFonts w:ascii="仿宋_GB2312" w:eastAsia="仿宋_GB2312" w:cs="微软雅黑"/>
          <w:color w:val="000000"/>
          <w:kern w:val="0"/>
          <w:sz w:val="32"/>
          <w:szCs w:val="32"/>
          <w:lang w:val="zh-CN"/>
        </w:rPr>
        <w:t>为人民币</w:t>
      </w:r>
      <w:r>
        <w:rPr>
          <w:rFonts w:ascii="仿宋_GB2312" w:eastAsia="仿宋_GB2312" w:cs="微软雅黑" w:hint="eastAsia"/>
          <w:color w:val="000000"/>
          <w:kern w:val="0"/>
          <w:sz w:val="32"/>
          <w:szCs w:val="32"/>
          <w:lang w:val="zh-CN"/>
        </w:rPr>
        <w:t>4</w:t>
      </w:r>
      <w:r>
        <w:rPr>
          <w:rFonts w:ascii="仿宋_GB2312" w:eastAsia="仿宋_GB2312" w:cs="微软雅黑"/>
          <w:color w:val="000000"/>
          <w:kern w:val="0"/>
          <w:sz w:val="32"/>
          <w:szCs w:val="32"/>
          <w:lang w:val="zh-CN"/>
        </w:rPr>
        <w:t>.9</w:t>
      </w:r>
      <w:r>
        <w:rPr>
          <w:rFonts w:ascii="仿宋_GB2312" w:eastAsia="仿宋_GB2312" w:cs="微软雅黑" w:hint="eastAsia"/>
          <w:color w:val="000000"/>
          <w:kern w:val="0"/>
          <w:sz w:val="32"/>
          <w:szCs w:val="32"/>
          <w:lang w:val="zh-CN"/>
        </w:rPr>
        <w:t>亿</w:t>
      </w:r>
      <w:r>
        <w:rPr>
          <w:rFonts w:ascii="仿宋_GB2312" w:eastAsia="仿宋_GB2312" w:cs="微软雅黑"/>
          <w:color w:val="000000"/>
          <w:kern w:val="0"/>
          <w:sz w:val="32"/>
          <w:szCs w:val="32"/>
          <w:lang w:val="zh-CN"/>
        </w:rPr>
        <w:t>元。这些上市公司主要行业涉及制造业，金融业，信息传输、软件和信息技术服务业，</w:t>
      </w:r>
      <w:r>
        <w:rPr>
          <w:rFonts w:ascii="仿宋_GB2312" w:eastAsia="仿宋_GB2312" w:cs="微软雅黑" w:hint="eastAsia"/>
          <w:color w:val="000000"/>
          <w:kern w:val="0"/>
          <w:sz w:val="32"/>
          <w:szCs w:val="32"/>
          <w:lang w:val="zh-CN"/>
        </w:rPr>
        <w:t>电力、热力、燃气及水生产和供应业，交通运输、仓储和邮政业，</w:t>
      </w:r>
      <w:r>
        <w:rPr>
          <w:rFonts w:ascii="仿宋_GB2312" w:eastAsia="仿宋_GB2312" w:cs="微软雅黑"/>
          <w:color w:val="000000"/>
          <w:kern w:val="0"/>
          <w:sz w:val="32"/>
          <w:szCs w:val="32"/>
          <w:lang w:val="zh-CN"/>
        </w:rPr>
        <w:t>采矿业，</w:t>
      </w:r>
      <w:r>
        <w:rPr>
          <w:rFonts w:ascii="仿宋_GB2312" w:eastAsia="仿宋_GB2312" w:cs="微软雅黑" w:hint="eastAsia"/>
          <w:color w:val="000000"/>
          <w:kern w:val="0"/>
          <w:sz w:val="32"/>
          <w:szCs w:val="32"/>
          <w:lang w:val="zh-CN"/>
        </w:rPr>
        <w:t>房地产业，科学研究和技术服务业，批发和零售业，租赁和商务服务业，水利、环境和公共设施管理业，以及文化、体育和娱乐业</w:t>
      </w:r>
      <w:r>
        <w:rPr>
          <w:rFonts w:ascii="仿宋_GB2312" w:eastAsia="仿宋_GB2312" w:cs="微软雅黑"/>
          <w:color w:val="000000"/>
          <w:kern w:val="0"/>
          <w:sz w:val="32"/>
          <w:szCs w:val="32"/>
          <w:lang w:val="zh-CN"/>
        </w:rPr>
        <w:t>。</w:t>
      </w:r>
      <w:r>
        <w:rPr>
          <w:rFonts w:ascii="仿宋_GB2312" w:eastAsia="仿宋_GB2312" w:cs="微软雅黑" w:hint="eastAsia"/>
          <w:color w:val="000000"/>
          <w:kern w:val="0"/>
          <w:sz w:val="32"/>
          <w:szCs w:val="32"/>
          <w:lang w:val="zh-CN"/>
        </w:rPr>
        <w:t>毕马威华振</w:t>
      </w:r>
      <w:r>
        <w:rPr>
          <w:rFonts w:ascii="仿宋_GB2312" w:eastAsia="仿宋_GB2312" w:cs="微软雅黑"/>
          <w:color w:val="000000"/>
          <w:kern w:val="0"/>
          <w:sz w:val="32"/>
          <w:szCs w:val="32"/>
          <w:lang w:val="zh-CN"/>
        </w:rPr>
        <w:t>2022</w:t>
      </w:r>
      <w:r>
        <w:rPr>
          <w:rFonts w:ascii="仿宋_GB2312" w:eastAsia="仿宋_GB2312" w:cs="微软雅黑" w:hint="eastAsia"/>
          <w:color w:val="000000"/>
          <w:kern w:val="0"/>
          <w:sz w:val="32"/>
          <w:szCs w:val="32"/>
          <w:lang w:val="zh-CN"/>
        </w:rPr>
        <w:t>年本公司同行业上市公司审计客户家数为3家。</w:t>
      </w:r>
    </w:p>
    <w:p w:rsidR="00CA275C" w:rsidRDefault="00EC02E9">
      <w:pPr>
        <w:ind w:firstLineChars="200" w:firstLine="640"/>
        <w:rPr>
          <w:rFonts w:ascii="仿宋_GB2312" w:eastAsia="仿宋_GB2312" w:cs="微软雅黑"/>
          <w:color w:val="000000"/>
          <w:kern w:val="0"/>
          <w:sz w:val="32"/>
          <w:szCs w:val="32"/>
          <w:lang w:val="zh-CN"/>
        </w:rPr>
      </w:pPr>
      <w:r>
        <w:rPr>
          <w:rFonts w:ascii="仿宋_GB2312" w:eastAsia="仿宋_GB2312" w:cs="微软雅黑"/>
          <w:color w:val="000000"/>
          <w:kern w:val="0"/>
          <w:sz w:val="32"/>
          <w:szCs w:val="32"/>
          <w:lang w:val="zh-CN"/>
        </w:rPr>
        <w:t>（二）聘任会计师事务所履行的程序</w:t>
      </w:r>
    </w:p>
    <w:p w:rsidR="00CA275C" w:rsidRDefault="00EC02E9" w:rsidP="00093EDE">
      <w:pPr>
        <w:widowControl/>
        <w:ind w:firstLineChars="189" w:firstLine="605"/>
        <w:jc w:val="left"/>
        <w:rPr>
          <w:rFonts w:ascii="仿宋_GB2312" w:eastAsia="仿宋_GB2312" w:cs="微软雅黑"/>
          <w:b/>
          <w:bCs/>
          <w:color w:val="000000"/>
          <w:kern w:val="0"/>
          <w:sz w:val="32"/>
          <w:szCs w:val="32"/>
          <w:lang w:val="zh-CN"/>
        </w:rPr>
      </w:pPr>
      <w:r>
        <w:rPr>
          <w:rFonts w:ascii="仿宋_GB2312" w:eastAsia="仿宋_GB2312" w:cs="微软雅黑"/>
          <w:color w:val="000000"/>
          <w:kern w:val="0"/>
          <w:sz w:val="32"/>
          <w:szCs w:val="32"/>
          <w:lang w:val="zh-CN"/>
        </w:rPr>
        <w:t>公司于2023年</w:t>
      </w:r>
      <w:r>
        <w:rPr>
          <w:rFonts w:ascii="仿宋_GB2312" w:eastAsia="仿宋_GB2312" w:cs="微软雅黑" w:hint="eastAsia"/>
          <w:color w:val="000000"/>
          <w:kern w:val="0"/>
          <w:sz w:val="32"/>
          <w:szCs w:val="32"/>
        </w:rPr>
        <w:t>3</w:t>
      </w:r>
      <w:r>
        <w:rPr>
          <w:rFonts w:ascii="仿宋_GB2312" w:eastAsia="仿宋_GB2312" w:cs="微软雅黑"/>
          <w:color w:val="000000"/>
          <w:kern w:val="0"/>
          <w:sz w:val="32"/>
          <w:szCs w:val="32"/>
          <w:lang w:val="zh-CN"/>
        </w:rPr>
        <w:t>月2</w:t>
      </w:r>
      <w:r>
        <w:rPr>
          <w:rFonts w:ascii="仿宋_GB2312" w:eastAsia="仿宋_GB2312" w:cs="微软雅黑" w:hint="eastAsia"/>
          <w:color w:val="000000"/>
          <w:kern w:val="0"/>
          <w:sz w:val="32"/>
          <w:szCs w:val="32"/>
        </w:rPr>
        <w:t>4</w:t>
      </w:r>
      <w:r>
        <w:rPr>
          <w:rFonts w:ascii="仿宋_GB2312" w:eastAsia="仿宋_GB2312" w:cs="微软雅黑"/>
          <w:color w:val="000000"/>
          <w:kern w:val="0"/>
          <w:sz w:val="32"/>
          <w:szCs w:val="32"/>
          <w:lang w:val="zh-CN"/>
        </w:rPr>
        <w:t>日召开的第</w:t>
      </w:r>
      <w:r>
        <w:rPr>
          <w:rFonts w:ascii="仿宋_GB2312" w:eastAsia="仿宋_GB2312" w:cs="微软雅黑" w:hint="eastAsia"/>
          <w:color w:val="000000"/>
          <w:kern w:val="0"/>
          <w:sz w:val="32"/>
          <w:szCs w:val="32"/>
        </w:rPr>
        <w:t>十</w:t>
      </w:r>
      <w:r>
        <w:rPr>
          <w:rFonts w:ascii="仿宋_GB2312" w:eastAsia="仿宋_GB2312" w:cs="微软雅黑"/>
          <w:color w:val="000000"/>
          <w:kern w:val="0"/>
          <w:sz w:val="32"/>
          <w:szCs w:val="32"/>
          <w:lang w:val="zh-CN"/>
        </w:rPr>
        <w:t>届董事会第</w:t>
      </w:r>
      <w:r>
        <w:rPr>
          <w:rFonts w:ascii="仿宋_GB2312" w:eastAsia="仿宋_GB2312" w:cs="微软雅黑" w:hint="eastAsia"/>
          <w:color w:val="000000"/>
          <w:kern w:val="0"/>
          <w:sz w:val="32"/>
          <w:szCs w:val="32"/>
        </w:rPr>
        <w:t>十六</w:t>
      </w:r>
      <w:r>
        <w:rPr>
          <w:rFonts w:ascii="仿宋_GB2312" w:eastAsia="仿宋_GB2312" w:cs="微软雅黑"/>
          <w:color w:val="000000"/>
          <w:kern w:val="0"/>
          <w:sz w:val="32"/>
          <w:szCs w:val="32"/>
          <w:lang w:val="zh-CN"/>
        </w:rPr>
        <w:t>次会议、第</w:t>
      </w:r>
      <w:r>
        <w:rPr>
          <w:rFonts w:ascii="仿宋_GB2312" w:eastAsia="仿宋_GB2312" w:cs="微软雅黑" w:hint="eastAsia"/>
          <w:color w:val="000000"/>
          <w:kern w:val="0"/>
          <w:sz w:val="32"/>
          <w:szCs w:val="32"/>
        </w:rPr>
        <w:t>十</w:t>
      </w:r>
      <w:r>
        <w:rPr>
          <w:rFonts w:ascii="仿宋_GB2312" w:eastAsia="仿宋_GB2312" w:cs="微软雅黑"/>
          <w:color w:val="000000"/>
          <w:kern w:val="0"/>
          <w:sz w:val="32"/>
          <w:szCs w:val="32"/>
          <w:lang w:val="zh-CN"/>
        </w:rPr>
        <w:t>届监事会第十五次会议审议通过了《关于聘任财务审计师及内控审计师的议案》，后该议案于2023年</w:t>
      </w:r>
      <w:r>
        <w:rPr>
          <w:rFonts w:ascii="仿宋_GB2312" w:eastAsia="仿宋_GB2312" w:cs="微软雅黑" w:hint="eastAsia"/>
          <w:color w:val="000000"/>
          <w:kern w:val="0"/>
          <w:sz w:val="32"/>
          <w:szCs w:val="32"/>
        </w:rPr>
        <w:t>6</w:t>
      </w:r>
      <w:r>
        <w:rPr>
          <w:rFonts w:ascii="仿宋_GB2312" w:eastAsia="仿宋_GB2312" w:cs="微软雅黑"/>
          <w:color w:val="000000"/>
          <w:kern w:val="0"/>
          <w:sz w:val="32"/>
          <w:szCs w:val="32"/>
          <w:lang w:val="zh-CN"/>
        </w:rPr>
        <w:t>月</w:t>
      </w:r>
      <w:r>
        <w:rPr>
          <w:rFonts w:ascii="仿宋_GB2312" w:eastAsia="仿宋_GB2312" w:cs="微软雅黑" w:hint="eastAsia"/>
          <w:color w:val="000000"/>
          <w:kern w:val="0"/>
          <w:sz w:val="32"/>
          <w:szCs w:val="32"/>
        </w:rPr>
        <w:lastRenderedPageBreak/>
        <w:t>20</w:t>
      </w:r>
      <w:r>
        <w:rPr>
          <w:rFonts w:ascii="仿宋_GB2312" w:eastAsia="仿宋_GB2312" w:cs="微软雅黑"/>
          <w:color w:val="000000"/>
          <w:kern w:val="0"/>
          <w:sz w:val="32"/>
          <w:szCs w:val="32"/>
          <w:lang w:val="zh-CN"/>
        </w:rPr>
        <w:t>日经2022年年度股东大会审议通过。公司独立董事对上述议案发表了事前认可意见</w:t>
      </w:r>
      <w:proofErr w:type="gramStart"/>
      <w:r>
        <w:rPr>
          <w:rFonts w:ascii="仿宋_GB2312" w:eastAsia="仿宋_GB2312" w:cs="微软雅黑"/>
          <w:color w:val="000000"/>
          <w:kern w:val="0"/>
          <w:sz w:val="32"/>
          <w:szCs w:val="32"/>
          <w:lang w:val="zh-CN"/>
        </w:rPr>
        <w:t>及同意</w:t>
      </w:r>
      <w:proofErr w:type="gramEnd"/>
      <w:r>
        <w:rPr>
          <w:rFonts w:ascii="仿宋_GB2312" w:eastAsia="仿宋_GB2312" w:cs="微软雅黑"/>
          <w:color w:val="000000"/>
          <w:kern w:val="0"/>
          <w:sz w:val="32"/>
          <w:szCs w:val="32"/>
          <w:lang w:val="zh-CN"/>
        </w:rPr>
        <w:t>的独立意见。</w:t>
      </w:r>
    </w:p>
    <w:p w:rsidR="00CA275C" w:rsidRDefault="00CA275C">
      <w:pPr>
        <w:widowControl/>
        <w:ind w:firstLineChars="189" w:firstLine="607"/>
        <w:jc w:val="left"/>
        <w:rPr>
          <w:rFonts w:ascii="仿宋_GB2312" w:eastAsia="仿宋_GB2312" w:cs="微软雅黑"/>
          <w:b/>
          <w:bCs/>
          <w:color w:val="000000"/>
          <w:kern w:val="0"/>
          <w:sz w:val="32"/>
          <w:szCs w:val="32"/>
          <w:lang w:val="zh-CN"/>
        </w:rPr>
      </w:pPr>
    </w:p>
    <w:p w:rsidR="00CA275C" w:rsidRDefault="00EC02E9">
      <w:pPr>
        <w:widowControl/>
        <w:ind w:firstLineChars="189" w:firstLine="607"/>
        <w:jc w:val="left"/>
        <w:rPr>
          <w:rFonts w:ascii="仿宋_GB2312" w:eastAsia="仿宋_GB2312" w:cs="微软雅黑"/>
          <w:b/>
          <w:bCs/>
          <w:color w:val="000000"/>
          <w:kern w:val="0"/>
          <w:sz w:val="32"/>
          <w:szCs w:val="32"/>
          <w:lang w:val="zh-CN"/>
        </w:rPr>
      </w:pPr>
      <w:r>
        <w:rPr>
          <w:rFonts w:ascii="仿宋_GB2312" w:eastAsia="仿宋_GB2312" w:cs="微软雅黑" w:hint="eastAsia"/>
          <w:b/>
          <w:bCs/>
          <w:color w:val="000000"/>
          <w:kern w:val="0"/>
          <w:sz w:val="32"/>
          <w:szCs w:val="32"/>
        </w:rPr>
        <w:t>二</w:t>
      </w:r>
      <w:r>
        <w:rPr>
          <w:rFonts w:ascii="仿宋_GB2312" w:eastAsia="仿宋_GB2312" w:cs="微软雅黑"/>
          <w:b/>
          <w:bCs/>
          <w:color w:val="000000"/>
          <w:kern w:val="0"/>
          <w:sz w:val="32"/>
          <w:szCs w:val="32"/>
          <w:lang w:val="zh-CN"/>
        </w:rPr>
        <w:t>、审计委员会对会计师事务所监督情况</w:t>
      </w:r>
    </w:p>
    <w:p w:rsidR="00CA275C" w:rsidRDefault="000E4BEC" w:rsidP="00093EDE">
      <w:pPr>
        <w:widowControl/>
        <w:ind w:firstLineChars="189" w:firstLine="605"/>
        <w:jc w:val="left"/>
        <w:rPr>
          <w:rFonts w:ascii="仿宋_GB2312" w:eastAsia="仿宋_GB2312" w:cs="微软雅黑"/>
          <w:color w:val="000000"/>
          <w:kern w:val="0"/>
          <w:sz w:val="32"/>
          <w:szCs w:val="32"/>
          <w:lang w:val="zh-CN"/>
        </w:rPr>
      </w:pPr>
      <w:r>
        <w:rPr>
          <w:rFonts w:ascii="仿宋_GB2312" w:eastAsia="仿宋_GB2312" w:cs="微软雅黑"/>
          <w:color w:val="000000"/>
          <w:kern w:val="0"/>
          <w:sz w:val="32"/>
          <w:szCs w:val="32"/>
          <w:lang w:val="zh-CN"/>
        </w:rPr>
        <w:t>根据公司《</w:t>
      </w:r>
      <w:r w:rsidR="00EC02E9">
        <w:rPr>
          <w:rFonts w:ascii="仿宋_GB2312" w:eastAsia="仿宋_GB2312" w:cs="微软雅黑"/>
          <w:color w:val="000000"/>
          <w:kern w:val="0"/>
          <w:sz w:val="32"/>
          <w:szCs w:val="32"/>
          <w:lang w:val="zh-CN"/>
        </w:rPr>
        <w:t>审计委员会工作</w:t>
      </w:r>
      <w:r>
        <w:rPr>
          <w:rFonts w:ascii="仿宋_GB2312" w:eastAsia="仿宋_GB2312" w:cs="微软雅黑" w:hint="eastAsia"/>
          <w:color w:val="000000"/>
          <w:kern w:val="0"/>
          <w:sz w:val="32"/>
          <w:szCs w:val="32"/>
          <w:lang w:val="zh-CN"/>
        </w:rPr>
        <w:t>细</w:t>
      </w:r>
      <w:r w:rsidR="00EC02E9">
        <w:rPr>
          <w:rFonts w:ascii="仿宋_GB2312" w:eastAsia="仿宋_GB2312" w:cs="微软雅黑"/>
          <w:color w:val="000000"/>
          <w:kern w:val="0"/>
          <w:sz w:val="32"/>
          <w:szCs w:val="32"/>
          <w:lang w:val="zh-CN"/>
        </w:rPr>
        <w:t>则》等有关规定，审计委员会对会计师事务所履行监督职责的情况如下：</w:t>
      </w:r>
    </w:p>
    <w:p w:rsidR="00CA275C" w:rsidRDefault="00EC02E9">
      <w:pPr>
        <w:ind w:firstLineChars="200" w:firstLine="640"/>
        <w:rPr>
          <w:rFonts w:ascii="仿宋_GB2312" w:eastAsia="仿宋_GB2312" w:cs="微软雅黑"/>
          <w:color w:val="000000"/>
          <w:kern w:val="0"/>
          <w:sz w:val="32"/>
          <w:szCs w:val="32"/>
          <w:lang w:val="zh-CN"/>
        </w:rPr>
      </w:pPr>
      <w:r>
        <w:rPr>
          <w:rFonts w:ascii="仿宋_GB2312" w:eastAsia="仿宋_GB2312" w:cs="微软雅黑"/>
          <w:color w:val="000000"/>
          <w:kern w:val="0"/>
          <w:sz w:val="32"/>
          <w:szCs w:val="32"/>
          <w:lang w:val="zh-CN"/>
        </w:rPr>
        <w:t>(</w:t>
      </w:r>
      <w:proofErr w:type="gramStart"/>
      <w:r>
        <w:rPr>
          <w:rFonts w:ascii="仿宋_GB2312" w:eastAsia="仿宋_GB2312" w:cs="微软雅黑" w:hint="eastAsia"/>
          <w:color w:val="000000"/>
          <w:kern w:val="0"/>
          <w:sz w:val="32"/>
          <w:szCs w:val="32"/>
        </w:rPr>
        <w:t>一</w:t>
      </w:r>
      <w:proofErr w:type="gramEnd"/>
      <w:r>
        <w:rPr>
          <w:rFonts w:ascii="仿宋_GB2312" w:eastAsia="仿宋_GB2312" w:cs="微软雅黑"/>
          <w:color w:val="000000"/>
          <w:kern w:val="0"/>
          <w:sz w:val="32"/>
          <w:szCs w:val="32"/>
          <w:lang w:val="zh-CN"/>
        </w:rPr>
        <w:t>)审计委员会对毕马威华振的审计费用报价、资质条件、执业记录、质量管理水平、工作方案、人力及其他资源配备、信息安全管理、风险承担能力等进行了严格核查和评价，认为其具备为公司提供审计工作应有的资质和专业能力，投资者保护能力，独立性及良好的诚信状况，能够满足本公司审计工作的要求。于2023年3月</w:t>
      </w:r>
      <w:r w:rsidR="001B2DB5">
        <w:rPr>
          <w:rFonts w:ascii="仿宋_GB2312" w:eastAsia="仿宋_GB2312" w:cs="微软雅黑" w:hint="eastAsia"/>
          <w:color w:val="000000"/>
          <w:kern w:val="0"/>
          <w:sz w:val="32"/>
          <w:szCs w:val="32"/>
          <w:lang w:val="zh-CN"/>
        </w:rPr>
        <w:t>23</w:t>
      </w:r>
      <w:r>
        <w:rPr>
          <w:rFonts w:ascii="仿宋_GB2312" w:eastAsia="仿宋_GB2312" w:cs="微软雅黑"/>
          <w:color w:val="000000"/>
          <w:kern w:val="0"/>
          <w:sz w:val="32"/>
          <w:szCs w:val="32"/>
          <w:lang w:val="zh-CN"/>
        </w:rPr>
        <w:t>日，第十届董事会审计委员会第</w:t>
      </w:r>
      <w:r>
        <w:rPr>
          <w:rFonts w:ascii="仿宋_GB2312" w:eastAsia="仿宋_GB2312" w:cs="微软雅黑" w:hint="eastAsia"/>
          <w:color w:val="000000"/>
          <w:kern w:val="0"/>
          <w:sz w:val="32"/>
          <w:szCs w:val="32"/>
        </w:rPr>
        <w:t>二</w:t>
      </w:r>
      <w:r>
        <w:rPr>
          <w:rFonts w:ascii="仿宋_GB2312" w:eastAsia="仿宋_GB2312" w:cs="微软雅黑"/>
          <w:color w:val="000000"/>
          <w:kern w:val="0"/>
          <w:sz w:val="32"/>
          <w:szCs w:val="32"/>
          <w:lang w:val="zh-CN"/>
        </w:rPr>
        <w:t>次会议审议通过《关于聘任本公司2023年度财务报告审计师和内部控制审计师的议案》，同意续聘毕马威华振会计师事务所(特殊普通合伙)为公司2023年度财务报表及内部控制审计机构，并同意将该议案提交公司第十届董事会第十六次会议审议</w:t>
      </w:r>
      <w:r>
        <w:rPr>
          <w:rFonts w:ascii="仿宋_GB2312" w:eastAsia="仿宋_GB2312" w:cs="微软雅黑" w:hint="eastAsia"/>
          <w:color w:val="000000"/>
          <w:kern w:val="0"/>
          <w:sz w:val="32"/>
          <w:szCs w:val="32"/>
          <w:lang w:val="zh-CN"/>
        </w:rPr>
        <w:t>。</w:t>
      </w:r>
    </w:p>
    <w:p w:rsidR="00CA275C" w:rsidRDefault="00EC02E9">
      <w:pPr>
        <w:ind w:firstLineChars="200" w:firstLine="640"/>
        <w:rPr>
          <w:rFonts w:ascii="仿宋_GB2312" w:eastAsia="仿宋_GB2312" w:cs="微软雅黑"/>
          <w:color w:val="000000"/>
          <w:kern w:val="0"/>
          <w:sz w:val="32"/>
          <w:szCs w:val="32"/>
          <w:lang w:val="zh-CN"/>
        </w:rPr>
      </w:pPr>
      <w:r>
        <w:rPr>
          <w:rFonts w:ascii="仿宋_GB2312" w:eastAsia="仿宋_GB2312" w:cs="微软雅黑"/>
          <w:color w:val="000000"/>
          <w:kern w:val="0"/>
          <w:sz w:val="32"/>
          <w:szCs w:val="32"/>
          <w:lang w:val="zh-CN"/>
        </w:rPr>
        <w:t>(</w:t>
      </w:r>
      <w:r>
        <w:rPr>
          <w:rFonts w:ascii="仿宋_GB2312" w:eastAsia="仿宋_GB2312" w:cs="微软雅黑" w:hint="eastAsia"/>
          <w:color w:val="000000"/>
          <w:kern w:val="0"/>
          <w:sz w:val="32"/>
          <w:szCs w:val="32"/>
        </w:rPr>
        <w:t>二</w:t>
      </w:r>
      <w:r>
        <w:rPr>
          <w:rFonts w:ascii="仿宋_GB2312" w:eastAsia="仿宋_GB2312" w:cs="微软雅黑"/>
          <w:color w:val="000000"/>
          <w:kern w:val="0"/>
          <w:sz w:val="32"/>
          <w:szCs w:val="32"/>
          <w:lang w:val="zh-CN"/>
        </w:rPr>
        <w:t>)2023年12月25日，审计委员会与负责本公司财务报表及内部控制审计工作的毕马威华振签字注册会计师周徐春及曹洋召开沟通会议，就2023年度年报审计工作的审计范围、审计方案独立性、审计团队架构等相关事项进行了沟通，并讨论通过了2023年度审计计划。</w:t>
      </w:r>
    </w:p>
    <w:p w:rsidR="00CA275C" w:rsidRDefault="00EC02E9">
      <w:pPr>
        <w:ind w:firstLineChars="200" w:firstLine="640"/>
        <w:rPr>
          <w:rFonts w:ascii="仿宋_GB2312" w:eastAsia="仿宋_GB2312" w:cs="微软雅黑"/>
          <w:color w:val="000000"/>
          <w:kern w:val="0"/>
          <w:sz w:val="32"/>
          <w:szCs w:val="32"/>
          <w:lang w:val="zh-CN"/>
        </w:rPr>
      </w:pPr>
      <w:r>
        <w:rPr>
          <w:rFonts w:ascii="仿宋_GB2312" w:eastAsia="仿宋_GB2312" w:cs="微软雅黑"/>
          <w:color w:val="000000"/>
          <w:kern w:val="0"/>
          <w:sz w:val="32"/>
          <w:szCs w:val="32"/>
          <w:lang w:val="zh-CN"/>
        </w:rPr>
        <w:lastRenderedPageBreak/>
        <w:t>(</w:t>
      </w:r>
      <w:r>
        <w:rPr>
          <w:rFonts w:ascii="仿宋_GB2312" w:eastAsia="仿宋_GB2312" w:cs="微软雅黑" w:hint="eastAsia"/>
          <w:color w:val="000000"/>
          <w:kern w:val="0"/>
          <w:sz w:val="32"/>
          <w:szCs w:val="32"/>
        </w:rPr>
        <w:t>三</w:t>
      </w:r>
      <w:r>
        <w:rPr>
          <w:rFonts w:ascii="仿宋_GB2312" w:eastAsia="仿宋_GB2312" w:cs="微软雅黑"/>
          <w:color w:val="000000"/>
          <w:kern w:val="0"/>
          <w:sz w:val="32"/>
          <w:szCs w:val="32"/>
          <w:lang w:val="zh-CN"/>
        </w:rPr>
        <w:t>)2024年3月27日，审计委员会与负责本公司财务报表及内部控制审计工作的毕马威华</w:t>
      </w:r>
      <w:proofErr w:type="gramStart"/>
      <w:r>
        <w:rPr>
          <w:rFonts w:ascii="仿宋_GB2312" w:eastAsia="仿宋_GB2312" w:cs="微软雅黑"/>
          <w:color w:val="000000"/>
          <w:kern w:val="0"/>
          <w:sz w:val="32"/>
          <w:szCs w:val="32"/>
          <w:lang w:val="zh-CN"/>
        </w:rPr>
        <w:t>振</w:t>
      </w:r>
      <w:proofErr w:type="gramEnd"/>
      <w:r>
        <w:rPr>
          <w:rFonts w:ascii="仿宋_GB2312" w:eastAsia="仿宋_GB2312" w:cs="微软雅黑"/>
          <w:color w:val="000000"/>
          <w:kern w:val="0"/>
          <w:sz w:val="32"/>
          <w:szCs w:val="32"/>
          <w:lang w:val="zh-CN"/>
        </w:rPr>
        <w:t>签字注册会计师周徐春及曹洋召开沟通会议，听取了审计师关于公司审计发现、内部控制、未更正审计</w:t>
      </w:r>
      <w:r w:rsidR="00367F25">
        <w:rPr>
          <w:rFonts w:ascii="仿宋_GB2312" w:eastAsia="仿宋_GB2312" w:cs="微软雅黑" w:hint="eastAsia"/>
          <w:color w:val="000000"/>
          <w:kern w:val="0"/>
          <w:sz w:val="32"/>
          <w:szCs w:val="32"/>
          <w:lang w:val="zh-CN"/>
        </w:rPr>
        <w:t>事项</w:t>
      </w:r>
      <w:r>
        <w:rPr>
          <w:rFonts w:ascii="仿宋_GB2312" w:eastAsia="仿宋_GB2312" w:cs="微软雅黑"/>
          <w:color w:val="000000"/>
          <w:kern w:val="0"/>
          <w:sz w:val="32"/>
          <w:szCs w:val="32"/>
          <w:lang w:val="zh-CN"/>
        </w:rPr>
        <w:t>、独立性确认、审计收费及审计报告的出具情况等事项的汇报。</w:t>
      </w:r>
    </w:p>
    <w:p w:rsidR="00CA275C" w:rsidRDefault="00EC02E9" w:rsidP="00D56585">
      <w:pPr>
        <w:ind w:firstLineChars="200" w:firstLine="640"/>
        <w:rPr>
          <w:rFonts w:ascii="仿宋_GB2312" w:eastAsia="仿宋_GB2312" w:cs="微软雅黑" w:hint="eastAsia"/>
          <w:color w:val="000000"/>
          <w:kern w:val="0"/>
          <w:sz w:val="32"/>
          <w:szCs w:val="32"/>
          <w:lang w:val="zh-CN"/>
        </w:rPr>
      </w:pPr>
      <w:r w:rsidRPr="00424193">
        <w:rPr>
          <w:rFonts w:ascii="仿宋_GB2312" w:eastAsia="仿宋_GB2312" w:cs="微软雅黑"/>
          <w:color w:val="000000"/>
          <w:kern w:val="0"/>
          <w:sz w:val="32"/>
          <w:szCs w:val="32"/>
          <w:lang w:val="zh-CN"/>
        </w:rPr>
        <w:t>(</w:t>
      </w:r>
      <w:r w:rsidRPr="00424193">
        <w:rPr>
          <w:rFonts w:ascii="仿宋_GB2312" w:eastAsia="仿宋_GB2312" w:cs="微软雅黑" w:hint="eastAsia"/>
          <w:color w:val="000000"/>
          <w:kern w:val="0"/>
          <w:sz w:val="32"/>
          <w:szCs w:val="32"/>
        </w:rPr>
        <w:t>四</w:t>
      </w:r>
      <w:r w:rsidRPr="00424193">
        <w:rPr>
          <w:rFonts w:ascii="仿宋_GB2312" w:eastAsia="仿宋_GB2312" w:cs="微软雅黑"/>
          <w:color w:val="000000"/>
          <w:kern w:val="0"/>
          <w:sz w:val="32"/>
          <w:szCs w:val="32"/>
          <w:lang w:val="zh-CN"/>
        </w:rPr>
        <w:t>)2024年3月2</w:t>
      </w:r>
      <w:r w:rsidR="00F11578" w:rsidRPr="00424193">
        <w:rPr>
          <w:rFonts w:ascii="仿宋_GB2312" w:eastAsia="仿宋_GB2312" w:cs="微软雅黑" w:hint="eastAsia"/>
          <w:color w:val="000000"/>
          <w:kern w:val="0"/>
          <w:sz w:val="32"/>
          <w:szCs w:val="32"/>
          <w:lang w:val="zh-CN"/>
        </w:rPr>
        <w:t>7</w:t>
      </w:r>
      <w:r w:rsidRPr="00424193">
        <w:rPr>
          <w:rFonts w:ascii="仿宋_GB2312" w:eastAsia="仿宋_GB2312" w:cs="微软雅黑"/>
          <w:color w:val="000000"/>
          <w:kern w:val="0"/>
          <w:sz w:val="32"/>
          <w:szCs w:val="32"/>
          <w:lang w:val="zh-CN"/>
        </w:rPr>
        <w:t>日，公司审计委员会召开会议，审议通过了本公司2023年年度报告、2023年度内部控制审计报告、控股股东及其他关联方资金占用情况的专项说明等议案并同意提交董事会审议。</w:t>
      </w:r>
    </w:p>
    <w:p w:rsidR="007C0A9A" w:rsidRDefault="007C0A9A" w:rsidP="00D56585">
      <w:pPr>
        <w:ind w:firstLineChars="200" w:firstLine="640"/>
        <w:rPr>
          <w:rFonts w:ascii="仿宋_GB2312" w:eastAsia="仿宋_GB2312" w:cs="微软雅黑"/>
          <w:color w:val="000000"/>
          <w:kern w:val="0"/>
          <w:sz w:val="32"/>
          <w:szCs w:val="32"/>
          <w:lang w:val="zh-CN"/>
        </w:rPr>
      </w:pPr>
      <w:bookmarkStart w:id="0" w:name="_GoBack"/>
      <w:bookmarkEnd w:id="0"/>
    </w:p>
    <w:p w:rsidR="00CA275C" w:rsidRDefault="00EC02E9">
      <w:pPr>
        <w:widowControl/>
        <w:numPr>
          <w:ilvl w:val="0"/>
          <w:numId w:val="1"/>
        </w:numPr>
        <w:ind w:firstLineChars="189" w:firstLine="607"/>
        <w:jc w:val="left"/>
        <w:rPr>
          <w:rFonts w:ascii="仿宋_GB2312" w:eastAsia="仿宋_GB2312" w:cs="微软雅黑"/>
          <w:b/>
          <w:bCs/>
          <w:color w:val="000000"/>
          <w:kern w:val="0"/>
          <w:sz w:val="32"/>
          <w:szCs w:val="32"/>
          <w:lang w:val="zh-CN"/>
        </w:rPr>
      </w:pPr>
      <w:r>
        <w:rPr>
          <w:rFonts w:ascii="仿宋_GB2312" w:eastAsia="仿宋_GB2312" w:cs="微软雅黑"/>
          <w:b/>
          <w:bCs/>
          <w:color w:val="000000"/>
          <w:kern w:val="0"/>
          <w:sz w:val="32"/>
          <w:szCs w:val="32"/>
          <w:lang w:val="zh-CN"/>
        </w:rPr>
        <w:t>总体评价</w:t>
      </w:r>
    </w:p>
    <w:p w:rsidR="00CA275C" w:rsidRDefault="00EC02E9">
      <w:pPr>
        <w:widowControl/>
        <w:ind w:firstLineChars="200" w:firstLine="640"/>
        <w:jc w:val="left"/>
        <w:rPr>
          <w:rFonts w:ascii="仿宋_GB2312" w:eastAsia="仿宋_GB2312" w:cs="微软雅黑"/>
          <w:color w:val="000000"/>
          <w:kern w:val="0"/>
          <w:sz w:val="32"/>
          <w:szCs w:val="32"/>
          <w:lang w:val="zh-CN"/>
        </w:rPr>
      </w:pPr>
      <w:r>
        <w:rPr>
          <w:rFonts w:ascii="仿宋_GB2312" w:eastAsia="仿宋_GB2312" w:cs="微软雅黑"/>
          <w:color w:val="000000"/>
          <w:kern w:val="0"/>
          <w:sz w:val="32"/>
          <w:szCs w:val="32"/>
          <w:lang w:val="zh-CN"/>
        </w:rPr>
        <w:t>公司审计委员会严格遵守证监会、上交所及《公司章程》《审计委员会工作</w:t>
      </w:r>
      <w:r w:rsidR="001317A8">
        <w:rPr>
          <w:rFonts w:ascii="仿宋_GB2312" w:eastAsia="仿宋_GB2312" w:cs="微软雅黑" w:hint="eastAsia"/>
          <w:color w:val="000000"/>
          <w:kern w:val="0"/>
          <w:sz w:val="32"/>
          <w:szCs w:val="32"/>
          <w:lang w:val="zh-CN"/>
        </w:rPr>
        <w:t>细</w:t>
      </w:r>
      <w:r>
        <w:rPr>
          <w:rFonts w:ascii="仿宋_GB2312" w:eastAsia="仿宋_GB2312" w:cs="微软雅黑"/>
          <w:color w:val="000000"/>
          <w:kern w:val="0"/>
          <w:sz w:val="32"/>
          <w:szCs w:val="32"/>
          <w:lang w:val="zh-CN"/>
        </w:rPr>
        <w:t>则》等有关规定，充分发挥专业委员会的作用，对会计师事务所相关资质和执业能力等进行了审查，在年报审计期间与会计师事务所进行了充分的讨论和沟通，督促会计师事务所客观、完整、清晰、及时地出具审计报告，切实履行了审计委员会对会计师事务所的监督职责。</w:t>
      </w:r>
    </w:p>
    <w:p w:rsidR="00CA275C" w:rsidRDefault="00CA275C">
      <w:pPr>
        <w:ind w:firstLineChars="200" w:firstLine="640"/>
        <w:rPr>
          <w:rFonts w:ascii="仿宋_GB2312" w:eastAsia="仿宋_GB2312"/>
          <w:sz w:val="32"/>
          <w:szCs w:val="32"/>
        </w:rPr>
      </w:pPr>
    </w:p>
    <w:p w:rsidR="00CA275C" w:rsidRDefault="00CA275C">
      <w:pPr>
        <w:ind w:firstLineChars="200" w:firstLine="640"/>
        <w:rPr>
          <w:rFonts w:ascii="仿宋_GB2312" w:eastAsia="仿宋_GB2312"/>
          <w:sz w:val="32"/>
          <w:szCs w:val="32"/>
        </w:rPr>
      </w:pPr>
    </w:p>
    <w:p w:rsidR="00CA275C" w:rsidRDefault="00EC02E9">
      <w:pPr>
        <w:ind w:firstLineChars="600" w:firstLine="1928"/>
        <w:rPr>
          <w:rFonts w:ascii="仿宋_GB2312" w:eastAsia="仿宋_GB2312"/>
          <w:b/>
          <w:bCs/>
          <w:sz w:val="32"/>
          <w:szCs w:val="32"/>
        </w:rPr>
      </w:pPr>
      <w:r>
        <w:rPr>
          <w:rFonts w:ascii="仿宋_GB2312" w:eastAsia="仿宋_GB2312" w:hAnsi="新宋体" w:cs="Arial" w:hint="eastAsia"/>
          <w:b/>
          <w:bCs/>
          <w:color w:val="000000"/>
          <w:kern w:val="0"/>
          <w:sz w:val="32"/>
          <w:szCs w:val="32"/>
        </w:rPr>
        <w:t>江苏宁沪高速公路股份有限公司审计委员会</w:t>
      </w:r>
    </w:p>
    <w:p w:rsidR="00CA275C" w:rsidRDefault="00EC02E9">
      <w:pPr>
        <w:ind w:firstLineChars="200" w:firstLine="643"/>
        <w:rPr>
          <w:rFonts w:ascii="仿宋_GB2312" w:eastAsia="仿宋_GB2312"/>
          <w:b/>
          <w:bCs/>
          <w:sz w:val="32"/>
          <w:szCs w:val="32"/>
        </w:rPr>
      </w:pPr>
      <w:r>
        <w:rPr>
          <w:rFonts w:ascii="仿宋_GB2312" w:eastAsia="仿宋_GB2312" w:hint="eastAsia"/>
          <w:b/>
          <w:bCs/>
          <w:sz w:val="32"/>
          <w:szCs w:val="32"/>
        </w:rPr>
        <w:t xml:space="preserve"> </w:t>
      </w:r>
      <w:r>
        <w:rPr>
          <w:rFonts w:ascii="仿宋_GB2312" w:eastAsia="仿宋_GB2312"/>
          <w:b/>
          <w:bCs/>
          <w:sz w:val="32"/>
          <w:szCs w:val="32"/>
        </w:rPr>
        <w:t xml:space="preserve">                            202</w:t>
      </w:r>
      <w:r>
        <w:rPr>
          <w:rFonts w:ascii="仿宋_GB2312" w:eastAsia="仿宋_GB2312" w:hint="eastAsia"/>
          <w:b/>
          <w:bCs/>
          <w:sz w:val="32"/>
          <w:szCs w:val="32"/>
        </w:rPr>
        <w:t>4</w:t>
      </w:r>
      <w:r>
        <w:rPr>
          <w:rFonts w:ascii="仿宋_GB2312" w:eastAsia="仿宋_GB2312"/>
          <w:b/>
          <w:bCs/>
          <w:sz w:val="32"/>
          <w:szCs w:val="32"/>
        </w:rPr>
        <w:t>年3月</w:t>
      </w:r>
      <w:r w:rsidR="00622AF7">
        <w:rPr>
          <w:rFonts w:ascii="仿宋_GB2312" w:eastAsia="仿宋_GB2312" w:hint="eastAsia"/>
          <w:b/>
          <w:bCs/>
          <w:sz w:val="32"/>
          <w:szCs w:val="32"/>
        </w:rPr>
        <w:t>29</w:t>
      </w:r>
      <w:r>
        <w:rPr>
          <w:rFonts w:ascii="仿宋_GB2312" w:eastAsia="仿宋_GB2312"/>
          <w:b/>
          <w:bCs/>
          <w:sz w:val="32"/>
          <w:szCs w:val="32"/>
        </w:rPr>
        <w:t>日</w:t>
      </w:r>
    </w:p>
    <w:sectPr w:rsidR="00CA275C">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68B7" w:rsidRDefault="00A668B7">
      <w:r>
        <w:separator/>
      </w:r>
    </w:p>
  </w:endnote>
  <w:endnote w:type="continuationSeparator" w:id="0">
    <w:p w:rsidR="00A668B7" w:rsidRDefault="00A66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大标宋简体">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monospace">
    <w:altName w:val="Segoe Print"/>
    <w:charset w:val="00"/>
    <w:family w:val="auto"/>
    <w:pitch w:val="default"/>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68B7" w:rsidRDefault="00A668B7">
      <w:r>
        <w:separator/>
      </w:r>
    </w:p>
  </w:footnote>
  <w:footnote w:type="continuationSeparator" w:id="0">
    <w:p w:rsidR="00A668B7" w:rsidRDefault="00A668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275C" w:rsidRDefault="00CA275C">
    <w:pPr>
      <w:pStyle w:val="a5"/>
      <w:pBdr>
        <w:bottom w:val="none" w:sz="0" w:space="1" w:color="auto"/>
      </w:pBdr>
      <w:jc w:val="both"/>
      <w:rPr>
        <w:rFonts w:ascii="仿宋" w:eastAsia="仿宋" w:hAnsi="仿宋" w:cs="仿宋"/>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C6F5CC"/>
    <w:multiLevelType w:val="singleLevel"/>
    <w:tmpl w:val="EEC6F5CC"/>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MTQ5ZTUzOWQ1MzYyYzZkMzdkMTc0ODQ1YmViZWYifQ=="/>
  </w:docVars>
  <w:rsids>
    <w:rsidRoot w:val="00D31519"/>
    <w:rsid w:val="00017AF3"/>
    <w:rsid w:val="00031153"/>
    <w:rsid w:val="000470B3"/>
    <w:rsid w:val="00093EDE"/>
    <w:rsid w:val="000963ED"/>
    <w:rsid w:val="000D7402"/>
    <w:rsid w:val="000E4BEC"/>
    <w:rsid w:val="000F0E7D"/>
    <w:rsid w:val="00101E5F"/>
    <w:rsid w:val="0010564D"/>
    <w:rsid w:val="00106E7F"/>
    <w:rsid w:val="001317A8"/>
    <w:rsid w:val="00182F76"/>
    <w:rsid w:val="001B2DB5"/>
    <w:rsid w:val="001E1EB2"/>
    <w:rsid w:val="001F4332"/>
    <w:rsid w:val="00235291"/>
    <w:rsid w:val="00272F20"/>
    <w:rsid w:val="00294666"/>
    <w:rsid w:val="002A2628"/>
    <w:rsid w:val="002C7B4A"/>
    <w:rsid w:val="0030203E"/>
    <w:rsid w:val="0033215F"/>
    <w:rsid w:val="00365F2B"/>
    <w:rsid w:val="00367F25"/>
    <w:rsid w:val="00374EBB"/>
    <w:rsid w:val="00377812"/>
    <w:rsid w:val="00385A8F"/>
    <w:rsid w:val="003865DC"/>
    <w:rsid w:val="00387625"/>
    <w:rsid w:val="003A591F"/>
    <w:rsid w:val="003B71CB"/>
    <w:rsid w:val="00406FEF"/>
    <w:rsid w:val="00421ACB"/>
    <w:rsid w:val="00424193"/>
    <w:rsid w:val="00473A80"/>
    <w:rsid w:val="0048611D"/>
    <w:rsid w:val="004C1DF5"/>
    <w:rsid w:val="004E319B"/>
    <w:rsid w:val="005808E4"/>
    <w:rsid w:val="00581543"/>
    <w:rsid w:val="00586008"/>
    <w:rsid w:val="005B4203"/>
    <w:rsid w:val="005B6244"/>
    <w:rsid w:val="005D6063"/>
    <w:rsid w:val="00622AF7"/>
    <w:rsid w:val="00623BE8"/>
    <w:rsid w:val="00626AE6"/>
    <w:rsid w:val="0062709E"/>
    <w:rsid w:val="00634056"/>
    <w:rsid w:val="006526FB"/>
    <w:rsid w:val="00660DD5"/>
    <w:rsid w:val="00667877"/>
    <w:rsid w:val="006B5065"/>
    <w:rsid w:val="006E4633"/>
    <w:rsid w:val="0076384D"/>
    <w:rsid w:val="007C0A9A"/>
    <w:rsid w:val="007D24BA"/>
    <w:rsid w:val="00803E6F"/>
    <w:rsid w:val="00850A3B"/>
    <w:rsid w:val="00885BF1"/>
    <w:rsid w:val="008A130C"/>
    <w:rsid w:val="008C7916"/>
    <w:rsid w:val="008E396B"/>
    <w:rsid w:val="00907795"/>
    <w:rsid w:val="00916904"/>
    <w:rsid w:val="009254CE"/>
    <w:rsid w:val="00955D2D"/>
    <w:rsid w:val="00963D38"/>
    <w:rsid w:val="009C47BB"/>
    <w:rsid w:val="009D4D12"/>
    <w:rsid w:val="009E436B"/>
    <w:rsid w:val="009F1600"/>
    <w:rsid w:val="00A24D0A"/>
    <w:rsid w:val="00A27F68"/>
    <w:rsid w:val="00A37F9B"/>
    <w:rsid w:val="00A52637"/>
    <w:rsid w:val="00A65217"/>
    <w:rsid w:val="00A668B7"/>
    <w:rsid w:val="00AB295A"/>
    <w:rsid w:val="00B11B3F"/>
    <w:rsid w:val="00B958A7"/>
    <w:rsid w:val="00BF069B"/>
    <w:rsid w:val="00BF5FC8"/>
    <w:rsid w:val="00C52387"/>
    <w:rsid w:val="00CA275C"/>
    <w:rsid w:val="00CA62F5"/>
    <w:rsid w:val="00CB7C28"/>
    <w:rsid w:val="00D11D57"/>
    <w:rsid w:val="00D14391"/>
    <w:rsid w:val="00D203D6"/>
    <w:rsid w:val="00D31519"/>
    <w:rsid w:val="00D328B7"/>
    <w:rsid w:val="00D56585"/>
    <w:rsid w:val="00DC0790"/>
    <w:rsid w:val="00DE3FC7"/>
    <w:rsid w:val="00DE4281"/>
    <w:rsid w:val="00E26C4D"/>
    <w:rsid w:val="00E32E5B"/>
    <w:rsid w:val="00E35F14"/>
    <w:rsid w:val="00E41D1A"/>
    <w:rsid w:val="00EB0F70"/>
    <w:rsid w:val="00EC02E9"/>
    <w:rsid w:val="00F0179D"/>
    <w:rsid w:val="00F023C7"/>
    <w:rsid w:val="00F11578"/>
    <w:rsid w:val="00F6390B"/>
    <w:rsid w:val="00F85D26"/>
    <w:rsid w:val="00FE2986"/>
    <w:rsid w:val="30241216"/>
    <w:rsid w:val="3187583D"/>
    <w:rsid w:val="37ED2CF1"/>
    <w:rsid w:val="491055D8"/>
    <w:rsid w:val="4AD8575E"/>
    <w:rsid w:val="65566875"/>
    <w:rsid w:val="66731300"/>
    <w:rsid w:val="6727487B"/>
    <w:rsid w:val="6D4246F7"/>
    <w:rsid w:val="799905B3"/>
    <w:rsid w:val="7F2A1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日期 Char"/>
    <w:basedOn w:val="a0"/>
    <w:link w:val="a3"/>
    <w:uiPriority w:val="99"/>
    <w:semiHidden/>
    <w:qFormat/>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rFonts w:ascii="Times New Roman" w:eastAsia="宋体" w:hAnsi="Times New Roman" w:cs="Times New Roman"/>
      <w:sz w:val="18"/>
      <w:szCs w:val="18"/>
    </w:rPr>
  </w:style>
  <w:style w:type="character" w:customStyle="1" w:styleId="Char0">
    <w:name w:val="页脚 Char"/>
    <w:basedOn w:val="a0"/>
    <w:link w:val="a4"/>
    <w:uiPriority w:val="99"/>
    <w:qFormat/>
    <w:rPr>
      <w:rFonts w:ascii="Times New Roman" w:eastAsia="宋体" w:hAnsi="Times New Roman" w:cs="Times New Roman"/>
      <w:sz w:val="18"/>
      <w:szCs w:val="18"/>
    </w:rPr>
  </w:style>
  <w:style w:type="character" w:customStyle="1" w:styleId="Char">
    <w:name w:val="日期 Char"/>
    <w:basedOn w:val="a0"/>
    <w:link w:val="a3"/>
    <w:uiPriority w:val="99"/>
    <w:semiHidden/>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4</Pages>
  <Words>293</Words>
  <Characters>1673</Characters>
  <Application>Microsoft Office Word</Application>
  <DocSecurity>0</DocSecurity>
  <Lines>13</Lines>
  <Paragraphs>3</Paragraphs>
  <ScaleCrop>false</ScaleCrop>
  <Company/>
  <LinksUpToDate>false</LinksUpToDate>
  <CharactersWithSpaces>1963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 L</dc:creator>
  <cp:lastModifiedBy>邱晓峰</cp:lastModifiedBy>
  <cp:revision>33</cp:revision>
  <dcterms:created xsi:type="dcterms:W3CDTF">2019-03-10T10:34:00Z</dcterms:created>
  <dcterms:modified xsi:type="dcterms:W3CDTF">2024-03-28T01:16:00Z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51C00BB772204DB29C5BEE7DD059CED3</vt:lpwstr>
  </property>
</Properties>
</file>