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E42" w:rsidRDefault="006F0A02">
      <w:pPr>
        <w:adjustRightInd w:val="0"/>
        <w:snapToGrid w:val="0"/>
        <w:spacing w:line="360" w:lineRule="auto"/>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股票简称：宁沪高速          股票代码：600377           编号：临202</w:t>
      </w:r>
      <w:r w:rsidR="002D2F52">
        <w:rPr>
          <w:rFonts w:asciiTheme="minorEastAsia" w:eastAsiaTheme="minorEastAsia" w:hAnsiTheme="minorEastAsia" w:cstheme="minorEastAsia" w:hint="eastAsia"/>
          <w:b/>
          <w:sz w:val="24"/>
        </w:rPr>
        <w:t>4</w:t>
      </w:r>
      <w:r>
        <w:rPr>
          <w:rFonts w:asciiTheme="minorEastAsia" w:eastAsiaTheme="minorEastAsia" w:hAnsiTheme="minorEastAsia" w:cstheme="minorEastAsia" w:hint="eastAsia"/>
          <w:b/>
          <w:sz w:val="24"/>
        </w:rPr>
        <w:t>-0</w:t>
      </w:r>
      <w:r w:rsidR="002D2F52">
        <w:rPr>
          <w:rFonts w:asciiTheme="minorEastAsia" w:eastAsiaTheme="minorEastAsia" w:hAnsiTheme="minorEastAsia" w:cstheme="minorEastAsia" w:hint="eastAsia"/>
          <w:b/>
          <w:sz w:val="24"/>
        </w:rPr>
        <w:t>1</w:t>
      </w:r>
      <w:r w:rsidR="00780615">
        <w:rPr>
          <w:rFonts w:asciiTheme="minorEastAsia" w:eastAsiaTheme="minorEastAsia" w:hAnsiTheme="minorEastAsia" w:cstheme="minorEastAsia" w:hint="eastAsia"/>
          <w:b/>
          <w:sz w:val="24"/>
        </w:rPr>
        <w:t>1</w:t>
      </w:r>
    </w:p>
    <w:p w:rsidR="00E10E42" w:rsidRDefault="00E10E42">
      <w:pPr>
        <w:adjustRightInd w:val="0"/>
        <w:snapToGrid w:val="0"/>
        <w:spacing w:line="312" w:lineRule="auto"/>
        <w:jc w:val="center"/>
        <w:rPr>
          <w:b/>
          <w:sz w:val="24"/>
        </w:rPr>
      </w:pPr>
    </w:p>
    <w:p w:rsidR="00E10E42" w:rsidRDefault="006F0A02" w:rsidP="00776AF5">
      <w:pPr>
        <w:adjustRightInd w:val="0"/>
        <w:snapToGrid w:val="0"/>
        <w:spacing w:line="360" w:lineRule="auto"/>
        <w:ind w:firstLine="562"/>
        <w:jc w:val="center"/>
        <w:rPr>
          <w:b/>
          <w:sz w:val="28"/>
          <w:szCs w:val="28"/>
        </w:rPr>
      </w:pPr>
      <w:r>
        <w:rPr>
          <w:b/>
          <w:sz w:val="28"/>
          <w:szCs w:val="28"/>
        </w:rPr>
        <w:t>江苏宁沪高速公路股份有限公司</w:t>
      </w:r>
    </w:p>
    <w:p w:rsidR="00DD12E4" w:rsidRDefault="002D2F52" w:rsidP="00971E1A">
      <w:pPr>
        <w:adjustRightInd w:val="0"/>
        <w:snapToGrid w:val="0"/>
        <w:spacing w:line="360" w:lineRule="auto"/>
        <w:ind w:firstLine="562"/>
        <w:jc w:val="center"/>
        <w:rPr>
          <w:b/>
          <w:sz w:val="28"/>
          <w:szCs w:val="28"/>
        </w:rPr>
      </w:pPr>
      <w:r>
        <w:rPr>
          <w:rFonts w:hint="eastAsia"/>
          <w:b/>
          <w:sz w:val="28"/>
          <w:szCs w:val="28"/>
        </w:rPr>
        <w:t xml:space="preserve"> </w:t>
      </w:r>
      <w:r w:rsidRPr="002D2F52">
        <w:rPr>
          <w:rFonts w:hint="eastAsia"/>
          <w:b/>
          <w:sz w:val="28"/>
          <w:szCs w:val="28"/>
        </w:rPr>
        <w:t>关于推动公司“提质增效重回报”及</w:t>
      </w:r>
      <w:r w:rsidR="00DD12E4" w:rsidRPr="00DD12E4">
        <w:rPr>
          <w:rFonts w:hint="eastAsia"/>
          <w:b/>
          <w:sz w:val="28"/>
          <w:szCs w:val="28"/>
        </w:rPr>
        <w:t>持续股东回报的公告</w:t>
      </w:r>
    </w:p>
    <w:p w:rsidR="00E10E42" w:rsidRDefault="006F0A02" w:rsidP="00971E1A">
      <w:pPr>
        <w:adjustRightInd w:val="0"/>
        <w:snapToGrid w:val="0"/>
        <w:spacing w:line="360" w:lineRule="auto"/>
        <w:ind w:firstLine="562"/>
        <w:jc w:val="center"/>
      </w:pPr>
      <w:r>
        <w:rPr>
          <w:noProof/>
        </w:rPr>
        <mc:AlternateContent>
          <mc:Choice Requires="wps">
            <w:drawing>
              <wp:anchor distT="0" distB="0" distL="114300" distR="114300" simplePos="0" relativeHeight="251659264" behindDoc="0" locked="0" layoutInCell="1" allowOverlap="1" wp14:anchorId="1995A737" wp14:editId="1D3CA813">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rsidR="00E10E42" w:rsidRDefault="006F0A02">
                            <w:pPr>
                              <w:spacing w:line="360" w:lineRule="auto"/>
                              <w:rPr>
                                <w:rFonts w:ascii="宋体" w:hAnsi="宋体" w:cs="宋体"/>
                                <w:b/>
                                <w:sz w:val="24"/>
                              </w:rPr>
                            </w:pPr>
                            <w:r>
                              <w:rPr>
                                <w:rFonts w:ascii="宋体" w:hAnsi="宋体" w:cs="宋体" w:hint="eastAsia"/>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xmlns:w16se="http://schemas.microsoft.com/office/word/2015/wordml/symex" xmlns:w15="http://schemas.microsoft.com/office/word/2012/wordml" xmlns:cx="http://schemas.microsoft.com/office/drawing/2014/chartex">
            <w:pict>
              <v:rect w14:anchorId="1995A737" id="矩形 3" o:spid="_x0000_s1026" style="position:absolute;left:0;text-align:left;margin-left:0;margin-top:11.6pt;width:451.5pt;height:49.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">
                <v:stroke miterlimit="0"/>
                <v:textbox>
                  <w:txbxContent>
                    <w:p w:rsidR="00E10E42" w:rsidRDefault="006F0A02">
                      <w:pPr>
                        <w:spacing w:line="360" w:lineRule="auto"/>
                        <w:rPr>
                          <w:rFonts w:ascii="宋体" w:hAnsi="宋体" w:cs="宋体"/>
                          <w:b/>
                          <w:sz w:val="24"/>
                        </w:rPr>
                      </w:pPr>
                      <w:r>
                        <w:rPr>
                          <w:rFonts w:ascii="宋体" w:hAnsi="宋体" w:cs="宋体" w:hint="eastAsia"/>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rsidR="00E10E42" w:rsidRDefault="00E10E42">
      <w:pPr>
        <w:pStyle w:val="Default"/>
        <w:snapToGrid w:val="0"/>
        <w:spacing w:line="360" w:lineRule="auto"/>
      </w:pPr>
    </w:p>
    <w:p w:rsidR="00E10E42" w:rsidRDefault="00E10E42">
      <w:pPr>
        <w:pStyle w:val="Default"/>
        <w:snapToGrid w:val="0"/>
        <w:spacing w:line="360" w:lineRule="auto"/>
      </w:pPr>
    </w:p>
    <w:p w:rsidR="00DD12E4" w:rsidRDefault="00DD12E4" w:rsidP="00FA17EC">
      <w:pPr>
        <w:pStyle w:val="a4"/>
        <w:spacing w:line="360" w:lineRule="auto"/>
        <w:ind w:firstLine="482"/>
        <w:jc w:val="left"/>
        <w:rPr>
          <w:rFonts w:asciiTheme="minorEastAsia" w:eastAsiaTheme="minorEastAsia" w:hAnsiTheme="minorEastAsia" w:cs="Times New Roman"/>
          <w:b/>
          <w:sz w:val="24"/>
          <w:szCs w:val="24"/>
        </w:rPr>
      </w:pPr>
    </w:p>
    <w:p w:rsidR="00FA17EC" w:rsidRDefault="00FA17EC" w:rsidP="00FC4F15">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江苏宁沪高速公路股份</w:t>
      </w:r>
      <w:r w:rsidRPr="00FA17EC">
        <w:rPr>
          <w:rFonts w:asciiTheme="minorEastAsia" w:eastAsiaTheme="minorEastAsia" w:hAnsiTheme="minorEastAsia" w:cs="Times New Roman" w:hint="eastAsia"/>
          <w:b/>
          <w:sz w:val="24"/>
          <w:szCs w:val="24"/>
        </w:rPr>
        <w:t>有限公司（简称“</w:t>
      </w:r>
      <w:r>
        <w:rPr>
          <w:rFonts w:asciiTheme="minorEastAsia" w:eastAsiaTheme="minorEastAsia" w:hAnsiTheme="minorEastAsia" w:cs="Times New Roman" w:hint="eastAsia"/>
          <w:b/>
          <w:sz w:val="24"/>
          <w:szCs w:val="24"/>
        </w:rPr>
        <w:t>本</w:t>
      </w:r>
      <w:r w:rsidRPr="00FA17EC">
        <w:rPr>
          <w:rFonts w:asciiTheme="minorEastAsia" w:eastAsiaTheme="minorEastAsia" w:hAnsiTheme="minorEastAsia" w:cs="Times New Roman" w:hint="eastAsia"/>
          <w:b/>
          <w:sz w:val="24"/>
          <w:szCs w:val="24"/>
        </w:rPr>
        <w:t>公司”）为</w:t>
      </w:r>
      <w:proofErr w:type="gramStart"/>
      <w:r w:rsidRPr="00FA17EC">
        <w:rPr>
          <w:rFonts w:asciiTheme="minorEastAsia" w:eastAsiaTheme="minorEastAsia" w:hAnsiTheme="minorEastAsia" w:cs="Times New Roman" w:hint="eastAsia"/>
          <w:b/>
          <w:sz w:val="24"/>
          <w:szCs w:val="24"/>
        </w:rPr>
        <w:t>践行</w:t>
      </w:r>
      <w:proofErr w:type="gramEnd"/>
      <w:r w:rsidRPr="00FA17EC">
        <w:rPr>
          <w:rFonts w:asciiTheme="minorEastAsia" w:eastAsiaTheme="minorEastAsia" w:hAnsiTheme="minorEastAsia" w:cs="Times New Roman" w:hint="eastAsia"/>
          <w:b/>
          <w:sz w:val="24"/>
          <w:szCs w:val="24"/>
        </w:rPr>
        <w:t>以“投资者为本”的上市公司发展理念，维护公司全体股东利益，且基于对公司未来发展前景的信心及价值的认可，</w:t>
      </w:r>
      <w:r w:rsidR="00453E48">
        <w:rPr>
          <w:rFonts w:asciiTheme="minorEastAsia" w:eastAsiaTheme="minorEastAsia" w:hAnsiTheme="minorEastAsia" w:cs="Times New Roman" w:hint="eastAsia"/>
          <w:b/>
          <w:sz w:val="24"/>
          <w:szCs w:val="24"/>
        </w:rPr>
        <w:t>经本公司董事会审议通过，</w:t>
      </w:r>
      <w:r w:rsidR="00887BA5">
        <w:rPr>
          <w:rFonts w:asciiTheme="minorEastAsia" w:eastAsiaTheme="minorEastAsia" w:hAnsiTheme="minorEastAsia" w:cs="Times New Roman" w:hint="eastAsia"/>
          <w:b/>
          <w:sz w:val="24"/>
          <w:szCs w:val="24"/>
        </w:rPr>
        <w:t>本公司</w:t>
      </w:r>
      <w:r w:rsidRPr="00FA17EC">
        <w:rPr>
          <w:rFonts w:asciiTheme="minorEastAsia" w:eastAsiaTheme="minorEastAsia" w:hAnsiTheme="minorEastAsia" w:cs="Times New Roman" w:hint="eastAsia"/>
          <w:b/>
          <w:sz w:val="24"/>
          <w:szCs w:val="24"/>
        </w:rPr>
        <w:t>将采取</w:t>
      </w:r>
      <w:r w:rsidR="00453E48">
        <w:rPr>
          <w:rFonts w:asciiTheme="minorEastAsia" w:eastAsiaTheme="minorEastAsia" w:hAnsiTheme="minorEastAsia" w:cs="Times New Roman" w:hint="eastAsia"/>
          <w:b/>
          <w:sz w:val="24"/>
          <w:szCs w:val="24"/>
        </w:rPr>
        <w:t>以下</w:t>
      </w:r>
      <w:r w:rsidR="00783E75">
        <w:rPr>
          <w:rFonts w:asciiTheme="minorEastAsia" w:eastAsiaTheme="minorEastAsia" w:hAnsiTheme="minorEastAsia" w:cs="Times New Roman" w:hint="eastAsia"/>
          <w:b/>
          <w:sz w:val="24"/>
          <w:szCs w:val="24"/>
        </w:rPr>
        <w:t>有效</w:t>
      </w:r>
      <w:r w:rsidRPr="00FA17EC">
        <w:rPr>
          <w:rFonts w:asciiTheme="minorEastAsia" w:eastAsiaTheme="minorEastAsia" w:hAnsiTheme="minorEastAsia" w:cs="Times New Roman" w:hint="eastAsia"/>
          <w:b/>
          <w:sz w:val="24"/>
          <w:szCs w:val="24"/>
        </w:rPr>
        <w:t>措施切实“提质增效重回报”，树立公司良好的市场形象。</w:t>
      </w:r>
    </w:p>
    <w:p w:rsidR="00BA77A0" w:rsidRDefault="00BA77A0" w:rsidP="00FA17EC">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一、聚焦路桥主业，</w:t>
      </w:r>
      <w:r w:rsidR="001A56B4">
        <w:rPr>
          <w:rFonts w:asciiTheme="minorEastAsia" w:eastAsiaTheme="minorEastAsia" w:hAnsiTheme="minorEastAsia" w:cs="Times New Roman" w:hint="eastAsia"/>
          <w:b/>
          <w:sz w:val="24"/>
          <w:szCs w:val="24"/>
        </w:rPr>
        <w:t>创造</w:t>
      </w:r>
      <w:r w:rsidR="00873471">
        <w:rPr>
          <w:rFonts w:asciiTheme="minorEastAsia" w:eastAsiaTheme="minorEastAsia" w:hAnsiTheme="minorEastAsia" w:cs="Times New Roman" w:hint="eastAsia"/>
          <w:b/>
          <w:sz w:val="24"/>
          <w:szCs w:val="24"/>
        </w:rPr>
        <w:t>利润</w:t>
      </w:r>
      <w:r w:rsidR="001A4C39">
        <w:rPr>
          <w:rFonts w:asciiTheme="minorEastAsia" w:eastAsiaTheme="minorEastAsia" w:hAnsiTheme="minorEastAsia" w:cs="Times New Roman" w:hint="eastAsia"/>
          <w:b/>
          <w:sz w:val="24"/>
          <w:szCs w:val="24"/>
        </w:rPr>
        <w:t>新</w:t>
      </w:r>
      <w:r w:rsidR="00873471">
        <w:rPr>
          <w:rFonts w:asciiTheme="minorEastAsia" w:eastAsiaTheme="minorEastAsia" w:hAnsiTheme="minorEastAsia" w:cs="Times New Roman" w:hint="eastAsia"/>
          <w:b/>
          <w:sz w:val="24"/>
          <w:szCs w:val="24"/>
        </w:rPr>
        <w:t>增长点</w:t>
      </w:r>
    </w:p>
    <w:p w:rsidR="0026070D" w:rsidRPr="0026070D" w:rsidRDefault="0026070D" w:rsidP="0026070D">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本</w:t>
      </w:r>
      <w:r w:rsidRPr="0026070D">
        <w:rPr>
          <w:rFonts w:asciiTheme="minorEastAsia" w:eastAsiaTheme="minorEastAsia" w:hAnsiTheme="minorEastAsia" w:cs="Times New Roman" w:hint="eastAsia"/>
          <w:b/>
          <w:sz w:val="24"/>
          <w:szCs w:val="24"/>
        </w:rPr>
        <w:t>公司主营业务为收费路桥的投资、建设、经营及管理，并开发高速公路沿线的服务区配套等经营业务。截至2023年底，</w:t>
      </w:r>
      <w:r w:rsidR="00542532">
        <w:rPr>
          <w:rFonts w:asciiTheme="minorEastAsia" w:eastAsiaTheme="minorEastAsia" w:hAnsiTheme="minorEastAsia" w:cs="Times New Roman" w:hint="eastAsia"/>
          <w:b/>
          <w:sz w:val="24"/>
          <w:szCs w:val="24"/>
        </w:rPr>
        <w:t>本</w:t>
      </w:r>
      <w:r w:rsidRPr="0026070D">
        <w:rPr>
          <w:rFonts w:asciiTheme="minorEastAsia" w:eastAsiaTheme="minorEastAsia" w:hAnsiTheme="minorEastAsia" w:cs="Times New Roman" w:hint="eastAsia"/>
          <w:b/>
          <w:sz w:val="24"/>
          <w:szCs w:val="24"/>
        </w:rPr>
        <w:t>公司直接参与经营和投资的路桥项目17个，拥有或参股的已开通路桥里程超过910公里。</w:t>
      </w:r>
      <w:r w:rsidR="00542532">
        <w:rPr>
          <w:rFonts w:asciiTheme="minorEastAsia" w:eastAsiaTheme="minorEastAsia" w:hAnsiTheme="minorEastAsia" w:cs="Times New Roman" w:hint="eastAsia"/>
          <w:b/>
          <w:sz w:val="24"/>
          <w:szCs w:val="24"/>
        </w:rPr>
        <w:t>本</w:t>
      </w:r>
      <w:r w:rsidRPr="0026070D">
        <w:rPr>
          <w:rFonts w:asciiTheme="minorEastAsia" w:eastAsiaTheme="minorEastAsia" w:hAnsiTheme="minorEastAsia" w:cs="Times New Roman" w:hint="eastAsia"/>
          <w:b/>
          <w:sz w:val="24"/>
          <w:szCs w:val="24"/>
        </w:rPr>
        <w:t>公司的经营区域位于中国经济最具活力的长江三角洲地区，</w:t>
      </w:r>
      <w:r w:rsidR="00542532">
        <w:rPr>
          <w:rFonts w:asciiTheme="minorEastAsia" w:eastAsiaTheme="minorEastAsia" w:hAnsiTheme="minorEastAsia" w:cs="Times New Roman" w:hint="eastAsia"/>
          <w:b/>
          <w:sz w:val="24"/>
          <w:szCs w:val="24"/>
        </w:rPr>
        <w:t>本</w:t>
      </w:r>
      <w:r w:rsidRPr="0026070D">
        <w:rPr>
          <w:rFonts w:asciiTheme="minorEastAsia" w:eastAsiaTheme="minorEastAsia" w:hAnsiTheme="minorEastAsia" w:cs="Times New Roman" w:hint="eastAsia"/>
          <w:b/>
          <w:sz w:val="24"/>
          <w:szCs w:val="24"/>
        </w:rPr>
        <w:t>公司所拥有或参股的路桥项目是连接江苏省东西及南北陆路交通大走廊，区域经济活跃，交通繁忙。“十四五”后半程，</w:t>
      </w:r>
      <w:r w:rsidR="00542532">
        <w:rPr>
          <w:rFonts w:asciiTheme="minorEastAsia" w:eastAsiaTheme="minorEastAsia" w:hAnsiTheme="minorEastAsia" w:cs="Times New Roman" w:hint="eastAsia"/>
          <w:b/>
          <w:sz w:val="24"/>
          <w:szCs w:val="24"/>
        </w:rPr>
        <w:t>本</w:t>
      </w:r>
      <w:r w:rsidRPr="0026070D">
        <w:rPr>
          <w:rFonts w:asciiTheme="minorEastAsia" w:eastAsiaTheme="minorEastAsia" w:hAnsiTheme="minorEastAsia" w:cs="Times New Roman" w:hint="eastAsia"/>
          <w:b/>
          <w:sz w:val="24"/>
          <w:szCs w:val="24"/>
        </w:rPr>
        <w:t>公司将进一步聚焦高速路桥主业，加大高速路网投资力度和创新投入，加速推动连接苏南东西高速通道的统筹布局，不断增强公司的核心竞争力和在苏南高速路网中的</w:t>
      </w:r>
      <w:r w:rsidR="00783E75">
        <w:rPr>
          <w:rFonts w:asciiTheme="minorEastAsia" w:eastAsiaTheme="minorEastAsia" w:hAnsiTheme="minorEastAsia" w:cs="Times New Roman" w:hint="eastAsia"/>
          <w:b/>
          <w:sz w:val="24"/>
          <w:szCs w:val="24"/>
        </w:rPr>
        <w:t>辐</w:t>
      </w:r>
      <w:r w:rsidRPr="0026070D">
        <w:rPr>
          <w:rFonts w:asciiTheme="minorEastAsia" w:eastAsiaTheme="minorEastAsia" w:hAnsiTheme="minorEastAsia" w:cs="Times New Roman" w:hint="eastAsia"/>
          <w:b/>
          <w:sz w:val="24"/>
          <w:szCs w:val="24"/>
        </w:rPr>
        <w:t>射力和带动力，</w:t>
      </w:r>
      <w:r>
        <w:rPr>
          <w:rFonts w:asciiTheme="minorEastAsia" w:eastAsiaTheme="minorEastAsia" w:hAnsiTheme="minorEastAsia" w:cs="Times New Roman" w:hint="eastAsia"/>
          <w:b/>
          <w:sz w:val="24"/>
          <w:szCs w:val="24"/>
        </w:rPr>
        <w:t>巩固本公司在苏南路网</w:t>
      </w:r>
      <w:r w:rsidR="00783E75">
        <w:rPr>
          <w:rFonts w:asciiTheme="minorEastAsia" w:eastAsiaTheme="minorEastAsia" w:hAnsiTheme="minorEastAsia" w:cs="Times New Roman" w:hint="eastAsia"/>
          <w:b/>
          <w:sz w:val="24"/>
          <w:szCs w:val="24"/>
        </w:rPr>
        <w:t>主要投资及</w:t>
      </w:r>
      <w:r>
        <w:rPr>
          <w:rFonts w:asciiTheme="minorEastAsia" w:eastAsiaTheme="minorEastAsia" w:hAnsiTheme="minorEastAsia" w:cs="Times New Roman" w:hint="eastAsia"/>
          <w:b/>
          <w:sz w:val="24"/>
          <w:szCs w:val="24"/>
        </w:rPr>
        <w:t>运营商的地位，</w:t>
      </w:r>
      <w:r w:rsidR="00783E75" w:rsidRPr="0026070D">
        <w:rPr>
          <w:rFonts w:asciiTheme="minorEastAsia" w:eastAsiaTheme="minorEastAsia" w:hAnsiTheme="minorEastAsia" w:cs="Times New Roman" w:hint="eastAsia"/>
          <w:b/>
          <w:sz w:val="24"/>
          <w:szCs w:val="24"/>
        </w:rPr>
        <w:t>不断满足群众对美好出行的需求</w:t>
      </w:r>
      <w:r w:rsidR="00783E75">
        <w:rPr>
          <w:rFonts w:asciiTheme="minorEastAsia" w:eastAsiaTheme="minorEastAsia" w:hAnsiTheme="minorEastAsia" w:cs="Times New Roman" w:hint="eastAsia"/>
          <w:b/>
          <w:sz w:val="24"/>
          <w:szCs w:val="24"/>
        </w:rPr>
        <w:t>，</w:t>
      </w:r>
      <w:r>
        <w:rPr>
          <w:rFonts w:asciiTheme="minorEastAsia" w:eastAsiaTheme="minorEastAsia" w:hAnsiTheme="minorEastAsia" w:cs="Times New Roman" w:hint="eastAsia"/>
          <w:b/>
          <w:sz w:val="24"/>
          <w:szCs w:val="24"/>
        </w:rPr>
        <w:t>持续推动</w:t>
      </w:r>
      <w:r w:rsidR="00783E75">
        <w:rPr>
          <w:rFonts w:asciiTheme="minorEastAsia" w:eastAsiaTheme="minorEastAsia" w:hAnsiTheme="minorEastAsia" w:cs="Times New Roman" w:hint="eastAsia"/>
          <w:b/>
          <w:sz w:val="24"/>
          <w:szCs w:val="24"/>
        </w:rPr>
        <w:t>收益</w:t>
      </w:r>
      <w:r>
        <w:rPr>
          <w:rFonts w:asciiTheme="minorEastAsia" w:eastAsiaTheme="minorEastAsia" w:hAnsiTheme="minorEastAsia" w:cs="Times New Roman" w:hint="eastAsia"/>
          <w:b/>
          <w:sz w:val="24"/>
          <w:szCs w:val="24"/>
        </w:rPr>
        <w:t>的增长</w:t>
      </w:r>
      <w:r w:rsidRPr="0026070D">
        <w:rPr>
          <w:rFonts w:asciiTheme="minorEastAsia" w:eastAsiaTheme="minorEastAsia" w:hAnsiTheme="minorEastAsia" w:cs="Times New Roman" w:hint="eastAsia"/>
          <w:b/>
          <w:sz w:val="24"/>
          <w:szCs w:val="24"/>
        </w:rPr>
        <w:t>。</w:t>
      </w:r>
    </w:p>
    <w:p w:rsidR="00BA77A0" w:rsidRDefault="00BA77A0" w:rsidP="00FA17EC">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二、</w:t>
      </w:r>
      <w:r w:rsidR="0043148E">
        <w:rPr>
          <w:rFonts w:asciiTheme="minorEastAsia" w:eastAsiaTheme="minorEastAsia" w:hAnsiTheme="minorEastAsia" w:cs="Times New Roman" w:hint="eastAsia"/>
          <w:b/>
          <w:sz w:val="24"/>
          <w:szCs w:val="24"/>
        </w:rPr>
        <w:t>强化股东回报</w:t>
      </w:r>
      <w:r w:rsidR="002656DC">
        <w:rPr>
          <w:rFonts w:asciiTheme="minorEastAsia" w:eastAsiaTheme="minorEastAsia" w:hAnsiTheme="minorEastAsia" w:cs="Times New Roman" w:hint="eastAsia"/>
          <w:b/>
          <w:sz w:val="24"/>
          <w:szCs w:val="24"/>
        </w:rPr>
        <w:t>，实行积极分红政策</w:t>
      </w:r>
    </w:p>
    <w:p w:rsidR="0026070D" w:rsidRDefault="0026070D" w:rsidP="0026070D">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本</w:t>
      </w:r>
      <w:r w:rsidRPr="00D75132">
        <w:rPr>
          <w:rFonts w:asciiTheme="minorEastAsia" w:eastAsiaTheme="minorEastAsia" w:hAnsiTheme="minorEastAsia" w:cs="Times New Roman" w:hint="eastAsia"/>
          <w:b/>
          <w:sz w:val="24"/>
          <w:szCs w:val="24"/>
        </w:rPr>
        <w:t>公司</w:t>
      </w:r>
      <w:r>
        <w:rPr>
          <w:rFonts w:asciiTheme="minorEastAsia" w:eastAsiaTheme="minorEastAsia" w:hAnsiTheme="minorEastAsia" w:cs="Times New Roman" w:hint="eastAsia"/>
          <w:b/>
          <w:sz w:val="24"/>
          <w:szCs w:val="24"/>
        </w:rPr>
        <w:t>高度</w:t>
      </w:r>
      <w:r w:rsidRPr="00D75132">
        <w:rPr>
          <w:rFonts w:asciiTheme="minorEastAsia" w:eastAsiaTheme="minorEastAsia" w:hAnsiTheme="minorEastAsia" w:cs="Times New Roman" w:hint="eastAsia"/>
          <w:b/>
          <w:sz w:val="24"/>
          <w:szCs w:val="24"/>
        </w:rPr>
        <w:t>重视对投资者的合理投资回报，自上市以来每年均进行分红，</w:t>
      </w:r>
      <w:r>
        <w:rPr>
          <w:rFonts w:asciiTheme="minorEastAsia" w:eastAsiaTheme="minorEastAsia" w:hAnsiTheme="minorEastAsia" w:cs="Times New Roman" w:hint="eastAsia"/>
          <w:b/>
          <w:sz w:val="24"/>
          <w:szCs w:val="24"/>
        </w:rPr>
        <w:t>并</w:t>
      </w:r>
      <w:r w:rsidRPr="00D75132">
        <w:rPr>
          <w:rFonts w:asciiTheme="minorEastAsia" w:eastAsiaTheme="minorEastAsia" w:hAnsiTheme="minorEastAsia" w:cs="Times New Roman" w:hint="eastAsia"/>
          <w:b/>
          <w:sz w:val="24"/>
          <w:szCs w:val="24"/>
        </w:rPr>
        <w:t>一直维持高水平现金股利派发，现已累计现金分红</w:t>
      </w:r>
      <w:r w:rsidR="00DE22D1">
        <w:rPr>
          <w:rFonts w:asciiTheme="minorEastAsia" w:eastAsiaTheme="minorEastAsia" w:hAnsiTheme="minorEastAsia" w:cs="Times New Roman" w:hint="eastAsia"/>
          <w:b/>
          <w:sz w:val="24"/>
          <w:szCs w:val="24"/>
        </w:rPr>
        <w:t>363</w:t>
      </w:r>
      <w:r>
        <w:rPr>
          <w:rFonts w:asciiTheme="minorEastAsia" w:eastAsiaTheme="minorEastAsia" w:hAnsiTheme="minorEastAsia" w:cs="Times New Roman" w:hint="eastAsia"/>
          <w:b/>
          <w:sz w:val="24"/>
          <w:szCs w:val="24"/>
        </w:rPr>
        <w:t>亿元。</w:t>
      </w:r>
      <w:r w:rsidRPr="00D75132">
        <w:rPr>
          <w:rFonts w:asciiTheme="minorEastAsia" w:eastAsiaTheme="minorEastAsia" w:hAnsiTheme="minorEastAsia" w:cs="Times New Roman" w:hint="eastAsia"/>
          <w:b/>
          <w:sz w:val="24"/>
          <w:szCs w:val="24"/>
        </w:rPr>
        <w:t>近</w:t>
      </w:r>
      <w:r>
        <w:rPr>
          <w:rFonts w:asciiTheme="minorEastAsia" w:eastAsiaTheme="minorEastAsia" w:hAnsiTheme="minorEastAsia" w:cs="Times New Roman" w:hint="eastAsia"/>
          <w:b/>
          <w:sz w:val="24"/>
          <w:szCs w:val="24"/>
        </w:rPr>
        <w:t>五</w:t>
      </w:r>
      <w:r w:rsidRPr="00D75132">
        <w:rPr>
          <w:rFonts w:asciiTheme="minorEastAsia" w:eastAsiaTheme="minorEastAsia" w:hAnsiTheme="minorEastAsia" w:cs="Times New Roman" w:hint="eastAsia"/>
          <w:b/>
          <w:sz w:val="24"/>
          <w:szCs w:val="24"/>
        </w:rPr>
        <w:t>年</w:t>
      </w:r>
      <w:r w:rsidR="00783E75">
        <w:rPr>
          <w:rFonts w:asciiTheme="minorEastAsia" w:eastAsiaTheme="minorEastAsia" w:hAnsiTheme="minorEastAsia" w:cs="Times New Roman" w:hint="eastAsia"/>
          <w:b/>
          <w:sz w:val="24"/>
          <w:szCs w:val="24"/>
        </w:rPr>
        <w:t>，</w:t>
      </w:r>
      <w:r>
        <w:rPr>
          <w:rFonts w:asciiTheme="minorEastAsia" w:eastAsiaTheme="minorEastAsia" w:hAnsiTheme="minorEastAsia" w:cs="Times New Roman" w:hint="eastAsia"/>
          <w:b/>
          <w:sz w:val="24"/>
          <w:szCs w:val="24"/>
        </w:rPr>
        <w:t>本</w:t>
      </w:r>
      <w:r w:rsidRPr="00D75132">
        <w:rPr>
          <w:rFonts w:asciiTheme="minorEastAsia" w:eastAsiaTheme="minorEastAsia" w:hAnsiTheme="minorEastAsia" w:cs="Times New Roman" w:hint="eastAsia"/>
          <w:b/>
          <w:sz w:val="24"/>
          <w:szCs w:val="24"/>
        </w:rPr>
        <w:t>公司每股股利均为0.46元，派息率分别达到</w:t>
      </w:r>
      <w:r>
        <w:rPr>
          <w:rFonts w:asciiTheme="minorEastAsia" w:eastAsiaTheme="minorEastAsia" w:hAnsiTheme="minorEastAsia" w:cs="Times New Roman" w:hint="eastAsia"/>
          <w:b/>
          <w:sz w:val="24"/>
          <w:szCs w:val="24"/>
        </w:rPr>
        <w:t>52.95%、55.18%、</w:t>
      </w:r>
      <w:r w:rsidRPr="00D75132">
        <w:rPr>
          <w:rFonts w:asciiTheme="minorEastAsia" w:eastAsiaTheme="minorEastAsia" w:hAnsiTheme="minorEastAsia" w:cs="Times New Roman" w:hint="eastAsia"/>
          <w:b/>
          <w:sz w:val="24"/>
          <w:szCs w:val="24"/>
        </w:rPr>
        <w:t>9</w:t>
      </w:r>
      <w:r>
        <w:rPr>
          <w:rFonts w:asciiTheme="minorEastAsia" w:eastAsiaTheme="minorEastAsia" w:hAnsiTheme="minorEastAsia" w:cs="Times New Roman" w:hint="eastAsia"/>
          <w:b/>
          <w:sz w:val="24"/>
          <w:szCs w:val="24"/>
        </w:rPr>
        <w:t>4.04</w:t>
      </w:r>
      <w:r w:rsidRPr="00D75132">
        <w:rPr>
          <w:rFonts w:asciiTheme="minorEastAsia" w:eastAsiaTheme="minorEastAsia" w:hAnsiTheme="minorEastAsia" w:cs="Times New Roman" w:hint="eastAsia"/>
          <w:b/>
          <w:sz w:val="24"/>
          <w:szCs w:val="24"/>
        </w:rPr>
        <w:t>%、55.4</w:t>
      </w:r>
      <w:r>
        <w:rPr>
          <w:rFonts w:asciiTheme="minorEastAsia" w:eastAsiaTheme="minorEastAsia" w:hAnsiTheme="minorEastAsia" w:cs="Times New Roman" w:hint="eastAsia"/>
          <w:b/>
          <w:sz w:val="24"/>
          <w:szCs w:val="24"/>
        </w:rPr>
        <w:t>6</w:t>
      </w:r>
      <w:r w:rsidRPr="00D75132">
        <w:rPr>
          <w:rFonts w:asciiTheme="minorEastAsia" w:eastAsiaTheme="minorEastAsia" w:hAnsiTheme="minorEastAsia" w:cs="Times New Roman" w:hint="eastAsia"/>
          <w:b/>
          <w:sz w:val="24"/>
          <w:szCs w:val="24"/>
        </w:rPr>
        <w:t>%、62.2</w:t>
      </w:r>
      <w:r>
        <w:rPr>
          <w:rFonts w:asciiTheme="minorEastAsia" w:eastAsiaTheme="minorEastAsia" w:hAnsiTheme="minorEastAsia" w:cs="Times New Roman" w:hint="eastAsia"/>
          <w:b/>
          <w:sz w:val="24"/>
          <w:szCs w:val="24"/>
        </w:rPr>
        <w:t>2</w:t>
      </w:r>
      <w:r w:rsidRPr="00D75132">
        <w:rPr>
          <w:rFonts w:asciiTheme="minorEastAsia" w:eastAsiaTheme="minorEastAsia" w:hAnsiTheme="minorEastAsia" w:cs="Times New Roman" w:hint="eastAsia"/>
          <w:b/>
          <w:sz w:val="24"/>
          <w:szCs w:val="24"/>
        </w:rPr>
        <w:t>%，</w:t>
      </w:r>
      <w:r>
        <w:rPr>
          <w:rFonts w:asciiTheme="minorEastAsia" w:eastAsiaTheme="minorEastAsia" w:hAnsiTheme="minorEastAsia" w:cs="Times New Roman" w:hint="eastAsia"/>
          <w:b/>
          <w:sz w:val="24"/>
          <w:szCs w:val="24"/>
        </w:rPr>
        <w:t>其间业绩遭受冲击，利润同比承压，但依然维持分红数额的不变绝对值。未来，公司将在</w:t>
      </w:r>
      <w:r w:rsidRPr="00D75132">
        <w:rPr>
          <w:rFonts w:asciiTheme="minorEastAsia" w:eastAsiaTheme="minorEastAsia" w:hAnsiTheme="minorEastAsia" w:cs="Times New Roman" w:hint="eastAsia"/>
          <w:b/>
          <w:sz w:val="24"/>
          <w:szCs w:val="24"/>
        </w:rPr>
        <w:t>正常经营的前提下，</w:t>
      </w:r>
      <w:r w:rsidRPr="00D87BB5">
        <w:rPr>
          <w:rFonts w:asciiTheme="minorEastAsia" w:eastAsiaTheme="minorEastAsia" w:hAnsiTheme="minorEastAsia" w:cs="Times New Roman" w:hint="eastAsia"/>
          <w:b/>
          <w:sz w:val="24"/>
          <w:szCs w:val="24"/>
        </w:rPr>
        <w:t>结合公司经营现状和业务发展</w:t>
      </w:r>
      <w:r>
        <w:rPr>
          <w:rFonts w:asciiTheme="minorEastAsia" w:eastAsiaTheme="minorEastAsia" w:hAnsiTheme="minorEastAsia" w:cs="Times New Roman" w:hint="eastAsia"/>
          <w:b/>
          <w:sz w:val="24"/>
          <w:szCs w:val="24"/>
        </w:rPr>
        <w:t>规划，</w:t>
      </w:r>
      <w:r w:rsidRPr="00D75132">
        <w:rPr>
          <w:rFonts w:asciiTheme="minorEastAsia" w:eastAsiaTheme="minorEastAsia" w:hAnsiTheme="minorEastAsia" w:cs="Times New Roman" w:hint="eastAsia"/>
          <w:b/>
          <w:sz w:val="24"/>
          <w:szCs w:val="24"/>
        </w:rPr>
        <w:t>继续坚持为投资者提供</w:t>
      </w:r>
      <w:r>
        <w:rPr>
          <w:rFonts w:asciiTheme="minorEastAsia" w:eastAsiaTheme="minorEastAsia" w:hAnsiTheme="minorEastAsia" w:cs="Times New Roman" w:hint="eastAsia"/>
          <w:b/>
          <w:sz w:val="24"/>
          <w:szCs w:val="24"/>
        </w:rPr>
        <w:t>持</w:t>
      </w:r>
      <w:r w:rsidRPr="00D75132">
        <w:rPr>
          <w:rFonts w:asciiTheme="minorEastAsia" w:eastAsiaTheme="minorEastAsia" w:hAnsiTheme="minorEastAsia" w:cs="Times New Roman" w:hint="eastAsia"/>
          <w:b/>
          <w:sz w:val="24"/>
          <w:szCs w:val="24"/>
        </w:rPr>
        <w:t>续、稳定</w:t>
      </w:r>
      <w:r>
        <w:rPr>
          <w:rFonts w:asciiTheme="minorEastAsia" w:eastAsiaTheme="minorEastAsia" w:hAnsiTheme="minorEastAsia" w:cs="Times New Roman" w:hint="eastAsia"/>
          <w:b/>
          <w:sz w:val="24"/>
          <w:szCs w:val="24"/>
        </w:rPr>
        <w:t>的现金分红，并充分考虑公司</w:t>
      </w:r>
      <w:r w:rsidRPr="00D75132">
        <w:rPr>
          <w:rFonts w:asciiTheme="minorEastAsia" w:eastAsiaTheme="minorEastAsia" w:hAnsiTheme="minorEastAsia" w:cs="Times New Roman" w:hint="eastAsia"/>
          <w:b/>
          <w:sz w:val="24"/>
          <w:szCs w:val="24"/>
        </w:rPr>
        <w:t>未来经营的进一步稳健增长，给股东带来长期的投资回报。</w:t>
      </w:r>
    </w:p>
    <w:p w:rsidR="00FC4F15" w:rsidRDefault="001C276A" w:rsidP="00FC4F15">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lastRenderedPageBreak/>
        <w:t>三</w:t>
      </w:r>
      <w:r w:rsidR="007E0C76">
        <w:rPr>
          <w:rFonts w:asciiTheme="minorEastAsia" w:eastAsiaTheme="minorEastAsia" w:hAnsiTheme="minorEastAsia" w:cs="Times New Roman" w:hint="eastAsia"/>
          <w:b/>
          <w:sz w:val="24"/>
          <w:szCs w:val="24"/>
        </w:rPr>
        <w:t>、</w:t>
      </w:r>
      <w:r w:rsidR="005B577E">
        <w:rPr>
          <w:rFonts w:asciiTheme="minorEastAsia" w:eastAsiaTheme="minorEastAsia" w:hAnsiTheme="minorEastAsia" w:cs="Times New Roman" w:hint="eastAsia"/>
          <w:b/>
          <w:sz w:val="24"/>
          <w:szCs w:val="24"/>
        </w:rPr>
        <w:t>着眼</w:t>
      </w:r>
      <w:r w:rsidR="005E3007">
        <w:rPr>
          <w:rFonts w:asciiTheme="minorEastAsia" w:eastAsiaTheme="minorEastAsia" w:hAnsiTheme="minorEastAsia" w:cs="Times New Roman" w:hint="eastAsia"/>
          <w:b/>
          <w:sz w:val="24"/>
          <w:szCs w:val="24"/>
        </w:rPr>
        <w:t>透明度</w:t>
      </w:r>
      <w:r>
        <w:rPr>
          <w:rFonts w:asciiTheme="minorEastAsia" w:eastAsiaTheme="minorEastAsia" w:hAnsiTheme="minorEastAsia" w:cs="Times New Roman" w:hint="eastAsia"/>
          <w:b/>
          <w:sz w:val="24"/>
          <w:szCs w:val="24"/>
        </w:rPr>
        <w:t>，</w:t>
      </w:r>
      <w:r w:rsidR="005B577E">
        <w:rPr>
          <w:rFonts w:asciiTheme="minorEastAsia" w:eastAsiaTheme="minorEastAsia" w:hAnsiTheme="minorEastAsia" w:cs="Times New Roman" w:hint="eastAsia"/>
          <w:b/>
          <w:sz w:val="24"/>
          <w:szCs w:val="24"/>
        </w:rPr>
        <w:t>提升</w:t>
      </w:r>
      <w:r w:rsidR="007E0C76">
        <w:rPr>
          <w:rFonts w:asciiTheme="minorEastAsia" w:eastAsiaTheme="minorEastAsia" w:hAnsiTheme="minorEastAsia" w:cs="Times New Roman" w:hint="eastAsia"/>
          <w:b/>
          <w:sz w:val="24"/>
          <w:szCs w:val="24"/>
        </w:rPr>
        <w:t>投资者关系管理</w:t>
      </w:r>
      <w:r w:rsidR="00CC6576">
        <w:rPr>
          <w:rFonts w:asciiTheme="minorEastAsia" w:eastAsiaTheme="minorEastAsia" w:hAnsiTheme="minorEastAsia" w:cs="Times New Roman" w:hint="eastAsia"/>
          <w:b/>
          <w:sz w:val="24"/>
          <w:szCs w:val="24"/>
        </w:rPr>
        <w:t xml:space="preserve"> </w:t>
      </w:r>
    </w:p>
    <w:p w:rsidR="0026070D" w:rsidRPr="00FC4F15" w:rsidRDefault="0026070D" w:rsidP="00FC4F15">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hint="eastAsia"/>
          <w:b/>
          <w:sz w:val="24"/>
        </w:rPr>
        <w:t>本</w:t>
      </w:r>
      <w:r w:rsidRPr="0026070D">
        <w:rPr>
          <w:rFonts w:asciiTheme="minorEastAsia" w:eastAsiaTheme="minorEastAsia" w:hAnsiTheme="minorEastAsia" w:hint="eastAsia"/>
          <w:b/>
          <w:sz w:val="24"/>
        </w:rPr>
        <w:t>公司秉持合</w:t>
      </w:r>
      <w:proofErr w:type="gramStart"/>
      <w:r w:rsidRPr="0026070D">
        <w:rPr>
          <w:rFonts w:asciiTheme="minorEastAsia" w:eastAsiaTheme="minorEastAsia" w:hAnsiTheme="minorEastAsia" w:hint="eastAsia"/>
          <w:b/>
          <w:sz w:val="24"/>
        </w:rPr>
        <w:t>规</w:t>
      </w:r>
      <w:proofErr w:type="gramEnd"/>
      <w:r w:rsidRPr="0026070D">
        <w:rPr>
          <w:rFonts w:asciiTheme="minorEastAsia" w:eastAsiaTheme="minorEastAsia" w:hAnsiTheme="minorEastAsia" w:hint="eastAsia"/>
          <w:b/>
          <w:sz w:val="24"/>
        </w:rPr>
        <w:t>、平等、主动、诚实守信的原则，</w:t>
      </w:r>
      <w:r>
        <w:rPr>
          <w:rFonts w:asciiTheme="minorEastAsia" w:eastAsiaTheme="minorEastAsia" w:hAnsiTheme="minorEastAsia" w:hint="eastAsia"/>
          <w:b/>
          <w:sz w:val="24"/>
        </w:rPr>
        <w:t>在</w:t>
      </w:r>
      <w:r w:rsidR="00542532">
        <w:rPr>
          <w:rFonts w:asciiTheme="minorEastAsia" w:eastAsiaTheme="minorEastAsia" w:hAnsiTheme="minorEastAsia" w:hint="eastAsia"/>
          <w:b/>
          <w:sz w:val="24"/>
        </w:rPr>
        <w:t>做好信息披露工作的同时，</w:t>
      </w:r>
      <w:r w:rsidRPr="0026070D">
        <w:rPr>
          <w:rFonts w:asciiTheme="minorEastAsia" w:eastAsiaTheme="minorEastAsia" w:hAnsiTheme="minorEastAsia" w:hint="eastAsia"/>
          <w:b/>
          <w:sz w:val="24"/>
        </w:rPr>
        <w:t>持续强化与投资者的沟通，确保信息的透明度，建立畅通的沟通渠道。</w:t>
      </w:r>
      <w:r w:rsidR="00542532">
        <w:rPr>
          <w:rFonts w:asciiTheme="minorEastAsia" w:eastAsiaTheme="minorEastAsia" w:hAnsiTheme="minorEastAsia" w:hint="eastAsia"/>
          <w:b/>
          <w:sz w:val="24"/>
        </w:rPr>
        <w:t>本</w:t>
      </w:r>
      <w:r w:rsidRPr="0026070D">
        <w:rPr>
          <w:rFonts w:asciiTheme="minorEastAsia" w:eastAsiaTheme="minorEastAsia" w:hAnsiTheme="minorEastAsia" w:hint="eastAsia"/>
          <w:b/>
          <w:sz w:val="24"/>
        </w:rPr>
        <w:t>公司通过上交所“e互动”平台、投资者邮箱、投资者电话专线等方式及时聆听投资者的反馈、回应投资者的关切，传递公司价值。同时</w:t>
      </w:r>
      <w:r w:rsidR="00542532">
        <w:rPr>
          <w:rFonts w:asciiTheme="minorEastAsia" w:eastAsiaTheme="minorEastAsia" w:hAnsiTheme="minorEastAsia" w:hint="eastAsia"/>
          <w:b/>
          <w:sz w:val="24"/>
        </w:rPr>
        <w:t>本</w:t>
      </w:r>
      <w:r w:rsidRPr="0026070D">
        <w:rPr>
          <w:rFonts w:asciiTheme="minorEastAsia" w:eastAsiaTheme="minorEastAsia" w:hAnsiTheme="minorEastAsia" w:hint="eastAsia"/>
          <w:b/>
          <w:sz w:val="24"/>
        </w:rPr>
        <w:t>公司定期或针对重大事项组织电话会议、投资者策略会、境内外路演等面对面交流活动，与投资者分享公司的战略、发展计划和业绩。未来</w:t>
      </w:r>
      <w:r w:rsidR="00776AF5">
        <w:rPr>
          <w:rFonts w:asciiTheme="minorEastAsia" w:eastAsiaTheme="minorEastAsia" w:hAnsiTheme="minorEastAsia" w:hint="eastAsia"/>
          <w:b/>
          <w:sz w:val="24"/>
        </w:rPr>
        <w:t>本</w:t>
      </w:r>
      <w:r w:rsidRPr="0026070D">
        <w:rPr>
          <w:rFonts w:asciiTheme="minorEastAsia" w:eastAsiaTheme="minorEastAsia" w:hAnsiTheme="minorEastAsia" w:hint="eastAsia"/>
          <w:b/>
          <w:sz w:val="24"/>
        </w:rPr>
        <w:t>公司将持续丰富投资者沟通渠道，增强公司与投资者互动的深度和广度，增进投资者了解和认同。</w:t>
      </w:r>
    </w:p>
    <w:p w:rsidR="00FA17EC" w:rsidRDefault="006F438B" w:rsidP="00575AE8">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本</w:t>
      </w:r>
      <w:r w:rsidR="00185347" w:rsidRPr="00185347">
        <w:rPr>
          <w:rFonts w:asciiTheme="minorEastAsia" w:eastAsiaTheme="minorEastAsia" w:hAnsiTheme="minorEastAsia" w:cs="Times New Roman" w:hint="eastAsia"/>
          <w:b/>
          <w:sz w:val="24"/>
          <w:szCs w:val="24"/>
        </w:rPr>
        <w:t>公司将持续评估、实施“提质增效重回报”的相关举措，</w:t>
      </w:r>
      <w:r w:rsidR="00A916DF" w:rsidRPr="00A916DF">
        <w:rPr>
          <w:rFonts w:asciiTheme="minorEastAsia" w:eastAsiaTheme="minorEastAsia" w:hAnsiTheme="minorEastAsia" w:cs="Times New Roman" w:hint="eastAsia"/>
          <w:b/>
          <w:sz w:val="24"/>
          <w:szCs w:val="24"/>
        </w:rPr>
        <w:t>努力通过</w:t>
      </w:r>
      <w:r w:rsidR="00783E75" w:rsidRPr="00A916DF">
        <w:rPr>
          <w:rFonts w:asciiTheme="minorEastAsia" w:eastAsiaTheme="minorEastAsia" w:hAnsiTheme="minorEastAsia" w:cs="Times New Roman" w:hint="eastAsia"/>
          <w:b/>
          <w:sz w:val="24"/>
          <w:szCs w:val="24"/>
        </w:rPr>
        <w:t>规范的公司治理、</w:t>
      </w:r>
      <w:r w:rsidR="00A916DF" w:rsidRPr="00A916DF">
        <w:rPr>
          <w:rFonts w:asciiTheme="minorEastAsia" w:eastAsiaTheme="minorEastAsia" w:hAnsiTheme="minorEastAsia" w:cs="Times New Roman" w:hint="eastAsia"/>
          <w:b/>
          <w:sz w:val="24"/>
          <w:szCs w:val="24"/>
        </w:rPr>
        <w:t>良好的业绩表现、积极的投资者回报，切实履行上市公司的责任和义务，回馈投资者的信任，维护公司市场形象，共同</w:t>
      </w:r>
      <w:r w:rsidR="00214B20">
        <w:rPr>
          <w:rFonts w:asciiTheme="minorEastAsia" w:eastAsiaTheme="minorEastAsia" w:hAnsiTheme="minorEastAsia" w:cs="Times New Roman" w:hint="eastAsia"/>
          <w:b/>
          <w:sz w:val="24"/>
          <w:szCs w:val="24"/>
        </w:rPr>
        <w:t>促进</w:t>
      </w:r>
      <w:r w:rsidR="00A916DF">
        <w:rPr>
          <w:rFonts w:asciiTheme="minorEastAsia" w:eastAsiaTheme="minorEastAsia" w:hAnsiTheme="minorEastAsia" w:cs="Times New Roman" w:hint="eastAsia"/>
          <w:b/>
          <w:sz w:val="24"/>
          <w:szCs w:val="24"/>
        </w:rPr>
        <w:t>资本</w:t>
      </w:r>
      <w:r w:rsidR="00A916DF" w:rsidRPr="00A916DF">
        <w:rPr>
          <w:rFonts w:asciiTheme="minorEastAsia" w:eastAsiaTheme="minorEastAsia" w:hAnsiTheme="minorEastAsia" w:cs="Times New Roman" w:hint="eastAsia"/>
          <w:b/>
          <w:sz w:val="24"/>
          <w:szCs w:val="24"/>
        </w:rPr>
        <w:t>市场平稳运行。</w:t>
      </w:r>
    </w:p>
    <w:p w:rsidR="00DE344E" w:rsidRDefault="00C64E01" w:rsidP="00DE344E">
      <w:pPr>
        <w:pStyle w:val="a4"/>
        <w:spacing w:line="360" w:lineRule="auto"/>
        <w:ind w:firstLine="482"/>
        <w:jc w:val="left"/>
        <w:rPr>
          <w:rFonts w:asciiTheme="minorEastAsia" w:eastAsiaTheme="minorEastAsia" w:hAnsiTheme="minorEastAsia" w:cs="Times New Roman"/>
          <w:b/>
          <w:sz w:val="24"/>
          <w:szCs w:val="24"/>
        </w:rPr>
      </w:pPr>
      <w:r>
        <w:rPr>
          <w:rFonts w:asciiTheme="minorEastAsia" w:eastAsiaTheme="minorEastAsia" w:hAnsiTheme="minorEastAsia" w:cs="Times New Roman" w:hint="eastAsia"/>
          <w:b/>
          <w:sz w:val="24"/>
          <w:szCs w:val="24"/>
        </w:rPr>
        <w:t xml:space="preserve">  </w:t>
      </w:r>
    </w:p>
    <w:p w:rsidR="00E10E42" w:rsidRDefault="006F0A02" w:rsidP="00FA17EC">
      <w:pPr>
        <w:pStyle w:val="a4"/>
        <w:spacing w:line="360" w:lineRule="auto"/>
        <w:ind w:firstLine="482"/>
        <w:jc w:val="left"/>
        <w:rPr>
          <w:rFonts w:asciiTheme="minorEastAsia" w:eastAsiaTheme="minorEastAsia" w:hAnsiTheme="minorEastAsia" w:cs="宋体"/>
          <w:b/>
          <w:sz w:val="24"/>
        </w:rPr>
      </w:pPr>
      <w:r>
        <w:rPr>
          <w:rFonts w:asciiTheme="minorEastAsia" w:eastAsiaTheme="minorEastAsia" w:hAnsiTheme="minorEastAsia" w:cs="宋体" w:hint="eastAsia"/>
          <w:b/>
          <w:sz w:val="24"/>
        </w:rPr>
        <w:t>特此公告。</w:t>
      </w:r>
    </w:p>
    <w:p w:rsidR="006F438B" w:rsidRDefault="006F438B">
      <w:pPr>
        <w:pStyle w:val="a4"/>
        <w:spacing w:line="360" w:lineRule="auto"/>
        <w:ind w:firstLine="482"/>
        <w:jc w:val="left"/>
        <w:rPr>
          <w:rFonts w:asciiTheme="minorEastAsia" w:eastAsiaTheme="minorEastAsia" w:hAnsiTheme="minorEastAsia" w:cs="宋体"/>
          <w:b/>
          <w:sz w:val="24"/>
        </w:rPr>
      </w:pPr>
    </w:p>
    <w:p w:rsidR="006F438B" w:rsidRDefault="006F438B">
      <w:pPr>
        <w:pStyle w:val="a4"/>
        <w:spacing w:line="360" w:lineRule="auto"/>
        <w:ind w:firstLine="480"/>
        <w:jc w:val="left"/>
        <w:rPr>
          <w:rFonts w:asciiTheme="minorEastAsia" w:eastAsiaTheme="minorEastAsia" w:hAnsiTheme="minorEastAsia" w:cs="宋体"/>
          <w:sz w:val="24"/>
          <w:szCs w:val="24"/>
        </w:rPr>
      </w:pPr>
      <w:bookmarkStart w:id="0" w:name="_GoBack"/>
      <w:bookmarkEnd w:id="0"/>
    </w:p>
    <w:p w:rsidR="00E10E42" w:rsidRDefault="00E10E42">
      <w:pPr>
        <w:pStyle w:val="a0"/>
        <w:spacing w:before="0" w:line="360" w:lineRule="auto"/>
        <w:ind w:left="0" w:firstLineChars="200" w:firstLine="480"/>
        <w:jc w:val="left"/>
        <w:rPr>
          <w:rFonts w:asciiTheme="minorEastAsia" w:eastAsiaTheme="minorEastAsia" w:hAnsiTheme="minorEastAsia" w:cs="宋体"/>
          <w:sz w:val="24"/>
          <w:szCs w:val="24"/>
        </w:rPr>
      </w:pPr>
    </w:p>
    <w:p w:rsidR="00E10E42" w:rsidRDefault="006F0A02">
      <w:pPr>
        <w:adjustRightInd w:val="0"/>
        <w:spacing w:line="360" w:lineRule="auto"/>
        <w:ind w:firstLineChars="1600" w:firstLine="3855"/>
        <w:jc w:val="left"/>
        <w:rPr>
          <w:rFonts w:asciiTheme="minorEastAsia" w:eastAsiaTheme="minorEastAsia" w:hAnsiTheme="minorEastAsia" w:cs="宋体"/>
          <w:b/>
          <w:sz w:val="24"/>
        </w:rPr>
      </w:pPr>
      <w:r>
        <w:rPr>
          <w:rFonts w:asciiTheme="minorEastAsia" w:eastAsiaTheme="minorEastAsia" w:hAnsiTheme="minorEastAsia" w:cs="宋体" w:hint="eastAsia"/>
          <w:b/>
          <w:sz w:val="24"/>
        </w:rPr>
        <w:t>江苏宁沪高速公路股份有限公司董事会</w:t>
      </w:r>
    </w:p>
    <w:p w:rsidR="00E10E42" w:rsidRDefault="006F0A02">
      <w:pPr>
        <w:widowControl/>
        <w:spacing w:line="360" w:lineRule="auto"/>
        <w:ind w:firstLineChars="200" w:firstLine="482"/>
        <w:jc w:val="left"/>
        <w:rPr>
          <w:rFonts w:asciiTheme="minorEastAsia" w:eastAsiaTheme="minorEastAsia" w:hAnsiTheme="minorEastAsia"/>
          <w:sz w:val="24"/>
        </w:rPr>
      </w:pPr>
      <w:r>
        <w:rPr>
          <w:rFonts w:asciiTheme="minorEastAsia" w:eastAsiaTheme="minorEastAsia" w:hAnsiTheme="minorEastAsia" w:cs="宋体" w:hint="eastAsia"/>
          <w:b/>
          <w:sz w:val="24"/>
        </w:rPr>
        <w:t xml:space="preserve">                                       二〇二</w:t>
      </w:r>
      <w:r w:rsidR="00115608">
        <w:rPr>
          <w:rFonts w:asciiTheme="minorEastAsia" w:eastAsiaTheme="minorEastAsia" w:hAnsiTheme="minorEastAsia" w:cs="宋体" w:hint="eastAsia"/>
          <w:b/>
          <w:sz w:val="24"/>
        </w:rPr>
        <w:t>四</w:t>
      </w:r>
      <w:r>
        <w:rPr>
          <w:rFonts w:asciiTheme="minorEastAsia" w:eastAsiaTheme="minorEastAsia" w:hAnsiTheme="minorEastAsia" w:cs="宋体" w:hint="eastAsia"/>
          <w:b/>
          <w:sz w:val="24"/>
        </w:rPr>
        <w:t>年</w:t>
      </w:r>
      <w:r w:rsidR="00115608">
        <w:rPr>
          <w:rFonts w:asciiTheme="minorEastAsia" w:eastAsiaTheme="minorEastAsia" w:hAnsiTheme="minorEastAsia" w:cs="宋体" w:hint="eastAsia"/>
          <w:b/>
          <w:sz w:val="24"/>
        </w:rPr>
        <w:t>三</w:t>
      </w:r>
      <w:r>
        <w:rPr>
          <w:rFonts w:asciiTheme="minorEastAsia" w:eastAsiaTheme="minorEastAsia" w:hAnsiTheme="minorEastAsia" w:cs="宋体" w:hint="eastAsia"/>
          <w:b/>
          <w:sz w:val="24"/>
        </w:rPr>
        <w:t>月七日</w:t>
      </w:r>
    </w:p>
    <w:p w:rsidR="00E10E42" w:rsidRDefault="00E10E42" w:rsidP="00776AF5">
      <w:pPr>
        <w:pStyle w:val="a0"/>
        <w:spacing w:before="0" w:line="360" w:lineRule="auto"/>
        <w:ind w:left="0" w:firstLine="480"/>
        <w:jc w:val="left"/>
        <w:rPr>
          <w:rFonts w:asciiTheme="minorEastAsia" w:eastAsiaTheme="minorEastAsia" w:hAnsiTheme="minorEastAsia"/>
          <w:sz w:val="24"/>
          <w:szCs w:val="24"/>
        </w:rPr>
      </w:pPr>
    </w:p>
    <w:sectPr w:rsidR="00E10E42">
      <w:footerReference w:type="even" r:id="rId9"/>
      <w:footerReference w:type="default" r:id="rId10"/>
      <w:pgSz w:w="11906" w:h="16838"/>
      <w:pgMar w:top="1134" w:right="1531" w:bottom="1134" w:left="158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291" w:rsidRDefault="00620291" w:rsidP="00776AF5">
      <w:pPr>
        <w:ind w:firstLine="420"/>
      </w:pPr>
      <w:r>
        <w:separator/>
      </w:r>
    </w:p>
    <w:p w:rsidR="00620291" w:rsidRDefault="00620291" w:rsidP="00776AF5">
      <w:pPr>
        <w:ind w:firstLine="420"/>
      </w:pPr>
    </w:p>
  </w:endnote>
  <w:endnote w:type="continuationSeparator" w:id="0">
    <w:p w:rsidR="00620291" w:rsidRDefault="00620291" w:rsidP="00776AF5">
      <w:pPr>
        <w:ind w:firstLine="420"/>
      </w:pPr>
      <w:r>
        <w:continuationSeparator/>
      </w:r>
    </w:p>
    <w:p w:rsidR="00620291" w:rsidRDefault="00620291" w:rsidP="00776AF5">
      <w:pPr>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0E42" w:rsidRDefault="006F0A02" w:rsidP="00776AF5">
    <w:pPr>
      <w:pStyle w:val="a8"/>
      <w:framePr w:wrap="around" w:vAnchor="text" w:hAnchor="margin" w:xAlign="center" w:y="1"/>
      <w:ind w:firstLine="360"/>
      <w:rPr>
        <w:rStyle w:val="ad"/>
      </w:rPr>
    </w:pPr>
    <w:r>
      <w:rPr>
        <w:rStyle w:val="ad"/>
      </w:rPr>
      <w:fldChar w:fldCharType="begin"/>
    </w:r>
    <w:r>
      <w:rPr>
        <w:rStyle w:val="ad"/>
      </w:rPr>
      <w:instrText xml:space="preserve">PAGE  </w:instrText>
    </w:r>
    <w:r>
      <w:rPr>
        <w:rStyle w:val="ad"/>
      </w:rPr>
      <w:fldChar w:fldCharType="separate"/>
    </w:r>
    <w:r>
      <w:rPr>
        <w:rStyle w:val="ad"/>
      </w:rPr>
      <w:t>13</w:t>
    </w:r>
    <w:r>
      <w:rPr>
        <w:rStyle w:val="ad"/>
      </w:rPr>
      <w:fldChar w:fldCharType="end"/>
    </w:r>
  </w:p>
  <w:p w:rsidR="00E10E42" w:rsidRDefault="00E10E42" w:rsidP="00776AF5">
    <w:pPr>
      <w:pStyle w:val="a8"/>
      <w:ind w:firstLine="360"/>
    </w:pPr>
  </w:p>
  <w:p w:rsidR="007C318D" w:rsidRDefault="007C318D" w:rsidP="00776AF5">
    <w:pPr>
      <w:ind w:firstLine="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081989"/>
    </w:sdtPr>
    <w:sdtEndPr/>
    <w:sdtContent>
      <w:p w:rsidR="00E10E42" w:rsidRDefault="006F0A02" w:rsidP="00776AF5">
        <w:pPr>
          <w:pStyle w:val="a8"/>
          <w:ind w:firstLine="360"/>
          <w:jc w:val="center"/>
        </w:pPr>
        <w:r>
          <w:fldChar w:fldCharType="begin"/>
        </w:r>
        <w:r>
          <w:instrText xml:space="preserve"> PAGE   \* MERGEFORMAT </w:instrText>
        </w:r>
        <w:r>
          <w:fldChar w:fldCharType="separate"/>
        </w:r>
        <w:r w:rsidR="00887BA5" w:rsidRPr="00887BA5">
          <w:rPr>
            <w:noProof/>
            <w:lang w:val="zh-CN"/>
          </w:rPr>
          <w:t>2</w:t>
        </w:r>
        <w:r>
          <w:fldChar w:fldCharType="end"/>
        </w:r>
      </w:p>
    </w:sdtContent>
  </w:sdt>
  <w:p w:rsidR="00E10E42" w:rsidRDefault="00E10E42" w:rsidP="00776AF5">
    <w:pPr>
      <w:pStyle w:val="a8"/>
      <w:ind w:firstLine="360"/>
    </w:pPr>
  </w:p>
  <w:p w:rsidR="007C318D" w:rsidRDefault="007C318D" w:rsidP="00776AF5">
    <w:pPr>
      <w:ind w:firstLine="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291" w:rsidRDefault="00620291" w:rsidP="00776AF5">
      <w:pPr>
        <w:ind w:firstLine="420"/>
      </w:pPr>
      <w:r>
        <w:separator/>
      </w:r>
    </w:p>
    <w:p w:rsidR="00620291" w:rsidRDefault="00620291" w:rsidP="00776AF5">
      <w:pPr>
        <w:ind w:firstLine="420"/>
      </w:pPr>
    </w:p>
  </w:footnote>
  <w:footnote w:type="continuationSeparator" w:id="0">
    <w:p w:rsidR="00620291" w:rsidRDefault="00620291" w:rsidP="00776AF5">
      <w:pPr>
        <w:ind w:firstLine="420"/>
      </w:pPr>
      <w:r>
        <w:continuationSeparator/>
      </w:r>
    </w:p>
    <w:p w:rsidR="00620291" w:rsidRDefault="00620291" w:rsidP="00776AF5">
      <w:pPr>
        <w:ind w:firstLine="42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496"/>
    <w:rsid w:val="0000584F"/>
    <w:rsid w:val="00005E2E"/>
    <w:rsid w:val="00007A25"/>
    <w:rsid w:val="0001102C"/>
    <w:rsid w:val="0001126D"/>
    <w:rsid w:val="00016757"/>
    <w:rsid w:val="0001765A"/>
    <w:rsid w:val="0001785A"/>
    <w:rsid w:val="00017A6F"/>
    <w:rsid w:val="000219D2"/>
    <w:rsid w:val="00023DAA"/>
    <w:rsid w:val="000256E9"/>
    <w:rsid w:val="00027911"/>
    <w:rsid w:val="00034190"/>
    <w:rsid w:val="00034B5F"/>
    <w:rsid w:val="00035221"/>
    <w:rsid w:val="0003783F"/>
    <w:rsid w:val="00040BA4"/>
    <w:rsid w:val="00041510"/>
    <w:rsid w:val="0004264D"/>
    <w:rsid w:val="0004277A"/>
    <w:rsid w:val="000441F6"/>
    <w:rsid w:val="00047746"/>
    <w:rsid w:val="00050C3B"/>
    <w:rsid w:val="00052384"/>
    <w:rsid w:val="000526CF"/>
    <w:rsid w:val="00052CD1"/>
    <w:rsid w:val="00053588"/>
    <w:rsid w:val="00054D39"/>
    <w:rsid w:val="00055039"/>
    <w:rsid w:val="000556FF"/>
    <w:rsid w:val="00056857"/>
    <w:rsid w:val="00056895"/>
    <w:rsid w:val="000578C0"/>
    <w:rsid w:val="00061954"/>
    <w:rsid w:val="00062157"/>
    <w:rsid w:val="00062AF9"/>
    <w:rsid w:val="00063A61"/>
    <w:rsid w:val="0006475D"/>
    <w:rsid w:val="00065DBC"/>
    <w:rsid w:val="000662A2"/>
    <w:rsid w:val="000675FE"/>
    <w:rsid w:val="000704FA"/>
    <w:rsid w:val="00071F14"/>
    <w:rsid w:val="00075A6A"/>
    <w:rsid w:val="00081055"/>
    <w:rsid w:val="0008340A"/>
    <w:rsid w:val="00085196"/>
    <w:rsid w:val="00085A31"/>
    <w:rsid w:val="00085E52"/>
    <w:rsid w:val="000868C5"/>
    <w:rsid w:val="00087F85"/>
    <w:rsid w:val="0009122F"/>
    <w:rsid w:val="00091358"/>
    <w:rsid w:val="000918C8"/>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D1A13"/>
    <w:rsid w:val="000D257A"/>
    <w:rsid w:val="000D2AE7"/>
    <w:rsid w:val="000D5ABB"/>
    <w:rsid w:val="000D5F1A"/>
    <w:rsid w:val="000D6282"/>
    <w:rsid w:val="000D79B9"/>
    <w:rsid w:val="000E092A"/>
    <w:rsid w:val="000E3D93"/>
    <w:rsid w:val="000E54EA"/>
    <w:rsid w:val="000F0AAE"/>
    <w:rsid w:val="000F2496"/>
    <w:rsid w:val="000F359A"/>
    <w:rsid w:val="000F3858"/>
    <w:rsid w:val="000F7927"/>
    <w:rsid w:val="00100B58"/>
    <w:rsid w:val="00102B2C"/>
    <w:rsid w:val="00103459"/>
    <w:rsid w:val="001048EB"/>
    <w:rsid w:val="00104EAB"/>
    <w:rsid w:val="00111BA8"/>
    <w:rsid w:val="00112BE4"/>
    <w:rsid w:val="0011478C"/>
    <w:rsid w:val="001155E7"/>
    <w:rsid w:val="00115608"/>
    <w:rsid w:val="00115EC1"/>
    <w:rsid w:val="00116081"/>
    <w:rsid w:val="00117179"/>
    <w:rsid w:val="00120664"/>
    <w:rsid w:val="00122022"/>
    <w:rsid w:val="0012282C"/>
    <w:rsid w:val="00123339"/>
    <w:rsid w:val="00125CB3"/>
    <w:rsid w:val="00131852"/>
    <w:rsid w:val="00132F83"/>
    <w:rsid w:val="00134E99"/>
    <w:rsid w:val="0013597A"/>
    <w:rsid w:val="00135BC3"/>
    <w:rsid w:val="00136991"/>
    <w:rsid w:val="001377DF"/>
    <w:rsid w:val="001429A7"/>
    <w:rsid w:val="00144BCE"/>
    <w:rsid w:val="001459AD"/>
    <w:rsid w:val="00147739"/>
    <w:rsid w:val="0015081A"/>
    <w:rsid w:val="001509BC"/>
    <w:rsid w:val="0015152F"/>
    <w:rsid w:val="00154752"/>
    <w:rsid w:val="00155541"/>
    <w:rsid w:val="0016175F"/>
    <w:rsid w:val="00162934"/>
    <w:rsid w:val="00162B1D"/>
    <w:rsid w:val="001646E8"/>
    <w:rsid w:val="001663CB"/>
    <w:rsid w:val="001677F8"/>
    <w:rsid w:val="00172E9E"/>
    <w:rsid w:val="00177EFB"/>
    <w:rsid w:val="00180024"/>
    <w:rsid w:val="00183028"/>
    <w:rsid w:val="00185347"/>
    <w:rsid w:val="00191209"/>
    <w:rsid w:val="0019168E"/>
    <w:rsid w:val="001922F0"/>
    <w:rsid w:val="00192C8E"/>
    <w:rsid w:val="00192FC7"/>
    <w:rsid w:val="00193393"/>
    <w:rsid w:val="001940B8"/>
    <w:rsid w:val="001971A5"/>
    <w:rsid w:val="001A3D57"/>
    <w:rsid w:val="001A4C39"/>
    <w:rsid w:val="001A56B4"/>
    <w:rsid w:val="001A5BDE"/>
    <w:rsid w:val="001A6F57"/>
    <w:rsid w:val="001B1116"/>
    <w:rsid w:val="001B1BCE"/>
    <w:rsid w:val="001B35DC"/>
    <w:rsid w:val="001B56D0"/>
    <w:rsid w:val="001B62FA"/>
    <w:rsid w:val="001B7836"/>
    <w:rsid w:val="001C1E80"/>
    <w:rsid w:val="001C276A"/>
    <w:rsid w:val="001C4325"/>
    <w:rsid w:val="001C49DE"/>
    <w:rsid w:val="001C5BD3"/>
    <w:rsid w:val="001C6A7F"/>
    <w:rsid w:val="001D1E44"/>
    <w:rsid w:val="001D26C5"/>
    <w:rsid w:val="001D2822"/>
    <w:rsid w:val="001D288C"/>
    <w:rsid w:val="001D6675"/>
    <w:rsid w:val="001D7F02"/>
    <w:rsid w:val="001E4044"/>
    <w:rsid w:val="001E4403"/>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10E09"/>
    <w:rsid w:val="00211C7E"/>
    <w:rsid w:val="002126BF"/>
    <w:rsid w:val="00212D3B"/>
    <w:rsid w:val="00214B20"/>
    <w:rsid w:val="0021500E"/>
    <w:rsid w:val="0021654F"/>
    <w:rsid w:val="00216AA0"/>
    <w:rsid w:val="00216E01"/>
    <w:rsid w:val="002207CF"/>
    <w:rsid w:val="00222B18"/>
    <w:rsid w:val="00222EE0"/>
    <w:rsid w:val="0022314C"/>
    <w:rsid w:val="002247D3"/>
    <w:rsid w:val="00225B27"/>
    <w:rsid w:val="0023118C"/>
    <w:rsid w:val="002314A5"/>
    <w:rsid w:val="00231561"/>
    <w:rsid w:val="002315C1"/>
    <w:rsid w:val="002335D7"/>
    <w:rsid w:val="002369D3"/>
    <w:rsid w:val="00236D8E"/>
    <w:rsid w:val="002410E4"/>
    <w:rsid w:val="00243E8F"/>
    <w:rsid w:val="002448B2"/>
    <w:rsid w:val="00252AF1"/>
    <w:rsid w:val="00252B07"/>
    <w:rsid w:val="00254B71"/>
    <w:rsid w:val="0026070D"/>
    <w:rsid w:val="002607C6"/>
    <w:rsid w:val="002623BC"/>
    <w:rsid w:val="00263363"/>
    <w:rsid w:val="00265543"/>
    <w:rsid w:val="002656DC"/>
    <w:rsid w:val="002667BC"/>
    <w:rsid w:val="00272E63"/>
    <w:rsid w:val="00273EA6"/>
    <w:rsid w:val="00274A31"/>
    <w:rsid w:val="00276069"/>
    <w:rsid w:val="002761D8"/>
    <w:rsid w:val="002765A6"/>
    <w:rsid w:val="002768C7"/>
    <w:rsid w:val="00277121"/>
    <w:rsid w:val="00277989"/>
    <w:rsid w:val="002801E7"/>
    <w:rsid w:val="00280544"/>
    <w:rsid w:val="002809AE"/>
    <w:rsid w:val="00281261"/>
    <w:rsid w:val="00282094"/>
    <w:rsid w:val="002825E4"/>
    <w:rsid w:val="0028341C"/>
    <w:rsid w:val="0028581E"/>
    <w:rsid w:val="00290175"/>
    <w:rsid w:val="00290F26"/>
    <w:rsid w:val="00291B59"/>
    <w:rsid w:val="00291BAB"/>
    <w:rsid w:val="002931D1"/>
    <w:rsid w:val="00293E03"/>
    <w:rsid w:val="002976C5"/>
    <w:rsid w:val="00297991"/>
    <w:rsid w:val="002A00E1"/>
    <w:rsid w:val="002A062B"/>
    <w:rsid w:val="002A1F3A"/>
    <w:rsid w:val="002A25DD"/>
    <w:rsid w:val="002A3B46"/>
    <w:rsid w:val="002A44CE"/>
    <w:rsid w:val="002A5130"/>
    <w:rsid w:val="002A5C98"/>
    <w:rsid w:val="002A77F2"/>
    <w:rsid w:val="002A7EAB"/>
    <w:rsid w:val="002B004E"/>
    <w:rsid w:val="002B0E7C"/>
    <w:rsid w:val="002B140D"/>
    <w:rsid w:val="002B1826"/>
    <w:rsid w:val="002B524C"/>
    <w:rsid w:val="002C1757"/>
    <w:rsid w:val="002C18ED"/>
    <w:rsid w:val="002C5DBE"/>
    <w:rsid w:val="002D00EC"/>
    <w:rsid w:val="002D2F52"/>
    <w:rsid w:val="002D365E"/>
    <w:rsid w:val="002D40F8"/>
    <w:rsid w:val="002D43F8"/>
    <w:rsid w:val="002D5D14"/>
    <w:rsid w:val="002D5F15"/>
    <w:rsid w:val="002D64C8"/>
    <w:rsid w:val="002E01A9"/>
    <w:rsid w:val="002E33A0"/>
    <w:rsid w:val="002E45AA"/>
    <w:rsid w:val="002E704C"/>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179C6"/>
    <w:rsid w:val="0032199A"/>
    <w:rsid w:val="00321F71"/>
    <w:rsid w:val="00323507"/>
    <w:rsid w:val="00326D36"/>
    <w:rsid w:val="00326EC9"/>
    <w:rsid w:val="00331EB7"/>
    <w:rsid w:val="00331EE7"/>
    <w:rsid w:val="00332A81"/>
    <w:rsid w:val="0033500C"/>
    <w:rsid w:val="00335ACF"/>
    <w:rsid w:val="003369AC"/>
    <w:rsid w:val="003375CB"/>
    <w:rsid w:val="0034109E"/>
    <w:rsid w:val="00343877"/>
    <w:rsid w:val="003476FE"/>
    <w:rsid w:val="00353FE4"/>
    <w:rsid w:val="00354242"/>
    <w:rsid w:val="003549C9"/>
    <w:rsid w:val="00354F35"/>
    <w:rsid w:val="003611B2"/>
    <w:rsid w:val="0036343D"/>
    <w:rsid w:val="00363BA0"/>
    <w:rsid w:val="003643F9"/>
    <w:rsid w:val="00366AFE"/>
    <w:rsid w:val="0037028E"/>
    <w:rsid w:val="003707E9"/>
    <w:rsid w:val="00371B54"/>
    <w:rsid w:val="00371C0B"/>
    <w:rsid w:val="00371EE3"/>
    <w:rsid w:val="0037240B"/>
    <w:rsid w:val="0037494C"/>
    <w:rsid w:val="00375262"/>
    <w:rsid w:val="00376548"/>
    <w:rsid w:val="00377599"/>
    <w:rsid w:val="00381FE7"/>
    <w:rsid w:val="00383402"/>
    <w:rsid w:val="00384250"/>
    <w:rsid w:val="00384B47"/>
    <w:rsid w:val="00386988"/>
    <w:rsid w:val="00390F5C"/>
    <w:rsid w:val="0039121B"/>
    <w:rsid w:val="00392C9D"/>
    <w:rsid w:val="003957AD"/>
    <w:rsid w:val="003A0E93"/>
    <w:rsid w:val="003A78CC"/>
    <w:rsid w:val="003A7AD7"/>
    <w:rsid w:val="003A7F1F"/>
    <w:rsid w:val="003B3357"/>
    <w:rsid w:val="003B3E1C"/>
    <w:rsid w:val="003B4209"/>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076"/>
    <w:rsid w:val="003F52BC"/>
    <w:rsid w:val="003F5B6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4AE4"/>
    <w:rsid w:val="00416009"/>
    <w:rsid w:val="0041614E"/>
    <w:rsid w:val="00420D99"/>
    <w:rsid w:val="00421468"/>
    <w:rsid w:val="004217D7"/>
    <w:rsid w:val="00421EAE"/>
    <w:rsid w:val="00423E08"/>
    <w:rsid w:val="0042425D"/>
    <w:rsid w:val="0042607D"/>
    <w:rsid w:val="00427099"/>
    <w:rsid w:val="00431219"/>
    <w:rsid w:val="0043148E"/>
    <w:rsid w:val="00431BC7"/>
    <w:rsid w:val="004361E6"/>
    <w:rsid w:val="004420C3"/>
    <w:rsid w:val="004469B2"/>
    <w:rsid w:val="00452254"/>
    <w:rsid w:val="00452F56"/>
    <w:rsid w:val="00453E48"/>
    <w:rsid w:val="00454D3C"/>
    <w:rsid w:val="004628D0"/>
    <w:rsid w:val="0046461E"/>
    <w:rsid w:val="004652E0"/>
    <w:rsid w:val="00466992"/>
    <w:rsid w:val="00466C2E"/>
    <w:rsid w:val="004675DB"/>
    <w:rsid w:val="00467CA1"/>
    <w:rsid w:val="00472E7D"/>
    <w:rsid w:val="00473794"/>
    <w:rsid w:val="00474D1D"/>
    <w:rsid w:val="00475917"/>
    <w:rsid w:val="00475FAD"/>
    <w:rsid w:val="00477544"/>
    <w:rsid w:val="00480100"/>
    <w:rsid w:val="004801D1"/>
    <w:rsid w:val="00480227"/>
    <w:rsid w:val="004828F4"/>
    <w:rsid w:val="00483D94"/>
    <w:rsid w:val="00487562"/>
    <w:rsid w:val="00492784"/>
    <w:rsid w:val="00493113"/>
    <w:rsid w:val="004934F0"/>
    <w:rsid w:val="0049391E"/>
    <w:rsid w:val="004946D0"/>
    <w:rsid w:val="00494E33"/>
    <w:rsid w:val="004967FD"/>
    <w:rsid w:val="004968D3"/>
    <w:rsid w:val="004A00F3"/>
    <w:rsid w:val="004A02EC"/>
    <w:rsid w:val="004A037A"/>
    <w:rsid w:val="004A4600"/>
    <w:rsid w:val="004A4E88"/>
    <w:rsid w:val="004A749A"/>
    <w:rsid w:val="004B10E0"/>
    <w:rsid w:val="004B2B41"/>
    <w:rsid w:val="004B3187"/>
    <w:rsid w:val="004B355B"/>
    <w:rsid w:val="004C01C3"/>
    <w:rsid w:val="004C029F"/>
    <w:rsid w:val="004C3AF4"/>
    <w:rsid w:val="004C4368"/>
    <w:rsid w:val="004C5D73"/>
    <w:rsid w:val="004C6918"/>
    <w:rsid w:val="004C7433"/>
    <w:rsid w:val="004D042E"/>
    <w:rsid w:val="004D0A48"/>
    <w:rsid w:val="004D4633"/>
    <w:rsid w:val="004D4E2C"/>
    <w:rsid w:val="004D5937"/>
    <w:rsid w:val="004D5B5F"/>
    <w:rsid w:val="004D5E4B"/>
    <w:rsid w:val="004D7165"/>
    <w:rsid w:val="004E0753"/>
    <w:rsid w:val="004E148F"/>
    <w:rsid w:val="004E2694"/>
    <w:rsid w:val="004E3EC8"/>
    <w:rsid w:val="004E3FBF"/>
    <w:rsid w:val="004F4077"/>
    <w:rsid w:val="004F4341"/>
    <w:rsid w:val="004F74DA"/>
    <w:rsid w:val="00502E01"/>
    <w:rsid w:val="00503D84"/>
    <w:rsid w:val="00504C2E"/>
    <w:rsid w:val="00507935"/>
    <w:rsid w:val="00510C51"/>
    <w:rsid w:val="00511660"/>
    <w:rsid w:val="005131BF"/>
    <w:rsid w:val="00513844"/>
    <w:rsid w:val="005159A6"/>
    <w:rsid w:val="00520EA4"/>
    <w:rsid w:val="00521157"/>
    <w:rsid w:val="00521215"/>
    <w:rsid w:val="00523719"/>
    <w:rsid w:val="00524505"/>
    <w:rsid w:val="00525093"/>
    <w:rsid w:val="005269CB"/>
    <w:rsid w:val="00527A67"/>
    <w:rsid w:val="0053107A"/>
    <w:rsid w:val="00531AA2"/>
    <w:rsid w:val="00532C25"/>
    <w:rsid w:val="00533FFB"/>
    <w:rsid w:val="00535680"/>
    <w:rsid w:val="00537FCE"/>
    <w:rsid w:val="005405FD"/>
    <w:rsid w:val="00542532"/>
    <w:rsid w:val="00542BAA"/>
    <w:rsid w:val="00546BCE"/>
    <w:rsid w:val="00546D99"/>
    <w:rsid w:val="00547B5E"/>
    <w:rsid w:val="00551D30"/>
    <w:rsid w:val="00553C2C"/>
    <w:rsid w:val="00555A98"/>
    <w:rsid w:val="00555D9A"/>
    <w:rsid w:val="00557E00"/>
    <w:rsid w:val="00561AFE"/>
    <w:rsid w:val="00562458"/>
    <w:rsid w:val="00566104"/>
    <w:rsid w:val="0056758A"/>
    <w:rsid w:val="005677C4"/>
    <w:rsid w:val="005723A5"/>
    <w:rsid w:val="005725B2"/>
    <w:rsid w:val="00572BC7"/>
    <w:rsid w:val="005736F9"/>
    <w:rsid w:val="0057435F"/>
    <w:rsid w:val="00575AE8"/>
    <w:rsid w:val="0057627B"/>
    <w:rsid w:val="005768E7"/>
    <w:rsid w:val="00577FBA"/>
    <w:rsid w:val="0058071B"/>
    <w:rsid w:val="00581391"/>
    <w:rsid w:val="00581BE4"/>
    <w:rsid w:val="005820F6"/>
    <w:rsid w:val="00582CC0"/>
    <w:rsid w:val="00584949"/>
    <w:rsid w:val="00584A24"/>
    <w:rsid w:val="00585373"/>
    <w:rsid w:val="00586238"/>
    <w:rsid w:val="00586590"/>
    <w:rsid w:val="005919F1"/>
    <w:rsid w:val="00591F94"/>
    <w:rsid w:val="00592204"/>
    <w:rsid w:val="00593C5C"/>
    <w:rsid w:val="00594F58"/>
    <w:rsid w:val="005976D5"/>
    <w:rsid w:val="005A2B12"/>
    <w:rsid w:val="005A3629"/>
    <w:rsid w:val="005A7957"/>
    <w:rsid w:val="005B09A6"/>
    <w:rsid w:val="005B22DE"/>
    <w:rsid w:val="005B2A40"/>
    <w:rsid w:val="005B30A9"/>
    <w:rsid w:val="005B577E"/>
    <w:rsid w:val="005C2052"/>
    <w:rsid w:val="005C6267"/>
    <w:rsid w:val="005C692E"/>
    <w:rsid w:val="005C74CA"/>
    <w:rsid w:val="005D047C"/>
    <w:rsid w:val="005D1C4C"/>
    <w:rsid w:val="005D3C52"/>
    <w:rsid w:val="005D3C89"/>
    <w:rsid w:val="005D5D09"/>
    <w:rsid w:val="005E02E6"/>
    <w:rsid w:val="005E26F8"/>
    <w:rsid w:val="005E2D9D"/>
    <w:rsid w:val="005E3007"/>
    <w:rsid w:val="005E438B"/>
    <w:rsid w:val="005F2967"/>
    <w:rsid w:val="005F7C50"/>
    <w:rsid w:val="006009F4"/>
    <w:rsid w:val="0060189A"/>
    <w:rsid w:val="006019AC"/>
    <w:rsid w:val="0060421B"/>
    <w:rsid w:val="00604BA3"/>
    <w:rsid w:val="00607572"/>
    <w:rsid w:val="00610301"/>
    <w:rsid w:val="00612FF4"/>
    <w:rsid w:val="00613F2A"/>
    <w:rsid w:val="006153FF"/>
    <w:rsid w:val="00616367"/>
    <w:rsid w:val="006167C1"/>
    <w:rsid w:val="00616B82"/>
    <w:rsid w:val="00617B9D"/>
    <w:rsid w:val="00620291"/>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45195"/>
    <w:rsid w:val="00646CBA"/>
    <w:rsid w:val="00650E00"/>
    <w:rsid w:val="00651FF5"/>
    <w:rsid w:val="0065259D"/>
    <w:rsid w:val="00653A96"/>
    <w:rsid w:val="00654B6A"/>
    <w:rsid w:val="006568C2"/>
    <w:rsid w:val="00660B38"/>
    <w:rsid w:val="00660D2A"/>
    <w:rsid w:val="006620AB"/>
    <w:rsid w:val="006622CE"/>
    <w:rsid w:val="0066307C"/>
    <w:rsid w:val="00663A4C"/>
    <w:rsid w:val="00664CE8"/>
    <w:rsid w:val="006660BA"/>
    <w:rsid w:val="00666D99"/>
    <w:rsid w:val="00667CA3"/>
    <w:rsid w:val="00670505"/>
    <w:rsid w:val="00670D0B"/>
    <w:rsid w:val="00671243"/>
    <w:rsid w:val="00672F48"/>
    <w:rsid w:val="00673552"/>
    <w:rsid w:val="00674C44"/>
    <w:rsid w:val="0067610C"/>
    <w:rsid w:val="006766D0"/>
    <w:rsid w:val="00677928"/>
    <w:rsid w:val="00681767"/>
    <w:rsid w:val="0068576D"/>
    <w:rsid w:val="00686903"/>
    <w:rsid w:val="00691848"/>
    <w:rsid w:val="006929BC"/>
    <w:rsid w:val="00695E4E"/>
    <w:rsid w:val="00697994"/>
    <w:rsid w:val="006A31D0"/>
    <w:rsid w:val="006A3FC1"/>
    <w:rsid w:val="006A4AB4"/>
    <w:rsid w:val="006A6121"/>
    <w:rsid w:val="006B131A"/>
    <w:rsid w:val="006B1C1F"/>
    <w:rsid w:val="006B2EB4"/>
    <w:rsid w:val="006C1723"/>
    <w:rsid w:val="006C400E"/>
    <w:rsid w:val="006C4C18"/>
    <w:rsid w:val="006C7DAA"/>
    <w:rsid w:val="006D151C"/>
    <w:rsid w:val="006D185F"/>
    <w:rsid w:val="006D1BCF"/>
    <w:rsid w:val="006D2F90"/>
    <w:rsid w:val="006D5928"/>
    <w:rsid w:val="006D5DA8"/>
    <w:rsid w:val="006D6BFF"/>
    <w:rsid w:val="006D78F8"/>
    <w:rsid w:val="006E148C"/>
    <w:rsid w:val="006E5A3E"/>
    <w:rsid w:val="006E64B6"/>
    <w:rsid w:val="006E65AE"/>
    <w:rsid w:val="006F0A02"/>
    <w:rsid w:val="006F434D"/>
    <w:rsid w:val="006F438B"/>
    <w:rsid w:val="00700B9B"/>
    <w:rsid w:val="00701C48"/>
    <w:rsid w:val="00701D29"/>
    <w:rsid w:val="00702596"/>
    <w:rsid w:val="007032DB"/>
    <w:rsid w:val="00703A95"/>
    <w:rsid w:val="00703DC2"/>
    <w:rsid w:val="007046A6"/>
    <w:rsid w:val="007047DF"/>
    <w:rsid w:val="00704D95"/>
    <w:rsid w:val="00705F65"/>
    <w:rsid w:val="00706C4A"/>
    <w:rsid w:val="007073CA"/>
    <w:rsid w:val="00710E9E"/>
    <w:rsid w:val="00713779"/>
    <w:rsid w:val="0071640C"/>
    <w:rsid w:val="00716DE9"/>
    <w:rsid w:val="0072147C"/>
    <w:rsid w:val="00721920"/>
    <w:rsid w:val="00721A79"/>
    <w:rsid w:val="0072399A"/>
    <w:rsid w:val="00724DED"/>
    <w:rsid w:val="0072639B"/>
    <w:rsid w:val="00731149"/>
    <w:rsid w:val="00732E26"/>
    <w:rsid w:val="00733F0D"/>
    <w:rsid w:val="00734269"/>
    <w:rsid w:val="00737E2E"/>
    <w:rsid w:val="0074109A"/>
    <w:rsid w:val="0074150D"/>
    <w:rsid w:val="00741B34"/>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6AF5"/>
    <w:rsid w:val="0077796A"/>
    <w:rsid w:val="00777CC7"/>
    <w:rsid w:val="00780615"/>
    <w:rsid w:val="00781688"/>
    <w:rsid w:val="0078195B"/>
    <w:rsid w:val="007821D4"/>
    <w:rsid w:val="00783E75"/>
    <w:rsid w:val="00787096"/>
    <w:rsid w:val="007877F2"/>
    <w:rsid w:val="00787AF7"/>
    <w:rsid w:val="00792B6D"/>
    <w:rsid w:val="007943B2"/>
    <w:rsid w:val="00795976"/>
    <w:rsid w:val="007978F1"/>
    <w:rsid w:val="007A0980"/>
    <w:rsid w:val="007A1FC2"/>
    <w:rsid w:val="007A3640"/>
    <w:rsid w:val="007A39CA"/>
    <w:rsid w:val="007A3F82"/>
    <w:rsid w:val="007A4D1C"/>
    <w:rsid w:val="007A4D5F"/>
    <w:rsid w:val="007A61DC"/>
    <w:rsid w:val="007A7F05"/>
    <w:rsid w:val="007B068C"/>
    <w:rsid w:val="007B212A"/>
    <w:rsid w:val="007B225B"/>
    <w:rsid w:val="007B26B6"/>
    <w:rsid w:val="007B2AD5"/>
    <w:rsid w:val="007B4709"/>
    <w:rsid w:val="007B6048"/>
    <w:rsid w:val="007C318D"/>
    <w:rsid w:val="007C335F"/>
    <w:rsid w:val="007C6482"/>
    <w:rsid w:val="007D3182"/>
    <w:rsid w:val="007D7A5E"/>
    <w:rsid w:val="007E0C76"/>
    <w:rsid w:val="007E1A77"/>
    <w:rsid w:val="007E2B0C"/>
    <w:rsid w:val="007E3D43"/>
    <w:rsid w:val="007E4CA7"/>
    <w:rsid w:val="007E51A5"/>
    <w:rsid w:val="007E5517"/>
    <w:rsid w:val="007E69EC"/>
    <w:rsid w:val="007F10AC"/>
    <w:rsid w:val="007F3BD3"/>
    <w:rsid w:val="007F4C1E"/>
    <w:rsid w:val="007F648B"/>
    <w:rsid w:val="00800E7E"/>
    <w:rsid w:val="0080132D"/>
    <w:rsid w:val="00801FDA"/>
    <w:rsid w:val="00802EED"/>
    <w:rsid w:val="00805899"/>
    <w:rsid w:val="00805A6E"/>
    <w:rsid w:val="0080677F"/>
    <w:rsid w:val="00813951"/>
    <w:rsid w:val="00814CC1"/>
    <w:rsid w:val="008168C2"/>
    <w:rsid w:val="008175C6"/>
    <w:rsid w:val="0081785A"/>
    <w:rsid w:val="00817F17"/>
    <w:rsid w:val="00820979"/>
    <w:rsid w:val="00821D14"/>
    <w:rsid w:val="00822588"/>
    <w:rsid w:val="0082360E"/>
    <w:rsid w:val="00824395"/>
    <w:rsid w:val="0083359B"/>
    <w:rsid w:val="008344BD"/>
    <w:rsid w:val="008349BF"/>
    <w:rsid w:val="00842549"/>
    <w:rsid w:val="0084617D"/>
    <w:rsid w:val="00846896"/>
    <w:rsid w:val="008474C5"/>
    <w:rsid w:val="00850436"/>
    <w:rsid w:val="008514BA"/>
    <w:rsid w:val="00851515"/>
    <w:rsid w:val="00851ABB"/>
    <w:rsid w:val="00851F5B"/>
    <w:rsid w:val="008525D1"/>
    <w:rsid w:val="00852F6E"/>
    <w:rsid w:val="00855E12"/>
    <w:rsid w:val="00860797"/>
    <w:rsid w:val="00860E75"/>
    <w:rsid w:val="00860EF8"/>
    <w:rsid w:val="0086117E"/>
    <w:rsid w:val="008613E2"/>
    <w:rsid w:val="00861526"/>
    <w:rsid w:val="008621FD"/>
    <w:rsid w:val="0086291B"/>
    <w:rsid w:val="00865FAA"/>
    <w:rsid w:val="00866CBA"/>
    <w:rsid w:val="00867C2E"/>
    <w:rsid w:val="00873144"/>
    <w:rsid w:val="00873471"/>
    <w:rsid w:val="008737C8"/>
    <w:rsid w:val="008760CF"/>
    <w:rsid w:val="0087667A"/>
    <w:rsid w:val="00876912"/>
    <w:rsid w:val="00876E77"/>
    <w:rsid w:val="0087724A"/>
    <w:rsid w:val="00877CE0"/>
    <w:rsid w:val="00882BFF"/>
    <w:rsid w:val="008851C4"/>
    <w:rsid w:val="008853DE"/>
    <w:rsid w:val="00887747"/>
    <w:rsid w:val="00887BA5"/>
    <w:rsid w:val="00891C5F"/>
    <w:rsid w:val="00892F8C"/>
    <w:rsid w:val="00894360"/>
    <w:rsid w:val="00895F4C"/>
    <w:rsid w:val="0089618B"/>
    <w:rsid w:val="00897828"/>
    <w:rsid w:val="00897CEF"/>
    <w:rsid w:val="00897DA4"/>
    <w:rsid w:val="008A08CC"/>
    <w:rsid w:val="008A21B2"/>
    <w:rsid w:val="008A2FB4"/>
    <w:rsid w:val="008A4DBE"/>
    <w:rsid w:val="008A528E"/>
    <w:rsid w:val="008A5809"/>
    <w:rsid w:val="008A5BDD"/>
    <w:rsid w:val="008A6912"/>
    <w:rsid w:val="008B0040"/>
    <w:rsid w:val="008B07BB"/>
    <w:rsid w:val="008B29CB"/>
    <w:rsid w:val="008B5B1C"/>
    <w:rsid w:val="008B6B34"/>
    <w:rsid w:val="008C1D1E"/>
    <w:rsid w:val="008C2FCB"/>
    <w:rsid w:val="008C5AAD"/>
    <w:rsid w:val="008C74BE"/>
    <w:rsid w:val="008C7FB1"/>
    <w:rsid w:val="008D03ED"/>
    <w:rsid w:val="008D060E"/>
    <w:rsid w:val="008D3D23"/>
    <w:rsid w:val="008D736F"/>
    <w:rsid w:val="008D7589"/>
    <w:rsid w:val="008D7FD3"/>
    <w:rsid w:val="008E3FB0"/>
    <w:rsid w:val="008E50AB"/>
    <w:rsid w:val="008F09DA"/>
    <w:rsid w:val="008F26EB"/>
    <w:rsid w:val="008F3269"/>
    <w:rsid w:val="008F32F2"/>
    <w:rsid w:val="008F3E71"/>
    <w:rsid w:val="008F4090"/>
    <w:rsid w:val="008F5714"/>
    <w:rsid w:val="008F775A"/>
    <w:rsid w:val="009003F7"/>
    <w:rsid w:val="009004C7"/>
    <w:rsid w:val="0090061C"/>
    <w:rsid w:val="00903F38"/>
    <w:rsid w:val="0090481C"/>
    <w:rsid w:val="0090519E"/>
    <w:rsid w:val="00905E6C"/>
    <w:rsid w:val="0090668E"/>
    <w:rsid w:val="0091022B"/>
    <w:rsid w:val="009175CC"/>
    <w:rsid w:val="00920DB4"/>
    <w:rsid w:val="009227B3"/>
    <w:rsid w:val="00922D03"/>
    <w:rsid w:val="00923A48"/>
    <w:rsid w:val="00927503"/>
    <w:rsid w:val="00927838"/>
    <w:rsid w:val="0093062E"/>
    <w:rsid w:val="00931060"/>
    <w:rsid w:val="00931DE4"/>
    <w:rsid w:val="00934F45"/>
    <w:rsid w:val="0093655F"/>
    <w:rsid w:val="00936BDF"/>
    <w:rsid w:val="00937409"/>
    <w:rsid w:val="00940597"/>
    <w:rsid w:val="009407D6"/>
    <w:rsid w:val="0094249B"/>
    <w:rsid w:val="009424EB"/>
    <w:rsid w:val="0094373E"/>
    <w:rsid w:val="009439D8"/>
    <w:rsid w:val="009448C8"/>
    <w:rsid w:val="009455E6"/>
    <w:rsid w:val="00947C70"/>
    <w:rsid w:val="00950FA2"/>
    <w:rsid w:val="009510C5"/>
    <w:rsid w:val="009511F4"/>
    <w:rsid w:val="0095309F"/>
    <w:rsid w:val="00953756"/>
    <w:rsid w:val="009542CB"/>
    <w:rsid w:val="00954D0E"/>
    <w:rsid w:val="00956506"/>
    <w:rsid w:val="00956A58"/>
    <w:rsid w:val="00960851"/>
    <w:rsid w:val="009608E2"/>
    <w:rsid w:val="00960C2D"/>
    <w:rsid w:val="00963A63"/>
    <w:rsid w:val="00965F59"/>
    <w:rsid w:val="00971E1A"/>
    <w:rsid w:val="0097249A"/>
    <w:rsid w:val="00972BFD"/>
    <w:rsid w:val="00973235"/>
    <w:rsid w:val="009733CE"/>
    <w:rsid w:val="0097605D"/>
    <w:rsid w:val="0097727F"/>
    <w:rsid w:val="00977798"/>
    <w:rsid w:val="00980148"/>
    <w:rsid w:val="00981DF3"/>
    <w:rsid w:val="00982EDF"/>
    <w:rsid w:val="00985BA9"/>
    <w:rsid w:val="00986E30"/>
    <w:rsid w:val="00990210"/>
    <w:rsid w:val="009918CB"/>
    <w:rsid w:val="00993D69"/>
    <w:rsid w:val="0099676C"/>
    <w:rsid w:val="009978DA"/>
    <w:rsid w:val="009A0421"/>
    <w:rsid w:val="009A0545"/>
    <w:rsid w:val="009A451E"/>
    <w:rsid w:val="009A5C4D"/>
    <w:rsid w:val="009A60C1"/>
    <w:rsid w:val="009A6DFD"/>
    <w:rsid w:val="009A7999"/>
    <w:rsid w:val="009B1940"/>
    <w:rsid w:val="009C1F92"/>
    <w:rsid w:val="009C3E84"/>
    <w:rsid w:val="009C4C67"/>
    <w:rsid w:val="009C6135"/>
    <w:rsid w:val="009C76A9"/>
    <w:rsid w:val="009D053D"/>
    <w:rsid w:val="009D0B8F"/>
    <w:rsid w:val="009D0BCF"/>
    <w:rsid w:val="009D0FBB"/>
    <w:rsid w:val="009D1593"/>
    <w:rsid w:val="009D2710"/>
    <w:rsid w:val="009D3370"/>
    <w:rsid w:val="009D4838"/>
    <w:rsid w:val="009D545D"/>
    <w:rsid w:val="009D55A2"/>
    <w:rsid w:val="009D5630"/>
    <w:rsid w:val="009D5C3D"/>
    <w:rsid w:val="009D6F73"/>
    <w:rsid w:val="009E03B9"/>
    <w:rsid w:val="009E0F0C"/>
    <w:rsid w:val="009E121D"/>
    <w:rsid w:val="009E1351"/>
    <w:rsid w:val="009E15D9"/>
    <w:rsid w:val="009E440D"/>
    <w:rsid w:val="009E5B89"/>
    <w:rsid w:val="009F1D1E"/>
    <w:rsid w:val="009F365F"/>
    <w:rsid w:val="009F4F3F"/>
    <w:rsid w:val="009F5BA9"/>
    <w:rsid w:val="00A002AD"/>
    <w:rsid w:val="00A01F7B"/>
    <w:rsid w:val="00A01FB7"/>
    <w:rsid w:val="00A07911"/>
    <w:rsid w:val="00A10662"/>
    <w:rsid w:val="00A1312B"/>
    <w:rsid w:val="00A14146"/>
    <w:rsid w:val="00A14540"/>
    <w:rsid w:val="00A145FF"/>
    <w:rsid w:val="00A1483E"/>
    <w:rsid w:val="00A1486D"/>
    <w:rsid w:val="00A15027"/>
    <w:rsid w:val="00A15737"/>
    <w:rsid w:val="00A15B0A"/>
    <w:rsid w:val="00A16950"/>
    <w:rsid w:val="00A23602"/>
    <w:rsid w:val="00A24BB0"/>
    <w:rsid w:val="00A255E6"/>
    <w:rsid w:val="00A25CDD"/>
    <w:rsid w:val="00A26518"/>
    <w:rsid w:val="00A2684A"/>
    <w:rsid w:val="00A30821"/>
    <w:rsid w:val="00A30BBD"/>
    <w:rsid w:val="00A3253A"/>
    <w:rsid w:val="00A33409"/>
    <w:rsid w:val="00A3424A"/>
    <w:rsid w:val="00A34BEA"/>
    <w:rsid w:val="00A35B9F"/>
    <w:rsid w:val="00A36245"/>
    <w:rsid w:val="00A37208"/>
    <w:rsid w:val="00A44863"/>
    <w:rsid w:val="00A44A1A"/>
    <w:rsid w:val="00A45C86"/>
    <w:rsid w:val="00A47E18"/>
    <w:rsid w:val="00A505F8"/>
    <w:rsid w:val="00A51235"/>
    <w:rsid w:val="00A515DE"/>
    <w:rsid w:val="00A526F4"/>
    <w:rsid w:val="00A53787"/>
    <w:rsid w:val="00A53987"/>
    <w:rsid w:val="00A540E1"/>
    <w:rsid w:val="00A541BC"/>
    <w:rsid w:val="00A55B1A"/>
    <w:rsid w:val="00A55B8B"/>
    <w:rsid w:val="00A605F2"/>
    <w:rsid w:val="00A664C4"/>
    <w:rsid w:val="00A66FE4"/>
    <w:rsid w:val="00A704D0"/>
    <w:rsid w:val="00A71715"/>
    <w:rsid w:val="00A7242F"/>
    <w:rsid w:val="00A72AFD"/>
    <w:rsid w:val="00A7351A"/>
    <w:rsid w:val="00A735FA"/>
    <w:rsid w:val="00A74A96"/>
    <w:rsid w:val="00A74C47"/>
    <w:rsid w:val="00A763C9"/>
    <w:rsid w:val="00A766C6"/>
    <w:rsid w:val="00A77D9B"/>
    <w:rsid w:val="00A800C6"/>
    <w:rsid w:val="00A80673"/>
    <w:rsid w:val="00A83760"/>
    <w:rsid w:val="00A83F2B"/>
    <w:rsid w:val="00A87831"/>
    <w:rsid w:val="00A90778"/>
    <w:rsid w:val="00A916DF"/>
    <w:rsid w:val="00A94F0F"/>
    <w:rsid w:val="00A979BA"/>
    <w:rsid w:val="00AA1537"/>
    <w:rsid w:val="00AA2B7B"/>
    <w:rsid w:val="00AA34F0"/>
    <w:rsid w:val="00AA47DB"/>
    <w:rsid w:val="00AA4C13"/>
    <w:rsid w:val="00AA5B0C"/>
    <w:rsid w:val="00AA700C"/>
    <w:rsid w:val="00AB0551"/>
    <w:rsid w:val="00AB0DE5"/>
    <w:rsid w:val="00AB31AF"/>
    <w:rsid w:val="00AB434A"/>
    <w:rsid w:val="00AB7A8F"/>
    <w:rsid w:val="00AB7EEF"/>
    <w:rsid w:val="00AC0320"/>
    <w:rsid w:val="00AC0AEF"/>
    <w:rsid w:val="00AC49FC"/>
    <w:rsid w:val="00AC5F73"/>
    <w:rsid w:val="00AD1F41"/>
    <w:rsid w:val="00AD23DF"/>
    <w:rsid w:val="00AD3E70"/>
    <w:rsid w:val="00AD3F43"/>
    <w:rsid w:val="00AD6C35"/>
    <w:rsid w:val="00AE10CA"/>
    <w:rsid w:val="00AE2104"/>
    <w:rsid w:val="00AE2CC4"/>
    <w:rsid w:val="00AF0E6A"/>
    <w:rsid w:val="00AF1153"/>
    <w:rsid w:val="00AF20FF"/>
    <w:rsid w:val="00AF2254"/>
    <w:rsid w:val="00AF29A1"/>
    <w:rsid w:val="00AF421D"/>
    <w:rsid w:val="00AF53EF"/>
    <w:rsid w:val="00AF5EC4"/>
    <w:rsid w:val="00AF6927"/>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4559"/>
    <w:rsid w:val="00B258DC"/>
    <w:rsid w:val="00B263B2"/>
    <w:rsid w:val="00B26519"/>
    <w:rsid w:val="00B2715F"/>
    <w:rsid w:val="00B30404"/>
    <w:rsid w:val="00B30C86"/>
    <w:rsid w:val="00B3182C"/>
    <w:rsid w:val="00B31889"/>
    <w:rsid w:val="00B3231C"/>
    <w:rsid w:val="00B3599D"/>
    <w:rsid w:val="00B365F9"/>
    <w:rsid w:val="00B36A3D"/>
    <w:rsid w:val="00B409B2"/>
    <w:rsid w:val="00B416AD"/>
    <w:rsid w:val="00B41837"/>
    <w:rsid w:val="00B42335"/>
    <w:rsid w:val="00B42B71"/>
    <w:rsid w:val="00B438A1"/>
    <w:rsid w:val="00B43D66"/>
    <w:rsid w:val="00B44FEB"/>
    <w:rsid w:val="00B47D84"/>
    <w:rsid w:val="00B54AA7"/>
    <w:rsid w:val="00B564A9"/>
    <w:rsid w:val="00B610F3"/>
    <w:rsid w:val="00B61A0F"/>
    <w:rsid w:val="00B61CC6"/>
    <w:rsid w:val="00B63545"/>
    <w:rsid w:val="00B6479A"/>
    <w:rsid w:val="00B65F92"/>
    <w:rsid w:val="00B70B45"/>
    <w:rsid w:val="00B7123C"/>
    <w:rsid w:val="00B7329A"/>
    <w:rsid w:val="00B7468B"/>
    <w:rsid w:val="00B755BE"/>
    <w:rsid w:val="00B76E3D"/>
    <w:rsid w:val="00B77B08"/>
    <w:rsid w:val="00B81DAC"/>
    <w:rsid w:val="00B843B8"/>
    <w:rsid w:val="00B85409"/>
    <w:rsid w:val="00B85597"/>
    <w:rsid w:val="00B86235"/>
    <w:rsid w:val="00B86321"/>
    <w:rsid w:val="00B86501"/>
    <w:rsid w:val="00B879AA"/>
    <w:rsid w:val="00B9207A"/>
    <w:rsid w:val="00B9214F"/>
    <w:rsid w:val="00B94455"/>
    <w:rsid w:val="00B948D6"/>
    <w:rsid w:val="00B94979"/>
    <w:rsid w:val="00B94F90"/>
    <w:rsid w:val="00B979CC"/>
    <w:rsid w:val="00BA1CD5"/>
    <w:rsid w:val="00BA2C36"/>
    <w:rsid w:val="00BA381B"/>
    <w:rsid w:val="00BA77A0"/>
    <w:rsid w:val="00BB16DA"/>
    <w:rsid w:val="00BB21AF"/>
    <w:rsid w:val="00BB2F30"/>
    <w:rsid w:val="00BB391E"/>
    <w:rsid w:val="00BB4F41"/>
    <w:rsid w:val="00BB54FB"/>
    <w:rsid w:val="00BB5898"/>
    <w:rsid w:val="00BB637F"/>
    <w:rsid w:val="00BB7435"/>
    <w:rsid w:val="00BB750E"/>
    <w:rsid w:val="00BC02E2"/>
    <w:rsid w:val="00BC1053"/>
    <w:rsid w:val="00BC1CE8"/>
    <w:rsid w:val="00BC1D02"/>
    <w:rsid w:val="00BC24F5"/>
    <w:rsid w:val="00BC609D"/>
    <w:rsid w:val="00BC6D8F"/>
    <w:rsid w:val="00BD08B2"/>
    <w:rsid w:val="00BD1159"/>
    <w:rsid w:val="00BD3C90"/>
    <w:rsid w:val="00BD50A2"/>
    <w:rsid w:val="00BD5B4D"/>
    <w:rsid w:val="00BD753B"/>
    <w:rsid w:val="00BD7CA6"/>
    <w:rsid w:val="00BE004B"/>
    <w:rsid w:val="00BE0519"/>
    <w:rsid w:val="00BE0E14"/>
    <w:rsid w:val="00BE19A1"/>
    <w:rsid w:val="00BE2ED4"/>
    <w:rsid w:val="00BE4451"/>
    <w:rsid w:val="00BE78B0"/>
    <w:rsid w:val="00BF08B9"/>
    <w:rsid w:val="00BF109A"/>
    <w:rsid w:val="00BF1304"/>
    <w:rsid w:val="00BF3A2F"/>
    <w:rsid w:val="00BF3FA0"/>
    <w:rsid w:val="00BF4A13"/>
    <w:rsid w:val="00BF4C72"/>
    <w:rsid w:val="00BF54F0"/>
    <w:rsid w:val="00C008D1"/>
    <w:rsid w:val="00C01256"/>
    <w:rsid w:val="00C01B27"/>
    <w:rsid w:val="00C0362B"/>
    <w:rsid w:val="00C03D57"/>
    <w:rsid w:val="00C0456B"/>
    <w:rsid w:val="00C047C6"/>
    <w:rsid w:val="00C04CFB"/>
    <w:rsid w:val="00C04D0F"/>
    <w:rsid w:val="00C0539F"/>
    <w:rsid w:val="00C06535"/>
    <w:rsid w:val="00C0711C"/>
    <w:rsid w:val="00C1286A"/>
    <w:rsid w:val="00C134B5"/>
    <w:rsid w:val="00C17810"/>
    <w:rsid w:val="00C20D75"/>
    <w:rsid w:val="00C20F86"/>
    <w:rsid w:val="00C221ED"/>
    <w:rsid w:val="00C23D2A"/>
    <w:rsid w:val="00C2446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183F"/>
    <w:rsid w:val="00C62393"/>
    <w:rsid w:val="00C62AF6"/>
    <w:rsid w:val="00C6312B"/>
    <w:rsid w:val="00C639DF"/>
    <w:rsid w:val="00C649ED"/>
    <w:rsid w:val="00C64E01"/>
    <w:rsid w:val="00C70051"/>
    <w:rsid w:val="00C706CD"/>
    <w:rsid w:val="00C7249A"/>
    <w:rsid w:val="00C76672"/>
    <w:rsid w:val="00C76B52"/>
    <w:rsid w:val="00C774E0"/>
    <w:rsid w:val="00C779EC"/>
    <w:rsid w:val="00C802A1"/>
    <w:rsid w:val="00C81B80"/>
    <w:rsid w:val="00C81EBD"/>
    <w:rsid w:val="00C8285E"/>
    <w:rsid w:val="00C83C37"/>
    <w:rsid w:val="00C83DD9"/>
    <w:rsid w:val="00C848F6"/>
    <w:rsid w:val="00C8513A"/>
    <w:rsid w:val="00C85963"/>
    <w:rsid w:val="00C87087"/>
    <w:rsid w:val="00C876A3"/>
    <w:rsid w:val="00C87E7A"/>
    <w:rsid w:val="00C90DE3"/>
    <w:rsid w:val="00C97372"/>
    <w:rsid w:val="00C9745F"/>
    <w:rsid w:val="00C97DD3"/>
    <w:rsid w:val="00CA3635"/>
    <w:rsid w:val="00CA4367"/>
    <w:rsid w:val="00CA6208"/>
    <w:rsid w:val="00CA7849"/>
    <w:rsid w:val="00CB3448"/>
    <w:rsid w:val="00CB3FAD"/>
    <w:rsid w:val="00CB48C2"/>
    <w:rsid w:val="00CB5B4E"/>
    <w:rsid w:val="00CB63AE"/>
    <w:rsid w:val="00CB7BDA"/>
    <w:rsid w:val="00CC056A"/>
    <w:rsid w:val="00CC0B39"/>
    <w:rsid w:val="00CC114E"/>
    <w:rsid w:val="00CC398F"/>
    <w:rsid w:val="00CC5BD4"/>
    <w:rsid w:val="00CC6576"/>
    <w:rsid w:val="00CD0895"/>
    <w:rsid w:val="00CD10C4"/>
    <w:rsid w:val="00CD1159"/>
    <w:rsid w:val="00CD1AA0"/>
    <w:rsid w:val="00CD4149"/>
    <w:rsid w:val="00CD59C1"/>
    <w:rsid w:val="00CD5AF9"/>
    <w:rsid w:val="00CE0A6A"/>
    <w:rsid w:val="00CE18A2"/>
    <w:rsid w:val="00CE1C35"/>
    <w:rsid w:val="00CE6624"/>
    <w:rsid w:val="00CE6B55"/>
    <w:rsid w:val="00CE6DF6"/>
    <w:rsid w:val="00CF0262"/>
    <w:rsid w:val="00CF05F5"/>
    <w:rsid w:val="00CF0A0B"/>
    <w:rsid w:val="00CF7F0E"/>
    <w:rsid w:val="00D01D1F"/>
    <w:rsid w:val="00D02315"/>
    <w:rsid w:val="00D02F98"/>
    <w:rsid w:val="00D06198"/>
    <w:rsid w:val="00D078A8"/>
    <w:rsid w:val="00D07FCF"/>
    <w:rsid w:val="00D135CC"/>
    <w:rsid w:val="00D13B1E"/>
    <w:rsid w:val="00D14198"/>
    <w:rsid w:val="00D15E81"/>
    <w:rsid w:val="00D16DA8"/>
    <w:rsid w:val="00D173CD"/>
    <w:rsid w:val="00D17401"/>
    <w:rsid w:val="00D20CD5"/>
    <w:rsid w:val="00D23EC0"/>
    <w:rsid w:val="00D26367"/>
    <w:rsid w:val="00D2690C"/>
    <w:rsid w:val="00D2724B"/>
    <w:rsid w:val="00D27685"/>
    <w:rsid w:val="00D325BA"/>
    <w:rsid w:val="00D32631"/>
    <w:rsid w:val="00D32637"/>
    <w:rsid w:val="00D32B33"/>
    <w:rsid w:val="00D34544"/>
    <w:rsid w:val="00D34E84"/>
    <w:rsid w:val="00D352F0"/>
    <w:rsid w:val="00D377F3"/>
    <w:rsid w:val="00D378A5"/>
    <w:rsid w:val="00D37AB5"/>
    <w:rsid w:val="00D37C7F"/>
    <w:rsid w:val="00D4288F"/>
    <w:rsid w:val="00D4348F"/>
    <w:rsid w:val="00D43FBA"/>
    <w:rsid w:val="00D446D6"/>
    <w:rsid w:val="00D46463"/>
    <w:rsid w:val="00D546A7"/>
    <w:rsid w:val="00D55342"/>
    <w:rsid w:val="00D55A9E"/>
    <w:rsid w:val="00D5662E"/>
    <w:rsid w:val="00D574DC"/>
    <w:rsid w:val="00D57D36"/>
    <w:rsid w:val="00D60228"/>
    <w:rsid w:val="00D604C2"/>
    <w:rsid w:val="00D61D2D"/>
    <w:rsid w:val="00D6535C"/>
    <w:rsid w:val="00D7028D"/>
    <w:rsid w:val="00D73E24"/>
    <w:rsid w:val="00D74EF9"/>
    <w:rsid w:val="00D75132"/>
    <w:rsid w:val="00D768DA"/>
    <w:rsid w:val="00D809E2"/>
    <w:rsid w:val="00D80A3E"/>
    <w:rsid w:val="00D80B55"/>
    <w:rsid w:val="00D82C84"/>
    <w:rsid w:val="00D844B2"/>
    <w:rsid w:val="00D85538"/>
    <w:rsid w:val="00D85B30"/>
    <w:rsid w:val="00D869F2"/>
    <w:rsid w:val="00D87BB5"/>
    <w:rsid w:val="00D90144"/>
    <w:rsid w:val="00D92487"/>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12E4"/>
    <w:rsid w:val="00DD1E52"/>
    <w:rsid w:val="00DD3206"/>
    <w:rsid w:val="00DE060D"/>
    <w:rsid w:val="00DE089F"/>
    <w:rsid w:val="00DE22D1"/>
    <w:rsid w:val="00DE2B2A"/>
    <w:rsid w:val="00DE344E"/>
    <w:rsid w:val="00DE44D3"/>
    <w:rsid w:val="00DE51A9"/>
    <w:rsid w:val="00DF57C9"/>
    <w:rsid w:val="00DF709E"/>
    <w:rsid w:val="00DF74F9"/>
    <w:rsid w:val="00E01874"/>
    <w:rsid w:val="00E02BF7"/>
    <w:rsid w:val="00E0586E"/>
    <w:rsid w:val="00E062CD"/>
    <w:rsid w:val="00E10E42"/>
    <w:rsid w:val="00E1491B"/>
    <w:rsid w:val="00E14F3E"/>
    <w:rsid w:val="00E14FBF"/>
    <w:rsid w:val="00E163A4"/>
    <w:rsid w:val="00E17FAA"/>
    <w:rsid w:val="00E21E60"/>
    <w:rsid w:val="00E225D6"/>
    <w:rsid w:val="00E22D02"/>
    <w:rsid w:val="00E231E9"/>
    <w:rsid w:val="00E247CB"/>
    <w:rsid w:val="00E24EA9"/>
    <w:rsid w:val="00E25511"/>
    <w:rsid w:val="00E26B2D"/>
    <w:rsid w:val="00E30AAC"/>
    <w:rsid w:val="00E32DF9"/>
    <w:rsid w:val="00E34285"/>
    <w:rsid w:val="00E373A1"/>
    <w:rsid w:val="00E41163"/>
    <w:rsid w:val="00E43595"/>
    <w:rsid w:val="00E44443"/>
    <w:rsid w:val="00E45242"/>
    <w:rsid w:val="00E47893"/>
    <w:rsid w:val="00E50AAE"/>
    <w:rsid w:val="00E51AE5"/>
    <w:rsid w:val="00E51C02"/>
    <w:rsid w:val="00E52162"/>
    <w:rsid w:val="00E52CD4"/>
    <w:rsid w:val="00E53B53"/>
    <w:rsid w:val="00E53E9B"/>
    <w:rsid w:val="00E55F64"/>
    <w:rsid w:val="00E56040"/>
    <w:rsid w:val="00E5612D"/>
    <w:rsid w:val="00E57739"/>
    <w:rsid w:val="00E57897"/>
    <w:rsid w:val="00E60638"/>
    <w:rsid w:val="00E61784"/>
    <w:rsid w:val="00E640C5"/>
    <w:rsid w:val="00E64453"/>
    <w:rsid w:val="00E65D14"/>
    <w:rsid w:val="00E667F3"/>
    <w:rsid w:val="00E67235"/>
    <w:rsid w:val="00E70E12"/>
    <w:rsid w:val="00E7474E"/>
    <w:rsid w:val="00E75B2E"/>
    <w:rsid w:val="00E76BA2"/>
    <w:rsid w:val="00E804E1"/>
    <w:rsid w:val="00E80A2B"/>
    <w:rsid w:val="00E81153"/>
    <w:rsid w:val="00E82481"/>
    <w:rsid w:val="00E845F2"/>
    <w:rsid w:val="00E848EE"/>
    <w:rsid w:val="00E84DC2"/>
    <w:rsid w:val="00E86D18"/>
    <w:rsid w:val="00E91253"/>
    <w:rsid w:val="00E9438D"/>
    <w:rsid w:val="00EA009D"/>
    <w:rsid w:val="00EA1AFD"/>
    <w:rsid w:val="00EA2170"/>
    <w:rsid w:val="00EA2779"/>
    <w:rsid w:val="00EA3B5B"/>
    <w:rsid w:val="00EA4788"/>
    <w:rsid w:val="00EA5555"/>
    <w:rsid w:val="00EA5A2C"/>
    <w:rsid w:val="00EA5E46"/>
    <w:rsid w:val="00EA60E5"/>
    <w:rsid w:val="00EA6D97"/>
    <w:rsid w:val="00EA712C"/>
    <w:rsid w:val="00EA7233"/>
    <w:rsid w:val="00EA7902"/>
    <w:rsid w:val="00EB0E4F"/>
    <w:rsid w:val="00EB0F89"/>
    <w:rsid w:val="00EB164C"/>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4674"/>
    <w:rsid w:val="00EE4CD4"/>
    <w:rsid w:val="00EE5E3C"/>
    <w:rsid w:val="00EE77E5"/>
    <w:rsid w:val="00EF100C"/>
    <w:rsid w:val="00EF416A"/>
    <w:rsid w:val="00EF51DD"/>
    <w:rsid w:val="00EF5D6B"/>
    <w:rsid w:val="00EF69CB"/>
    <w:rsid w:val="00EF716C"/>
    <w:rsid w:val="00F00E52"/>
    <w:rsid w:val="00F020DB"/>
    <w:rsid w:val="00F03CD7"/>
    <w:rsid w:val="00F06588"/>
    <w:rsid w:val="00F07852"/>
    <w:rsid w:val="00F1015F"/>
    <w:rsid w:val="00F1037B"/>
    <w:rsid w:val="00F10722"/>
    <w:rsid w:val="00F11EB7"/>
    <w:rsid w:val="00F14757"/>
    <w:rsid w:val="00F154EB"/>
    <w:rsid w:val="00F15773"/>
    <w:rsid w:val="00F15861"/>
    <w:rsid w:val="00F1650D"/>
    <w:rsid w:val="00F20351"/>
    <w:rsid w:val="00F2094C"/>
    <w:rsid w:val="00F20CD5"/>
    <w:rsid w:val="00F21636"/>
    <w:rsid w:val="00F219E0"/>
    <w:rsid w:val="00F21BDC"/>
    <w:rsid w:val="00F21FA8"/>
    <w:rsid w:val="00F22225"/>
    <w:rsid w:val="00F26237"/>
    <w:rsid w:val="00F268BC"/>
    <w:rsid w:val="00F304C3"/>
    <w:rsid w:val="00F314BD"/>
    <w:rsid w:val="00F326A1"/>
    <w:rsid w:val="00F332D8"/>
    <w:rsid w:val="00F377A5"/>
    <w:rsid w:val="00F40009"/>
    <w:rsid w:val="00F411B6"/>
    <w:rsid w:val="00F41246"/>
    <w:rsid w:val="00F43043"/>
    <w:rsid w:val="00F43FF6"/>
    <w:rsid w:val="00F44485"/>
    <w:rsid w:val="00F46A44"/>
    <w:rsid w:val="00F46DF0"/>
    <w:rsid w:val="00F47C43"/>
    <w:rsid w:val="00F50E9E"/>
    <w:rsid w:val="00F51F44"/>
    <w:rsid w:val="00F5215C"/>
    <w:rsid w:val="00F53DEC"/>
    <w:rsid w:val="00F562BD"/>
    <w:rsid w:val="00F567EF"/>
    <w:rsid w:val="00F571B1"/>
    <w:rsid w:val="00F603C5"/>
    <w:rsid w:val="00F6231E"/>
    <w:rsid w:val="00F6301A"/>
    <w:rsid w:val="00F715DE"/>
    <w:rsid w:val="00F71B64"/>
    <w:rsid w:val="00F7211E"/>
    <w:rsid w:val="00F72B8B"/>
    <w:rsid w:val="00F72C95"/>
    <w:rsid w:val="00F74578"/>
    <w:rsid w:val="00F74FF4"/>
    <w:rsid w:val="00F758A0"/>
    <w:rsid w:val="00F7634C"/>
    <w:rsid w:val="00F76AE8"/>
    <w:rsid w:val="00F77728"/>
    <w:rsid w:val="00F8589F"/>
    <w:rsid w:val="00F859A7"/>
    <w:rsid w:val="00F85FF1"/>
    <w:rsid w:val="00F8649E"/>
    <w:rsid w:val="00F86CF6"/>
    <w:rsid w:val="00F87898"/>
    <w:rsid w:val="00F90527"/>
    <w:rsid w:val="00F91333"/>
    <w:rsid w:val="00F9305C"/>
    <w:rsid w:val="00F94431"/>
    <w:rsid w:val="00F94BDD"/>
    <w:rsid w:val="00F9553A"/>
    <w:rsid w:val="00F956BF"/>
    <w:rsid w:val="00F95760"/>
    <w:rsid w:val="00F97698"/>
    <w:rsid w:val="00F977E7"/>
    <w:rsid w:val="00FA09A1"/>
    <w:rsid w:val="00FA17EC"/>
    <w:rsid w:val="00FA1B69"/>
    <w:rsid w:val="00FA28C7"/>
    <w:rsid w:val="00FA513F"/>
    <w:rsid w:val="00FA58E0"/>
    <w:rsid w:val="00FA5D0F"/>
    <w:rsid w:val="00FA6E29"/>
    <w:rsid w:val="00FA77C9"/>
    <w:rsid w:val="00FA7960"/>
    <w:rsid w:val="00FB0FDF"/>
    <w:rsid w:val="00FB387F"/>
    <w:rsid w:val="00FB4BB8"/>
    <w:rsid w:val="00FB5E0E"/>
    <w:rsid w:val="00FB603A"/>
    <w:rsid w:val="00FB7852"/>
    <w:rsid w:val="00FC09B4"/>
    <w:rsid w:val="00FC2481"/>
    <w:rsid w:val="00FC38CD"/>
    <w:rsid w:val="00FC47F2"/>
    <w:rsid w:val="00FC4F15"/>
    <w:rsid w:val="00FC7347"/>
    <w:rsid w:val="00FD2BB2"/>
    <w:rsid w:val="00FD31B7"/>
    <w:rsid w:val="00FD51F7"/>
    <w:rsid w:val="00FD5E96"/>
    <w:rsid w:val="00FE04DA"/>
    <w:rsid w:val="00FE2172"/>
    <w:rsid w:val="00FE2777"/>
    <w:rsid w:val="00FE3CCD"/>
    <w:rsid w:val="00FE7666"/>
    <w:rsid w:val="00FE78A3"/>
    <w:rsid w:val="00FF0B8F"/>
    <w:rsid w:val="00FF50EE"/>
    <w:rsid w:val="00FF5EF6"/>
    <w:rsid w:val="00FF5F1B"/>
    <w:rsid w:val="00FF63B6"/>
    <w:rsid w:val="00FF712D"/>
    <w:rsid w:val="00FF77EA"/>
    <w:rsid w:val="05010BC4"/>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1E707ECB"/>
    <w:rsid w:val="1EDA3123"/>
    <w:rsid w:val="21026B76"/>
    <w:rsid w:val="2213611E"/>
    <w:rsid w:val="22F01249"/>
    <w:rsid w:val="2332554E"/>
    <w:rsid w:val="23D9610A"/>
    <w:rsid w:val="24BB15A2"/>
    <w:rsid w:val="27FE6802"/>
    <w:rsid w:val="28814A83"/>
    <w:rsid w:val="289F721E"/>
    <w:rsid w:val="291B00A6"/>
    <w:rsid w:val="29B60C6F"/>
    <w:rsid w:val="2A146AD0"/>
    <w:rsid w:val="2A1C2BF7"/>
    <w:rsid w:val="2A8A372E"/>
    <w:rsid w:val="2CDD5B84"/>
    <w:rsid w:val="2E505623"/>
    <w:rsid w:val="2FCE7068"/>
    <w:rsid w:val="300B0A61"/>
    <w:rsid w:val="32FD230D"/>
    <w:rsid w:val="33680A14"/>
    <w:rsid w:val="33A92885"/>
    <w:rsid w:val="34443AB5"/>
    <w:rsid w:val="34877D66"/>
    <w:rsid w:val="34FF745B"/>
    <w:rsid w:val="36277128"/>
    <w:rsid w:val="36D44CD2"/>
    <w:rsid w:val="370D6431"/>
    <w:rsid w:val="378620B5"/>
    <w:rsid w:val="3BCD0338"/>
    <w:rsid w:val="3CBB3A09"/>
    <w:rsid w:val="3D1B66CA"/>
    <w:rsid w:val="3D281AEE"/>
    <w:rsid w:val="3FEA709F"/>
    <w:rsid w:val="40B51316"/>
    <w:rsid w:val="4125649B"/>
    <w:rsid w:val="434509CF"/>
    <w:rsid w:val="45F97EF6"/>
    <w:rsid w:val="464F4558"/>
    <w:rsid w:val="46971BE9"/>
    <w:rsid w:val="47565513"/>
    <w:rsid w:val="482F19AD"/>
    <w:rsid w:val="4967220C"/>
    <w:rsid w:val="4BC6336A"/>
    <w:rsid w:val="4CB22BAD"/>
    <w:rsid w:val="4DE516D8"/>
    <w:rsid w:val="4E6708E9"/>
    <w:rsid w:val="4EBE4F33"/>
    <w:rsid w:val="4F2B5DCC"/>
    <w:rsid w:val="4FD77C0B"/>
    <w:rsid w:val="501047BA"/>
    <w:rsid w:val="505B5E19"/>
    <w:rsid w:val="50A40695"/>
    <w:rsid w:val="50BF39BB"/>
    <w:rsid w:val="52E86D0B"/>
    <w:rsid w:val="53017AF7"/>
    <w:rsid w:val="53901E9A"/>
    <w:rsid w:val="541D4416"/>
    <w:rsid w:val="546D4478"/>
    <w:rsid w:val="565C45F6"/>
    <w:rsid w:val="56645A39"/>
    <w:rsid w:val="5A0424DA"/>
    <w:rsid w:val="5C1E63DB"/>
    <w:rsid w:val="5D521F6E"/>
    <w:rsid w:val="5D871634"/>
    <w:rsid w:val="5DE75582"/>
    <w:rsid w:val="5EA26F25"/>
    <w:rsid w:val="5ECD08E7"/>
    <w:rsid w:val="5FD63234"/>
    <w:rsid w:val="62E23D94"/>
    <w:rsid w:val="62EF4CFD"/>
    <w:rsid w:val="64D56443"/>
    <w:rsid w:val="65351FB5"/>
    <w:rsid w:val="65872532"/>
    <w:rsid w:val="6601121B"/>
    <w:rsid w:val="6648053E"/>
    <w:rsid w:val="67BD64C0"/>
    <w:rsid w:val="67C728FD"/>
    <w:rsid w:val="68A044D6"/>
    <w:rsid w:val="692575CB"/>
    <w:rsid w:val="6B9B0F84"/>
    <w:rsid w:val="6C38758C"/>
    <w:rsid w:val="6C3F53DB"/>
    <w:rsid w:val="6E1703AC"/>
    <w:rsid w:val="6E487158"/>
    <w:rsid w:val="6E7853F6"/>
    <w:rsid w:val="6F171A16"/>
    <w:rsid w:val="6F9E54E7"/>
    <w:rsid w:val="70A020C1"/>
    <w:rsid w:val="70D83112"/>
    <w:rsid w:val="71BB46C9"/>
    <w:rsid w:val="71D757DA"/>
    <w:rsid w:val="722060D2"/>
    <w:rsid w:val="7231305C"/>
    <w:rsid w:val="724B38C0"/>
    <w:rsid w:val="73081E35"/>
    <w:rsid w:val="7386076C"/>
    <w:rsid w:val="73D3007B"/>
    <w:rsid w:val="74A013B9"/>
    <w:rsid w:val="74FB17FB"/>
    <w:rsid w:val="76446CBC"/>
    <w:rsid w:val="76462FC7"/>
    <w:rsid w:val="76C22131"/>
    <w:rsid w:val="77862AE9"/>
    <w:rsid w:val="781A460E"/>
    <w:rsid w:val="79B10ED9"/>
    <w:rsid w:val="79CF0D31"/>
    <w:rsid w:val="7AFF53FF"/>
    <w:rsid w:val="7BF00E78"/>
    <w:rsid w:val="7C3C5105"/>
    <w:rsid w:val="7C654F0C"/>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9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autoRedefine/>
    <w:qFormat/>
    <w:pPr>
      <w:keepNext/>
      <w:spacing w:before="240" w:after="60"/>
      <w:outlineLvl w:val="0"/>
    </w:pPr>
    <w:rPr>
      <w:rFonts w:ascii="Cambria" w:hAnsi="Cambria"/>
      <w:b/>
      <w:bCs/>
      <w:kern w:val="32"/>
      <w:sz w:val="32"/>
      <w:szCs w:val="32"/>
    </w:rPr>
  </w:style>
  <w:style w:type="paragraph" w:styleId="3">
    <w:name w:val="heading 3"/>
    <w:basedOn w:val="a"/>
    <w:next w:val="a"/>
    <w:autoRedefine/>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uiPriority w:val="1"/>
    <w:qFormat/>
    <w:pPr>
      <w:spacing w:before="102"/>
      <w:ind w:left="112"/>
    </w:pPr>
    <w:rPr>
      <w:sz w:val="28"/>
      <w:szCs w:val="28"/>
    </w:rPr>
  </w:style>
  <w:style w:type="paragraph" w:styleId="a4">
    <w:name w:val="Normal Indent"/>
    <w:basedOn w:val="a"/>
    <w:autoRedefine/>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Char"/>
    <w:autoRedefine/>
    <w:qFormat/>
    <w:pPr>
      <w:jc w:val="left"/>
    </w:pPr>
  </w:style>
  <w:style w:type="paragraph" w:styleId="a6">
    <w:name w:val="Date"/>
    <w:basedOn w:val="a"/>
    <w:next w:val="a"/>
    <w:autoRedefine/>
    <w:qFormat/>
    <w:rPr>
      <w:rFonts w:ascii="黑体" w:eastAsia="黑体"/>
      <w:b/>
      <w:sz w:val="24"/>
      <w:szCs w:val="20"/>
    </w:rPr>
  </w:style>
  <w:style w:type="paragraph" w:styleId="a7">
    <w:name w:val="Balloon Text"/>
    <w:basedOn w:val="a"/>
    <w:autoRedefine/>
    <w:semiHidden/>
    <w:qFormat/>
    <w:rPr>
      <w:sz w:val="18"/>
      <w:szCs w:val="18"/>
    </w:rPr>
  </w:style>
  <w:style w:type="paragraph" w:styleId="a8">
    <w:name w:val="footer"/>
    <w:basedOn w:val="a"/>
    <w:link w:val="Char0"/>
    <w:autoRedefine/>
    <w:uiPriority w:val="99"/>
    <w:qFormat/>
    <w:pPr>
      <w:tabs>
        <w:tab w:val="center" w:pos="4153"/>
        <w:tab w:val="right" w:pos="8306"/>
      </w:tabs>
      <w:snapToGrid w:val="0"/>
      <w:jc w:val="left"/>
    </w:pPr>
    <w:rPr>
      <w:sz w:val="18"/>
      <w:szCs w:val="18"/>
    </w:rPr>
  </w:style>
  <w:style w:type="paragraph" w:styleId="a9">
    <w:name w:val="header"/>
    <w:basedOn w:val="a"/>
    <w:autoRedefine/>
    <w:qFormat/>
    <w:pPr>
      <w:tabs>
        <w:tab w:val="center" w:pos="4320"/>
        <w:tab w:val="right" w:pos="8640"/>
      </w:tabs>
    </w:pPr>
  </w:style>
  <w:style w:type="paragraph" w:styleId="aa">
    <w:name w:val="Normal (Web)"/>
    <w:basedOn w:val="a"/>
    <w:autoRedefine/>
    <w:qFormat/>
    <w:pPr>
      <w:widowControl/>
      <w:spacing w:before="144" w:after="144" w:line="432" w:lineRule="atLeast"/>
      <w:ind w:left="192" w:right="192" w:firstLine="480"/>
    </w:pPr>
    <w:rPr>
      <w:rFonts w:ascii="宋体" w:hAnsi="宋体" w:cs="宋体"/>
      <w:kern w:val="0"/>
      <w:sz w:val="24"/>
    </w:rPr>
  </w:style>
  <w:style w:type="paragraph" w:styleId="ab">
    <w:name w:val="annotation subject"/>
    <w:basedOn w:val="a5"/>
    <w:next w:val="a5"/>
    <w:link w:val="Char1"/>
    <w:autoRedefine/>
    <w:qFormat/>
    <w:rPr>
      <w:b/>
      <w:bCs/>
    </w:rPr>
  </w:style>
  <w:style w:type="character" w:styleId="ac">
    <w:name w:val="Strong"/>
    <w:basedOn w:val="a1"/>
    <w:autoRedefine/>
    <w:uiPriority w:val="22"/>
    <w:qFormat/>
    <w:rPr>
      <w:b/>
      <w:bCs/>
    </w:rPr>
  </w:style>
  <w:style w:type="character" w:styleId="ad">
    <w:name w:val="page number"/>
    <w:basedOn w:val="a1"/>
    <w:autoRedefine/>
    <w:qFormat/>
  </w:style>
  <w:style w:type="character" w:styleId="ae">
    <w:name w:val="Hyperlink"/>
    <w:autoRedefine/>
    <w:qFormat/>
    <w:rPr>
      <w:color w:val="0000FF"/>
      <w:u w:val="single"/>
    </w:rPr>
  </w:style>
  <w:style w:type="character" w:styleId="af">
    <w:name w:val="annotation reference"/>
    <w:autoRedefine/>
    <w:qFormat/>
    <w:rPr>
      <w:sz w:val="21"/>
      <w:szCs w:val="21"/>
    </w:rPr>
  </w:style>
  <w:style w:type="paragraph" w:customStyle="1" w:styleId="CharChar1CharCharCharChar">
    <w:name w:val="Char Char1 Char Char Char Char"/>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autoRedefine/>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
    <w:basedOn w:val="a"/>
    <w:autoRedefine/>
    <w:qFormat/>
  </w:style>
  <w:style w:type="character" w:customStyle="1" w:styleId="Char">
    <w:name w:val="批注文字 Char"/>
    <w:link w:val="a5"/>
    <w:autoRedefine/>
    <w:qFormat/>
    <w:rPr>
      <w:kern w:val="2"/>
      <w:sz w:val="21"/>
      <w:szCs w:val="24"/>
    </w:rPr>
  </w:style>
  <w:style w:type="character" w:customStyle="1" w:styleId="Char1">
    <w:name w:val="批注主题 Char"/>
    <w:link w:val="ab"/>
    <w:autoRedefine/>
    <w:qFormat/>
    <w:rPr>
      <w:b/>
      <w:bCs/>
      <w:kern w:val="2"/>
      <w:sz w:val="21"/>
      <w:szCs w:val="24"/>
    </w:rPr>
  </w:style>
  <w:style w:type="paragraph" w:styleId="af0">
    <w:name w:val="List Paragraph"/>
    <w:basedOn w:val="a"/>
    <w:autoRedefine/>
    <w:uiPriority w:val="99"/>
    <w:qFormat/>
    <w:pPr>
      <w:ind w:firstLineChars="200" w:firstLine="420"/>
    </w:pPr>
  </w:style>
  <w:style w:type="character" w:customStyle="1" w:styleId="1Char">
    <w:name w:val="标题 1 Char"/>
    <w:link w:val="1"/>
    <w:autoRedefine/>
    <w:qFormat/>
    <w:rPr>
      <w:rFonts w:ascii="Cambria" w:eastAsia="宋体" w:hAnsi="Cambria" w:cs="Times New Roman"/>
      <w:b/>
      <w:bCs/>
      <w:kern w:val="32"/>
      <w:sz w:val="32"/>
      <w:szCs w:val="32"/>
      <w:lang w:val="en-US"/>
    </w:rPr>
  </w:style>
  <w:style w:type="character" w:customStyle="1" w:styleId="Char0">
    <w:name w:val="页脚 Char"/>
    <w:basedOn w:val="a1"/>
    <w:link w:val="a8"/>
    <w:autoRedefine/>
    <w:uiPriority w:val="99"/>
    <w:qFormat/>
    <w:rPr>
      <w:kern w:val="2"/>
      <w:sz w:val="18"/>
      <w:szCs w:val="18"/>
    </w:rPr>
  </w:style>
  <w:style w:type="paragraph" w:styleId="af1">
    <w:name w:val="No Spacing"/>
    <w:autoRedefine/>
    <w:uiPriority w:val="1"/>
    <w:qFormat/>
    <w:pPr>
      <w:widowControl w:val="0"/>
      <w:jc w:val="both"/>
    </w:pPr>
    <w:rPr>
      <w:rFonts w:asciiTheme="minorHAnsi" w:eastAsiaTheme="minorEastAsia" w:hAnsiTheme="minorHAnsi" w:cstheme="minorBidi"/>
      <w:kern w:val="2"/>
      <w:sz w:val="21"/>
      <w:szCs w:val="22"/>
    </w:rPr>
  </w:style>
  <w:style w:type="paragraph" w:customStyle="1" w:styleId="10">
    <w:name w:val="修订1"/>
    <w:autoRedefine/>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9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autoRedefine/>
    <w:qFormat/>
    <w:pPr>
      <w:keepNext/>
      <w:spacing w:before="240" w:after="60"/>
      <w:outlineLvl w:val="0"/>
    </w:pPr>
    <w:rPr>
      <w:rFonts w:ascii="Cambria" w:hAnsi="Cambria"/>
      <w:b/>
      <w:bCs/>
      <w:kern w:val="32"/>
      <w:sz w:val="32"/>
      <w:szCs w:val="32"/>
    </w:rPr>
  </w:style>
  <w:style w:type="paragraph" w:styleId="3">
    <w:name w:val="heading 3"/>
    <w:basedOn w:val="a"/>
    <w:next w:val="a"/>
    <w:autoRedefine/>
    <w:uiPriority w:val="9"/>
    <w:qFormat/>
    <w:pPr>
      <w:keepNext/>
      <w:keepLines/>
      <w:spacing w:beforeLines="50" w:before="50" w:afterLines="50" w:after="50"/>
      <w:jc w:val="center"/>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uiPriority w:val="1"/>
    <w:qFormat/>
    <w:pPr>
      <w:spacing w:before="102"/>
      <w:ind w:left="112"/>
    </w:pPr>
    <w:rPr>
      <w:sz w:val="28"/>
      <w:szCs w:val="28"/>
    </w:rPr>
  </w:style>
  <w:style w:type="paragraph" w:styleId="a4">
    <w:name w:val="Normal Indent"/>
    <w:basedOn w:val="a"/>
    <w:autoRedefine/>
    <w:uiPriority w:val="99"/>
    <w:unhideWhenUsed/>
    <w:qFormat/>
    <w:pPr>
      <w:widowControl/>
      <w:spacing w:line="590" w:lineRule="atLeast"/>
      <w:ind w:firstLineChars="200" w:firstLine="420"/>
    </w:pPr>
    <w:rPr>
      <w:rFonts w:ascii="Calibri" w:hAnsi="Calibri" w:cs="Calibri"/>
      <w:szCs w:val="21"/>
    </w:rPr>
  </w:style>
  <w:style w:type="paragraph" w:styleId="a5">
    <w:name w:val="annotation text"/>
    <w:basedOn w:val="a"/>
    <w:link w:val="Char"/>
    <w:autoRedefine/>
    <w:qFormat/>
    <w:pPr>
      <w:jc w:val="left"/>
    </w:pPr>
  </w:style>
  <w:style w:type="paragraph" w:styleId="a6">
    <w:name w:val="Date"/>
    <w:basedOn w:val="a"/>
    <w:next w:val="a"/>
    <w:autoRedefine/>
    <w:qFormat/>
    <w:rPr>
      <w:rFonts w:ascii="黑体" w:eastAsia="黑体"/>
      <w:b/>
      <w:sz w:val="24"/>
      <w:szCs w:val="20"/>
    </w:rPr>
  </w:style>
  <w:style w:type="paragraph" w:styleId="a7">
    <w:name w:val="Balloon Text"/>
    <w:basedOn w:val="a"/>
    <w:autoRedefine/>
    <w:semiHidden/>
    <w:qFormat/>
    <w:rPr>
      <w:sz w:val="18"/>
      <w:szCs w:val="18"/>
    </w:rPr>
  </w:style>
  <w:style w:type="paragraph" w:styleId="a8">
    <w:name w:val="footer"/>
    <w:basedOn w:val="a"/>
    <w:link w:val="Char0"/>
    <w:autoRedefine/>
    <w:uiPriority w:val="99"/>
    <w:qFormat/>
    <w:pPr>
      <w:tabs>
        <w:tab w:val="center" w:pos="4153"/>
        <w:tab w:val="right" w:pos="8306"/>
      </w:tabs>
      <w:snapToGrid w:val="0"/>
      <w:jc w:val="left"/>
    </w:pPr>
    <w:rPr>
      <w:sz w:val="18"/>
      <w:szCs w:val="18"/>
    </w:rPr>
  </w:style>
  <w:style w:type="paragraph" w:styleId="a9">
    <w:name w:val="header"/>
    <w:basedOn w:val="a"/>
    <w:autoRedefine/>
    <w:qFormat/>
    <w:pPr>
      <w:tabs>
        <w:tab w:val="center" w:pos="4320"/>
        <w:tab w:val="right" w:pos="8640"/>
      </w:tabs>
    </w:pPr>
  </w:style>
  <w:style w:type="paragraph" w:styleId="aa">
    <w:name w:val="Normal (Web)"/>
    <w:basedOn w:val="a"/>
    <w:autoRedefine/>
    <w:qFormat/>
    <w:pPr>
      <w:widowControl/>
      <w:spacing w:before="144" w:after="144" w:line="432" w:lineRule="atLeast"/>
      <w:ind w:left="192" w:right="192" w:firstLine="480"/>
    </w:pPr>
    <w:rPr>
      <w:rFonts w:ascii="宋体" w:hAnsi="宋体" w:cs="宋体"/>
      <w:kern w:val="0"/>
      <w:sz w:val="24"/>
    </w:rPr>
  </w:style>
  <w:style w:type="paragraph" w:styleId="ab">
    <w:name w:val="annotation subject"/>
    <w:basedOn w:val="a5"/>
    <w:next w:val="a5"/>
    <w:link w:val="Char1"/>
    <w:autoRedefine/>
    <w:qFormat/>
    <w:rPr>
      <w:b/>
      <w:bCs/>
    </w:rPr>
  </w:style>
  <w:style w:type="character" w:styleId="ac">
    <w:name w:val="Strong"/>
    <w:basedOn w:val="a1"/>
    <w:autoRedefine/>
    <w:uiPriority w:val="22"/>
    <w:qFormat/>
    <w:rPr>
      <w:b/>
      <w:bCs/>
    </w:rPr>
  </w:style>
  <w:style w:type="character" w:styleId="ad">
    <w:name w:val="page number"/>
    <w:basedOn w:val="a1"/>
    <w:autoRedefine/>
    <w:qFormat/>
  </w:style>
  <w:style w:type="character" w:styleId="ae">
    <w:name w:val="Hyperlink"/>
    <w:autoRedefine/>
    <w:qFormat/>
    <w:rPr>
      <w:color w:val="0000FF"/>
      <w:u w:val="single"/>
    </w:rPr>
  </w:style>
  <w:style w:type="character" w:styleId="af">
    <w:name w:val="annotation reference"/>
    <w:autoRedefine/>
    <w:qFormat/>
    <w:rPr>
      <w:sz w:val="21"/>
      <w:szCs w:val="21"/>
    </w:rPr>
  </w:style>
  <w:style w:type="paragraph" w:customStyle="1" w:styleId="CharChar1CharCharCharChar">
    <w:name w:val="Char Char1 Char Char Char Char"/>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CharChar">
    <w:name w:val="Char Char"/>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Default">
    <w:name w:val="Default"/>
    <w:autoRedefine/>
    <w:qFormat/>
    <w:pPr>
      <w:autoSpaceDE w:val="0"/>
      <w:autoSpaceDN w:val="0"/>
      <w:adjustRightInd w:val="0"/>
    </w:pPr>
    <w:rPr>
      <w:color w:val="000000"/>
      <w:sz w:val="24"/>
      <w:szCs w:val="24"/>
      <w:lang w:val="en-GB"/>
    </w:rPr>
  </w:style>
  <w:style w:type="paragraph" w:customStyle="1" w:styleId="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1"/>
    <w:basedOn w:val="a"/>
    <w:autoRedefine/>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
    <w:basedOn w:val="a"/>
    <w:autoRedefine/>
    <w:qFormat/>
  </w:style>
  <w:style w:type="character" w:customStyle="1" w:styleId="Char">
    <w:name w:val="批注文字 Char"/>
    <w:link w:val="a5"/>
    <w:autoRedefine/>
    <w:qFormat/>
    <w:rPr>
      <w:kern w:val="2"/>
      <w:sz w:val="21"/>
      <w:szCs w:val="24"/>
    </w:rPr>
  </w:style>
  <w:style w:type="character" w:customStyle="1" w:styleId="Char1">
    <w:name w:val="批注主题 Char"/>
    <w:link w:val="ab"/>
    <w:autoRedefine/>
    <w:qFormat/>
    <w:rPr>
      <w:b/>
      <w:bCs/>
      <w:kern w:val="2"/>
      <w:sz w:val="21"/>
      <w:szCs w:val="24"/>
    </w:rPr>
  </w:style>
  <w:style w:type="paragraph" w:styleId="af0">
    <w:name w:val="List Paragraph"/>
    <w:basedOn w:val="a"/>
    <w:autoRedefine/>
    <w:uiPriority w:val="99"/>
    <w:qFormat/>
    <w:pPr>
      <w:ind w:firstLineChars="200" w:firstLine="420"/>
    </w:pPr>
  </w:style>
  <w:style w:type="character" w:customStyle="1" w:styleId="1Char">
    <w:name w:val="标题 1 Char"/>
    <w:link w:val="1"/>
    <w:autoRedefine/>
    <w:qFormat/>
    <w:rPr>
      <w:rFonts w:ascii="Cambria" w:eastAsia="宋体" w:hAnsi="Cambria" w:cs="Times New Roman"/>
      <w:b/>
      <w:bCs/>
      <w:kern w:val="32"/>
      <w:sz w:val="32"/>
      <w:szCs w:val="32"/>
      <w:lang w:val="en-US"/>
    </w:rPr>
  </w:style>
  <w:style w:type="character" w:customStyle="1" w:styleId="Char0">
    <w:name w:val="页脚 Char"/>
    <w:basedOn w:val="a1"/>
    <w:link w:val="a8"/>
    <w:autoRedefine/>
    <w:uiPriority w:val="99"/>
    <w:qFormat/>
    <w:rPr>
      <w:kern w:val="2"/>
      <w:sz w:val="18"/>
      <w:szCs w:val="18"/>
    </w:rPr>
  </w:style>
  <w:style w:type="paragraph" w:styleId="af1">
    <w:name w:val="No Spacing"/>
    <w:autoRedefine/>
    <w:uiPriority w:val="1"/>
    <w:qFormat/>
    <w:pPr>
      <w:widowControl w:val="0"/>
      <w:jc w:val="both"/>
    </w:pPr>
    <w:rPr>
      <w:rFonts w:asciiTheme="minorHAnsi" w:eastAsiaTheme="minorEastAsia" w:hAnsiTheme="minorHAnsi" w:cstheme="minorBidi"/>
      <w:kern w:val="2"/>
      <w:sz w:val="21"/>
      <w:szCs w:val="22"/>
    </w:rPr>
  </w:style>
  <w:style w:type="paragraph" w:customStyle="1" w:styleId="10">
    <w:name w:val="修订1"/>
    <w:autoRedefine/>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A8FD38-D1AB-496A-BD3E-20C71C5E9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186</Words>
  <Characters>1062</Characters>
  <Application>Microsoft Office Word</Application>
  <DocSecurity>0</DocSecurity>
  <Lines>8</Lines>
  <Paragraphs>2</Paragraphs>
  <ScaleCrop>false</ScaleCrop>
  <LinksUpToDate>false</LinksUpToDate>
  <CharactersWithSpaces>1246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2023-12-26T02:13:00Z</cp:lastPrinted>
  <dcterms:created xsi:type="dcterms:W3CDTF">2024-03-05T12:47:00Z</dcterms:created>
  <dcterms:modified xsi:type="dcterms:W3CDTF">2024-03-06T07:19:00Z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3E876749118D4DDDAC216C828F2FD56D_12</vt:lpwstr>
  </property>
</Properties>
</file>