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420"/>
        <w:rPr>
          <w:lang w:val="en-US" w:eastAsia="zh-CN"/>
        </w:rPr>
      </w:pPr>
      <w:r>
        <w:rPr>
          <w:rFonts w:hint="eastAsia" w:ascii="宋体" w:hAnsi="宋体" w:cs="宋体"/>
          <w:b/>
          <w:color w:val="000000"/>
          <w:sz w:val="24"/>
          <w:lang w:eastAsia="zh-CN"/>
        </w:rPr>
        <w:t>股票代码：600377       股票简称：宁沪高速       编号：临</w:t>
      </w:r>
      <w:r>
        <w:rPr>
          <w:rFonts w:ascii="宋体" w:hAnsi="宋体" w:cs="宋体"/>
          <w:b/>
          <w:color w:val="000000"/>
          <w:sz w:val="24"/>
          <w:lang w:eastAsia="zh-CN"/>
        </w:rPr>
        <w:t>202</w:t>
      </w:r>
      <w:r>
        <w:rPr>
          <w:rFonts w:hint="eastAsia" w:ascii="宋体" w:hAnsi="宋体" w:cs="宋体"/>
          <w:b/>
          <w:color w:val="000000"/>
          <w:sz w:val="24"/>
          <w:lang w:val="en-US" w:eastAsia="zh-CN"/>
        </w:rPr>
        <w:t>4</w:t>
      </w:r>
      <w:r>
        <w:rPr>
          <w:rFonts w:ascii="宋体" w:hAnsi="宋体" w:cs="宋体"/>
          <w:b/>
          <w:color w:val="000000"/>
          <w:sz w:val="24"/>
          <w:lang w:eastAsia="zh-CN"/>
        </w:rPr>
        <w:t>-</w:t>
      </w:r>
      <w:r>
        <w:rPr>
          <w:rFonts w:ascii="宋体" w:hAnsi="宋体" w:cs="宋体"/>
          <w:b/>
          <w:color w:val="000000"/>
          <w:sz w:val="24"/>
          <w:lang w:val="en-US" w:eastAsia="zh-CN"/>
        </w:rPr>
        <w:t>0</w:t>
      </w:r>
      <w:r>
        <w:rPr>
          <w:rFonts w:hint="eastAsia" w:ascii="宋体" w:hAnsi="宋体" w:cs="宋体"/>
          <w:b/>
          <w:color w:val="000000"/>
          <w:sz w:val="24"/>
          <w:lang w:val="en-US" w:eastAsia="zh-CN"/>
        </w:rPr>
        <w:t>09</w:t>
      </w:r>
    </w:p>
    <w:p>
      <w:pPr>
        <w:widowControl w:val="0"/>
        <w:adjustRightInd w:val="0"/>
        <w:snapToGrid w:val="0"/>
        <w:spacing w:before="0" w:after="0" w:line="360" w:lineRule="auto"/>
        <w:jc w:val="center"/>
        <w:rPr>
          <w:rFonts w:ascii="Times New Roman" w:hAnsi="Times New Roman" w:eastAsia="宋体" w:cs="Times New Roman"/>
          <w:b/>
          <w:kern w:val="2"/>
          <w:sz w:val="28"/>
          <w:szCs w:val="28"/>
          <w:lang w:val="en-US" w:eastAsia="zh-CN"/>
        </w:rPr>
      </w:pPr>
      <w:r>
        <w:rPr>
          <w:rFonts w:hint="eastAsia" w:ascii="Times New Roman" w:hAnsi="Times New Roman" w:eastAsia="宋体" w:cs="Times New Roman"/>
          <w:b/>
          <w:kern w:val="2"/>
          <w:sz w:val="28"/>
          <w:szCs w:val="28"/>
          <w:lang w:val="en-US" w:eastAsia="zh-CN"/>
        </w:rPr>
        <w:t>江苏宁沪高速公路股份有限公司</w:t>
      </w:r>
    </w:p>
    <w:p>
      <w:pPr>
        <w:widowControl w:val="0"/>
        <w:adjustRightInd w:val="0"/>
        <w:snapToGrid w:val="0"/>
        <w:spacing w:before="0" w:after="0" w:line="360" w:lineRule="auto"/>
        <w:jc w:val="center"/>
        <w:rPr>
          <w:rFonts w:ascii="Times New Roman" w:hAnsi="Times New Roman" w:eastAsia="宋体" w:cs="Times New Roman"/>
          <w:b/>
          <w:kern w:val="2"/>
          <w:sz w:val="28"/>
          <w:szCs w:val="28"/>
          <w:lang w:val="en-US" w:eastAsia="zh-CN"/>
        </w:rPr>
      </w:pPr>
      <w:r>
        <w:rPr>
          <w:rFonts w:hint="eastAsia" w:ascii="Times New Roman" w:hAnsi="Times New Roman" w:eastAsia="宋体" w:cs="Times New Roman"/>
          <w:b/>
          <w:kern w:val="2"/>
          <w:sz w:val="28"/>
          <w:szCs w:val="28"/>
          <w:lang w:val="en-US" w:eastAsia="zh-CN"/>
        </w:rPr>
        <w:t>关于本公司收购江苏苏锡常南部高速公路有限公司</w:t>
      </w:r>
    </w:p>
    <w:p>
      <w:pPr>
        <w:widowControl w:val="0"/>
        <w:adjustRightInd w:val="0"/>
        <w:snapToGrid w:val="0"/>
        <w:spacing w:before="0" w:after="0" w:line="360" w:lineRule="auto"/>
        <w:jc w:val="center"/>
        <w:rPr>
          <w:rFonts w:ascii="Times New Roman" w:hAnsi="Times New Roman" w:eastAsia="宋体" w:cs="Times New Roman"/>
          <w:b/>
          <w:kern w:val="2"/>
          <w:sz w:val="28"/>
          <w:szCs w:val="28"/>
          <w:lang w:val="en-US" w:eastAsia="zh-CN"/>
        </w:rPr>
      </w:pPr>
      <w:r>
        <w:rPr>
          <w:rFonts w:hint="eastAsia" w:ascii="Times New Roman" w:hAnsi="Times New Roman" w:eastAsia="宋体" w:cs="Times New Roman"/>
          <w:b/>
          <w:kern w:val="2"/>
          <w:sz w:val="28"/>
          <w:szCs w:val="28"/>
          <w:lang w:val="en-US" w:eastAsia="zh-CN"/>
        </w:rPr>
        <w:t>65%股权的关联交易进展公告</w:t>
      </w:r>
    </w:p>
    <w:tbl>
      <w:tblPr>
        <w:tblStyle w:val="15"/>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tcPr>
          <w:p>
            <w:pPr>
              <w:autoSpaceDE w:val="0"/>
              <w:autoSpaceDN w:val="0"/>
              <w:adjustRightInd w:val="0"/>
              <w:snapToGrid w:val="0"/>
              <w:spacing w:before="100" w:beforeAutospacing="1" w:after="100" w:afterAutospacing="1" w:line="360" w:lineRule="auto"/>
              <w:rPr>
                <w:rFonts w:ascii="宋体" w:hAnsi="宋体" w:cs="宋体"/>
                <w:sz w:val="24"/>
                <w:lang w:eastAsia="zh-CN"/>
              </w:rPr>
            </w:pPr>
            <w:r>
              <w:rPr>
                <w:rFonts w:hint="eastAsia" w:ascii="宋体" w:hAnsi="宋体" w:cs="宋体"/>
                <w:b/>
                <w:sz w:val="24"/>
                <w:lang w:eastAsia="zh-CN"/>
              </w:rPr>
              <w:t>本公司董事会及全体董事保证本公告内容不存在任何虚假记载、误导性陈述或者重大遗漏，并对其内容的真实性、准确性和完整性承担法律责任。</w:t>
            </w:r>
          </w:p>
        </w:tc>
      </w:tr>
    </w:tbl>
    <w:p>
      <w:pPr>
        <w:pStyle w:val="3"/>
        <w:numPr>
          <w:ilvl w:val="0"/>
          <w:numId w:val="0"/>
        </w:numPr>
      </w:pPr>
      <w:bookmarkStart w:id="0" w:name="BondName2"/>
      <w:bookmarkEnd w:id="0"/>
      <w:bookmarkStart w:id="1" w:name="BBIPBLSTA"/>
      <w:bookmarkEnd w:id="1"/>
    </w:p>
    <w:p>
      <w:pPr>
        <w:pStyle w:val="3"/>
        <w:numPr>
          <w:ilvl w:val="0"/>
          <w:numId w:val="0"/>
        </w:numPr>
      </w:pPr>
      <w:r>
        <w:rPr>
          <w:rFonts w:hint="eastAsia"/>
        </w:rPr>
        <w:t>一、关联交易概述</w:t>
      </w:r>
    </w:p>
    <w:p>
      <w:pPr>
        <w:adjustRightInd w:val="0"/>
        <w:snapToGrid w:val="0"/>
        <w:spacing w:before="156" w:beforeLines="50" w:after="156" w:afterLines="50" w:line="360" w:lineRule="auto"/>
        <w:ind w:firstLine="480" w:firstLineChars="200"/>
        <w:contextualSpacing/>
        <w:jc w:val="left"/>
        <w:rPr>
          <w:rFonts w:hint="default"/>
          <w:lang w:val="en-US" w:eastAsia="zh-CN"/>
        </w:rPr>
      </w:pPr>
      <w:r>
        <w:rPr>
          <w:rFonts w:hint="eastAsia" w:cs="宋体" w:asciiTheme="minorEastAsia" w:hAnsiTheme="minorEastAsia" w:eastAsiaTheme="minorEastAsia"/>
          <w:sz w:val="24"/>
          <w:szCs w:val="24"/>
          <w:lang w:val="en-US" w:eastAsia="zh-CN"/>
        </w:rPr>
        <w:t>为进一步扩大公司在苏南高速公路路网中的资产规模，完善主业布局，提升可持续发展能力，于</w:t>
      </w:r>
      <w:r>
        <w:rPr>
          <w:rFonts w:cs="宋体" w:asciiTheme="minorEastAsia" w:hAnsiTheme="minorEastAsia" w:eastAsiaTheme="minorEastAsia"/>
          <w:sz w:val="24"/>
          <w:szCs w:val="24"/>
          <w:lang w:val="en-US" w:eastAsia="zh-CN"/>
        </w:rPr>
        <w:t>2024</w:t>
      </w:r>
      <w:r>
        <w:rPr>
          <w:rFonts w:hint="eastAsia" w:cs="宋体" w:asciiTheme="minorEastAsia" w:hAnsiTheme="minorEastAsia" w:eastAsiaTheme="minorEastAsia"/>
          <w:sz w:val="24"/>
          <w:szCs w:val="24"/>
          <w:lang w:val="en-US" w:eastAsia="zh-CN"/>
        </w:rPr>
        <w:t>年</w:t>
      </w:r>
      <w:r>
        <w:rPr>
          <w:rFonts w:cs="宋体" w:asciiTheme="minorEastAsia" w:hAnsiTheme="minorEastAsia" w:eastAsiaTheme="minorEastAsia"/>
          <w:sz w:val="24"/>
          <w:szCs w:val="24"/>
          <w:lang w:val="en-US" w:eastAsia="zh-CN"/>
        </w:rPr>
        <w:t>1</w:t>
      </w:r>
      <w:r>
        <w:rPr>
          <w:rFonts w:hint="eastAsia" w:cs="宋体" w:asciiTheme="minorEastAsia" w:hAnsiTheme="minorEastAsia" w:eastAsiaTheme="minorEastAsia"/>
          <w:sz w:val="24"/>
          <w:szCs w:val="24"/>
          <w:lang w:val="en-US" w:eastAsia="zh-CN"/>
        </w:rPr>
        <w:t>月</w:t>
      </w:r>
      <w:r>
        <w:rPr>
          <w:rFonts w:cs="宋体" w:asciiTheme="minorEastAsia" w:hAnsiTheme="minorEastAsia" w:eastAsiaTheme="minorEastAsia"/>
          <w:sz w:val="24"/>
          <w:szCs w:val="24"/>
          <w:lang w:val="en-US" w:eastAsia="zh-CN"/>
        </w:rPr>
        <w:t>26</w:t>
      </w:r>
      <w:r>
        <w:rPr>
          <w:rFonts w:hint="eastAsia" w:cs="宋体" w:asciiTheme="minorEastAsia" w:hAnsiTheme="minorEastAsia" w:eastAsiaTheme="minorEastAsia"/>
          <w:sz w:val="24"/>
          <w:szCs w:val="24"/>
          <w:lang w:val="en-US" w:eastAsia="zh-CN"/>
        </w:rPr>
        <w:t>日，江苏宁沪高速公路股份有限公司（以下简称“本公司”，作为买方及受让方）与江苏交通控股有限公司（以下简称“江苏交控”，作为卖方及转让方）签署《股权转让协议》，向江苏交控协议收购其持有的江苏苏锡常南部高速公路有限公司（以下简称“苏锡常南部高速公司”）</w:t>
      </w:r>
      <w:r>
        <w:rPr>
          <w:rFonts w:cs="宋体" w:asciiTheme="minorEastAsia" w:hAnsiTheme="minorEastAsia" w:eastAsiaTheme="minorEastAsia"/>
          <w:sz w:val="24"/>
          <w:szCs w:val="24"/>
          <w:lang w:val="en-US" w:eastAsia="zh-CN"/>
        </w:rPr>
        <w:t>65%</w:t>
      </w:r>
      <w:r>
        <w:rPr>
          <w:rFonts w:hint="eastAsia" w:cs="宋体" w:asciiTheme="minorEastAsia" w:hAnsiTheme="minorEastAsia" w:eastAsiaTheme="minorEastAsia"/>
          <w:sz w:val="24"/>
          <w:szCs w:val="24"/>
          <w:lang w:val="en-US" w:eastAsia="zh-CN"/>
        </w:rPr>
        <w:t>股权，对价为人民币</w:t>
      </w:r>
      <w:r>
        <w:rPr>
          <w:rFonts w:cs="宋体" w:asciiTheme="minorEastAsia" w:hAnsiTheme="minorEastAsia" w:eastAsiaTheme="minorEastAsia"/>
          <w:sz w:val="24"/>
          <w:szCs w:val="24"/>
          <w:lang w:val="en-US" w:eastAsia="zh-CN"/>
        </w:rPr>
        <w:t>5,200,650,000</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转让对价以评估报告评估值为基础按比例计算</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，最终价格以国有资产管理部门备案估值为准。本次收购完成后，本公司将持有苏锡常南部高速公司</w:t>
      </w:r>
      <w:r>
        <w:rPr>
          <w:rFonts w:cs="宋体" w:asciiTheme="minorEastAsia" w:hAnsiTheme="minorEastAsia" w:eastAsiaTheme="minorEastAsia"/>
          <w:sz w:val="24"/>
          <w:szCs w:val="24"/>
          <w:lang w:val="en-US" w:eastAsia="zh-CN"/>
        </w:rPr>
        <w:t>65%</w:t>
      </w:r>
      <w:r>
        <w:rPr>
          <w:rFonts w:hint="eastAsia" w:cs="宋体" w:asciiTheme="minorEastAsia" w:hAnsiTheme="minorEastAsia" w:eastAsiaTheme="minorEastAsia"/>
          <w:sz w:val="24"/>
          <w:szCs w:val="24"/>
          <w:lang w:val="en-US" w:eastAsia="zh-CN"/>
        </w:rPr>
        <w:t>股权。具体内容详见本公司于2024年1月29日披露的《关于本公司收购江苏苏锡常南部高速公路有限公司65%股权的关联交易公告》。</w:t>
      </w:r>
    </w:p>
    <w:p>
      <w:pPr>
        <w:pStyle w:val="2"/>
        <w:spacing w:line="360" w:lineRule="auto"/>
        <w:contextualSpacing/>
        <w:rPr>
          <w:rFonts w:cs="宋体" w:asciiTheme="minorEastAsia" w:hAnsiTheme="minorEastAsia" w:eastAsiaTheme="minorEastAsia"/>
          <w:b/>
          <w:sz w:val="24"/>
          <w:szCs w:val="24"/>
          <w:lang w:val="en-US" w:eastAsia="zh-CN"/>
        </w:rPr>
      </w:pPr>
      <w:r>
        <w:rPr>
          <w:rFonts w:hint="eastAsia" w:cs="宋体" w:asciiTheme="minorEastAsia" w:hAnsiTheme="minorEastAsia" w:eastAsiaTheme="minorEastAsia"/>
          <w:b/>
          <w:sz w:val="24"/>
          <w:szCs w:val="24"/>
          <w:lang w:val="en-US" w:eastAsia="zh-CN"/>
        </w:rPr>
        <w:t>二、关联交易进展情况</w:t>
      </w:r>
    </w:p>
    <w:p>
      <w:pPr>
        <w:pStyle w:val="2"/>
        <w:spacing w:line="360" w:lineRule="auto"/>
        <w:ind w:firstLine="480"/>
        <w:contextualSpacing/>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2024年1月30日，本公司收到上海证券交易所上市公司管理一部出具的《关于江苏宁沪高速公路股份有限公司大额现金收购控股股东资产相关事项的监管工作函》（上证公函【2024】0086号）（以下简称“《监管工作函》”）。本公司及相关各方就《监管工作函》中所涉及事项逐项进行了认真的核查、分析和研究，并于2024年3月2日对《监管工作函》中的有关问题向上海证券交易所进行了回复，具体内容详见本公司于2024年3月2日披露的《关于上海证券交易所对公司大额现金收购控股股东资产相关事项的监管工作函回复的公告》。</w:t>
      </w:r>
    </w:p>
    <w:p>
      <w:pPr>
        <w:pStyle w:val="2"/>
        <w:spacing w:line="360" w:lineRule="auto"/>
        <w:ind w:firstLine="480"/>
        <w:contextualSpacing/>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2024年3月1日，本公司召开第十届董事会第二十五次会议，审议通过《关于签署江苏苏锡常南部高速公路有限公司65%股权转让补充协议的议案》，本公司与江苏交控就苏锡常南部高速公司65%股权转让事项的业绩补偿承诺及对价支付方案签署《〈股权转让协议〉之补充协议》。</w:t>
      </w:r>
    </w:p>
    <w:p>
      <w:pPr>
        <w:pStyle w:val="2"/>
        <w:spacing w:line="360" w:lineRule="auto"/>
        <w:ind w:firstLine="480"/>
        <w:contextualSpacing/>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截至本公告日，本</w:t>
      </w:r>
      <w:bookmarkStart w:id="2" w:name="_GoBack"/>
      <w:bookmarkEnd w:id="2"/>
      <w:r>
        <w:rPr>
          <w:rFonts w:hint="eastAsia" w:cs="宋体" w:asciiTheme="minorEastAsia" w:hAnsiTheme="minorEastAsia" w:eastAsiaTheme="minorEastAsia"/>
          <w:sz w:val="24"/>
          <w:szCs w:val="24"/>
          <w:lang w:val="en-US" w:eastAsia="zh-CN"/>
        </w:rPr>
        <w:t>公司已取得无锡市交通产业集团有限公司及常州高速公路投资发展有限公司放弃对苏锡常南部高速公司65%股权的优先购买权及优先购买权相关的保护时间的主张。</w:t>
      </w:r>
    </w:p>
    <w:p>
      <w:pPr>
        <w:pStyle w:val="2"/>
        <w:spacing w:line="360" w:lineRule="auto"/>
        <w:contextualSpacing/>
        <w:rPr>
          <w:rFonts w:cs="宋体" w:asciiTheme="minorEastAsia" w:hAnsiTheme="minorEastAsia" w:eastAsiaTheme="minorEastAsia"/>
          <w:b/>
          <w:sz w:val="24"/>
          <w:szCs w:val="24"/>
          <w:lang w:val="en-US" w:eastAsia="zh-CN"/>
        </w:rPr>
      </w:pPr>
      <w:r>
        <w:rPr>
          <w:rFonts w:hint="eastAsia" w:cs="宋体" w:asciiTheme="minorEastAsia" w:hAnsiTheme="minorEastAsia" w:eastAsiaTheme="minorEastAsia"/>
          <w:b/>
          <w:sz w:val="24"/>
          <w:szCs w:val="24"/>
          <w:lang w:val="en-US" w:eastAsia="zh-CN"/>
        </w:rPr>
        <w:t>三、补充协议主要内容</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（一）对价支付方式</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将《股权转让协议》中“转让对价确认机制及支付方式”之“对价支付方式”条款调整如下：</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在《股权转让协议》约定的对价支付的前提条件全部达成的前提下，受让方应于前述所有前提条件均获达成后的5个工作日内向转让方支付第一期股权转让款，第一期股权转让价款为本次标的股权交易价格的40%，即人民币208,026万元。</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本次股权转让的交易价格以《股权转让协议》之“对价确认机制”条款约定的方式确定，如较当前的股权交易价格 520,065 万元有调整，则各期应支付的股权价款相应调整。</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2、第二期至第六期股权转让价款分别为本次标的股权交易价格的20%、10%、10%、10%以及10%，即人民币104,013万元、人民币52,006.5万元、人民币52,006.5万元、人民币52,006.5万元以及人民币52,006.5万元。支付时间为：业绩承诺期内年度业绩补偿专项报告出具后，若业绩承诺实现的，于专项报告出具之日起 5 个工作日内支付；若业绩承诺未能完成，本公司有权扣除江苏交控需依约向本公司补偿金额后支付余额；如补偿金额高于当期股权转让价款的，江苏交控需将当期业绩补偿金额扣除当期股权转让价款后的余额支付予本公司。</w:t>
      </w:r>
    </w:p>
    <w:p>
      <w:pPr>
        <w:pStyle w:val="2"/>
        <w:spacing w:line="360" w:lineRule="auto"/>
        <w:ind w:firstLine="480" w:firstLineChars="200"/>
        <w:contextualSpacing/>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第二期至第六期股权转让价款应当支付延期付款期间的利息，利息计算期间为自第一期股权转让价款约定付款期满次日起至当期股权转让款实际支付之日止，利息以当期股权转让款实际支付之日适用的中国人民银行授权全国银行间同业拆借中心发布的当期一年期贷款市场报价利率（LPR）为标准确定，每期股权转让价款的延期付款利息与该期股权转让价款(或依前款规定余额，如适用)同时支付。</w:t>
      </w:r>
    </w:p>
    <w:p>
      <w:pPr>
        <w:pStyle w:val="2"/>
        <w:spacing w:line="360" w:lineRule="auto"/>
        <w:ind w:firstLine="240" w:firstLineChars="1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（二）业绩补偿承诺</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为促进本次交易的进行，经转让方与受让方协商一致，转让方向受让方作出如下业绩补偿承诺：</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1、业绩承诺期，是指本次交易评估基准日之后的2024年1月1日起的五个完整会计年度，即2024年度、2025年度、2026年度、2027年度及2028年度。</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2、江苏交控承诺目标公司 2024年、2025年、2026年、2027年及2028年实现的净利润分别不低于15,503.62万元、34,843.82万元、36,073.41万元、34,835.09万元及47,743.64万元，但遇不可抗力原因导致前述目标不能实现的除外。</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承诺净利润的具体数额以经国有资产管理部门备案的评估报告为基础确定，如前述承诺净利润数额与核准或备案结果不一致，则转让方、受让方一致同意以实际核准或备案结果为基础进行业绩补偿。</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3、本公司在业绩承诺期每一个会计年度结束后聘请会计师事务所对目标公司当年实现的净利润数与承诺的目标公司净利润数的差异情况出具专项报告。</w:t>
      </w:r>
    </w:p>
    <w:p>
      <w:pPr>
        <w:pStyle w:val="2"/>
        <w:spacing w:line="360" w:lineRule="auto"/>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如目标公司截至该会计年度末累计实现净利润数小于截至该会计年度末累计承诺净利润数，则江苏交控应以股权转让总价款为基础，按照不足部分占截至该会计年度末累计承诺净利润的比例，向本公司进行补偿。</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当期业绩补偿金额=A–B</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A=（业绩承诺期截至该会计年度末累计承诺净利润数-业绩承诺期截至该会计年度末累计实现净利润数）÷目标公司在业绩承诺期间承诺净利润数总和×本次标的股权交易价格</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B=江苏交控已支付的业绩补偿金额。</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 xml:space="preserve">如根据上述公式计算的当期业绩补偿金额少于或等于 0 时，则按 0 取值。 </w:t>
      </w:r>
    </w:p>
    <w:p>
      <w:pPr>
        <w:pStyle w:val="2"/>
        <w:spacing w:line="360" w:lineRule="auto"/>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如遇不可抗力原因导致业绩承诺目标不能实现的，根据不可抗力的影响部分或全部免除责任等事宜由转让方、受让方依法协商处理。</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4、触发当期业绩补偿条件的，江苏交控应在专项报告出具且本公司年度财务报告经股东大会审议通过之日起 10 个工作日内支付。</w:t>
      </w:r>
    </w:p>
    <w:p>
      <w:pPr>
        <w:pStyle w:val="2"/>
        <w:spacing w:line="360" w:lineRule="auto"/>
        <w:ind w:firstLine="480" w:firstLineChars="200"/>
        <w:contextualSpacing/>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5、于业绩承诺期最后一会计年度届满，如果上述公式计算的补偿金额少于0，本公司应在专项报告出具且本公司年度财务报告经股东大会审议通过之日起 10 个工作日内退还江苏交控多付的补偿金额（不计算实际支付日与按期退款日的利息）。</w:t>
      </w:r>
    </w:p>
    <w:p>
      <w:pPr>
        <w:pStyle w:val="2"/>
        <w:spacing w:line="360" w:lineRule="auto"/>
        <w:ind w:firstLine="480" w:firstLineChars="200"/>
        <w:contextualSpacing/>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6、支付或退还补偿金额未能依据上述两款约定完成的一方，应按照《股权转让协议》约定向对方支付利息。</w:t>
      </w:r>
    </w:p>
    <w:p>
      <w:pPr>
        <w:pStyle w:val="2"/>
        <w:spacing w:line="360" w:lineRule="auto"/>
        <w:ind w:firstLine="480"/>
        <w:contextualSpacing/>
        <w:rPr>
          <w:rFonts w:cs="宋体" w:asciiTheme="minorEastAsia" w:hAnsiTheme="minorEastAsia" w:eastAsiaTheme="minorEastAsia"/>
          <w:sz w:val="24"/>
          <w:szCs w:val="24"/>
          <w:lang w:val="en-US" w:eastAsia="zh-CN"/>
        </w:rPr>
      </w:pPr>
    </w:p>
    <w:p>
      <w:pPr>
        <w:pStyle w:val="8"/>
        <w:spacing w:line="360" w:lineRule="auto"/>
        <w:ind w:firstLine="482"/>
        <w:jc w:val="left"/>
        <w:rPr>
          <w:rFonts w:cs="宋体" w:asciiTheme="minorEastAsia" w:hAnsiTheme="minorEastAsia" w:eastAsiaTheme="minorEastAsia"/>
          <w:sz w:val="24"/>
          <w:szCs w:val="24"/>
        </w:rPr>
      </w:pPr>
      <w:r>
        <w:rPr>
          <w:rFonts w:hint="eastAsia" w:cs="宋体" w:asciiTheme="minorEastAsia" w:hAnsiTheme="minorEastAsia" w:eastAsiaTheme="minorEastAsia"/>
          <w:b/>
          <w:sz w:val="24"/>
        </w:rPr>
        <w:t>特此公告。</w:t>
      </w:r>
    </w:p>
    <w:p>
      <w:pPr>
        <w:adjustRightInd w:val="0"/>
        <w:spacing w:line="360" w:lineRule="auto"/>
        <w:ind w:firstLine="4578" w:firstLineChars="19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江苏宁沪高速公路股份有限公司</w:t>
      </w:r>
    </w:p>
    <w:p>
      <w:pPr>
        <w:widowControl/>
        <w:spacing w:line="360" w:lineRule="auto"/>
        <w:ind w:firstLine="5301" w:firstLineChars="2200"/>
        <w:jc w:val="left"/>
        <w:rPr>
          <w:rFonts w:asciiTheme="minorEastAsia" w:hAnsiTheme="minorEastAsia" w:eastAsiaTheme="minorEastAsia"/>
          <w:sz w:val="24"/>
          <w:szCs w:val="24"/>
        </w:rPr>
      </w:pPr>
      <w:r>
        <w:rPr>
          <w:rFonts w:hint="eastAsia" w:cs="宋体" w:asciiTheme="minorEastAsia" w:hAnsiTheme="minorEastAsia" w:eastAsiaTheme="minorEastAsia"/>
          <w:b/>
          <w:sz w:val="24"/>
        </w:rPr>
        <w:t>二〇二</w:t>
      </w:r>
      <w:r>
        <w:rPr>
          <w:rFonts w:hint="eastAsia" w:cs="宋体" w:asciiTheme="minorEastAsia" w:hAnsiTheme="minorEastAsia" w:eastAsiaTheme="minorEastAsia"/>
          <w:b/>
          <w:sz w:val="24"/>
          <w:lang w:val="en-US" w:eastAsia="zh-CN"/>
        </w:rPr>
        <w:t>四</w:t>
      </w:r>
      <w:r>
        <w:rPr>
          <w:rFonts w:hint="eastAsia" w:cs="宋体" w:asciiTheme="minorEastAsia" w:hAnsiTheme="minorEastAsia" w:eastAsiaTheme="minorEastAsia"/>
          <w:b/>
          <w:sz w:val="24"/>
        </w:rPr>
        <w:t>年</w:t>
      </w:r>
      <w:r>
        <w:rPr>
          <w:rFonts w:hint="eastAsia" w:cs="宋体" w:asciiTheme="minorEastAsia" w:hAnsiTheme="minorEastAsia" w:eastAsiaTheme="minorEastAsia"/>
          <w:b/>
          <w:sz w:val="24"/>
          <w:lang w:val="en-US" w:eastAsia="zh-CN"/>
        </w:rPr>
        <w:t>三</w:t>
      </w:r>
      <w:r>
        <w:rPr>
          <w:rFonts w:hint="eastAsia" w:cs="宋体" w:asciiTheme="minorEastAsia" w:hAnsiTheme="minorEastAsia" w:eastAsiaTheme="minorEastAsia"/>
          <w:b/>
          <w:sz w:val="24"/>
        </w:rPr>
        <w:t>月二日</w:t>
      </w:r>
    </w:p>
    <w:p>
      <w:pPr>
        <w:pStyle w:val="2"/>
        <w:spacing w:line="360" w:lineRule="auto"/>
        <w:rPr>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4722361"/>
    </w:sdtPr>
    <w:sdtContent>
      <w:p>
        <w:pPr>
          <w:pStyle w:val="11"/>
          <w:jc w:val="center"/>
        </w:pPr>
        <w:r>
          <w:fldChar w:fldCharType="begin"/>
        </w:r>
        <w:r>
          <w:instrText xml:space="preserve">PAGE   \* MERGEFORMAT</w:instrText>
        </w:r>
        <w:r>
          <w:fldChar w:fldCharType="separate"/>
        </w:r>
        <w:r>
          <w:rPr>
            <w:lang w:val="zh-CN" w:eastAsia="zh-CN"/>
          </w:rPr>
          <w:t>2</w:t>
        </w:r>
        <w:r>
          <w:fldChar w:fldCharType="end"/>
        </w:r>
      </w:p>
    </w:sdtContent>
  </w:sdt>
  <w:p>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CD7CF9"/>
    <w:multiLevelType w:val="multilevel"/>
    <w:tmpl w:val="5FCD7CF9"/>
    <w:lvl w:ilvl="0" w:tentative="0">
      <w:start w:val="1"/>
      <w:numFmt w:val="japaneseCounting"/>
      <w:pStyle w:val="3"/>
      <w:lvlText w:val="%1、"/>
      <w:lvlJc w:val="left"/>
      <w:pPr>
        <w:ind w:left="720" w:hanging="720"/>
      </w:pPr>
      <w:rPr>
        <w:rFonts w:hint="default"/>
      </w:rPr>
    </w:lvl>
    <w:lvl w:ilvl="1" w:tentative="0">
      <w:start w:val="1"/>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00172A27"/>
    <w:rsid w:val="0000142F"/>
    <w:rsid w:val="00005228"/>
    <w:rsid w:val="0001205F"/>
    <w:rsid w:val="00014452"/>
    <w:rsid w:val="000256FB"/>
    <w:rsid w:val="00031231"/>
    <w:rsid w:val="000321A6"/>
    <w:rsid w:val="00040F6B"/>
    <w:rsid w:val="00041CC7"/>
    <w:rsid w:val="0004586F"/>
    <w:rsid w:val="00047B58"/>
    <w:rsid w:val="0005162C"/>
    <w:rsid w:val="00051976"/>
    <w:rsid w:val="00060795"/>
    <w:rsid w:val="00061BC9"/>
    <w:rsid w:val="00061C55"/>
    <w:rsid w:val="0006753A"/>
    <w:rsid w:val="000764D6"/>
    <w:rsid w:val="0008232A"/>
    <w:rsid w:val="0008534D"/>
    <w:rsid w:val="00086E34"/>
    <w:rsid w:val="00087B34"/>
    <w:rsid w:val="000A2DF7"/>
    <w:rsid w:val="000B258A"/>
    <w:rsid w:val="000B4240"/>
    <w:rsid w:val="000B5920"/>
    <w:rsid w:val="000B75D0"/>
    <w:rsid w:val="000C08F4"/>
    <w:rsid w:val="000C18D0"/>
    <w:rsid w:val="000C43B9"/>
    <w:rsid w:val="000D64FC"/>
    <w:rsid w:val="000E69E8"/>
    <w:rsid w:val="000F507F"/>
    <w:rsid w:val="0010708C"/>
    <w:rsid w:val="001240DF"/>
    <w:rsid w:val="00125B0A"/>
    <w:rsid w:val="00141D5A"/>
    <w:rsid w:val="00142E74"/>
    <w:rsid w:val="00147D97"/>
    <w:rsid w:val="00150841"/>
    <w:rsid w:val="00160926"/>
    <w:rsid w:val="00172A27"/>
    <w:rsid w:val="00180713"/>
    <w:rsid w:val="00180B84"/>
    <w:rsid w:val="00181D5C"/>
    <w:rsid w:val="0018519E"/>
    <w:rsid w:val="0018584B"/>
    <w:rsid w:val="0019127B"/>
    <w:rsid w:val="001958ED"/>
    <w:rsid w:val="00196609"/>
    <w:rsid w:val="001A0232"/>
    <w:rsid w:val="001A2869"/>
    <w:rsid w:val="001A600F"/>
    <w:rsid w:val="001B2BA4"/>
    <w:rsid w:val="001C4445"/>
    <w:rsid w:val="001C5386"/>
    <w:rsid w:val="001C5C81"/>
    <w:rsid w:val="001C6950"/>
    <w:rsid w:val="001D450C"/>
    <w:rsid w:val="001D785A"/>
    <w:rsid w:val="001E1663"/>
    <w:rsid w:val="001E5AEE"/>
    <w:rsid w:val="001F25FE"/>
    <w:rsid w:val="001F4633"/>
    <w:rsid w:val="001F6D40"/>
    <w:rsid w:val="002101FF"/>
    <w:rsid w:val="00212246"/>
    <w:rsid w:val="00212B97"/>
    <w:rsid w:val="00212FA8"/>
    <w:rsid w:val="00216FF1"/>
    <w:rsid w:val="00224915"/>
    <w:rsid w:val="0022589C"/>
    <w:rsid w:val="002308D0"/>
    <w:rsid w:val="00241F62"/>
    <w:rsid w:val="00247251"/>
    <w:rsid w:val="00251F68"/>
    <w:rsid w:val="00256ADE"/>
    <w:rsid w:val="00257A56"/>
    <w:rsid w:val="00260E7D"/>
    <w:rsid w:val="0026141E"/>
    <w:rsid w:val="002627A4"/>
    <w:rsid w:val="00263393"/>
    <w:rsid w:val="00266E3B"/>
    <w:rsid w:val="00275E93"/>
    <w:rsid w:val="002763B6"/>
    <w:rsid w:val="002774DB"/>
    <w:rsid w:val="0028017F"/>
    <w:rsid w:val="00280264"/>
    <w:rsid w:val="00283FC3"/>
    <w:rsid w:val="002864BA"/>
    <w:rsid w:val="002905FA"/>
    <w:rsid w:val="00290D19"/>
    <w:rsid w:val="002A2533"/>
    <w:rsid w:val="002A25A1"/>
    <w:rsid w:val="002A5425"/>
    <w:rsid w:val="002A6CC9"/>
    <w:rsid w:val="002B278D"/>
    <w:rsid w:val="002C04E1"/>
    <w:rsid w:val="002C0DBA"/>
    <w:rsid w:val="002C6D0C"/>
    <w:rsid w:val="002D12D3"/>
    <w:rsid w:val="002D282B"/>
    <w:rsid w:val="002D594E"/>
    <w:rsid w:val="00305E76"/>
    <w:rsid w:val="003069B6"/>
    <w:rsid w:val="00313A7D"/>
    <w:rsid w:val="00315BB3"/>
    <w:rsid w:val="0032350A"/>
    <w:rsid w:val="0033226A"/>
    <w:rsid w:val="00332F84"/>
    <w:rsid w:val="003362BA"/>
    <w:rsid w:val="00336663"/>
    <w:rsid w:val="003367B1"/>
    <w:rsid w:val="003371F0"/>
    <w:rsid w:val="0034172D"/>
    <w:rsid w:val="003441D7"/>
    <w:rsid w:val="00345975"/>
    <w:rsid w:val="00346DE7"/>
    <w:rsid w:val="00347D42"/>
    <w:rsid w:val="0035052E"/>
    <w:rsid w:val="00352161"/>
    <w:rsid w:val="00355749"/>
    <w:rsid w:val="003629F2"/>
    <w:rsid w:val="00367AFA"/>
    <w:rsid w:val="0037024B"/>
    <w:rsid w:val="00372250"/>
    <w:rsid w:val="003777A7"/>
    <w:rsid w:val="003861EA"/>
    <w:rsid w:val="00393891"/>
    <w:rsid w:val="003A1151"/>
    <w:rsid w:val="003A37BA"/>
    <w:rsid w:val="003A4713"/>
    <w:rsid w:val="003A597D"/>
    <w:rsid w:val="003B1890"/>
    <w:rsid w:val="003B1C9D"/>
    <w:rsid w:val="003C1396"/>
    <w:rsid w:val="003C543D"/>
    <w:rsid w:val="003D11D1"/>
    <w:rsid w:val="003D7EBF"/>
    <w:rsid w:val="003E015F"/>
    <w:rsid w:val="003E2195"/>
    <w:rsid w:val="003E2449"/>
    <w:rsid w:val="003E3A98"/>
    <w:rsid w:val="003E4DC6"/>
    <w:rsid w:val="003F2145"/>
    <w:rsid w:val="003F622D"/>
    <w:rsid w:val="00400111"/>
    <w:rsid w:val="00401922"/>
    <w:rsid w:val="00414C60"/>
    <w:rsid w:val="00420B49"/>
    <w:rsid w:val="00425CA4"/>
    <w:rsid w:val="00442314"/>
    <w:rsid w:val="00442F0F"/>
    <w:rsid w:val="004516BC"/>
    <w:rsid w:val="0045364B"/>
    <w:rsid w:val="00453C0E"/>
    <w:rsid w:val="004552FB"/>
    <w:rsid w:val="0045575C"/>
    <w:rsid w:val="004565B8"/>
    <w:rsid w:val="004611F3"/>
    <w:rsid w:val="004613A6"/>
    <w:rsid w:val="00483AA7"/>
    <w:rsid w:val="00484488"/>
    <w:rsid w:val="00486DE4"/>
    <w:rsid w:val="004875FE"/>
    <w:rsid w:val="00496F68"/>
    <w:rsid w:val="004A566E"/>
    <w:rsid w:val="004A6522"/>
    <w:rsid w:val="004B27A6"/>
    <w:rsid w:val="004B39EA"/>
    <w:rsid w:val="004B6F96"/>
    <w:rsid w:val="004B6FA4"/>
    <w:rsid w:val="004C2502"/>
    <w:rsid w:val="004C4803"/>
    <w:rsid w:val="004C4890"/>
    <w:rsid w:val="004C6AA0"/>
    <w:rsid w:val="004E1DAF"/>
    <w:rsid w:val="004E25A1"/>
    <w:rsid w:val="004E25DA"/>
    <w:rsid w:val="004E58E2"/>
    <w:rsid w:val="004E76A5"/>
    <w:rsid w:val="004F32F8"/>
    <w:rsid w:val="004F69E0"/>
    <w:rsid w:val="004F7135"/>
    <w:rsid w:val="005016AD"/>
    <w:rsid w:val="005033CF"/>
    <w:rsid w:val="0050464D"/>
    <w:rsid w:val="00505E53"/>
    <w:rsid w:val="005071B8"/>
    <w:rsid w:val="00517130"/>
    <w:rsid w:val="00520D56"/>
    <w:rsid w:val="00523375"/>
    <w:rsid w:val="00530343"/>
    <w:rsid w:val="00530AF8"/>
    <w:rsid w:val="005357E4"/>
    <w:rsid w:val="005363DF"/>
    <w:rsid w:val="005423FA"/>
    <w:rsid w:val="00547B79"/>
    <w:rsid w:val="00552EFB"/>
    <w:rsid w:val="005604EF"/>
    <w:rsid w:val="00565836"/>
    <w:rsid w:val="00566940"/>
    <w:rsid w:val="0056770C"/>
    <w:rsid w:val="00572162"/>
    <w:rsid w:val="005726D1"/>
    <w:rsid w:val="00573E1B"/>
    <w:rsid w:val="0057783C"/>
    <w:rsid w:val="005865E6"/>
    <w:rsid w:val="00591F9E"/>
    <w:rsid w:val="00595DBA"/>
    <w:rsid w:val="00596526"/>
    <w:rsid w:val="005A59AB"/>
    <w:rsid w:val="005B12A1"/>
    <w:rsid w:val="005B1686"/>
    <w:rsid w:val="005C50AF"/>
    <w:rsid w:val="005C6B28"/>
    <w:rsid w:val="005D1C3E"/>
    <w:rsid w:val="005E0304"/>
    <w:rsid w:val="005E4F44"/>
    <w:rsid w:val="005F0C6C"/>
    <w:rsid w:val="005F6EAB"/>
    <w:rsid w:val="005F708F"/>
    <w:rsid w:val="00605568"/>
    <w:rsid w:val="006254F4"/>
    <w:rsid w:val="00633D46"/>
    <w:rsid w:val="00634FC6"/>
    <w:rsid w:val="00640448"/>
    <w:rsid w:val="006477F8"/>
    <w:rsid w:val="00653CE2"/>
    <w:rsid w:val="00654EEA"/>
    <w:rsid w:val="00656928"/>
    <w:rsid w:val="00657944"/>
    <w:rsid w:val="00660ADB"/>
    <w:rsid w:val="00662882"/>
    <w:rsid w:val="006658A1"/>
    <w:rsid w:val="00666D96"/>
    <w:rsid w:val="006677BA"/>
    <w:rsid w:val="00673EF6"/>
    <w:rsid w:val="0067442E"/>
    <w:rsid w:val="0067481E"/>
    <w:rsid w:val="00676ADD"/>
    <w:rsid w:val="006806F7"/>
    <w:rsid w:val="00680EF4"/>
    <w:rsid w:val="00687843"/>
    <w:rsid w:val="00690536"/>
    <w:rsid w:val="00696724"/>
    <w:rsid w:val="006A7E5C"/>
    <w:rsid w:val="006B2E49"/>
    <w:rsid w:val="006B5F32"/>
    <w:rsid w:val="006C017C"/>
    <w:rsid w:val="006C1D5E"/>
    <w:rsid w:val="006C65E8"/>
    <w:rsid w:val="006D0E3B"/>
    <w:rsid w:val="006D269B"/>
    <w:rsid w:val="006D597F"/>
    <w:rsid w:val="006D7C5B"/>
    <w:rsid w:val="006F0333"/>
    <w:rsid w:val="006F15A9"/>
    <w:rsid w:val="006F2803"/>
    <w:rsid w:val="006F3638"/>
    <w:rsid w:val="00700B9F"/>
    <w:rsid w:val="00717872"/>
    <w:rsid w:val="00720C59"/>
    <w:rsid w:val="00722313"/>
    <w:rsid w:val="00732DBB"/>
    <w:rsid w:val="007350D3"/>
    <w:rsid w:val="007451F9"/>
    <w:rsid w:val="00751D31"/>
    <w:rsid w:val="0075494C"/>
    <w:rsid w:val="00756B4E"/>
    <w:rsid w:val="00757B7F"/>
    <w:rsid w:val="00757C45"/>
    <w:rsid w:val="00761AC7"/>
    <w:rsid w:val="0076231C"/>
    <w:rsid w:val="0076291C"/>
    <w:rsid w:val="007641F9"/>
    <w:rsid w:val="0077115A"/>
    <w:rsid w:val="00774B5E"/>
    <w:rsid w:val="0077747D"/>
    <w:rsid w:val="00781989"/>
    <w:rsid w:val="007824CB"/>
    <w:rsid w:val="007842EA"/>
    <w:rsid w:val="00784B62"/>
    <w:rsid w:val="00787847"/>
    <w:rsid w:val="00791F71"/>
    <w:rsid w:val="00792F54"/>
    <w:rsid w:val="007936FE"/>
    <w:rsid w:val="00793F6A"/>
    <w:rsid w:val="00795636"/>
    <w:rsid w:val="00795952"/>
    <w:rsid w:val="007A4A10"/>
    <w:rsid w:val="007B09D8"/>
    <w:rsid w:val="007B0FBC"/>
    <w:rsid w:val="007B1FC8"/>
    <w:rsid w:val="007B39B3"/>
    <w:rsid w:val="007B60AD"/>
    <w:rsid w:val="007C3471"/>
    <w:rsid w:val="007C6593"/>
    <w:rsid w:val="007D2616"/>
    <w:rsid w:val="007D2D1F"/>
    <w:rsid w:val="007D4579"/>
    <w:rsid w:val="007D6211"/>
    <w:rsid w:val="007E0F9E"/>
    <w:rsid w:val="007E14EB"/>
    <w:rsid w:val="007E49B1"/>
    <w:rsid w:val="007F11FB"/>
    <w:rsid w:val="00806FA9"/>
    <w:rsid w:val="00815006"/>
    <w:rsid w:val="008210D6"/>
    <w:rsid w:val="00825733"/>
    <w:rsid w:val="00825A76"/>
    <w:rsid w:val="00825C8E"/>
    <w:rsid w:val="00831CDB"/>
    <w:rsid w:val="00832D1E"/>
    <w:rsid w:val="0083374B"/>
    <w:rsid w:val="00834E8E"/>
    <w:rsid w:val="00836DB7"/>
    <w:rsid w:val="008415BC"/>
    <w:rsid w:val="0084246A"/>
    <w:rsid w:val="00853047"/>
    <w:rsid w:val="00854040"/>
    <w:rsid w:val="0085601A"/>
    <w:rsid w:val="00861AB0"/>
    <w:rsid w:val="00881F55"/>
    <w:rsid w:val="00882001"/>
    <w:rsid w:val="008867F1"/>
    <w:rsid w:val="008A56AB"/>
    <w:rsid w:val="008B3312"/>
    <w:rsid w:val="008B6088"/>
    <w:rsid w:val="008B6E25"/>
    <w:rsid w:val="008D3E77"/>
    <w:rsid w:val="008D59BF"/>
    <w:rsid w:val="008E2103"/>
    <w:rsid w:val="008E2214"/>
    <w:rsid w:val="008E3323"/>
    <w:rsid w:val="008E340B"/>
    <w:rsid w:val="008E49EE"/>
    <w:rsid w:val="008E535D"/>
    <w:rsid w:val="008F2011"/>
    <w:rsid w:val="008F2A9B"/>
    <w:rsid w:val="008F55B2"/>
    <w:rsid w:val="00904701"/>
    <w:rsid w:val="009113E1"/>
    <w:rsid w:val="00911641"/>
    <w:rsid w:val="00911A9B"/>
    <w:rsid w:val="00921362"/>
    <w:rsid w:val="009217B4"/>
    <w:rsid w:val="00923534"/>
    <w:rsid w:val="00924668"/>
    <w:rsid w:val="00931354"/>
    <w:rsid w:val="00932447"/>
    <w:rsid w:val="009331DE"/>
    <w:rsid w:val="00937831"/>
    <w:rsid w:val="00941AAE"/>
    <w:rsid w:val="009432C8"/>
    <w:rsid w:val="00946B81"/>
    <w:rsid w:val="009505C5"/>
    <w:rsid w:val="0095646A"/>
    <w:rsid w:val="009609F7"/>
    <w:rsid w:val="00964EA5"/>
    <w:rsid w:val="00974E86"/>
    <w:rsid w:val="00977F19"/>
    <w:rsid w:val="00984B0A"/>
    <w:rsid w:val="00987168"/>
    <w:rsid w:val="00992344"/>
    <w:rsid w:val="0099457C"/>
    <w:rsid w:val="00994C9B"/>
    <w:rsid w:val="00997C95"/>
    <w:rsid w:val="009A112F"/>
    <w:rsid w:val="009A280E"/>
    <w:rsid w:val="009A2C40"/>
    <w:rsid w:val="009B5C08"/>
    <w:rsid w:val="009B6569"/>
    <w:rsid w:val="009B70B7"/>
    <w:rsid w:val="009C0138"/>
    <w:rsid w:val="009C1D58"/>
    <w:rsid w:val="009C2CE8"/>
    <w:rsid w:val="009D2841"/>
    <w:rsid w:val="009D53EA"/>
    <w:rsid w:val="009E5913"/>
    <w:rsid w:val="009F1198"/>
    <w:rsid w:val="00A0053E"/>
    <w:rsid w:val="00A014DB"/>
    <w:rsid w:val="00A01B4A"/>
    <w:rsid w:val="00A176C4"/>
    <w:rsid w:val="00A17A3D"/>
    <w:rsid w:val="00A25816"/>
    <w:rsid w:val="00A304F2"/>
    <w:rsid w:val="00A32102"/>
    <w:rsid w:val="00A35D08"/>
    <w:rsid w:val="00A43B40"/>
    <w:rsid w:val="00A44C17"/>
    <w:rsid w:val="00A51E49"/>
    <w:rsid w:val="00A54224"/>
    <w:rsid w:val="00A54972"/>
    <w:rsid w:val="00A71D85"/>
    <w:rsid w:val="00A74245"/>
    <w:rsid w:val="00A83068"/>
    <w:rsid w:val="00A83586"/>
    <w:rsid w:val="00A83F29"/>
    <w:rsid w:val="00A90E23"/>
    <w:rsid w:val="00A93616"/>
    <w:rsid w:val="00A95624"/>
    <w:rsid w:val="00A96C4A"/>
    <w:rsid w:val="00AA1781"/>
    <w:rsid w:val="00AA2163"/>
    <w:rsid w:val="00AA7E36"/>
    <w:rsid w:val="00AB117B"/>
    <w:rsid w:val="00AB28B2"/>
    <w:rsid w:val="00AC1C87"/>
    <w:rsid w:val="00AC41CA"/>
    <w:rsid w:val="00AD1E6F"/>
    <w:rsid w:val="00AD3744"/>
    <w:rsid w:val="00AE5330"/>
    <w:rsid w:val="00AF148B"/>
    <w:rsid w:val="00AF2BBB"/>
    <w:rsid w:val="00AF577C"/>
    <w:rsid w:val="00AF67D1"/>
    <w:rsid w:val="00B00C08"/>
    <w:rsid w:val="00B02B37"/>
    <w:rsid w:val="00B03BE0"/>
    <w:rsid w:val="00B041F4"/>
    <w:rsid w:val="00B07B55"/>
    <w:rsid w:val="00B11A21"/>
    <w:rsid w:val="00B12093"/>
    <w:rsid w:val="00B16E42"/>
    <w:rsid w:val="00B20A97"/>
    <w:rsid w:val="00B26D3B"/>
    <w:rsid w:val="00B27989"/>
    <w:rsid w:val="00B31004"/>
    <w:rsid w:val="00B34EB5"/>
    <w:rsid w:val="00B37207"/>
    <w:rsid w:val="00B42645"/>
    <w:rsid w:val="00B462FE"/>
    <w:rsid w:val="00B47E3F"/>
    <w:rsid w:val="00B50483"/>
    <w:rsid w:val="00B527CD"/>
    <w:rsid w:val="00B5456C"/>
    <w:rsid w:val="00B55FDF"/>
    <w:rsid w:val="00B601BD"/>
    <w:rsid w:val="00B615EF"/>
    <w:rsid w:val="00B625F3"/>
    <w:rsid w:val="00B70ED5"/>
    <w:rsid w:val="00B7332E"/>
    <w:rsid w:val="00B74537"/>
    <w:rsid w:val="00B77EBC"/>
    <w:rsid w:val="00B81A44"/>
    <w:rsid w:val="00B84819"/>
    <w:rsid w:val="00B85965"/>
    <w:rsid w:val="00B86A7A"/>
    <w:rsid w:val="00B90868"/>
    <w:rsid w:val="00B959B5"/>
    <w:rsid w:val="00BA0CC9"/>
    <w:rsid w:val="00BA41B2"/>
    <w:rsid w:val="00BA5F04"/>
    <w:rsid w:val="00BA5FF8"/>
    <w:rsid w:val="00BB1E4B"/>
    <w:rsid w:val="00BB390D"/>
    <w:rsid w:val="00BB6CB6"/>
    <w:rsid w:val="00BC01E3"/>
    <w:rsid w:val="00BC0F72"/>
    <w:rsid w:val="00BC6D70"/>
    <w:rsid w:val="00BC6E50"/>
    <w:rsid w:val="00BD0453"/>
    <w:rsid w:val="00BD055D"/>
    <w:rsid w:val="00BD400A"/>
    <w:rsid w:val="00BE3B24"/>
    <w:rsid w:val="00BE5734"/>
    <w:rsid w:val="00BF0AEC"/>
    <w:rsid w:val="00BF15D3"/>
    <w:rsid w:val="00BF6A7A"/>
    <w:rsid w:val="00C0337B"/>
    <w:rsid w:val="00C03D84"/>
    <w:rsid w:val="00C0588A"/>
    <w:rsid w:val="00C126D7"/>
    <w:rsid w:val="00C2059A"/>
    <w:rsid w:val="00C223BC"/>
    <w:rsid w:val="00C250CD"/>
    <w:rsid w:val="00C31D5D"/>
    <w:rsid w:val="00C348A2"/>
    <w:rsid w:val="00C35759"/>
    <w:rsid w:val="00C36207"/>
    <w:rsid w:val="00C3674B"/>
    <w:rsid w:val="00C4126F"/>
    <w:rsid w:val="00C45760"/>
    <w:rsid w:val="00C46069"/>
    <w:rsid w:val="00C500FB"/>
    <w:rsid w:val="00C501C5"/>
    <w:rsid w:val="00C54986"/>
    <w:rsid w:val="00C56CC5"/>
    <w:rsid w:val="00C57B01"/>
    <w:rsid w:val="00C57F3E"/>
    <w:rsid w:val="00C60CBE"/>
    <w:rsid w:val="00C63D72"/>
    <w:rsid w:val="00C64A1C"/>
    <w:rsid w:val="00C67566"/>
    <w:rsid w:val="00C7513A"/>
    <w:rsid w:val="00C83E27"/>
    <w:rsid w:val="00C849BD"/>
    <w:rsid w:val="00C8674C"/>
    <w:rsid w:val="00C86BDF"/>
    <w:rsid w:val="00C91794"/>
    <w:rsid w:val="00C91CC1"/>
    <w:rsid w:val="00C9287C"/>
    <w:rsid w:val="00C92A28"/>
    <w:rsid w:val="00C92D2F"/>
    <w:rsid w:val="00C95CC2"/>
    <w:rsid w:val="00CA0A3E"/>
    <w:rsid w:val="00CA754E"/>
    <w:rsid w:val="00CB0173"/>
    <w:rsid w:val="00CB4CE0"/>
    <w:rsid w:val="00CC1214"/>
    <w:rsid w:val="00CC3198"/>
    <w:rsid w:val="00CC3AF4"/>
    <w:rsid w:val="00CC4CF9"/>
    <w:rsid w:val="00CD6EAF"/>
    <w:rsid w:val="00CE1BBE"/>
    <w:rsid w:val="00CE2E77"/>
    <w:rsid w:val="00CF0E56"/>
    <w:rsid w:val="00CF4EDD"/>
    <w:rsid w:val="00CF59E8"/>
    <w:rsid w:val="00D005F6"/>
    <w:rsid w:val="00D029F7"/>
    <w:rsid w:val="00D04F59"/>
    <w:rsid w:val="00D13831"/>
    <w:rsid w:val="00D13C42"/>
    <w:rsid w:val="00D162AB"/>
    <w:rsid w:val="00D22250"/>
    <w:rsid w:val="00D262B6"/>
    <w:rsid w:val="00D26397"/>
    <w:rsid w:val="00D27F48"/>
    <w:rsid w:val="00D308ED"/>
    <w:rsid w:val="00D3170B"/>
    <w:rsid w:val="00D338FC"/>
    <w:rsid w:val="00D508E9"/>
    <w:rsid w:val="00D534A7"/>
    <w:rsid w:val="00D5572E"/>
    <w:rsid w:val="00D564E2"/>
    <w:rsid w:val="00D57954"/>
    <w:rsid w:val="00D624D3"/>
    <w:rsid w:val="00D62ED1"/>
    <w:rsid w:val="00D639E4"/>
    <w:rsid w:val="00D64C91"/>
    <w:rsid w:val="00D71D1F"/>
    <w:rsid w:val="00D7402E"/>
    <w:rsid w:val="00D766A8"/>
    <w:rsid w:val="00D84CFC"/>
    <w:rsid w:val="00D90A48"/>
    <w:rsid w:val="00D912CB"/>
    <w:rsid w:val="00D95570"/>
    <w:rsid w:val="00DC3D39"/>
    <w:rsid w:val="00DC3F08"/>
    <w:rsid w:val="00DC40F8"/>
    <w:rsid w:val="00DC41E6"/>
    <w:rsid w:val="00DC48DC"/>
    <w:rsid w:val="00DD4105"/>
    <w:rsid w:val="00DE3585"/>
    <w:rsid w:val="00DF2709"/>
    <w:rsid w:val="00DF75D2"/>
    <w:rsid w:val="00DF7BF2"/>
    <w:rsid w:val="00E042E1"/>
    <w:rsid w:val="00E12A87"/>
    <w:rsid w:val="00E20B9D"/>
    <w:rsid w:val="00E30A77"/>
    <w:rsid w:val="00E32963"/>
    <w:rsid w:val="00E3407C"/>
    <w:rsid w:val="00E4215A"/>
    <w:rsid w:val="00E4714F"/>
    <w:rsid w:val="00E47B60"/>
    <w:rsid w:val="00E507B6"/>
    <w:rsid w:val="00E609A0"/>
    <w:rsid w:val="00E60BA6"/>
    <w:rsid w:val="00E72A03"/>
    <w:rsid w:val="00E908C8"/>
    <w:rsid w:val="00E964F7"/>
    <w:rsid w:val="00E9681B"/>
    <w:rsid w:val="00E97872"/>
    <w:rsid w:val="00EA5A2C"/>
    <w:rsid w:val="00EB7A4E"/>
    <w:rsid w:val="00EC054B"/>
    <w:rsid w:val="00EC2153"/>
    <w:rsid w:val="00EC2FB7"/>
    <w:rsid w:val="00EC40D0"/>
    <w:rsid w:val="00ED1859"/>
    <w:rsid w:val="00ED2132"/>
    <w:rsid w:val="00ED3746"/>
    <w:rsid w:val="00EE3A45"/>
    <w:rsid w:val="00EF4F2A"/>
    <w:rsid w:val="00F00C41"/>
    <w:rsid w:val="00F014EB"/>
    <w:rsid w:val="00F0296F"/>
    <w:rsid w:val="00F054AC"/>
    <w:rsid w:val="00F10AEA"/>
    <w:rsid w:val="00F24680"/>
    <w:rsid w:val="00F24B96"/>
    <w:rsid w:val="00F25344"/>
    <w:rsid w:val="00F255B3"/>
    <w:rsid w:val="00F258EB"/>
    <w:rsid w:val="00F3204D"/>
    <w:rsid w:val="00F33721"/>
    <w:rsid w:val="00F33B06"/>
    <w:rsid w:val="00F40CC8"/>
    <w:rsid w:val="00F40F96"/>
    <w:rsid w:val="00F46D1B"/>
    <w:rsid w:val="00F50072"/>
    <w:rsid w:val="00F541C6"/>
    <w:rsid w:val="00F573B3"/>
    <w:rsid w:val="00F57524"/>
    <w:rsid w:val="00F6210A"/>
    <w:rsid w:val="00F62A4F"/>
    <w:rsid w:val="00F632AB"/>
    <w:rsid w:val="00F71D90"/>
    <w:rsid w:val="00F72EA6"/>
    <w:rsid w:val="00F765FB"/>
    <w:rsid w:val="00F772C0"/>
    <w:rsid w:val="00F809EE"/>
    <w:rsid w:val="00F8247C"/>
    <w:rsid w:val="00F8463A"/>
    <w:rsid w:val="00F85193"/>
    <w:rsid w:val="00F86BF3"/>
    <w:rsid w:val="00FA56F7"/>
    <w:rsid w:val="00FB17BF"/>
    <w:rsid w:val="00FB34B2"/>
    <w:rsid w:val="00FC2047"/>
    <w:rsid w:val="00FC7761"/>
    <w:rsid w:val="00FE1447"/>
    <w:rsid w:val="00FE1AA8"/>
    <w:rsid w:val="00FE1C11"/>
    <w:rsid w:val="00FE5232"/>
    <w:rsid w:val="00FE7432"/>
    <w:rsid w:val="00FF4F7B"/>
    <w:rsid w:val="01D807EF"/>
    <w:rsid w:val="03E5503B"/>
    <w:rsid w:val="044B4BE7"/>
    <w:rsid w:val="045C5616"/>
    <w:rsid w:val="04B073F7"/>
    <w:rsid w:val="053022E6"/>
    <w:rsid w:val="06065952"/>
    <w:rsid w:val="067C6C7C"/>
    <w:rsid w:val="079C700D"/>
    <w:rsid w:val="0950000A"/>
    <w:rsid w:val="096F02A0"/>
    <w:rsid w:val="09B66C11"/>
    <w:rsid w:val="09F61D50"/>
    <w:rsid w:val="0A93759F"/>
    <w:rsid w:val="0AC04AB2"/>
    <w:rsid w:val="0B043FF8"/>
    <w:rsid w:val="0BD31DCC"/>
    <w:rsid w:val="0C121409"/>
    <w:rsid w:val="0C1A7C26"/>
    <w:rsid w:val="0C9055EC"/>
    <w:rsid w:val="0CEF7ECF"/>
    <w:rsid w:val="0D020A0B"/>
    <w:rsid w:val="0D0C3638"/>
    <w:rsid w:val="0DC95DFA"/>
    <w:rsid w:val="0E82203D"/>
    <w:rsid w:val="0F783207"/>
    <w:rsid w:val="0FCF0BA1"/>
    <w:rsid w:val="10CB7366"/>
    <w:rsid w:val="112D1C7D"/>
    <w:rsid w:val="115353AC"/>
    <w:rsid w:val="1261638A"/>
    <w:rsid w:val="12A75AC3"/>
    <w:rsid w:val="13373E3D"/>
    <w:rsid w:val="13AF2F6F"/>
    <w:rsid w:val="14665D24"/>
    <w:rsid w:val="147075E2"/>
    <w:rsid w:val="14F61195"/>
    <w:rsid w:val="156A6D57"/>
    <w:rsid w:val="158069A6"/>
    <w:rsid w:val="16351280"/>
    <w:rsid w:val="168B1A72"/>
    <w:rsid w:val="16E76F5E"/>
    <w:rsid w:val="16F2652B"/>
    <w:rsid w:val="18383533"/>
    <w:rsid w:val="183C4CD8"/>
    <w:rsid w:val="188F5EAC"/>
    <w:rsid w:val="18C774BA"/>
    <w:rsid w:val="18D16E71"/>
    <w:rsid w:val="19193365"/>
    <w:rsid w:val="19EA0124"/>
    <w:rsid w:val="1A7B1DFD"/>
    <w:rsid w:val="1A856A8F"/>
    <w:rsid w:val="1A926C85"/>
    <w:rsid w:val="1B4D19EC"/>
    <w:rsid w:val="1BE21B0B"/>
    <w:rsid w:val="1C80402C"/>
    <w:rsid w:val="1DD737EE"/>
    <w:rsid w:val="1E3C4007"/>
    <w:rsid w:val="1EAB451D"/>
    <w:rsid w:val="20184F85"/>
    <w:rsid w:val="20304BC9"/>
    <w:rsid w:val="216A599B"/>
    <w:rsid w:val="2181419D"/>
    <w:rsid w:val="21E6671C"/>
    <w:rsid w:val="22143896"/>
    <w:rsid w:val="22693159"/>
    <w:rsid w:val="22FB04DD"/>
    <w:rsid w:val="253C44E1"/>
    <w:rsid w:val="255547C8"/>
    <w:rsid w:val="25BC57A4"/>
    <w:rsid w:val="26CE6972"/>
    <w:rsid w:val="26E86A6C"/>
    <w:rsid w:val="27196C26"/>
    <w:rsid w:val="274B7E0A"/>
    <w:rsid w:val="274D09F9"/>
    <w:rsid w:val="297E2AE5"/>
    <w:rsid w:val="298D6CF2"/>
    <w:rsid w:val="2A541123"/>
    <w:rsid w:val="2A6D3510"/>
    <w:rsid w:val="2A704DAF"/>
    <w:rsid w:val="2A9B706F"/>
    <w:rsid w:val="2ABE66BE"/>
    <w:rsid w:val="2B711B93"/>
    <w:rsid w:val="2B9176D3"/>
    <w:rsid w:val="2C283CE8"/>
    <w:rsid w:val="2CED6C30"/>
    <w:rsid w:val="2D7E7FA9"/>
    <w:rsid w:val="2DD3092A"/>
    <w:rsid w:val="2E444588"/>
    <w:rsid w:val="2EA94D33"/>
    <w:rsid w:val="2ED3590C"/>
    <w:rsid w:val="2FA704BD"/>
    <w:rsid w:val="303D3421"/>
    <w:rsid w:val="30F42C13"/>
    <w:rsid w:val="310B1A9B"/>
    <w:rsid w:val="316533B6"/>
    <w:rsid w:val="32F71915"/>
    <w:rsid w:val="33576B0C"/>
    <w:rsid w:val="33BF6080"/>
    <w:rsid w:val="346A1F14"/>
    <w:rsid w:val="35356692"/>
    <w:rsid w:val="35636439"/>
    <w:rsid w:val="36FD79CA"/>
    <w:rsid w:val="372907BF"/>
    <w:rsid w:val="377A473A"/>
    <w:rsid w:val="39EE1DE6"/>
    <w:rsid w:val="3AE12DB5"/>
    <w:rsid w:val="3B8E745C"/>
    <w:rsid w:val="3C0815AA"/>
    <w:rsid w:val="3CBF5A23"/>
    <w:rsid w:val="3D080DB7"/>
    <w:rsid w:val="3D410748"/>
    <w:rsid w:val="3E1D0952"/>
    <w:rsid w:val="3E6842CD"/>
    <w:rsid w:val="3E6F38A3"/>
    <w:rsid w:val="3E964F64"/>
    <w:rsid w:val="3E9B54C2"/>
    <w:rsid w:val="3F7B4F99"/>
    <w:rsid w:val="40A43B77"/>
    <w:rsid w:val="40D12A83"/>
    <w:rsid w:val="418574BB"/>
    <w:rsid w:val="423E2F4F"/>
    <w:rsid w:val="43401FB6"/>
    <w:rsid w:val="44A9420C"/>
    <w:rsid w:val="45AD3FAA"/>
    <w:rsid w:val="477E06B3"/>
    <w:rsid w:val="4799729B"/>
    <w:rsid w:val="47D81C6D"/>
    <w:rsid w:val="48B55687"/>
    <w:rsid w:val="48DC2D1D"/>
    <w:rsid w:val="493A4322"/>
    <w:rsid w:val="497726F9"/>
    <w:rsid w:val="4A776D78"/>
    <w:rsid w:val="4AAE148F"/>
    <w:rsid w:val="4AF81172"/>
    <w:rsid w:val="4B645E12"/>
    <w:rsid w:val="4B6969B6"/>
    <w:rsid w:val="4BF76C86"/>
    <w:rsid w:val="4C08108C"/>
    <w:rsid w:val="4C325EEB"/>
    <w:rsid w:val="4C3B586B"/>
    <w:rsid w:val="4C672BF1"/>
    <w:rsid w:val="4CFE0FFB"/>
    <w:rsid w:val="4D313EF3"/>
    <w:rsid w:val="4EDE5EDB"/>
    <w:rsid w:val="4FEC63D6"/>
    <w:rsid w:val="4FFE473E"/>
    <w:rsid w:val="50AF6949"/>
    <w:rsid w:val="50DB0924"/>
    <w:rsid w:val="50DD00FE"/>
    <w:rsid w:val="5189650B"/>
    <w:rsid w:val="52173BDE"/>
    <w:rsid w:val="525B7B04"/>
    <w:rsid w:val="52AA10AF"/>
    <w:rsid w:val="53095B97"/>
    <w:rsid w:val="53CF578C"/>
    <w:rsid w:val="53F8359B"/>
    <w:rsid w:val="540E24C8"/>
    <w:rsid w:val="54121FB6"/>
    <w:rsid w:val="54306AE6"/>
    <w:rsid w:val="54777CC4"/>
    <w:rsid w:val="54BD2C3B"/>
    <w:rsid w:val="54DE4E87"/>
    <w:rsid w:val="55147BA8"/>
    <w:rsid w:val="556963E6"/>
    <w:rsid w:val="561A3C9D"/>
    <w:rsid w:val="566E3FE9"/>
    <w:rsid w:val="56A1327E"/>
    <w:rsid w:val="573E39BB"/>
    <w:rsid w:val="57632B2F"/>
    <w:rsid w:val="59967677"/>
    <w:rsid w:val="5AD4278B"/>
    <w:rsid w:val="5B062A42"/>
    <w:rsid w:val="5C366C9F"/>
    <w:rsid w:val="5CDB19C4"/>
    <w:rsid w:val="5FCD1D80"/>
    <w:rsid w:val="60BE7581"/>
    <w:rsid w:val="61A04DAD"/>
    <w:rsid w:val="620500A2"/>
    <w:rsid w:val="63A27715"/>
    <w:rsid w:val="647F37C0"/>
    <w:rsid w:val="64DC75B4"/>
    <w:rsid w:val="658A4B8B"/>
    <w:rsid w:val="65EF3D27"/>
    <w:rsid w:val="669C730B"/>
    <w:rsid w:val="66A97F15"/>
    <w:rsid w:val="677D1976"/>
    <w:rsid w:val="683961C9"/>
    <w:rsid w:val="685748DD"/>
    <w:rsid w:val="688C0BFD"/>
    <w:rsid w:val="68941F02"/>
    <w:rsid w:val="68DE2B67"/>
    <w:rsid w:val="6AD7131F"/>
    <w:rsid w:val="6BF75BEB"/>
    <w:rsid w:val="6C276CBC"/>
    <w:rsid w:val="6CB247D7"/>
    <w:rsid w:val="6CD02EB0"/>
    <w:rsid w:val="6DB9234E"/>
    <w:rsid w:val="6E385E25"/>
    <w:rsid w:val="6F9401C4"/>
    <w:rsid w:val="6FC30AAA"/>
    <w:rsid w:val="700F68DA"/>
    <w:rsid w:val="70EE0E8C"/>
    <w:rsid w:val="70F84783"/>
    <w:rsid w:val="721E638F"/>
    <w:rsid w:val="736D76AA"/>
    <w:rsid w:val="73BB00CF"/>
    <w:rsid w:val="73D94D40"/>
    <w:rsid w:val="73DC65DE"/>
    <w:rsid w:val="75710A95"/>
    <w:rsid w:val="771B741D"/>
    <w:rsid w:val="78822D12"/>
    <w:rsid w:val="78B43685"/>
    <w:rsid w:val="78D67AA0"/>
    <w:rsid w:val="78F61EF0"/>
    <w:rsid w:val="7B86675E"/>
    <w:rsid w:val="7B945E88"/>
    <w:rsid w:val="7CCD2F68"/>
    <w:rsid w:val="7D356246"/>
    <w:rsid w:val="7D67447D"/>
    <w:rsid w:val="7E4953C9"/>
    <w:rsid w:val="7E974D76"/>
    <w:rsid w:val="7EC21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before="120" w:after="240"/>
      <w:jc w:val="both"/>
    </w:pPr>
    <w:rPr>
      <w:rFonts w:ascii="Palatino Linotype" w:hAnsi="Palatino Linotype" w:eastAsia="宋体" w:cs="Times New Roman"/>
      <w:sz w:val="22"/>
      <w:szCs w:val="22"/>
      <w:lang w:val="ru-RU" w:eastAsia="en-US" w:bidi="ar-SA"/>
    </w:rPr>
  </w:style>
  <w:style w:type="paragraph" w:styleId="3">
    <w:name w:val="heading 1"/>
    <w:basedOn w:val="4"/>
    <w:next w:val="1"/>
    <w:link w:val="31"/>
    <w:autoRedefine/>
    <w:qFormat/>
    <w:uiPriority w:val="0"/>
    <w:pPr>
      <w:numPr>
        <w:ilvl w:val="0"/>
        <w:numId w:val="1"/>
      </w:numPr>
      <w:adjustRightInd w:val="0"/>
      <w:snapToGrid w:val="0"/>
      <w:spacing w:before="156" w:beforeLines="50" w:after="156" w:afterLines="50" w:line="360" w:lineRule="auto"/>
      <w:ind w:firstLine="0" w:firstLineChars="0"/>
      <w:jc w:val="left"/>
      <w:outlineLvl w:val="0"/>
    </w:pPr>
    <w:rPr>
      <w:rFonts w:ascii="宋体" w:hAnsi="宋体" w:cs="宋体"/>
      <w:b/>
      <w:bCs/>
      <w:sz w:val="24"/>
      <w:szCs w:val="24"/>
      <w:lang w:val="en-US" w:eastAsia="zh-CN"/>
    </w:rPr>
  </w:style>
  <w:style w:type="paragraph" w:styleId="5">
    <w:name w:val="heading 2"/>
    <w:basedOn w:val="4"/>
    <w:next w:val="1"/>
    <w:link w:val="32"/>
    <w:autoRedefine/>
    <w:unhideWhenUsed/>
    <w:qFormat/>
    <w:uiPriority w:val="0"/>
    <w:pPr>
      <w:spacing w:line="360" w:lineRule="auto"/>
      <w:ind w:firstLine="480"/>
      <w:outlineLvl w:val="1"/>
    </w:pPr>
    <w:rPr>
      <w:rFonts w:cs="宋体" w:asciiTheme="minorEastAsia" w:hAnsiTheme="minorEastAsia" w:eastAsiaTheme="minorEastAsia"/>
      <w:sz w:val="24"/>
      <w:szCs w:val="24"/>
      <w:lang w:val="en-US" w:eastAsia="zh-CN"/>
    </w:rPr>
  </w:style>
  <w:style w:type="paragraph" w:styleId="6">
    <w:name w:val="heading 3"/>
    <w:basedOn w:val="4"/>
    <w:next w:val="1"/>
    <w:link w:val="35"/>
    <w:autoRedefine/>
    <w:unhideWhenUsed/>
    <w:qFormat/>
    <w:uiPriority w:val="0"/>
    <w:pPr>
      <w:spacing w:line="360" w:lineRule="auto"/>
      <w:ind w:firstLine="480"/>
      <w:outlineLvl w:val="2"/>
    </w:pPr>
    <w:rPr>
      <w:rFonts w:cs="宋体" w:asciiTheme="minorEastAsia" w:hAnsiTheme="minorEastAsia" w:eastAsiaTheme="minorEastAsia"/>
      <w:sz w:val="24"/>
      <w:szCs w:val="24"/>
      <w:shd w:val="clear" w:color="auto" w:fill="FFFFFF"/>
      <w:lang w:val="en-US" w:eastAsia="zh-CN"/>
    </w:rPr>
  </w:style>
  <w:style w:type="paragraph" w:styleId="7">
    <w:name w:val="heading 4"/>
    <w:basedOn w:val="1"/>
    <w:next w:val="1"/>
    <w:link w:val="36"/>
    <w:autoRedefine/>
    <w:unhideWhenUsed/>
    <w:qFormat/>
    <w:uiPriority w:val="0"/>
    <w:pPr>
      <w:autoSpaceDE w:val="0"/>
      <w:autoSpaceDN w:val="0"/>
      <w:adjustRightInd w:val="0"/>
      <w:spacing w:line="360" w:lineRule="auto"/>
      <w:ind w:firstLine="440" w:firstLineChars="200"/>
      <w:outlineLvl w:val="3"/>
    </w:pPr>
    <w:rPr>
      <w:lang w:eastAsia="zh-CN"/>
    </w:rPr>
  </w:style>
  <w:style w:type="character" w:default="1" w:styleId="18">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6"/>
    <w:autoRedefine/>
    <w:qFormat/>
    <w:uiPriority w:val="99"/>
    <w:pPr>
      <w:spacing w:before="102"/>
      <w:ind w:left="112"/>
    </w:pPr>
    <w:rPr>
      <w:sz w:val="28"/>
      <w:szCs w:val="28"/>
    </w:rPr>
  </w:style>
  <w:style w:type="paragraph" w:styleId="4">
    <w:name w:val="List Paragraph"/>
    <w:basedOn w:val="1"/>
    <w:autoRedefine/>
    <w:unhideWhenUsed/>
    <w:qFormat/>
    <w:uiPriority w:val="34"/>
    <w:pPr>
      <w:ind w:firstLine="420" w:firstLineChars="200"/>
    </w:pPr>
  </w:style>
  <w:style w:type="paragraph" w:styleId="8">
    <w:name w:val="Normal Indent"/>
    <w:basedOn w:val="1"/>
    <w:autoRedefine/>
    <w:unhideWhenUsed/>
    <w:qFormat/>
    <w:uiPriority w:val="99"/>
    <w:pPr>
      <w:widowControl/>
      <w:spacing w:line="590" w:lineRule="atLeast"/>
      <w:ind w:firstLine="420" w:firstLineChars="200"/>
    </w:pPr>
    <w:rPr>
      <w:rFonts w:ascii="Calibri" w:hAnsi="Calibri" w:cs="Calibri"/>
      <w:szCs w:val="21"/>
    </w:rPr>
  </w:style>
  <w:style w:type="paragraph" w:styleId="9">
    <w:name w:val="annotation text"/>
    <w:basedOn w:val="1"/>
    <w:link w:val="28"/>
    <w:autoRedefine/>
    <w:qFormat/>
    <w:uiPriority w:val="99"/>
    <w:pPr>
      <w:jc w:val="left"/>
    </w:pPr>
  </w:style>
  <w:style w:type="paragraph" w:styleId="10">
    <w:name w:val="Balloon Text"/>
    <w:basedOn w:val="1"/>
    <w:link w:val="24"/>
    <w:autoRedefine/>
    <w:qFormat/>
    <w:uiPriority w:val="0"/>
    <w:pPr>
      <w:spacing w:before="0" w:after="0"/>
    </w:pPr>
    <w:rPr>
      <w:sz w:val="18"/>
      <w:szCs w:val="18"/>
    </w:rPr>
  </w:style>
  <w:style w:type="paragraph" w:styleId="11">
    <w:name w:val="footer"/>
    <w:basedOn w:val="1"/>
    <w:link w:val="22"/>
    <w:autoRedefine/>
    <w:qFormat/>
    <w:uiPriority w:val="99"/>
    <w:pPr>
      <w:tabs>
        <w:tab w:val="center" w:pos="4153"/>
        <w:tab w:val="right" w:pos="8306"/>
      </w:tabs>
      <w:snapToGrid w:val="0"/>
      <w:jc w:val="left"/>
    </w:pPr>
    <w:rPr>
      <w:sz w:val="18"/>
      <w:szCs w:val="18"/>
    </w:rPr>
  </w:style>
  <w:style w:type="paragraph" w:styleId="12">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spacing w:beforeAutospacing="1" w:afterAutospacing="1"/>
      <w:jc w:val="left"/>
    </w:pPr>
    <w:rPr>
      <w:sz w:val="24"/>
    </w:rPr>
  </w:style>
  <w:style w:type="paragraph" w:styleId="14">
    <w:name w:val="annotation subject"/>
    <w:basedOn w:val="9"/>
    <w:next w:val="9"/>
    <w:link w:val="29"/>
    <w:autoRedefine/>
    <w:qFormat/>
    <w:uiPriority w:val="0"/>
    <w:rPr>
      <w:b/>
      <w:bCs/>
    </w:rPr>
  </w:style>
  <w:style w:type="table" w:styleId="16">
    <w:name w:val="Table Grid"/>
    <w:basedOn w:val="15"/>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7">
    <w:name w:val="Light Shading Accent 1"/>
    <w:basedOn w:val="15"/>
    <w:autoRedefine/>
    <w:qFormat/>
    <w:uiPriority w:val="60"/>
    <w:rPr>
      <w:rFonts w:asciiTheme="minorHAnsi" w:hAnsiTheme="minorHAnsi" w:eastAsiaTheme="minorEastAsia" w:cstheme="minorBidi"/>
      <w:color w:val="2E75B6" w:themeColor="accent1" w:themeShade="BF"/>
      <w:sz w:val="22"/>
      <w:szCs w:val="22"/>
      <w:lang w:eastAsia="en-US"/>
    </w:rPr>
    <w:tblPr>
      <w:tblBorders>
        <w:top w:val="single" w:color="5B9BD5" w:themeColor="accent1" w:sz="8" w:space="0"/>
        <w:bottom w:val="single" w:color="5B9BD5" w:themeColor="accent1" w:sz="8" w:space="0"/>
      </w:tblBorders>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19">
    <w:name w:val="page number"/>
    <w:basedOn w:val="18"/>
    <w:autoRedefine/>
    <w:qFormat/>
    <w:uiPriority w:val="0"/>
  </w:style>
  <w:style w:type="character" w:styleId="20">
    <w:name w:val="annotation reference"/>
    <w:basedOn w:val="18"/>
    <w:autoRedefine/>
    <w:qFormat/>
    <w:uiPriority w:val="0"/>
    <w:rPr>
      <w:sz w:val="21"/>
      <w:szCs w:val="21"/>
    </w:rPr>
  </w:style>
  <w:style w:type="character" w:customStyle="1" w:styleId="21">
    <w:name w:val="页眉 Char"/>
    <w:basedOn w:val="18"/>
    <w:link w:val="12"/>
    <w:autoRedefine/>
    <w:qFormat/>
    <w:uiPriority w:val="0"/>
    <w:rPr>
      <w:rFonts w:ascii="Palatino Linotype" w:hAnsi="Palatino Linotype" w:eastAsia="宋体" w:cs="Times New Roman"/>
      <w:sz w:val="18"/>
      <w:szCs w:val="18"/>
      <w:lang w:val="ru-RU" w:eastAsia="en-US"/>
    </w:rPr>
  </w:style>
  <w:style w:type="character" w:customStyle="1" w:styleId="22">
    <w:name w:val="页脚 Char"/>
    <w:basedOn w:val="18"/>
    <w:link w:val="11"/>
    <w:autoRedefine/>
    <w:qFormat/>
    <w:uiPriority w:val="99"/>
    <w:rPr>
      <w:rFonts w:ascii="Palatino Linotype" w:hAnsi="Palatino Linotype" w:eastAsia="宋体" w:cs="Times New Roman"/>
      <w:sz w:val="18"/>
      <w:szCs w:val="18"/>
      <w:lang w:val="ru-RU" w:eastAsia="en-US"/>
    </w:rPr>
  </w:style>
  <w:style w:type="paragraph" w:customStyle="1" w:styleId="2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Char"/>
    <w:basedOn w:val="18"/>
    <w:link w:val="10"/>
    <w:autoRedefine/>
    <w:qFormat/>
    <w:uiPriority w:val="0"/>
    <w:rPr>
      <w:rFonts w:ascii="Palatino Linotype" w:hAnsi="Palatino Linotype" w:eastAsia="宋体" w:cs="Times New Roman"/>
      <w:sz w:val="18"/>
      <w:szCs w:val="18"/>
      <w:lang w:val="ru-RU" w:eastAsia="en-US"/>
    </w:rPr>
  </w:style>
  <w:style w:type="character" w:customStyle="1" w:styleId="25">
    <w:name w:val="font51"/>
    <w:basedOn w:val="18"/>
    <w:autoRedefine/>
    <w:qFormat/>
    <w:uiPriority w:val="0"/>
    <w:rPr>
      <w:rFonts w:ascii="宋体" w:hAnsi="宋体" w:eastAsia="宋体" w:cs="宋体"/>
      <w:color w:val="000000"/>
      <w:sz w:val="24"/>
      <w:szCs w:val="24"/>
      <w:u w:val="none"/>
    </w:rPr>
  </w:style>
  <w:style w:type="character" w:customStyle="1" w:styleId="26">
    <w:name w:val="正文文本 Char"/>
    <w:basedOn w:val="18"/>
    <w:link w:val="2"/>
    <w:autoRedefine/>
    <w:qFormat/>
    <w:uiPriority w:val="99"/>
    <w:rPr>
      <w:rFonts w:ascii="Palatino Linotype" w:hAnsi="Palatino Linotype"/>
      <w:sz w:val="28"/>
      <w:szCs w:val="28"/>
      <w:lang w:val="ru-RU" w:eastAsia="en-US"/>
    </w:rPr>
  </w:style>
  <w:style w:type="paragraph" w:customStyle="1" w:styleId="27">
    <w:name w:val="修订1"/>
    <w:autoRedefine/>
    <w:hidden/>
    <w:semiHidden/>
    <w:qFormat/>
    <w:uiPriority w:val="99"/>
    <w:rPr>
      <w:rFonts w:ascii="Palatino Linotype" w:hAnsi="Palatino Linotype" w:eastAsia="宋体" w:cs="Times New Roman"/>
      <w:sz w:val="22"/>
      <w:szCs w:val="22"/>
      <w:lang w:val="ru-RU" w:eastAsia="en-US" w:bidi="ar-SA"/>
    </w:rPr>
  </w:style>
  <w:style w:type="character" w:customStyle="1" w:styleId="28">
    <w:name w:val="批注文字 Char"/>
    <w:basedOn w:val="18"/>
    <w:link w:val="9"/>
    <w:autoRedefine/>
    <w:qFormat/>
    <w:uiPriority w:val="99"/>
    <w:rPr>
      <w:rFonts w:ascii="Palatino Linotype" w:hAnsi="Palatino Linotype"/>
      <w:sz w:val="22"/>
      <w:szCs w:val="22"/>
      <w:lang w:val="ru-RU" w:eastAsia="en-US"/>
    </w:rPr>
  </w:style>
  <w:style w:type="character" w:customStyle="1" w:styleId="29">
    <w:name w:val="批注主题 Char"/>
    <w:basedOn w:val="28"/>
    <w:link w:val="14"/>
    <w:autoRedefine/>
    <w:qFormat/>
    <w:uiPriority w:val="0"/>
    <w:rPr>
      <w:rFonts w:ascii="Palatino Linotype" w:hAnsi="Palatino Linotype"/>
      <w:b/>
      <w:bCs/>
      <w:sz w:val="22"/>
      <w:szCs w:val="22"/>
      <w:lang w:val="ru-RU" w:eastAsia="en-US"/>
    </w:rPr>
  </w:style>
  <w:style w:type="paragraph" w:customStyle="1" w:styleId="30">
    <w:name w:val="修订2"/>
    <w:autoRedefine/>
    <w:hidden/>
    <w:semiHidden/>
    <w:qFormat/>
    <w:uiPriority w:val="99"/>
    <w:rPr>
      <w:rFonts w:ascii="Palatino Linotype" w:hAnsi="Palatino Linotype" w:eastAsia="宋体" w:cs="Times New Roman"/>
      <w:sz w:val="22"/>
      <w:szCs w:val="22"/>
      <w:lang w:val="ru-RU" w:eastAsia="en-US" w:bidi="ar-SA"/>
    </w:rPr>
  </w:style>
  <w:style w:type="character" w:customStyle="1" w:styleId="31">
    <w:name w:val="标题 1 Char"/>
    <w:basedOn w:val="18"/>
    <w:link w:val="3"/>
    <w:autoRedefine/>
    <w:qFormat/>
    <w:uiPriority w:val="0"/>
    <w:rPr>
      <w:rFonts w:ascii="宋体" w:hAnsi="宋体" w:cs="宋体"/>
      <w:b/>
      <w:bCs/>
      <w:sz w:val="24"/>
      <w:szCs w:val="24"/>
    </w:rPr>
  </w:style>
  <w:style w:type="character" w:customStyle="1" w:styleId="32">
    <w:name w:val="标题 2 Char"/>
    <w:basedOn w:val="18"/>
    <w:link w:val="5"/>
    <w:autoRedefine/>
    <w:qFormat/>
    <w:uiPriority w:val="0"/>
    <w:rPr>
      <w:rFonts w:cs="宋体" w:asciiTheme="minorEastAsia" w:hAnsiTheme="minorEastAsia" w:eastAsiaTheme="minorEastAsia"/>
      <w:sz w:val="24"/>
      <w:szCs w:val="24"/>
    </w:rPr>
  </w:style>
  <w:style w:type="paragraph" w:customStyle="1" w:styleId="33">
    <w:name w:val="RS Body Text"/>
    <w:basedOn w:val="1"/>
    <w:link w:val="34"/>
    <w:autoRedefine/>
    <w:qFormat/>
    <w:uiPriority w:val="0"/>
    <w:pPr>
      <w:spacing w:before="0"/>
      <w:jc w:val="left"/>
    </w:pPr>
    <w:rPr>
      <w:rFonts w:ascii="Times New Roman" w:hAnsi="Times New Roman" w:eastAsia="PMingLiU" w:cstheme="minorBidi"/>
      <w:sz w:val="24"/>
      <w:szCs w:val="24"/>
      <w:lang w:val="en-US"/>
    </w:rPr>
  </w:style>
  <w:style w:type="character" w:customStyle="1" w:styleId="34">
    <w:name w:val="RS Body Text Char"/>
    <w:basedOn w:val="18"/>
    <w:link w:val="33"/>
    <w:autoRedefine/>
    <w:qFormat/>
    <w:uiPriority w:val="0"/>
    <w:rPr>
      <w:rFonts w:eastAsia="PMingLiU" w:cstheme="minorBidi"/>
      <w:sz w:val="24"/>
      <w:szCs w:val="24"/>
      <w:lang w:eastAsia="en-US"/>
    </w:rPr>
  </w:style>
  <w:style w:type="character" w:customStyle="1" w:styleId="35">
    <w:name w:val="标题 3 Char"/>
    <w:basedOn w:val="18"/>
    <w:link w:val="6"/>
    <w:autoRedefine/>
    <w:qFormat/>
    <w:uiPriority w:val="0"/>
    <w:rPr>
      <w:rFonts w:cs="宋体" w:asciiTheme="minorEastAsia" w:hAnsiTheme="minorEastAsia" w:eastAsiaTheme="minorEastAsia"/>
      <w:sz w:val="24"/>
      <w:szCs w:val="24"/>
    </w:rPr>
  </w:style>
  <w:style w:type="character" w:customStyle="1" w:styleId="36">
    <w:name w:val="标题 4 Char"/>
    <w:basedOn w:val="18"/>
    <w:link w:val="7"/>
    <w:autoRedefine/>
    <w:qFormat/>
    <w:uiPriority w:val="0"/>
    <w:rPr>
      <w:rFonts w:ascii="Palatino Linotype" w:hAnsi="Palatino Linotype"/>
      <w:sz w:val="22"/>
      <w:szCs w:val="22"/>
      <w:lang w:val="ru-RU"/>
    </w:rPr>
  </w:style>
  <w:style w:type="paragraph" w:customStyle="1" w:styleId="37">
    <w:name w:val="Decimal Aligned"/>
    <w:basedOn w:val="1"/>
    <w:autoRedefine/>
    <w:qFormat/>
    <w:uiPriority w:val="40"/>
    <w:pPr>
      <w:tabs>
        <w:tab w:val="decimal" w:pos="360"/>
      </w:tabs>
      <w:spacing w:before="0" w:after="200" w:line="276" w:lineRule="auto"/>
      <w:jc w:val="left"/>
    </w:pPr>
    <w:rPr>
      <w:rFonts w:asciiTheme="minorHAnsi" w:hAnsiTheme="minorHAnsi" w:eastAsiaTheme="minorEastAsia"/>
      <w:lang w:val="en-US"/>
    </w:rPr>
  </w:style>
  <w:style w:type="character" w:customStyle="1" w:styleId="38">
    <w:name w:val="Subtle Emphasis"/>
    <w:basedOn w:val="18"/>
    <w:autoRedefine/>
    <w:qFormat/>
    <w:uiPriority w:val="19"/>
    <w:rPr>
      <w:i/>
      <w:i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894384-742B-44B8-8F2B-333F44996723}">
  <ds:schemaRefs/>
</ds:datastoreItem>
</file>

<file path=docProps/app.xml><?xml version="1.0" encoding="utf-8"?>
<Properties xmlns="http://schemas.openxmlformats.org/officeDocument/2006/extended-properties" xmlns:vt="http://schemas.openxmlformats.org/officeDocument/2006/docPropsVTypes">
  <Template>Normal</Template>
  <Pages>4</Pages>
  <Words>409</Words>
  <Characters>2333</Characters>
  <Lines>19</Lines>
  <Paragraphs>5</Paragraphs>
  <TotalTime>22</TotalTime>
  <ScaleCrop>false</ScaleCrop>
  <LinksUpToDate>false</LinksUpToDate>
  <CharactersWithSpaces>2737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2024-02-28T04:47:00Z</dcterms:created>
  <dc:creator>NH-222</dc:creator>
  <cp:lastModifiedBy>Lky</cp:lastModifiedBy>
  <cp:lastPrinted>2024-02-26T01:45:00Z</cp:lastPrinted>
  <dcterms:modified xsi:type="dcterms:W3CDTF">2024-03-01T09:05:50Z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550FC6F6E28D47C4940D29DF386D3960_12</vt:lpwstr>
  </property>
</Properties>
</file>