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before="120" w:after="240" w:line="360" w:lineRule="auto"/>
        <w:ind w:firstLine="420"/>
        <w:jc w:val="both"/>
        <w:rPr>
          <w:rFonts w:hint="eastAsia" w:ascii="宋体" w:hAnsi="宋体" w:eastAsia="宋体" w:cs="宋体"/>
          <w:b/>
          <w:color w:val="000000"/>
          <w:kern w:val="0"/>
          <w:sz w:val="24"/>
          <w:lang w:val="ru-RU" w:eastAsia="zh-CN"/>
        </w:rPr>
      </w:pPr>
      <w:r>
        <w:rPr>
          <w:rFonts w:hint="eastAsia" w:ascii="宋体" w:hAnsi="宋体" w:eastAsia="宋体" w:cs="宋体"/>
          <w:b/>
          <w:color w:val="000000"/>
          <w:kern w:val="0"/>
          <w:sz w:val="24"/>
          <w:lang w:val="ru-RU" w:eastAsia="zh-CN"/>
        </w:rPr>
        <w:t>股票代码：600377       股票简称：宁沪高速       编号：临2024-008</w:t>
      </w:r>
    </w:p>
    <w:p>
      <w:pPr>
        <w:widowControl w:val="0"/>
        <w:adjustRightInd w:val="0"/>
        <w:snapToGrid w:val="0"/>
        <w:spacing w:before="0" w:after="0" w:line="360" w:lineRule="auto"/>
        <w:jc w:val="center"/>
        <w:rPr>
          <w:rFonts w:hint="eastAsia" w:ascii="Times New Roman" w:hAnsi="Times New Roman" w:eastAsia="宋体" w:cs="Times New Roman"/>
          <w:b/>
          <w:kern w:val="2"/>
          <w:sz w:val="28"/>
          <w:szCs w:val="28"/>
          <w:lang w:val="ru-RU" w:eastAsia="zh-CN"/>
        </w:rPr>
      </w:pPr>
      <w:r>
        <w:rPr>
          <w:rFonts w:hint="eastAsia" w:ascii="Times New Roman" w:hAnsi="Times New Roman" w:eastAsia="宋体" w:cs="Times New Roman"/>
          <w:b/>
          <w:kern w:val="2"/>
          <w:sz w:val="28"/>
          <w:szCs w:val="28"/>
          <w:lang w:val="ru-RU" w:eastAsia="zh-CN"/>
        </w:rPr>
        <w:t>江苏宁沪高速公路股份有限公司</w:t>
      </w:r>
    </w:p>
    <w:p>
      <w:pPr>
        <w:widowControl w:val="0"/>
        <w:adjustRightInd w:val="0"/>
        <w:snapToGrid w:val="0"/>
        <w:spacing w:before="0" w:after="0" w:line="360" w:lineRule="auto"/>
        <w:jc w:val="center"/>
        <w:rPr>
          <w:rFonts w:hint="eastAsia" w:ascii="Times New Roman" w:hAnsi="Times New Roman" w:eastAsia="宋体" w:cs="Times New Roman"/>
          <w:b/>
          <w:kern w:val="2"/>
          <w:sz w:val="28"/>
          <w:szCs w:val="28"/>
          <w:lang w:val="ru-RU" w:eastAsia="zh-CN"/>
        </w:rPr>
      </w:pPr>
      <w:r>
        <w:rPr>
          <w:rFonts w:hint="eastAsia" w:ascii="Times New Roman" w:hAnsi="Times New Roman" w:eastAsia="宋体" w:cs="Times New Roman"/>
          <w:b/>
          <w:kern w:val="2"/>
          <w:sz w:val="28"/>
          <w:szCs w:val="28"/>
          <w:lang w:val="ru-RU" w:eastAsia="zh-CN"/>
        </w:rPr>
        <w:t>关于上海证券交易所对公司大额现金收购控股股东</w:t>
      </w:r>
    </w:p>
    <w:p>
      <w:pPr>
        <w:widowControl w:val="0"/>
        <w:adjustRightInd w:val="0"/>
        <w:snapToGrid w:val="0"/>
        <w:spacing w:before="0" w:after="0" w:line="360" w:lineRule="auto"/>
        <w:jc w:val="center"/>
        <w:rPr>
          <w:rFonts w:hint="eastAsia" w:ascii="Times New Roman" w:hAnsi="Times New Roman" w:eastAsia="宋体" w:cs="Times New Roman"/>
          <w:b/>
          <w:kern w:val="2"/>
          <w:sz w:val="28"/>
          <w:szCs w:val="28"/>
          <w:lang w:val="ru-RU" w:eastAsia="zh-CN"/>
        </w:rPr>
      </w:pPr>
      <w:r>
        <w:rPr>
          <w:rFonts w:hint="eastAsia" w:ascii="Times New Roman" w:hAnsi="Times New Roman" w:eastAsia="宋体" w:cs="Times New Roman"/>
          <w:b/>
          <w:kern w:val="2"/>
          <w:sz w:val="28"/>
          <w:szCs w:val="28"/>
          <w:lang w:val="ru-RU" w:eastAsia="zh-CN"/>
        </w:rPr>
        <w:t>资产相关事项的监管工作函回复的公告</w:t>
      </w:r>
    </w:p>
    <w:tbl>
      <w:tblPr>
        <w:tblStyle w:val="13"/>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pPr>
              <w:autoSpaceDE w:val="0"/>
              <w:autoSpaceDN w:val="0"/>
              <w:adjustRightInd w:val="0"/>
              <w:snapToGrid w:val="0"/>
              <w:spacing w:before="100" w:beforeAutospacing="1" w:after="100" w:afterAutospacing="1" w:line="360" w:lineRule="auto"/>
              <w:rPr>
                <w:rFonts w:ascii="宋体" w:hAnsi="宋体" w:cs="宋体"/>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c>
      </w:tr>
    </w:tbl>
    <w:p>
      <w:pPr>
        <w:spacing w:line="360" w:lineRule="auto"/>
        <w:rPr>
          <w:rFonts w:ascii="方正大标宋简体" w:hAnsi="方正大标宋简体" w:eastAsia="方正大标宋简体" w:cs="方正大标宋简体"/>
          <w:b/>
          <w:sz w:val="36"/>
          <w:szCs w:val="36"/>
        </w:rPr>
      </w:pPr>
      <w:bookmarkStart w:id="0" w:name="BBIPBLSTA"/>
      <w:bookmarkEnd w:id="0"/>
      <w:bookmarkStart w:id="1" w:name="BondName2"/>
      <w:bookmarkEnd w:id="1"/>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江苏宁沪高速公路股份有限公司(以下简称“本公司”或“公司”)于2024年1月30日收到上海证券交易所上市公司管理一部《关于江苏宁沪高速公路股份有限公司大额现金收购控股股东资产相关事项的监管工作函》(上证公函(2024)0086号)(以下简称“《监管工作函》”)</w:t>
      </w:r>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公司及相关各方就《监管工作函》中所涉及事项逐项进行了认真的核查、分析和研究，并对《监管工作函》中的有关问题向上海证券交易所进行了回复。现将回复内容披露如下：</w:t>
      </w:r>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经审阅你公司提交的《关于本公司收购江苏苏锡常南部高速公路有限公司65%股权的关联交易公告》，现有如下问题需要你公司作进一步说明并补充披露:</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问题1、关于交易的必要性。公告显示，公司拟出资52.01亿元向控股股东收购标的资产苏锡常南部高速公司65%股权，并将其列入合并报表范围。标的资产主营苏锡常南部高速常州至无锡段，2021年12月30日开始通车运营，且自开通运营以来持续亏损。标的资产与公司控股的沪宁高速、参股的沿江高速同为苏南地区横向通道在无锡境内的高速公路，互相具有分流作用。截至2023年9月30日，公司货币资金余额6.97亿元，有息负债约326.65亿元，本次交易需在短期内以现金方式全额支付52.01亿元。</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请公司:(1)结合标的资产及沿江高速、沪宁高速的路网功能和区位条件、费率和车流量，标的资产的主要竞争优势、与公司业务的协同性等，说明本次收购的必要性及合理性。</w:t>
      </w:r>
    </w:p>
    <w:p>
      <w:pPr>
        <w:spacing w:line="360" w:lineRule="auto"/>
        <w:ind w:firstLine="482" w:firstLineChars="200"/>
        <w:jc w:val="both"/>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回复：</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color w:val="000000"/>
          <w:sz w:val="24"/>
          <w:szCs w:val="24"/>
        </w:rPr>
        <w:t>在江苏省高速公路网“十五射六纵十横多联”规划布局中，苏锡常南部高速、沿江高速以及沪宁高速均是江苏苏南地区规划的东西向高速公路，其中苏锡常南部高速是规划第六条射线（南京-镇江（句容）-常州-无锡-苏州-上海）的组成部分（常州-无锡段）、沪宁高速是规划的第五条射线（南京-镇江-常州-无锡-苏州-上海）、沿江高速是规划的第八条横线（苏州（太仓）-无锡（江阴）-常州（金坛）-南京（溧水））组成部分（苏州-常州段）。从规划走廊的节点看，三条高速基本平行，服务对象有一定重合，在路网中具备统筹经营的基础。苏锡常南部高速在沪宁高速公路的常州段、无锡段基本与其平行，系“沪宁第二通道”的重要组成部分，在苏南路网中具有重要的地位，与公司核心资产沪宁高速公路的运营管理和中长期发展具有较强的协同性。</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color w:val="000000"/>
          <w:sz w:val="24"/>
          <w:szCs w:val="24"/>
        </w:rPr>
        <w:t>在成长性上的优势主要有如下几个方面：一是标的资产富余通行能力大，目前处于流量培育期，饱和度不足1/3，具有较大的增长潜力，而平行的沪宁高速、沿江高速已基本饱和，近年流量增速显著降低；二是标的资产桥隧比较高，含两处独立收费隧道，标的资产一般路段基本费率为0.55元/公里，沪宁高速及沿江高速基本费率为0.45元/公里，相同流量下单公里收入高于其他两条道路，具有较好的经济性；三是标的资产剩余收费期限（23年）较长，能够与公司辖下其他线路资产形成经营期限错位，并长期为本公司提供持续的收入。</w:t>
      </w:r>
    </w:p>
    <w:p>
      <w:pPr>
        <w:spacing w:line="360" w:lineRule="auto"/>
        <w:ind w:firstLine="480" w:firstLineChars="200"/>
        <w:jc w:val="both"/>
        <w:rPr>
          <w:rFonts w:hint="eastAsia" w:ascii="宋体" w:hAnsi="宋体" w:eastAsia="宋体" w:cs="宋体"/>
          <w:color w:val="000000"/>
          <w:sz w:val="24"/>
          <w:szCs w:val="24"/>
        </w:rPr>
      </w:pPr>
      <w:r>
        <w:rPr>
          <w:rFonts w:hint="eastAsia" w:ascii="宋体" w:hAnsi="宋体" w:eastAsia="宋体" w:cs="宋体"/>
          <w:color w:val="000000"/>
          <w:sz w:val="24"/>
          <w:szCs w:val="24"/>
        </w:rPr>
        <w:t>综合以上判断，本公司认为收购标的公司的必要性及合理性主要有以下几个方面：</w:t>
      </w:r>
    </w:p>
    <w:p>
      <w:pPr>
        <w:spacing w:line="360" w:lineRule="auto"/>
        <w:ind w:firstLine="482" w:firstLineChars="200"/>
        <w:jc w:val="both"/>
        <w:rPr>
          <w:rFonts w:hint="eastAsia" w:ascii="宋体" w:hAnsi="宋体" w:eastAsia="宋体" w:cs="宋体"/>
          <w:sz w:val="24"/>
          <w:szCs w:val="24"/>
        </w:rPr>
      </w:pPr>
      <w:r>
        <w:rPr>
          <w:rFonts w:hint="eastAsia" w:ascii="宋体" w:hAnsi="宋体" w:eastAsia="宋体" w:cs="宋体"/>
          <w:b/>
          <w:sz w:val="24"/>
          <w:szCs w:val="24"/>
        </w:rPr>
        <w:t>巩固本公司苏南地区路网运营商地位，支撑</w:t>
      </w:r>
      <w:r>
        <w:rPr>
          <w:rFonts w:hint="eastAsia" w:ascii="宋体" w:hAnsi="宋体" w:eastAsia="宋体" w:cs="宋体"/>
          <w:b/>
          <w:color w:val="000000"/>
          <w:sz w:val="24"/>
          <w:szCs w:val="24"/>
        </w:rPr>
        <w:t>公司战略发展。</w:t>
      </w:r>
      <w:r>
        <w:rPr>
          <w:rFonts w:hint="eastAsia" w:ascii="宋体" w:hAnsi="宋体" w:eastAsia="宋体" w:cs="宋体"/>
          <w:color w:val="000000"/>
          <w:sz w:val="24"/>
          <w:szCs w:val="24"/>
        </w:rPr>
        <w:t>“十四五”期间，公司聚焦主责主业，加大收费公路业务发展规模。标的资产所处线位是公司布局苏南路网不可或缺的组成部分，开展标的公司收购是公司落实战略目标的举措，有利于公司深耕主业，提高区域路网占有率，巩固苏南地区路网运营商的地位，实现可持续发展目标。</w:t>
      </w:r>
    </w:p>
    <w:p>
      <w:pPr>
        <w:spacing w:line="360" w:lineRule="auto"/>
        <w:ind w:firstLine="482" w:firstLineChars="200"/>
        <w:jc w:val="both"/>
        <w:rPr>
          <w:rFonts w:hint="eastAsia" w:ascii="宋体" w:hAnsi="宋体" w:eastAsia="宋体" w:cs="宋体"/>
          <w:sz w:val="24"/>
          <w:szCs w:val="24"/>
        </w:rPr>
      </w:pPr>
      <w:r>
        <w:rPr>
          <w:rFonts w:hint="eastAsia" w:ascii="宋体" w:hAnsi="宋体" w:eastAsia="宋体" w:cs="宋体"/>
          <w:b/>
          <w:color w:val="000000"/>
          <w:sz w:val="24"/>
          <w:szCs w:val="24"/>
        </w:rPr>
        <w:t>标的资产区域地位优越，开展标的资产收购有利于促进公司业务协同发展。</w:t>
      </w:r>
      <w:r>
        <w:rPr>
          <w:rFonts w:hint="eastAsia" w:ascii="宋体" w:hAnsi="宋体" w:eastAsia="宋体" w:cs="宋体"/>
          <w:color w:val="000000"/>
          <w:sz w:val="24"/>
          <w:szCs w:val="24"/>
        </w:rPr>
        <w:t>苏锡常是上海作为长三角龙头，向长江中上游区域辐射的第一站，也是全国经济最为活跃的地区之一。从区域高速公路路网流量布局来看，东西向流量集中，无锡境内横向出行总量已接近30万辆/日（标准量），并且仍在持续增长中。收购标的资产后，可实现对苏南地区横向通道的统筹经营，实现业务协同发展，发挥经营规模效应，降低运营成本，进一步提高公司的盈利能力。</w:t>
      </w:r>
    </w:p>
    <w:p>
      <w:pPr>
        <w:spacing w:line="360" w:lineRule="auto"/>
        <w:ind w:firstLine="482" w:firstLineChars="200"/>
        <w:jc w:val="both"/>
        <w:rPr>
          <w:rFonts w:hint="eastAsia" w:ascii="宋体" w:hAnsi="宋体" w:eastAsia="宋体" w:cs="宋体"/>
          <w:color w:val="000000"/>
          <w:sz w:val="24"/>
          <w:szCs w:val="24"/>
        </w:rPr>
      </w:pPr>
      <w:r>
        <w:rPr>
          <w:rFonts w:hint="eastAsia" w:ascii="宋体" w:hAnsi="宋体" w:eastAsia="宋体" w:cs="宋体"/>
          <w:b/>
          <w:color w:val="000000"/>
          <w:sz w:val="24"/>
          <w:szCs w:val="24"/>
        </w:rPr>
        <w:t>标的资产运营趋势向好，收购时机适宜。</w:t>
      </w:r>
      <w:r>
        <w:rPr>
          <w:rFonts w:hint="eastAsia" w:ascii="宋体" w:hAnsi="宋体" w:eastAsia="宋体" w:cs="宋体"/>
          <w:color w:val="000000"/>
          <w:sz w:val="24"/>
          <w:szCs w:val="24"/>
        </w:rPr>
        <w:t>标的资产包含国内最长、最宽的水下隧道，建设难度较大，在建设完成后启动收购项目，充分地规避了建设风险。从当前标的公司的运营情况来看，在开通较短的时间内，流量处于快速增长期，2023年相比2022年流量及收入增长超过50%；未来两年系沿江高速改扩建，苏南路网流量分配格局变化较大，标的资产未来流量及收入增长预期较好。此外，标的资产和本公司核心资产沪宁高速属于平行通道，可以适时承接未来沪宁高速扩建带来的流量溢出。</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color w:val="000000"/>
          <w:sz w:val="24"/>
          <w:szCs w:val="24"/>
        </w:rPr>
        <w:t>综上判断，当前开展收购标的时机较为适宜。</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(2)补充说明公司本次收购资金的来源及相关安排，并结合公司自有资金、日常运营资金需求、到期债务情况等，说明本次交易是否会对公司正常生产经营、财务稳定性和流动性产生不利影响。</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hint="eastAsia" w:ascii="宋体" w:hAnsi="宋体" w:eastAsia="宋体" w:cs="宋体"/>
          <w:sz w:val="24"/>
          <w:szCs w:val="24"/>
          <w:shd w:val="clear" w:color="auto" w:fill="FFFF00"/>
        </w:rPr>
      </w:pPr>
      <w:r>
        <w:rPr>
          <w:rFonts w:hint="eastAsia" w:ascii="宋体" w:hAnsi="宋体" w:eastAsia="宋体" w:cs="宋体"/>
          <w:sz w:val="24"/>
          <w:szCs w:val="24"/>
        </w:rPr>
        <w:t>本次收购资金将以现金方式支付，并以本公司之自有资金或符合资金用途的融资款项拨付。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主营业务收入主要来源于道路通行费收入和配套业务等，结算及时、应收款项规模较小。截至2023年9月30日，货币资金7亿元，交易性金融资产43亿元，共计50亿元。充裕的自有资金规模为公司的日常运营和长期战略实施提供了坚实的财务基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从营运现金流看，截至2022年，本公司经营活动现金流入120亿元，经营活动现金流净额55亿元；截至2023年9月30日，本公司经营活动现金流入103亿元，经营活动现金流净额56亿元，预计全年经营净现金流超过60亿元。本公司拥有稳定的现金流可以充分覆盖日常运营中对资金的需求，并留有灵活应对的空间，现金流管理始终处于良性循环。</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从财务稳定性和流动性看，主要呈现以下特点：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1、债务期限结构合理：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业务需求和资金状况，本公司合理安排短期和长期债务的比例。截至2023年9月30日，有息负债余额343.20亿元，其中，长期有息债务300.2亿元，占比87.45%，短期债务43.2亿元，占比12.5%。短期内公司偿债压力较小，债务结构稳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2、长期资金覆盖率高</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公司长期资金对固定资产及收费经营权类资产的覆盖率高达143%，该比例处于较高水平显示公司具有较强的长期投资能力，能够支持对固定资产和收费经营权类资产的投资。充裕的长期资金减少了本公司对短期资金需要的依赖，从而降低了由于短期资金流动性风险带来的财务不稳定性，有助于公司在面对市场波动或经济不确定性时保持财务稳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3、到期债务清偿有保障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2023年10月到年底，本公司到期债务约为50.6亿，其中银行借款到期债务23.7亿，超短融18.9亿。2024年，预计银行借款到期约17.4亿，超短融将根据实际需求适当增加、滚动发行。</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截至2023年12月末，本公司共获得银行授信额度617.8亿元，其中尚未使用额度为488亿元，备用流动性充足。作为 A+H 股上市公司，资信好，直接融资渠道较为畅通，财务弹性好。截至2023年12月末，本公司在中国银行间市场交易商协会注册但尚未发行的中期票据额度为45 亿元，其中10亿元有效期为2022年7月29日到2024年7月29日，35亿元有效期为2022年8月12日到2024年8月12日。此外，公司计划在2024年注册储备80亿元的公司债发行额度。鉴此，本公司可以确保所有到期债务的偿付均可以通过自有资金、储备的债务融资工具或者是银行授信额度来及时筹措到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同时，为依约实施标的资产收购，本公司已加强前期调研。如公司采取自有资金与银行并购贷款各占50%的资金筹措方案，依相关惯例，预计可与国内主流银行机构等合作，迅速筹措低成本的并购贷款资金。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同时，公司也对关键财务指标进行了极限测试，经测算，</w:t>
      </w:r>
      <w:r>
        <w:rPr>
          <w:rFonts w:hint="eastAsia" w:ascii="宋体" w:hAnsi="宋体" w:eastAsia="宋体" w:cs="宋体"/>
          <w:sz w:val="24"/>
          <w:szCs w:val="24"/>
          <w:lang w:val="en-US" w:eastAsia="zh-CN"/>
        </w:rPr>
        <w:t>在</w:t>
      </w:r>
      <w:r>
        <w:rPr>
          <w:rFonts w:hint="eastAsia" w:ascii="宋体" w:hAnsi="宋体" w:eastAsia="宋体" w:cs="宋体"/>
          <w:sz w:val="24"/>
          <w:szCs w:val="24"/>
        </w:rPr>
        <w:t>本次收购资金均以借贷形式取得</w:t>
      </w:r>
      <w:r>
        <w:rPr>
          <w:rFonts w:hint="eastAsia" w:ascii="宋体" w:hAnsi="宋体" w:eastAsia="宋体" w:cs="宋体"/>
          <w:sz w:val="24"/>
          <w:szCs w:val="24"/>
          <w:lang w:eastAsia="zh-CN"/>
        </w:rPr>
        <w:t>的</w:t>
      </w:r>
      <w:r>
        <w:rPr>
          <w:rFonts w:hint="eastAsia" w:ascii="宋体" w:hAnsi="宋体" w:eastAsia="宋体" w:cs="宋体"/>
          <w:sz w:val="24"/>
          <w:szCs w:val="24"/>
          <w:lang w:val="en-US" w:eastAsia="zh-CN"/>
        </w:rPr>
        <w:t>假设下</w:t>
      </w:r>
      <w:r>
        <w:rPr>
          <w:rFonts w:hint="eastAsia" w:ascii="宋体" w:hAnsi="宋体" w:eastAsia="宋体" w:cs="宋体"/>
          <w:sz w:val="24"/>
          <w:szCs w:val="24"/>
        </w:rPr>
        <w:t>，本公司资产负债率</w:t>
      </w:r>
      <w:r>
        <w:rPr>
          <w:rFonts w:hint="eastAsia" w:ascii="宋体" w:hAnsi="宋体" w:eastAsia="宋体" w:cs="宋体"/>
          <w:sz w:val="24"/>
          <w:szCs w:val="24"/>
          <w:lang w:val="en-US" w:eastAsia="zh-CN"/>
        </w:rPr>
        <w:t>将提升至约</w:t>
      </w:r>
      <w:r>
        <w:rPr>
          <w:rFonts w:hint="eastAsia" w:ascii="宋体" w:hAnsi="宋体" w:eastAsia="宋体" w:cs="宋体"/>
          <w:sz w:val="24"/>
          <w:szCs w:val="24"/>
        </w:rPr>
        <w:t>55.5%。</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综上所述，本公司资产负债率整体稳健，自由现金流充足，还本付息在合理负担范围之类。本次收购标的资产行为对上市公司正常生产经营、财务稳定性和流动性均不会产生不利影响。</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(3)结合标的资产质量、控股股东财务状况及资金需求等，说明本次交易是否有利于提高公司质量，是否存在向控股股东输送利益的情形，并补充提示相关风险。</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标的资产质量优良。</w:t>
      </w:r>
      <w:r>
        <w:rPr>
          <w:rFonts w:hint="eastAsia" w:ascii="宋体" w:hAnsi="宋体" w:eastAsia="宋体" w:cs="宋体"/>
          <w:b/>
          <w:bCs/>
          <w:sz w:val="24"/>
          <w:szCs w:val="24"/>
        </w:rPr>
        <w:t>一是从区域经济发展来看</w:t>
      </w:r>
      <w:r>
        <w:rPr>
          <w:rFonts w:hint="eastAsia" w:ascii="宋体" w:hAnsi="宋体" w:eastAsia="宋体" w:cs="宋体"/>
          <w:sz w:val="24"/>
          <w:szCs w:val="24"/>
        </w:rPr>
        <w:t>，2023年，在长江三角洲区域一体化发展这一国家战略的持续助推下，区域经济、人口、基础设施互联互通进一步增强。长三角地区“三省一市”的经济发展依旧保持了强大的稳定性，2023年江苏省全年GDP为128,222亿元，较上年增长5.8%；附近省份也有类似的趋势。预期2024年江苏整体经济有望进一步恢复，持续快速增长。</w:t>
      </w:r>
      <w:r>
        <w:rPr>
          <w:rFonts w:hint="eastAsia" w:ascii="宋体" w:hAnsi="宋体" w:eastAsia="宋体" w:cs="宋体"/>
          <w:b/>
          <w:bCs/>
          <w:sz w:val="24"/>
          <w:szCs w:val="24"/>
        </w:rPr>
        <w:t>《</w:t>
      </w:r>
      <w:r>
        <w:rPr>
          <w:rFonts w:hint="eastAsia" w:ascii="宋体" w:hAnsi="宋体" w:eastAsia="宋体" w:cs="宋体"/>
          <w:sz w:val="24"/>
          <w:szCs w:val="24"/>
        </w:rPr>
        <w:t>江苏省国民经济和社会发展第十四个五年规划和二〇三五年远景目标纲要》提出至2035年，全省人均地区生产总值在2020年基础上实现翻一番。</w:t>
      </w:r>
      <w:r>
        <w:rPr>
          <w:rFonts w:hint="eastAsia" w:ascii="宋体" w:hAnsi="宋体" w:eastAsia="宋体" w:cs="宋体"/>
          <w:b/>
          <w:bCs/>
          <w:sz w:val="24"/>
          <w:szCs w:val="24"/>
        </w:rPr>
        <w:t>二是从车流结构来看，</w:t>
      </w:r>
      <w:r>
        <w:rPr>
          <w:rFonts w:hint="eastAsia" w:ascii="宋体" w:hAnsi="宋体" w:eastAsia="宋体" w:cs="宋体"/>
          <w:sz w:val="24"/>
          <w:szCs w:val="24"/>
        </w:rPr>
        <w:t>考虑到近年来江苏省常住人口仍保持增长，苏锡常南部高速以承担客运功能为主，客车的增长速度普遍高于货车，标的资产质量随着苏南地区发展及长三角地区一体化深化发展，苏锡常南部高速正切合地区发展客运需求。</w:t>
      </w:r>
      <w:r>
        <w:rPr>
          <w:rFonts w:hint="eastAsia" w:ascii="宋体" w:hAnsi="宋体" w:eastAsia="宋体" w:cs="宋体"/>
          <w:b/>
          <w:bCs/>
          <w:sz w:val="24"/>
          <w:szCs w:val="24"/>
        </w:rPr>
        <w:t>三是从公司战略资产配置来看，</w:t>
      </w:r>
      <w:r>
        <w:rPr>
          <w:rFonts w:hint="eastAsia" w:ascii="宋体" w:hAnsi="宋体" w:eastAsia="宋体" w:cs="宋体"/>
          <w:sz w:val="24"/>
          <w:szCs w:val="24"/>
        </w:rPr>
        <w:t>鉴于苏锡常南部高速位于苏锡常中心城区南侧，与沪宁高速共同构成了苏锡常中心城区间的一南一北两条城际交通轴线，对提升区域通行能力起到重要作用。就公司而言,收购苏锡常南部高速公司将进一步完善本公司在苏南路网的布局，扩大本公司运营公路规模与范围，苏锡常南部高速是本公司目前战略投资不可多得的资产并预计是未来收入和利润增点。</w:t>
      </w:r>
      <w:r>
        <w:rPr>
          <w:rFonts w:hint="eastAsia" w:ascii="宋体" w:hAnsi="宋体" w:eastAsia="宋体" w:cs="宋体"/>
          <w:b/>
          <w:bCs/>
          <w:sz w:val="24"/>
          <w:szCs w:val="24"/>
        </w:rPr>
        <w:t>四是从目标公司自身运营情况和财务状况来看</w:t>
      </w:r>
      <w:r>
        <w:rPr>
          <w:rFonts w:hint="eastAsia" w:ascii="宋体" w:hAnsi="宋体" w:eastAsia="宋体" w:cs="宋体"/>
          <w:sz w:val="24"/>
          <w:szCs w:val="24"/>
        </w:rPr>
        <w:t>，自开通以来，标的资产车流量处于快速增长期。根据截至2023年10月31日止10个月经审计的财务报表，2023年1-10月营业亏损约为人民币1.70亿元，相比2022年同期亏损2.49亿已经有所收窄</w:t>
      </w:r>
      <w:r>
        <w:rPr>
          <w:rFonts w:hint="eastAsia" w:ascii="宋体" w:hAnsi="宋体" w:eastAsia="宋体" w:cs="宋体"/>
          <w:sz w:val="24"/>
          <w:szCs w:val="24"/>
          <w:lang w:eastAsia="zh-CN"/>
        </w:rPr>
        <w:t>；</w:t>
      </w:r>
      <w:r>
        <w:rPr>
          <w:rFonts w:hint="eastAsia" w:ascii="宋体" w:hAnsi="宋体" w:eastAsia="宋体" w:cs="宋体"/>
          <w:sz w:val="24"/>
          <w:szCs w:val="24"/>
        </w:rPr>
        <w:t>营业收入(人民币4.98亿元)已经可抵销营业成本(人民币4.44亿元)</w:t>
      </w:r>
      <w:r>
        <w:rPr>
          <w:rFonts w:hint="eastAsia" w:ascii="宋体" w:hAnsi="宋体" w:eastAsia="宋体" w:cs="宋体"/>
          <w:sz w:val="24"/>
          <w:szCs w:val="24"/>
          <w:lang w:eastAsia="zh-CN"/>
        </w:rPr>
        <w:t>；</w:t>
      </w:r>
      <w:r>
        <w:rPr>
          <w:rFonts w:hint="eastAsia" w:ascii="宋体" w:hAnsi="宋体" w:eastAsia="宋体" w:cs="宋体"/>
          <w:sz w:val="24"/>
          <w:szCs w:val="24"/>
        </w:rPr>
        <w:t>随着收费公路的运营,建设贷款等融资还款期已开始,财务费用人民币2.241亿元已较2022年同期减少人民币0.27亿元,预计此次收购可在短期内获取收益和在未来成为本公司的利润新增长点。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本公司控股股东江苏交通控股有限公司（以下简称“江苏交控”）是江苏省人民政府批准成立的国有独资企业，主要从事江苏重点交通基础设施建设投资与运营管理，</w:t>
      </w:r>
      <w:r>
        <w:rPr>
          <w:rFonts w:hint="eastAsia" w:ascii="宋体" w:hAnsi="宋体" w:eastAsia="宋体" w:cs="宋体"/>
          <w:sz w:val="24"/>
          <w:szCs w:val="24"/>
          <w:lang w:val="en-US" w:eastAsia="zh-CN"/>
        </w:rPr>
        <w:t>主要投资领域</w:t>
      </w:r>
      <w:r>
        <w:rPr>
          <w:rFonts w:hint="eastAsia" w:ascii="宋体" w:hAnsi="宋体" w:eastAsia="宋体" w:cs="宋体"/>
          <w:sz w:val="24"/>
          <w:szCs w:val="24"/>
        </w:rPr>
        <w:t>涵盖全省高速公路、铁路、机场、港口等。相关财务数据详见下表：</w:t>
      </w:r>
    </w:p>
    <w:p>
      <w:pPr>
        <w:spacing w:line="360" w:lineRule="auto"/>
        <w:ind w:firstLine="480" w:firstLineChars="200"/>
        <w:rPr>
          <w:rFonts w:hint="eastAsia" w:ascii="宋体" w:hAnsi="宋体" w:eastAsia="宋体" w:cs="宋体"/>
          <w:sz w:val="24"/>
          <w:szCs w:val="24"/>
        </w:rPr>
      </w:pPr>
    </w:p>
    <w:p>
      <w:pPr>
        <w:spacing w:line="360" w:lineRule="auto"/>
        <w:rPr>
          <w:rFonts w:hint="eastAsia" w:ascii="宋体" w:hAnsi="宋体" w:eastAsia="宋体" w:cs="宋体"/>
          <w:sz w:val="24"/>
          <w:szCs w:val="24"/>
          <w:lang w:eastAsia="zh-CN"/>
        </w:rPr>
      </w:pPr>
    </w:p>
    <w:p>
      <w:pPr>
        <w:spacing w:line="360" w:lineRule="auto"/>
        <w:rPr>
          <w:rFonts w:hint="eastAsia" w:ascii="宋体" w:hAnsi="宋体" w:eastAsia="宋体" w:cs="宋体"/>
          <w:sz w:val="24"/>
          <w:szCs w:val="24"/>
          <w:lang w:eastAsia="zh-CN"/>
        </w:rPr>
      </w:pPr>
    </w:p>
    <w:p>
      <w:pPr>
        <w:ind w:firstLine="1440" w:firstLineChars="600"/>
        <w:rPr>
          <w:rFonts w:hint="eastAsia" w:ascii="宋体" w:hAnsi="宋体" w:eastAsia="宋体" w:cs="宋体"/>
          <w:sz w:val="24"/>
          <w:szCs w:val="24"/>
        </w:rPr>
      </w:pPr>
      <w:r>
        <w:rPr>
          <w:rFonts w:hint="eastAsia" w:ascii="宋体" w:hAnsi="宋体" w:eastAsia="宋体" w:cs="宋体"/>
          <w:sz w:val="24"/>
          <w:szCs w:val="24"/>
        </w:rPr>
        <w:t>江苏交控2023年9月与2022年12月财务数据</w:t>
      </w:r>
    </w:p>
    <w:p>
      <w:pPr>
        <w:jc w:val="right"/>
        <w:rPr>
          <w:rFonts w:hint="eastAsia" w:ascii="宋体" w:hAnsi="宋体" w:eastAsia="宋体" w:cs="宋体"/>
          <w:sz w:val="24"/>
          <w:szCs w:val="24"/>
        </w:rPr>
      </w:pPr>
      <w:r>
        <w:rPr>
          <w:rFonts w:hint="eastAsia" w:ascii="宋体" w:hAnsi="宋体" w:eastAsia="宋体" w:cs="宋体"/>
          <w:sz w:val="24"/>
          <w:szCs w:val="24"/>
        </w:rPr>
        <w:t xml:space="preserve">单位：亿元 </w:t>
      </w:r>
    </w:p>
    <w:tbl>
      <w:tblPr>
        <w:tblStyle w:val="13"/>
        <w:tblW w:w="8008" w:type="dxa"/>
        <w:tblInd w:w="113" w:type="dxa"/>
        <w:tblLayout w:type="autofit"/>
        <w:tblCellMar>
          <w:top w:w="0" w:type="dxa"/>
          <w:left w:w="108" w:type="dxa"/>
          <w:bottom w:w="0" w:type="dxa"/>
          <w:right w:w="108" w:type="dxa"/>
        </w:tblCellMar>
      </w:tblPr>
      <w:tblGrid>
        <w:gridCol w:w="3608"/>
        <w:gridCol w:w="2188"/>
        <w:gridCol w:w="2212"/>
      </w:tblGrid>
      <w:tr>
        <w:tblPrEx>
          <w:tblCellMar>
            <w:top w:w="0" w:type="dxa"/>
            <w:left w:w="108" w:type="dxa"/>
            <w:bottom w:w="0" w:type="dxa"/>
            <w:right w:w="108" w:type="dxa"/>
          </w:tblCellMar>
        </w:tblPrEx>
        <w:trPr>
          <w:trHeight w:val="226" w:hRule="atLeast"/>
        </w:trPr>
        <w:tc>
          <w:tcPr>
            <w:tcW w:w="36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p>
        </w:tc>
        <w:tc>
          <w:tcPr>
            <w:tcW w:w="21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2023年9月30日</w:t>
            </w:r>
          </w:p>
        </w:tc>
        <w:tc>
          <w:tcPr>
            <w:tcW w:w="221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2022年12月31日</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总资产</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8,322.37</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7,794.10</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总负债</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5,165.69</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4,797.30</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净资产</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3,156.68</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2,996.80</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现金及现金等价物</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280.31</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221.40</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nil"/>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资产负债率（%）</w:t>
            </w:r>
          </w:p>
        </w:tc>
        <w:tc>
          <w:tcPr>
            <w:tcW w:w="2188" w:type="dxa"/>
            <w:tcBorders>
              <w:top w:val="nil"/>
              <w:left w:val="nil"/>
              <w:bottom w:val="nil"/>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62.07</w:t>
            </w:r>
          </w:p>
        </w:tc>
        <w:tc>
          <w:tcPr>
            <w:tcW w:w="2212" w:type="dxa"/>
            <w:tcBorders>
              <w:top w:val="nil"/>
              <w:left w:val="nil"/>
              <w:bottom w:val="nil"/>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61.60</w:t>
            </w:r>
          </w:p>
        </w:tc>
      </w:tr>
      <w:tr>
        <w:tblPrEx>
          <w:tblCellMar>
            <w:top w:w="0" w:type="dxa"/>
            <w:left w:w="108" w:type="dxa"/>
            <w:bottom w:w="0" w:type="dxa"/>
            <w:right w:w="108" w:type="dxa"/>
          </w:tblCellMar>
        </w:tblPrEx>
        <w:trPr>
          <w:trHeight w:val="226" w:hRule="atLeast"/>
        </w:trPr>
        <w:tc>
          <w:tcPr>
            <w:tcW w:w="36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p>
        </w:tc>
        <w:tc>
          <w:tcPr>
            <w:tcW w:w="21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2023年1-9月</w:t>
            </w:r>
          </w:p>
        </w:tc>
        <w:tc>
          <w:tcPr>
            <w:tcW w:w="221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2022年1-12月</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净利润</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127.56</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116.21</w:t>
            </w:r>
          </w:p>
        </w:tc>
      </w:tr>
      <w:tr>
        <w:tblPrEx>
          <w:tblCellMar>
            <w:top w:w="0" w:type="dxa"/>
            <w:left w:w="108" w:type="dxa"/>
            <w:bottom w:w="0" w:type="dxa"/>
            <w:right w:w="108" w:type="dxa"/>
          </w:tblCellMar>
        </w:tblPrEx>
        <w:trPr>
          <w:trHeight w:val="226" w:hRule="atLeast"/>
        </w:trPr>
        <w:tc>
          <w:tcPr>
            <w:tcW w:w="36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经营活动产生的现金流量净额</w:t>
            </w:r>
          </w:p>
        </w:tc>
        <w:tc>
          <w:tcPr>
            <w:tcW w:w="218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242.78</w:t>
            </w:r>
          </w:p>
        </w:tc>
        <w:tc>
          <w:tcPr>
            <w:tcW w:w="22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316.90</w:t>
            </w:r>
          </w:p>
        </w:tc>
      </w:tr>
    </w:tbl>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同时，江苏交控还向本公司及其控股子公司提供融资。截至本公告披露日，江苏交控向本公司提供的借款余额合计为31.96亿元、本公司于江苏交控子公司集团财务公司</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亦为本公司之参股企业</w:t>
      </w:r>
      <w:r>
        <w:rPr>
          <w:rFonts w:hint="eastAsia" w:ascii="宋体" w:hAnsi="宋体" w:eastAsia="宋体" w:cs="宋体"/>
          <w:sz w:val="24"/>
          <w:szCs w:val="24"/>
          <w:lang w:eastAsia="zh-CN"/>
        </w:rPr>
        <w:t>）</w:t>
      </w:r>
      <w:r>
        <w:rPr>
          <w:rFonts w:hint="eastAsia" w:ascii="宋体" w:hAnsi="宋体" w:eastAsia="宋体" w:cs="宋体"/>
          <w:sz w:val="24"/>
          <w:szCs w:val="24"/>
        </w:rPr>
        <w:t>日均存款额不超过4亿元。</w:t>
      </w:r>
    </w:p>
    <w:p>
      <w:pPr>
        <w:spacing w:line="360" w:lineRule="auto"/>
        <w:ind w:firstLine="480" w:firstLineChars="200"/>
        <w:rPr>
          <w:rFonts w:hint="eastAsia" w:ascii="宋体" w:hAnsi="宋体" w:eastAsia="宋体" w:cs="宋体"/>
          <w:b/>
          <w:i/>
          <w:sz w:val="24"/>
          <w:szCs w:val="24"/>
        </w:rPr>
      </w:pPr>
      <w:r>
        <w:rPr>
          <w:rFonts w:hint="eastAsia" w:ascii="宋体" w:hAnsi="宋体" w:eastAsia="宋体" w:cs="宋体"/>
          <w:sz w:val="24"/>
          <w:szCs w:val="24"/>
        </w:rPr>
        <w:t>综上，江苏交控财务稳健，现金流稳定且充足，完全可以保证其正常经营活动，不存在占用上市公司现金或利益的意图。</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收购</w:t>
      </w:r>
      <w:r>
        <w:rPr>
          <w:rFonts w:hint="eastAsia" w:ascii="宋体" w:hAnsi="宋体" w:eastAsia="宋体" w:cs="宋体"/>
          <w:sz w:val="24"/>
          <w:szCs w:val="24"/>
          <w:lang w:val="en-US" w:eastAsia="zh-CN"/>
        </w:rPr>
        <w:t>标的</w:t>
      </w:r>
      <w:r>
        <w:rPr>
          <w:rFonts w:hint="eastAsia" w:ascii="宋体" w:hAnsi="宋体" w:eastAsia="宋体" w:cs="宋体"/>
          <w:sz w:val="24"/>
          <w:szCs w:val="24"/>
        </w:rPr>
        <w:t xml:space="preserve">公司将进一步完善本公司在苏南路网的布局，扩大本公司运营公路规模与范围。就本次收购事项补充提示风险如下: </w:t>
      </w:r>
    </w:p>
    <w:p>
      <w:pPr>
        <w:numPr>
          <w:ilvl w:val="0"/>
          <w:numId w:val="1"/>
        </w:numPr>
        <w:spacing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交通流量不达预期的风险</w:t>
      </w:r>
      <w:r>
        <w:rPr>
          <w:rFonts w:hint="eastAsia" w:ascii="宋体" w:hAnsi="宋体" w:eastAsia="宋体" w:cs="宋体"/>
          <w:sz w:val="24"/>
          <w:szCs w:val="24"/>
        </w:rPr>
        <w:t>:交通量是影响收费收入的最主要因素，影响本项目车流量的因素有宏观经济的变化、地区交通布局的变化、区域经济结构的变化、人口的变化、汽车产业的变化、环境因素变化、运输成本的变化以及竞争态势的变化等。若项目实际承担的交通量低于研究中的预测规模，项目将不能产生预期的现金流量以支付经营费用、创造利润和偿还融资本息，从而引起财务风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为了应对该项风险，公司将积极协调苏南路网改扩建道路的投资时序，统筹论证沪宁高速公路扩容方案，协调沿江高速改扩建进度，并参与其交通组织方案的研究制定；同时，公司还将积极</w:t>
      </w:r>
      <w:r>
        <w:rPr>
          <w:rFonts w:hint="eastAsia" w:ascii="宋体" w:hAnsi="宋体" w:eastAsia="宋体" w:cs="宋体"/>
          <w:sz w:val="24"/>
          <w:szCs w:val="24"/>
          <w:lang w:val="en-US" w:eastAsia="zh-CN"/>
        </w:rPr>
        <w:t>参与研究、探索收费政策改革创新</w:t>
      </w:r>
      <w:r>
        <w:rPr>
          <w:rFonts w:hint="eastAsia" w:ascii="宋体" w:hAnsi="宋体" w:eastAsia="宋体" w:cs="宋体"/>
          <w:sz w:val="24"/>
          <w:szCs w:val="24"/>
        </w:rPr>
        <w:t>，并会同</w:t>
      </w:r>
      <w:bookmarkStart w:id="3" w:name="_GoBack"/>
      <w:r>
        <w:rPr>
          <w:rFonts w:hint="eastAsia" w:ascii="宋体" w:hAnsi="宋体" w:eastAsia="宋体" w:cs="宋体"/>
          <w:sz w:val="24"/>
          <w:szCs w:val="24"/>
        </w:rPr>
        <w:t>无锡</w:t>
      </w:r>
      <w:bookmarkEnd w:id="3"/>
      <w:r>
        <w:rPr>
          <w:rFonts w:hint="eastAsia" w:ascii="宋体" w:hAnsi="宋体" w:eastAsia="宋体" w:cs="宋体"/>
          <w:sz w:val="24"/>
          <w:szCs w:val="24"/>
        </w:rPr>
        <w:t>市交通运输局研究并持续优化太湖隧道差异化收费方案，推动交通流量符合预期。</w:t>
      </w:r>
    </w:p>
    <w:p>
      <w:pPr>
        <w:numPr>
          <w:ilvl w:val="0"/>
          <w:numId w:val="2"/>
        </w:numPr>
        <w:spacing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隧道运营风险:</w:t>
      </w:r>
      <w:r>
        <w:rPr>
          <w:rFonts w:hint="eastAsia" w:ascii="宋体" w:hAnsi="宋体" w:eastAsia="宋体" w:cs="宋体"/>
          <w:sz w:val="24"/>
          <w:szCs w:val="24"/>
        </w:rPr>
        <w:t>项目路建设有目前国内规模最大的水下公路隧道。水下公路隧道具有空间相对封闭、机电系统集中、信息传递受限、地质灾害影响大等显著特点，隧道内一旦发生险情，其应急救援难度、救援复杂程度和事故后果影响等更加明显。同时，上述水下公路隧道的特征造成其管养模式与普通高速公路管养模式差异较大，这是宁沪高速从事专业高速公路运营管养30年以来所遇到的特殊挑战，存在长大隧道运营管理的风险。</w:t>
      </w:r>
    </w:p>
    <w:p>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了应对该项风险，公司将进一步充实长大隧道专业人才团队，进一步完善应急救援体系，建立信息化条件下的跨部门、跨区域、跨层级、跨业务的应急协同机制，加大信息化、数字化、智慧化建设项目的投入。不断增强公司长大水下隧道运营能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w:t>
      </w:r>
      <w:r>
        <w:rPr>
          <w:rFonts w:hint="eastAsia" w:ascii="宋体" w:hAnsi="宋体" w:eastAsia="宋体" w:cs="宋体"/>
          <w:sz w:val="24"/>
          <w:szCs w:val="24"/>
        </w:rPr>
        <w:tab/>
      </w:r>
      <w:r>
        <w:rPr>
          <w:rFonts w:hint="eastAsia" w:ascii="宋体" w:hAnsi="宋体" w:eastAsia="宋体" w:cs="宋体"/>
          <w:b/>
          <w:sz w:val="24"/>
          <w:szCs w:val="24"/>
        </w:rPr>
        <w:t>地方规划风险:</w:t>
      </w:r>
      <w:r>
        <w:rPr>
          <w:rFonts w:hint="eastAsia" w:ascii="宋体" w:hAnsi="宋体" w:eastAsia="宋体" w:cs="宋体"/>
          <w:sz w:val="24"/>
          <w:szCs w:val="24"/>
        </w:rPr>
        <w:t>对苏锡常南部高速有一定影响的地方规划道路主要是具区路西延。具区路西延是无锡市规划的地方免费快速路，是服务无锡市区西向出城的主要快速通道，与项目路的功能有一定重合，将造成部分流量的转移。因该项目暂无建设计划，并且建设难度较大，评估假设中暂未予考虑。因此，若具区路西延在项目路经营期内建设并投入运营，将影响苏锡常南部高速的收益。</w:t>
      </w:r>
    </w:p>
    <w:p>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为了应对该项风险，公司将积极关注并沟通协调无锡市相关规划的实施，努力降低区域道路规划对标的资产的负面影响。</w:t>
      </w:r>
    </w:p>
    <w:p>
      <w:pPr>
        <w:widowControl/>
        <w:spacing w:line="360" w:lineRule="auto"/>
        <w:ind w:firstLine="480" w:firstLineChars="200"/>
        <w:rPr>
          <w:rFonts w:hint="eastAsia" w:ascii="宋体" w:hAnsi="宋体" w:eastAsia="宋体" w:cs="宋体"/>
          <w:sz w:val="24"/>
          <w:szCs w:val="24"/>
        </w:rPr>
      </w:pP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问题2、关于标的资产财务状况。标的资产2021年、2022年、2023年1-10月营业收入分别为0.02亿元、3.83亿元及4.98亿元，净利润分别为-0.02亿元、-3.21亿元及-1.70亿元，处于持续亏损状态:财务费用分别为-0.01亿元、2.91亿元、2.24亿元，近年来居高不下。截至2023年10月31日，标的资产总负债约为70.69亿元，其中有息负债占比达99%。</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请公司:(1)结合标的资产的经营模式、运营情况、营业成本构成等，说明标的资产收入规模较小、盈利能力较低的原因及未来拟如何改善相关状况；</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与其他行业相比，高速公路是典型的重资产行业，建设期资本性支出投入巨大，而经营期资本性支出少。经营初期，一般财务成本和摊销成本较高，同时流量及收入水平一般较低，共同导致项目盈利能力总体不高。但随着高速公路流量从培育期进入成熟期，流量及收入水平将不断好转；并且随着逐年还本，债务规模及财务成本将持续下降，盈利将逐渐好转，能够为项目公司提供稳定的现金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的资产目前处于开通初期阶段，从收入端看，流量水平不足道路设计能力的1/3，处于爬坡期；从成本端看，由于标的资产存量债务规模处于最高峰，且无法实现利息资本化，刚性财务费用高，因此开通两年持续亏损，这也符合行业的基本特征。从2023年实际数据来看，随着外部形势趋稳以及路网格局调整，2023年全年平均流量达到3.1万辆/日（标准量），通行费收入约6.3亿，平均单公里收入超过1400万元/公里（含税），流量及收入同比增长超过50%，标的亏损显著收窄，2023年四季度标的公司已实现经营性现金流转正，开始还本付息，存量债务规模已由2023年初的82.98亿元下降至2023年10月31日的70.69亿。随着标的资产交通流量的不断增长，收入将进一步提升，债务规模进一步下降，盈利能力将持续提升。</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color w:val="000000"/>
          <w:sz w:val="24"/>
          <w:szCs w:val="24"/>
        </w:rPr>
        <w:t>为进一步改善标的公司财务状况，本公司拟于交割后采取如下措施：</w:t>
      </w:r>
    </w:p>
    <w:p>
      <w:pPr>
        <w:spacing w:line="360" w:lineRule="auto"/>
        <w:ind w:firstLine="482" w:firstLineChars="200"/>
        <w:jc w:val="both"/>
        <w:rPr>
          <w:rFonts w:hint="eastAsia" w:ascii="宋体" w:hAnsi="宋体" w:eastAsia="宋体" w:cs="宋体"/>
          <w:sz w:val="24"/>
          <w:szCs w:val="24"/>
        </w:rPr>
      </w:pPr>
      <w:r>
        <w:rPr>
          <w:rFonts w:hint="eastAsia" w:ascii="宋体" w:hAnsi="宋体" w:eastAsia="宋体" w:cs="宋体"/>
          <w:b/>
          <w:color w:val="000000"/>
          <w:sz w:val="24"/>
          <w:szCs w:val="24"/>
        </w:rPr>
        <w:t>1、进行贷款的利率置换。</w:t>
      </w:r>
      <w:r>
        <w:rPr>
          <w:rFonts w:hint="eastAsia" w:ascii="宋体" w:hAnsi="宋体" w:eastAsia="宋体" w:cs="宋体"/>
          <w:color w:val="000000"/>
          <w:sz w:val="24"/>
          <w:szCs w:val="24"/>
        </w:rPr>
        <w:t>收购完成后，公司计划与贷款银行进一步商议降低贷款利率，减少年度财务费用。标的资产股权交割后，可共享本公司高评级带来的稳定、价廉的融资产品，进一步优化债务结构，降低资金成本。</w:t>
      </w:r>
    </w:p>
    <w:p>
      <w:pPr>
        <w:spacing w:line="360" w:lineRule="auto"/>
        <w:ind w:firstLine="482" w:firstLineChars="200"/>
        <w:jc w:val="both"/>
        <w:rPr>
          <w:rFonts w:hint="eastAsia" w:ascii="宋体" w:hAnsi="宋体" w:eastAsia="宋体" w:cs="宋体"/>
          <w:sz w:val="24"/>
          <w:szCs w:val="24"/>
        </w:rPr>
      </w:pPr>
      <w:r>
        <w:rPr>
          <w:rFonts w:hint="eastAsia" w:ascii="宋体" w:hAnsi="宋体" w:eastAsia="宋体" w:cs="宋体"/>
          <w:b/>
          <w:color w:val="000000"/>
          <w:sz w:val="24"/>
          <w:szCs w:val="24"/>
        </w:rPr>
        <w:t>2、引导标的流量增长。</w:t>
      </w:r>
      <w:r>
        <w:rPr>
          <w:rFonts w:hint="eastAsia" w:ascii="宋体" w:hAnsi="宋体" w:eastAsia="宋体" w:cs="宋体"/>
          <w:color w:val="000000"/>
          <w:sz w:val="24"/>
          <w:szCs w:val="24"/>
        </w:rPr>
        <w:t>公司计划与无锡市政府进一步研究差异化收费政策，对既有差异化政策进行优化，通过政府购买服务的方式，减少用户通行费，提升标的资产吸引力，也降低项目周边进一步新增平行规划建设项目的风险。</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(2)结合标的资产经营活动现金净额、负债规模、偿债期限、付息安排等，分析其债务结构的稳定性及是否存在流动性风险。</w:t>
      </w:r>
    </w:p>
    <w:p>
      <w:pPr>
        <w:spacing w:line="360" w:lineRule="auto"/>
        <w:ind w:firstLine="482" w:firstLineChars="200"/>
        <w:jc w:val="both"/>
        <w:rPr>
          <w:rFonts w:hint="eastAsia" w:ascii="宋体" w:hAnsi="宋体" w:eastAsia="宋体" w:cs="宋体"/>
          <w:b/>
          <w:color w:val="000000"/>
          <w:sz w:val="24"/>
          <w:szCs w:val="24"/>
        </w:rPr>
      </w:pPr>
      <w:r>
        <w:rPr>
          <w:rFonts w:hint="eastAsia" w:ascii="宋体" w:hAnsi="宋体" w:eastAsia="宋体" w:cs="宋体"/>
          <w:b/>
          <w:bCs/>
          <w:sz w:val="24"/>
          <w:szCs w:val="24"/>
        </w:rPr>
        <w:t>回复：</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截至2023年10月31日，标的公司总资产145.32亿元，负债70.69亿元，资产负债率48.64%。资产负债率控制良好，融资品种、规模及期限结构配置与高速公路项目的经营期限及经营发展趋势相符。</w:t>
      </w:r>
    </w:p>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lang w:val="en-US" w:eastAsia="zh-CN"/>
        </w:rPr>
        <w:t>标的公司</w:t>
      </w:r>
      <w:r>
        <w:rPr>
          <w:rFonts w:hint="eastAsia" w:ascii="宋体" w:hAnsi="宋体" w:eastAsia="宋体" w:cs="宋体"/>
          <w:sz w:val="24"/>
          <w:szCs w:val="24"/>
        </w:rPr>
        <w:t>2023年10月31日有息债务构成情况</w:t>
      </w:r>
    </w:p>
    <w:tbl>
      <w:tblPr>
        <w:tblStyle w:val="13"/>
        <w:tblW w:w="7039" w:type="dxa"/>
        <w:jc w:val="center"/>
        <w:tblLayout w:type="fixed"/>
        <w:tblCellMar>
          <w:top w:w="0" w:type="dxa"/>
          <w:left w:w="108" w:type="dxa"/>
          <w:bottom w:w="0" w:type="dxa"/>
          <w:right w:w="108" w:type="dxa"/>
        </w:tblCellMar>
      </w:tblPr>
      <w:tblGrid>
        <w:gridCol w:w="2444"/>
        <w:gridCol w:w="2060"/>
        <w:gridCol w:w="2535"/>
      </w:tblGrid>
      <w:tr>
        <w:tblPrEx>
          <w:tblCellMar>
            <w:top w:w="0" w:type="dxa"/>
            <w:left w:w="108" w:type="dxa"/>
            <w:bottom w:w="0" w:type="dxa"/>
            <w:right w:w="108" w:type="dxa"/>
          </w:tblCellMar>
        </w:tblPrEx>
        <w:trPr>
          <w:trHeight w:val="417" w:hRule="atLeast"/>
          <w:jc w:val="center"/>
        </w:trPr>
        <w:tc>
          <w:tcPr>
            <w:tcW w:w="24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lang w:val="en-US" w:eastAsia="zh-CN"/>
                <w14:ligatures w14:val="none"/>
              </w:rPr>
            </w:pPr>
          </w:p>
        </w:tc>
        <w:tc>
          <w:tcPr>
            <w:tcW w:w="20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余额（亿元）</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占比%</w:t>
            </w:r>
          </w:p>
        </w:tc>
      </w:tr>
      <w:tr>
        <w:tblPrEx>
          <w:tblCellMar>
            <w:top w:w="0" w:type="dxa"/>
            <w:left w:w="108" w:type="dxa"/>
            <w:bottom w:w="0" w:type="dxa"/>
            <w:right w:w="108" w:type="dxa"/>
          </w:tblCellMar>
        </w:tblPrEx>
        <w:trPr>
          <w:trHeight w:val="417" w:hRule="atLeast"/>
          <w:jc w:val="center"/>
        </w:trPr>
        <w:tc>
          <w:tcPr>
            <w:tcW w:w="24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项目贷款</w:t>
            </w:r>
          </w:p>
        </w:tc>
        <w:tc>
          <w:tcPr>
            <w:tcW w:w="20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58.39</w:t>
            </w:r>
          </w:p>
        </w:tc>
        <w:tc>
          <w:tcPr>
            <w:tcW w:w="25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84.15</w:t>
            </w:r>
          </w:p>
        </w:tc>
      </w:tr>
      <w:tr>
        <w:tblPrEx>
          <w:tblCellMar>
            <w:top w:w="0" w:type="dxa"/>
            <w:left w:w="108" w:type="dxa"/>
            <w:bottom w:w="0" w:type="dxa"/>
            <w:right w:w="108" w:type="dxa"/>
          </w:tblCellMar>
        </w:tblPrEx>
        <w:trPr>
          <w:trHeight w:val="417" w:hRule="atLeast"/>
          <w:jc w:val="center"/>
        </w:trPr>
        <w:tc>
          <w:tcPr>
            <w:tcW w:w="24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中长期流贷</w:t>
            </w:r>
          </w:p>
        </w:tc>
        <w:tc>
          <w:tcPr>
            <w:tcW w:w="20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5.00</w:t>
            </w:r>
          </w:p>
        </w:tc>
        <w:tc>
          <w:tcPr>
            <w:tcW w:w="25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7.20</w:t>
            </w:r>
          </w:p>
        </w:tc>
      </w:tr>
      <w:tr>
        <w:tblPrEx>
          <w:tblCellMar>
            <w:top w:w="0" w:type="dxa"/>
            <w:left w:w="108" w:type="dxa"/>
            <w:bottom w:w="0" w:type="dxa"/>
            <w:right w:w="108" w:type="dxa"/>
          </w:tblCellMar>
        </w:tblPrEx>
        <w:trPr>
          <w:trHeight w:val="417" w:hRule="atLeast"/>
          <w:jc w:val="center"/>
        </w:trPr>
        <w:tc>
          <w:tcPr>
            <w:tcW w:w="24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交控划拨企业债</w:t>
            </w:r>
          </w:p>
        </w:tc>
        <w:tc>
          <w:tcPr>
            <w:tcW w:w="20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6.00</w:t>
            </w:r>
          </w:p>
        </w:tc>
        <w:tc>
          <w:tcPr>
            <w:tcW w:w="25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8.65</w:t>
            </w:r>
          </w:p>
        </w:tc>
      </w:tr>
      <w:tr>
        <w:tblPrEx>
          <w:tblCellMar>
            <w:top w:w="0" w:type="dxa"/>
            <w:left w:w="108" w:type="dxa"/>
            <w:bottom w:w="0" w:type="dxa"/>
            <w:right w:w="108" w:type="dxa"/>
          </w:tblCellMar>
        </w:tblPrEx>
        <w:trPr>
          <w:trHeight w:val="441" w:hRule="atLeast"/>
          <w:jc w:val="center"/>
        </w:trPr>
        <w:tc>
          <w:tcPr>
            <w:tcW w:w="24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合计</w:t>
            </w:r>
          </w:p>
        </w:tc>
        <w:tc>
          <w:tcPr>
            <w:tcW w:w="20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69.39</w:t>
            </w:r>
          </w:p>
        </w:tc>
        <w:tc>
          <w:tcPr>
            <w:tcW w:w="25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100.00</w:t>
            </w:r>
          </w:p>
        </w:tc>
      </w:tr>
    </w:tbl>
    <w:p>
      <w:pPr>
        <w:ind w:firstLine="1680" w:firstLineChars="700"/>
        <w:jc w:val="both"/>
        <w:rPr>
          <w:rFonts w:hint="eastAsia" w:ascii="宋体" w:hAnsi="宋体" w:eastAsia="宋体" w:cs="宋体"/>
          <w:sz w:val="24"/>
          <w:szCs w:val="24"/>
        </w:rPr>
      </w:pPr>
    </w:p>
    <w:p>
      <w:pPr>
        <w:ind w:firstLine="1680" w:firstLineChars="700"/>
        <w:jc w:val="both"/>
        <w:rPr>
          <w:rFonts w:hint="eastAsia" w:ascii="宋体" w:hAnsi="宋体" w:eastAsia="宋体" w:cs="宋体"/>
          <w:sz w:val="24"/>
          <w:szCs w:val="24"/>
        </w:rPr>
      </w:pPr>
    </w:p>
    <w:p>
      <w:pPr>
        <w:ind w:firstLine="1680" w:firstLineChars="700"/>
        <w:jc w:val="both"/>
        <w:rPr>
          <w:rFonts w:hint="eastAsia" w:ascii="宋体" w:hAnsi="宋体" w:eastAsia="宋体" w:cs="宋体"/>
          <w:sz w:val="24"/>
          <w:szCs w:val="24"/>
        </w:rPr>
      </w:pPr>
    </w:p>
    <w:p>
      <w:pPr>
        <w:ind w:firstLine="1680" w:firstLineChars="700"/>
        <w:jc w:val="both"/>
        <w:rPr>
          <w:rFonts w:hint="eastAsia" w:ascii="宋体" w:hAnsi="宋体" w:eastAsia="宋体" w:cs="宋体"/>
          <w:sz w:val="24"/>
          <w:szCs w:val="24"/>
        </w:rPr>
      </w:pPr>
      <w:r>
        <w:rPr>
          <w:rFonts w:hint="eastAsia" w:ascii="宋体" w:hAnsi="宋体" w:eastAsia="宋体" w:cs="宋体"/>
          <w:sz w:val="24"/>
          <w:szCs w:val="24"/>
          <w:lang w:val="en-US" w:eastAsia="zh-CN"/>
        </w:rPr>
        <w:t>标的公司</w:t>
      </w:r>
      <w:r>
        <w:rPr>
          <w:rFonts w:hint="eastAsia" w:ascii="宋体" w:hAnsi="宋体" w:eastAsia="宋体" w:cs="宋体"/>
          <w:sz w:val="24"/>
          <w:szCs w:val="24"/>
        </w:rPr>
        <w:t>2023年10月31日有息债务期限构成</w:t>
      </w:r>
    </w:p>
    <w:p>
      <w:pPr>
        <w:ind w:firstLine="1680" w:firstLineChars="700"/>
        <w:jc w:val="right"/>
        <w:rPr>
          <w:rFonts w:hint="eastAsia" w:ascii="宋体" w:hAnsi="宋体" w:eastAsia="宋体" w:cs="宋体"/>
          <w:sz w:val="24"/>
          <w:szCs w:val="24"/>
        </w:rPr>
      </w:pPr>
      <w:r>
        <w:rPr>
          <w:rFonts w:hint="eastAsia" w:ascii="宋体" w:hAnsi="宋体" w:eastAsia="宋体" w:cs="宋体"/>
          <w:sz w:val="24"/>
          <w:szCs w:val="24"/>
        </w:rPr>
        <w:t>单位：亿元</w:t>
      </w:r>
    </w:p>
    <w:tbl>
      <w:tblPr>
        <w:tblStyle w:val="13"/>
        <w:tblW w:w="8653" w:type="dxa"/>
        <w:tblInd w:w="113" w:type="dxa"/>
        <w:tblLayout w:type="fixed"/>
        <w:tblCellMar>
          <w:top w:w="0" w:type="dxa"/>
          <w:left w:w="108" w:type="dxa"/>
          <w:bottom w:w="0" w:type="dxa"/>
          <w:right w:w="108" w:type="dxa"/>
        </w:tblCellMar>
      </w:tblPr>
      <w:tblGrid>
        <w:gridCol w:w="1966"/>
        <w:gridCol w:w="1114"/>
        <w:gridCol w:w="1114"/>
        <w:gridCol w:w="1114"/>
        <w:gridCol w:w="1114"/>
        <w:gridCol w:w="1114"/>
        <w:gridCol w:w="1117"/>
      </w:tblGrid>
      <w:tr>
        <w:tblPrEx>
          <w:tblCellMar>
            <w:top w:w="0" w:type="dxa"/>
            <w:left w:w="108" w:type="dxa"/>
            <w:bottom w:w="0" w:type="dxa"/>
            <w:right w:w="108" w:type="dxa"/>
          </w:tblCellMar>
        </w:tblPrEx>
        <w:trPr>
          <w:trHeight w:val="245" w:hRule="atLeast"/>
        </w:trPr>
        <w:tc>
          <w:tcPr>
            <w:tcW w:w="196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p>
        </w:tc>
        <w:tc>
          <w:tcPr>
            <w:tcW w:w="111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1年内到期</w:t>
            </w:r>
          </w:p>
        </w:tc>
        <w:tc>
          <w:tcPr>
            <w:tcW w:w="111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1-5年</w:t>
            </w:r>
          </w:p>
        </w:tc>
        <w:tc>
          <w:tcPr>
            <w:tcW w:w="111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5-10年</w:t>
            </w:r>
          </w:p>
        </w:tc>
        <w:tc>
          <w:tcPr>
            <w:tcW w:w="111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10-15年</w:t>
            </w:r>
          </w:p>
        </w:tc>
        <w:tc>
          <w:tcPr>
            <w:tcW w:w="111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15年以上</w:t>
            </w:r>
          </w:p>
        </w:tc>
        <w:tc>
          <w:tcPr>
            <w:tcW w:w="111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合计</w:t>
            </w:r>
          </w:p>
        </w:tc>
      </w:tr>
      <w:tr>
        <w:tblPrEx>
          <w:tblCellMar>
            <w:top w:w="0" w:type="dxa"/>
            <w:left w:w="108" w:type="dxa"/>
            <w:bottom w:w="0" w:type="dxa"/>
            <w:right w:w="108" w:type="dxa"/>
          </w:tblCellMar>
        </w:tblPrEx>
        <w:trPr>
          <w:trHeight w:val="245" w:hRule="atLeast"/>
        </w:trPr>
        <w:tc>
          <w:tcPr>
            <w:tcW w:w="196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长期借款</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1.62</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26.16</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17.25</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15.21</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3.15</w:t>
            </w:r>
          </w:p>
        </w:tc>
        <w:tc>
          <w:tcPr>
            <w:tcW w:w="111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63.39</w:t>
            </w:r>
          </w:p>
        </w:tc>
      </w:tr>
      <w:tr>
        <w:tblPrEx>
          <w:tblCellMar>
            <w:top w:w="0" w:type="dxa"/>
            <w:left w:w="108" w:type="dxa"/>
            <w:bottom w:w="0" w:type="dxa"/>
            <w:right w:w="108" w:type="dxa"/>
          </w:tblCellMar>
        </w:tblPrEx>
        <w:trPr>
          <w:trHeight w:val="245" w:hRule="atLeast"/>
        </w:trPr>
        <w:tc>
          <w:tcPr>
            <w:tcW w:w="196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交控划拨企业债</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6.00</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14:ligatures w14:val="none"/>
              </w:rPr>
            </w:pP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14:ligatures w14:val="none"/>
              </w:rPr>
            </w:pP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14:ligatures w14:val="none"/>
              </w:rPr>
            </w:pP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14:ligatures w14:val="none"/>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6.00</w:t>
            </w:r>
          </w:p>
        </w:tc>
      </w:tr>
      <w:tr>
        <w:tblPrEx>
          <w:tblCellMar>
            <w:top w:w="0" w:type="dxa"/>
            <w:left w:w="108" w:type="dxa"/>
            <w:bottom w:w="0" w:type="dxa"/>
            <w:right w:w="108" w:type="dxa"/>
          </w:tblCellMar>
        </w:tblPrEx>
        <w:trPr>
          <w:trHeight w:val="245" w:hRule="atLeast"/>
        </w:trPr>
        <w:tc>
          <w:tcPr>
            <w:tcW w:w="196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color w:val="000000"/>
                <w:kern w:val="0"/>
                <w:sz w:val="24"/>
                <w:szCs w:val="24"/>
                <w14:ligatures w14:val="none"/>
              </w:rPr>
            </w:pPr>
            <w:r>
              <w:rPr>
                <w:rFonts w:hint="eastAsia" w:ascii="宋体" w:hAnsi="宋体" w:eastAsia="宋体" w:cs="宋体"/>
                <w:b/>
                <w:bCs/>
                <w:color w:val="000000"/>
                <w:kern w:val="0"/>
                <w:sz w:val="24"/>
                <w:szCs w:val="24"/>
                <w14:ligatures w14:val="none"/>
              </w:rPr>
              <w:t>合计</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7.62</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26.16</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17.25</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15.21</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3.15</w:t>
            </w:r>
          </w:p>
        </w:tc>
        <w:tc>
          <w:tcPr>
            <w:tcW w:w="111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color w:val="000000"/>
                <w:kern w:val="0"/>
                <w:sz w:val="24"/>
                <w:szCs w:val="24"/>
                <w:lang w:eastAsia="zh-CN"/>
                <w14:ligatures w14:val="none"/>
              </w:rPr>
            </w:pPr>
            <w:r>
              <w:rPr>
                <w:rFonts w:hint="eastAsia" w:ascii="宋体" w:hAnsi="宋体" w:eastAsia="宋体" w:cs="宋体"/>
                <w:b/>
                <w:bCs/>
                <w:color w:val="000000"/>
                <w:kern w:val="0"/>
                <w:sz w:val="24"/>
                <w:szCs w:val="24"/>
                <w14:ligatures w14:val="none"/>
              </w:rPr>
              <w:t>69.39</w:t>
            </w:r>
          </w:p>
        </w:tc>
      </w:tr>
      <w:tr>
        <w:tblPrEx>
          <w:tblCellMar>
            <w:top w:w="0" w:type="dxa"/>
            <w:left w:w="108" w:type="dxa"/>
            <w:bottom w:w="0" w:type="dxa"/>
            <w:right w:w="108" w:type="dxa"/>
          </w:tblCellMar>
        </w:tblPrEx>
        <w:trPr>
          <w:trHeight w:val="245" w:hRule="atLeast"/>
        </w:trPr>
        <w:tc>
          <w:tcPr>
            <w:tcW w:w="196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14:ligatures w14:val="none"/>
              </w:rPr>
            </w:pPr>
            <w:r>
              <w:rPr>
                <w:rFonts w:hint="eastAsia" w:ascii="宋体" w:hAnsi="宋体" w:eastAsia="宋体" w:cs="宋体"/>
                <w:color w:val="000000"/>
                <w:kern w:val="0"/>
                <w:sz w:val="24"/>
                <w:szCs w:val="24"/>
                <w14:ligatures w14:val="none"/>
              </w:rPr>
              <w:t>占比%</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10.98</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37.71</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24.85</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21.92</w:t>
            </w:r>
          </w:p>
        </w:tc>
        <w:tc>
          <w:tcPr>
            <w:tcW w:w="111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4.54</w:t>
            </w:r>
          </w:p>
        </w:tc>
        <w:tc>
          <w:tcPr>
            <w:tcW w:w="111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eastAsia="zh-CN"/>
                <w14:ligatures w14:val="none"/>
              </w:rPr>
            </w:pPr>
            <w:r>
              <w:rPr>
                <w:rFonts w:hint="eastAsia" w:ascii="宋体" w:hAnsi="宋体" w:eastAsia="宋体" w:cs="宋体"/>
                <w:color w:val="000000"/>
                <w:kern w:val="0"/>
                <w:sz w:val="24"/>
                <w:szCs w:val="24"/>
                <w14:ligatures w14:val="none"/>
              </w:rPr>
              <w:t>100.00</w:t>
            </w:r>
          </w:p>
        </w:tc>
      </w:tr>
    </w:tbl>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从融资利率上看，正在履行的项目贷利率区间为2.6-3.71%，平均利率为3.4%；中长期流贷利率为2.6%；江苏交控划拨企业债利率为3.76%。利率低于市场平均水平。</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针对基准日后一年内到期负债，基于标的公司业务发展阶段，根据评估报告估算的未来经营性现金流，在满足标的公司日常经营资金需求及支付全部应付存量负债利息的前提下，本公司可以发挥融资协同优势，协助标的公司进一步优化融资结构与融资成本。因此短期内标的公司不存在流动性风险。</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从长期看，标的公司完全具备对其所有的有息债务本息的偿付能力。2023年1-10月，标的公司自由现金流为1.43亿元，已按期还款付息。 预计2024年全年自由现金流可增加至足以覆盖应付本息数。以后各年，根据存量项目贷的还本付息计划，标的公司每年产生的自由现金流均足以覆盖当年应付本息数。随着标的公司自由现金流的逐年结余，预计将</w:t>
      </w:r>
      <w:r>
        <w:rPr>
          <w:rFonts w:hint="eastAsia" w:ascii="宋体" w:hAnsi="宋体" w:eastAsia="宋体" w:cs="宋体"/>
          <w:sz w:val="24"/>
          <w:szCs w:val="24"/>
          <w:lang w:val="en-US" w:eastAsia="zh-CN"/>
        </w:rPr>
        <w:t>逐步减少融资</w:t>
      </w:r>
      <w:r>
        <w:rPr>
          <w:rFonts w:hint="eastAsia" w:ascii="宋体" w:hAnsi="宋体" w:eastAsia="宋体" w:cs="宋体"/>
          <w:sz w:val="24"/>
          <w:szCs w:val="24"/>
        </w:rPr>
        <w:t>需求，并于2029-2030年期间结清全部流动贷款</w:t>
      </w:r>
      <w:r>
        <w:rPr>
          <w:rFonts w:hint="eastAsia" w:ascii="宋体" w:hAnsi="宋体" w:eastAsia="宋体" w:cs="宋体"/>
          <w:sz w:val="24"/>
          <w:szCs w:val="24"/>
          <w:lang w:val="en-US" w:eastAsia="zh-CN"/>
        </w:rPr>
        <w:t>等</w:t>
      </w:r>
      <w:r>
        <w:rPr>
          <w:rFonts w:hint="eastAsia" w:ascii="宋体" w:hAnsi="宋体" w:eastAsia="宋体" w:cs="宋体"/>
          <w:sz w:val="24"/>
          <w:szCs w:val="24"/>
        </w:rPr>
        <w:t>。因此，标的公司未来不存在流动性风险。</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预计标的公司所有有息债务可于2041年结清，经营期内资产负债率整体健康，现金流相对充裕，债务清偿能力良好。</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标的资产被收购后，本公司将发挥在资本市场的高信用背景和融资渠道优势，协助标的公司灵活制定融资计划，不断优化债务结构，在保证流动性风险可控的同时，将资金成本维持在同业较低的水平，提高标的公司经营效益。</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 xml:space="preserve">综上所述，基于标的资产稳定增长的经营现金流，合理的债务结构，以及良好的融资及资金管理能力，标的资产财务杠杆比率将保持在安全水平，所面临的流动性压力相对较低，风险基本可控。 </w:t>
      </w:r>
    </w:p>
    <w:p>
      <w:pPr>
        <w:spacing w:line="360" w:lineRule="auto"/>
        <w:ind w:firstLine="480" w:firstLineChars="200"/>
        <w:jc w:val="both"/>
        <w:rPr>
          <w:rFonts w:hint="eastAsia" w:ascii="宋体" w:hAnsi="宋体" w:eastAsia="宋体" w:cs="宋体"/>
          <w:sz w:val="24"/>
          <w:szCs w:val="24"/>
        </w:rPr>
      </w:pP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问题3、关于标的资产估值。本次交易选择收益法和市场法评估标的资产，两种方法下的评估结果分别为 80.01 亿元、79.10 亿元，增值率分别为 7.21%、5.99%，最终采用收益法评估结果作为评估作价依据。标的资产主要经营资产为固定资产和公路经营权，未选用资产基础法进行估值。</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请公司补充披露:</w:t>
      </w:r>
    </w:p>
    <w:p>
      <w:pPr>
        <w:widowControl/>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(1)收益法的具体测算依据，包括但不限于标的资产的通行费收入、车流量、养护成本等情况及预测依据，折现率的水平及确认依据、不同预测期间的划分情况及依据等；</w:t>
      </w:r>
    </w:p>
    <w:p>
      <w:pPr>
        <w:widowControl/>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widowControl/>
        <w:spacing w:line="360" w:lineRule="auto"/>
        <w:ind w:firstLine="480" w:firstLineChars="200"/>
        <w:jc w:val="both"/>
        <w:rPr>
          <w:rFonts w:hint="eastAsia" w:ascii="宋体" w:hAnsi="宋体" w:eastAsia="宋体" w:cs="宋体"/>
          <w:sz w:val="24"/>
          <w:szCs w:val="24"/>
          <w:lang w:bidi="ar"/>
        </w:rPr>
      </w:pPr>
      <w:r>
        <w:rPr>
          <w:rFonts w:hint="eastAsia" w:ascii="宋体" w:hAnsi="宋体" w:eastAsia="宋体" w:cs="宋体"/>
          <w:sz w:val="24"/>
          <w:szCs w:val="24"/>
          <w:lang w:bidi="ar"/>
        </w:rPr>
        <w:t>本次负责国有资产产权转让备案的评估机构由标的公司三方股东江苏交控、无锡市交通产业集团有限公司和常州高速公路投资发展有限公司联合委托。由于车流量、通行费、运营养护成本涉及到交通工程类专业化知识，故标的公司三方股东及本公司四方委托了江苏纬信工程咨询有限公司出具了《苏锡常南部高速公路交通量、通行费收入及运营养护成本预测》报告。在收益法评估中涉及的车流量、通行费收入、运营养护成本的预测数据，评估机构引用了江苏纬信工程咨询有限公司出具的专业报告。</w:t>
      </w:r>
    </w:p>
    <w:p>
      <w:pPr>
        <w:widowControl/>
        <w:spacing w:line="360" w:lineRule="auto"/>
        <w:ind w:firstLine="480" w:firstLineChars="200"/>
        <w:jc w:val="both"/>
        <w:rPr>
          <w:rFonts w:hint="eastAsia" w:ascii="宋体" w:hAnsi="宋体" w:eastAsia="宋体" w:cs="宋体"/>
          <w:sz w:val="24"/>
          <w:szCs w:val="24"/>
          <w:lang w:bidi="ar"/>
        </w:rPr>
      </w:pPr>
      <w:r>
        <w:rPr>
          <w:rFonts w:hint="eastAsia" w:ascii="宋体" w:hAnsi="宋体" w:eastAsia="宋体" w:cs="宋体"/>
          <w:sz w:val="24"/>
          <w:szCs w:val="24"/>
          <w:lang w:bidi="ar"/>
        </w:rPr>
        <w:t>收益法具体预测过程如下：</w:t>
      </w:r>
    </w:p>
    <w:p>
      <w:pPr>
        <w:widowControl/>
        <w:numPr>
          <w:ilvl w:val="255"/>
          <w:numId w:val="0"/>
        </w:numPr>
        <w:spacing w:line="360" w:lineRule="auto"/>
        <w:ind w:firstLine="482" w:firstLineChars="200"/>
        <w:jc w:val="both"/>
        <w:rPr>
          <w:rFonts w:hint="eastAsia" w:ascii="宋体" w:hAnsi="宋体" w:eastAsia="宋体" w:cs="宋体"/>
          <w:b/>
          <w:sz w:val="24"/>
          <w:szCs w:val="24"/>
          <w:lang w:bidi="ar"/>
        </w:rPr>
      </w:pPr>
      <w:r>
        <w:rPr>
          <w:rFonts w:hint="eastAsia" w:ascii="宋体" w:hAnsi="宋体" w:eastAsia="宋体" w:cs="宋体"/>
          <w:b/>
          <w:sz w:val="24"/>
          <w:szCs w:val="24"/>
          <w:lang w:bidi="ar"/>
        </w:rPr>
        <w:t>1、预测期的确定</w:t>
      </w:r>
    </w:p>
    <w:p>
      <w:pPr>
        <w:widowControl/>
        <w:spacing w:line="360" w:lineRule="auto"/>
        <w:ind w:firstLine="480" w:firstLineChars="200"/>
        <w:jc w:val="both"/>
        <w:rPr>
          <w:rFonts w:hint="eastAsia" w:ascii="宋体" w:hAnsi="宋体" w:eastAsia="宋体" w:cs="宋体"/>
          <w:sz w:val="24"/>
          <w:szCs w:val="24"/>
          <w:lang w:bidi="ar"/>
        </w:rPr>
      </w:pPr>
      <w:r>
        <w:rPr>
          <w:rFonts w:hint="eastAsia" w:ascii="宋体" w:hAnsi="宋体" w:eastAsia="宋体" w:cs="宋体"/>
          <w:sz w:val="24"/>
          <w:szCs w:val="24"/>
          <w:lang w:bidi="ar"/>
        </w:rPr>
        <w:t>根据2021年12月6日江苏省政府印发的《省政府关于同意苏锡常南部高速公路常州至无锡段开征车辆通行费的批复》（苏政复〔2021〕61号），苏锡常南部高速为经营性收费公路，于建成且符合通车条件之日起开征车辆通行费，收费期限25年。据此，项目经营期为2021年12月30日至2046年12月29日。</w:t>
      </w:r>
    </w:p>
    <w:p>
      <w:pPr>
        <w:widowControl/>
        <w:spacing w:line="360" w:lineRule="auto"/>
        <w:ind w:firstLine="480" w:firstLineChars="200"/>
        <w:jc w:val="both"/>
        <w:rPr>
          <w:rFonts w:hint="eastAsia" w:ascii="宋体" w:hAnsi="宋体" w:eastAsia="宋体" w:cs="宋体"/>
          <w:sz w:val="24"/>
          <w:szCs w:val="24"/>
          <w:lang w:bidi="ar"/>
        </w:rPr>
      </w:pPr>
      <w:r>
        <w:rPr>
          <w:rFonts w:hint="eastAsia" w:ascii="宋体" w:hAnsi="宋体" w:eastAsia="宋体" w:cs="宋体"/>
          <w:sz w:val="24"/>
          <w:szCs w:val="24"/>
          <w:lang w:bidi="ar"/>
        </w:rPr>
        <w:t>本次预测期限为评估基准日次日起至项目路收费期截止，具体时间为2023年11月1日至2046年12月29日，预测期限共计约23年2个月。</w:t>
      </w:r>
    </w:p>
    <w:p>
      <w:pPr>
        <w:widowControl/>
        <w:numPr>
          <w:ilvl w:val="255"/>
          <w:numId w:val="0"/>
        </w:numPr>
        <w:spacing w:line="360" w:lineRule="auto"/>
        <w:ind w:firstLine="482" w:firstLineChars="200"/>
        <w:jc w:val="both"/>
        <w:rPr>
          <w:rFonts w:hint="eastAsia" w:ascii="宋体" w:hAnsi="宋体" w:eastAsia="宋体" w:cs="宋体"/>
          <w:b/>
          <w:sz w:val="24"/>
          <w:szCs w:val="24"/>
          <w:lang w:bidi="ar"/>
        </w:rPr>
      </w:pPr>
      <w:r>
        <w:rPr>
          <w:rFonts w:hint="eastAsia" w:ascii="宋体" w:hAnsi="宋体" w:eastAsia="宋体" w:cs="宋体"/>
          <w:b/>
          <w:sz w:val="24"/>
          <w:szCs w:val="24"/>
          <w:lang w:bidi="ar"/>
        </w:rPr>
        <w:t>2、营业收入的预测</w:t>
      </w:r>
    </w:p>
    <w:p>
      <w:pPr>
        <w:widowControl/>
        <w:spacing w:line="360" w:lineRule="auto"/>
        <w:ind w:firstLine="480" w:firstLineChars="200"/>
        <w:jc w:val="both"/>
        <w:rPr>
          <w:rFonts w:hint="eastAsia" w:ascii="宋体" w:hAnsi="宋体" w:eastAsia="宋体" w:cs="宋体"/>
          <w:sz w:val="24"/>
          <w:szCs w:val="24"/>
          <w:lang w:val="zh-CN" w:bidi="ar"/>
        </w:rPr>
      </w:pPr>
      <w:r>
        <w:rPr>
          <w:rFonts w:hint="eastAsia" w:ascii="宋体" w:hAnsi="宋体" w:eastAsia="宋体" w:cs="宋体"/>
          <w:sz w:val="24"/>
          <w:szCs w:val="24"/>
          <w:lang w:bidi="ar"/>
        </w:rPr>
        <w:t>被评估单位的历史年度主营业务收入包括通行费收入、清障收入、经营租赁收入，预测期也按上述3个部分来预测收入。</w:t>
      </w:r>
      <w:r>
        <w:rPr>
          <w:rFonts w:hint="eastAsia" w:ascii="宋体" w:hAnsi="宋体" w:eastAsia="宋体" w:cs="宋体"/>
          <w:sz w:val="24"/>
          <w:szCs w:val="24"/>
          <w:lang w:bidi="ar"/>
        </w:rPr>
        <w:fldChar w:fldCharType="begin"/>
      </w:r>
      <w:r>
        <w:rPr>
          <w:rFonts w:hint="eastAsia" w:ascii="宋体" w:hAnsi="宋体" w:eastAsia="宋体" w:cs="宋体"/>
          <w:sz w:val="24"/>
          <w:szCs w:val="24"/>
          <w:lang w:bidi="ar"/>
        </w:rPr>
        <w:instrText xml:space="preserve"> = 1 \* GB3 \* MERGEFORMAT </w:instrText>
      </w:r>
      <w:r>
        <w:rPr>
          <w:rFonts w:hint="eastAsia" w:ascii="宋体" w:hAnsi="宋体" w:eastAsia="宋体" w:cs="宋体"/>
          <w:sz w:val="24"/>
          <w:szCs w:val="24"/>
          <w:lang w:bidi="ar"/>
        </w:rPr>
        <w:fldChar w:fldCharType="separate"/>
      </w:r>
      <w:r>
        <w:rPr>
          <w:rFonts w:hint="eastAsia" w:ascii="宋体" w:hAnsi="宋体" w:eastAsia="宋体" w:cs="宋体"/>
          <w:sz w:val="24"/>
          <w:szCs w:val="24"/>
          <w:lang w:bidi="ar"/>
        </w:rPr>
        <w:t>①</w:t>
      </w:r>
      <w:r>
        <w:rPr>
          <w:rFonts w:hint="eastAsia" w:ascii="宋体" w:hAnsi="宋体" w:eastAsia="宋体" w:cs="宋体"/>
          <w:sz w:val="24"/>
          <w:szCs w:val="24"/>
          <w:lang w:bidi="ar"/>
        </w:rPr>
        <w:fldChar w:fldCharType="end"/>
      </w:r>
      <w:r>
        <w:rPr>
          <w:rFonts w:hint="eastAsia" w:ascii="宋体" w:hAnsi="宋体" w:eastAsia="宋体" w:cs="宋体"/>
          <w:sz w:val="24"/>
          <w:szCs w:val="24"/>
          <w:lang w:bidi="ar"/>
        </w:rPr>
        <w:t>通行费收入：</w:t>
      </w:r>
      <w:r>
        <w:rPr>
          <w:rFonts w:hint="eastAsia" w:ascii="宋体" w:hAnsi="宋体" w:eastAsia="宋体" w:cs="宋体"/>
          <w:sz w:val="24"/>
          <w:szCs w:val="24"/>
          <w:lang w:val="zh-CN" w:bidi="ar"/>
        </w:rPr>
        <w:t>江苏纬信工程咨询有限公司为交通量预测研究专业机构，对</w:t>
      </w:r>
      <w:r>
        <w:rPr>
          <w:rFonts w:hint="eastAsia" w:ascii="宋体" w:hAnsi="宋体" w:eastAsia="宋体" w:cs="宋体"/>
          <w:sz w:val="24"/>
          <w:szCs w:val="24"/>
          <w:lang w:bidi="ar"/>
        </w:rPr>
        <w:t>南部高速</w:t>
      </w:r>
      <w:r>
        <w:rPr>
          <w:rFonts w:hint="eastAsia" w:ascii="宋体" w:hAnsi="宋体" w:eastAsia="宋体" w:cs="宋体"/>
          <w:sz w:val="24"/>
          <w:szCs w:val="24"/>
          <w:lang w:val="zh-CN" w:bidi="ar"/>
        </w:rPr>
        <w:t>进行了交通量及通行费预测并出具了《</w:t>
      </w:r>
      <w:r>
        <w:rPr>
          <w:rFonts w:hint="eastAsia" w:ascii="宋体" w:hAnsi="宋体" w:eastAsia="宋体" w:cs="宋体"/>
          <w:sz w:val="24"/>
          <w:szCs w:val="24"/>
          <w:lang w:bidi="ar"/>
        </w:rPr>
        <w:t>苏锡常南部高速公路交通量、通行费收入及运营养护成本预测</w:t>
      </w:r>
      <w:r>
        <w:rPr>
          <w:rFonts w:hint="eastAsia" w:ascii="宋体" w:hAnsi="宋体" w:eastAsia="宋体" w:cs="宋体"/>
          <w:sz w:val="24"/>
          <w:szCs w:val="24"/>
          <w:lang w:val="zh-CN" w:bidi="ar"/>
        </w:rPr>
        <w:t>》。评估专业人员复核了报告中的测算报告的相关测算依据及财务分析数据后，引用了该报告的流量预测收入，并折算成了不含增值税收入。</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bidi="ar"/>
        </w:rPr>
      </w:pPr>
      <w:r>
        <w:rPr>
          <w:rFonts w:hint="eastAsia" w:ascii="宋体" w:hAnsi="宋体" w:eastAsia="宋体" w:cs="宋体"/>
          <w:sz w:val="24"/>
          <w:szCs w:val="24"/>
          <w:lang w:bidi="ar"/>
        </w:rPr>
        <w:t>a交通量预测：</w:t>
      </w:r>
      <w:r>
        <w:rPr>
          <w:rFonts w:hint="eastAsia" w:ascii="宋体" w:hAnsi="宋体" w:eastAsia="宋体" w:cs="宋体"/>
          <w:sz w:val="24"/>
          <w:szCs w:val="24"/>
          <w:lang w:val="zh-CN" w:bidi="ar"/>
        </w:rPr>
        <w:t>根据江苏纬信工程咨询有限公司的《</w:t>
      </w:r>
      <w:r>
        <w:rPr>
          <w:rFonts w:hint="eastAsia" w:ascii="宋体" w:hAnsi="宋体" w:eastAsia="宋体" w:cs="宋体"/>
          <w:sz w:val="24"/>
          <w:szCs w:val="24"/>
          <w:lang w:bidi="ar"/>
        </w:rPr>
        <w:t>苏锡常南部高速公路交通量、通行费收入及运营养护成本预测</w:t>
      </w:r>
      <w:r>
        <w:rPr>
          <w:rFonts w:hint="eastAsia" w:ascii="宋体" w:hAnsi="宋体" w:eastAsia="宋体" w:cs="宋体"/>
          <w:sz w:val="24"/>
          <w:szCs w:val="24"/>
          <w:lang w:val="zh-CN" w:bidi="ar"/>
        </w:rPr>
        <w:t>》报告，</w:t>
      </w:r>
      <w:r>
        <w:rPr>
          <w:rFonts w:hint="eastAsia" w:ascii="宋体" w:hAnsi="宋体" w:eastAsia="宋体" w:cs="宋体"/>
          <w:sz w:val="24"/>
          <w:szCs w:val="24"/>
          <w:lang w:bidi="ar"/>
        </w:rPr>
        <w:t>对于交通量，本次预测采用“四阶段”法，依据2010年4月交通运输部颁发的《公路建设项目可行性研究报告编制办法》中的公路建设项目交通量分析与预测方法，预测中采用专业预测软件TransCAD进行建模预测。基础数据均来源于江苏省高速公路联网运营与管理中心每月发布的流量统计报表，并结合了区域经济社会与交通运输发展的相关历史年鉴与未来规划资料，并搜集了与标的相关项目的建设计划、方案等内容。</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本次交通量预测过程如下：</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 xml:space="preserve">1）根据项目特点对研究区域进行小区划分，并计算基年 OD； </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2）建立路网模型，并根据历史数据进行参数标定与校核；</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3）根据未来年经济增长率和弹性系数分析，计算主要年份的各个小区的交通生成量；</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4）采用弗莱特法，计算主要年份的各个小区的 OD 分布量；</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5）标定主要年份路网信息，采用 UE 分配模型，并开展交通量分配；</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6）计算南部高速公路各年份的平均交通量、分区段及分车型交通量，并分析交通量变化特征及原因；</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ascii="仿宋_GB2312" w:hAnsi="仿宋_GB2312" w:eastAsia="仿宋_GB2312" w:cs="仿宋_GB2312"/>
          <w:sz w:val="32"/>
          <w:szCs w:val="32"/>
          <w:lang w:bidi="ar"/>
        </w:rPr>
      </w:pPr>
      <w:r>
        <w:rPr>
          <w:rFonts w:hint="eastAsia" w:ascii="宋体" w:hAnsi="宋体" w:eastAsia="宋体" w:cs="宋体"/>
          <w:sz w:val="24"/>
          <w:szCs w:val="24"/>
          <w:lang w:bidi="ar"/>
        </w:rPr>
        <w:t>项目路各年份年平均日交通量如下表所示：</w:t>
      </w:r>
    </w:p>
    <w:p>
      <w:pPr>
        <w:pStyle w:val="4"/>
        <w:snapToGrid w:val="0"/>
        <w:spacing w:line="360" w:lineRule="auto"/>
        <w:ind w:firstLine="480" w:firstLineChars="200"/>
        <w:jc w:val="both"/>
        <w:rPr>
          <w:szCs w:val="24"/>
        </w:rPr>
      </w:pPr>
      <w:r>
        <w:drawing>
          <wp:inline distT="0" distB="0" distL="0" distR="0">
            <wp:extent cx="5360035" cy="5305425"/>
            <wp:effectExtent l="0" t="0" r="1206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360035" cy="530542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预测结果显示，项目路流量增长率总体呈现逐步降低的趋势。2024年</w:t>
      </w:r>
      <w:r>
        <w:rPr>
          <w:rFonts w:hint="eastAsia" w:ascii="宋体" w:hAnsi="宋体" w:eastAsia="宋体" w:cs="宋体"/>
          <w:sz w:val="24"/>
          <w:szCs w:val="24"/>
          <w:lang w:val="en-US" w:eastAsia="zh-CN" w:bidi="ar"/>
        </w:rPr>
        <w:t>-</w:t>
      </w:r>
      <w:r>
        <w:rPr>
          <w:rFonts w:hint="eastAsia" w:ascii="宋体" w:hAnsi="宋体" w:eastAsia="宋体" w:cs="宋体"/>
          <w:sz w:val="24"/>
          <w:szCs w:val="24"/>
          <w:lang w:val="zh-CN" w:bidi="ar"/>
        </w:rPr>
        <w:t>2025年流量增速较大的主要原因说明如下：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1 \* roman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项目路通车时间较短，流量处于快速增长期。</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2 \* roman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2023年6月，京沪高速改扩建通车，从五峰山南下的车辆可通过罗溪枢纽顺接南部通道，预计2024年上半年将显著高于2023年上半年；同时，广靖高速即将改扩建，五峰山通道南下车辆将进一步增加。</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3 \* roman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iii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沿江高速将于2024年全面开工，拟对全线进行3轴以上货车限行，参考京沪改扩建的经验，扩建期间流量将有较大比例转移，约50~60%；同时，沿江高速与南部通道基本平行的区段——江阴先导段，将于2024年7月开始单向封闭施工，持续1年。沿江高速流量将有较大程度的溢出。</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4 \* roman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iv</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现状沪宁高速无锡段流量基本饱和，难以承载路网流量的趋势增长以及其他分流影响，沿江改扩建期间，路网中仅有南部通道具备较大富余能力，承接路网分流车辆。</w:t>
      </w:r>
    </w:p>
    <w:p>
      <w:pPr>
        <w:keepNext w:val="0"/>
        <w:keepLines w:val="0"/>
        <w:pageBreakBefore w:val="0"/>
        <w:widowControl/>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b通行费收入的预测：根据预测的车流量与现行收费标准计算获得，计算过程中结合历史数据对相关参数进行拟合校验，并收集了标的公司提供的项目收费里程表。具体预测过程如下：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 xml:space="preserve">1）南部高速公路含主线一般路段、太湖隧道及邀贤山隧道等 3 类收费设施，收费标准及计费方式各不相同，需要将各类设施的收费汇总形成项目路的通行费收入。 </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 xml:space="preserve">一般路段的通行费收入计算公式为：年收费额=各类车型的交通量×相应的收费标准×年收费天数×收费里程×收费调整系数； </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两处隧道的通行费收入计算公式为：年收费额=各类车型的交通量×相应的收费标准×年收费天数×收费调整系数</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2）收费里程：收费里程取自联网中心提供的苏锡常南部高速公路常州至无锡段计费里程计算简化图，项目收费里程共计 55.30 公里，其中主线收费 40.46 公里（含一般路段 29.33公里、太湖隧道 10.00公里、邀贤山隧道 1.13公里），匝道收费 14.84 公里。</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3）收费标准：</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 xml:space="preserve">本次评估中对收费标准假定如下： </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1 \* roman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 xml:space="preserve">已建成投入运营的高速公路，维持既有批复的收费标准不变。 </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2 \* roman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 xml:space="preserve">预计 2025 年前建成投入运营的高速公路。改扩建项目及新建桥隧项目参照 2021 年江苏省交通厅、发改委、财政厅联合印发的《江苏省高速公路收费定价机制》；其他新建的一般项目的客、货基本费率按照 0.55、0.45 元/公里。 </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3 \* roman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iii</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预计2025年后建成通车的高速公路项目，工程造价将进一步提升，收费标准平均水平</w:t>
      </w:r>
      <w:r>
        <w:rPr>
          <w:rFonts w:hint="eastAsia" w:ascii="宋体" w:hAnsi="宋体" w:eastAsia="宋体" w:cs="宋体"/>
          <w:sz w:val="24"/>
          <w:szCs w:val="24"/>
          <w:lang w:bidi="ar"/>
        </w:rPr>
        <w:t>有可能</w:t>
      </w:r>
      <w:r>
        <w:rPr>
          <w:rFonts w:hint="eastAsia" w:ascii="宋体" w:hAnsi="宋体" w:eastAsia="宋体" w:cs="宋体"/>
          <w:sz w:val="24"/>
          <w:szCs w:val="24"/>
          <w:lang w:val="zh-CN" w:bidi="ar"/>
        </w:rPr>
        <w:t>会同步</w:t>
      </w:r>
      <w:r>
        <w:rPr>
          <w:rFonts w:hint="eastAsia" w:ascii="宋体" w:hAnsi="宋体" w:eastAsia="宋体" w:cs="宋体"/>
          <w:sz w:val="24"/>
          <w:szCs w:val="24"/>
          <w:lang w:bidi="ar"/>
        </w:rPr>
        <w:t>增加</w:t>
      </w:r>
      <w:r>
        <w:rPr>
          <w:rFonts w:hint="eastAsia" w:ascii="宋体" w:hAnsi="宋体" w:eastAsia="宋体" w:cs="宋体"/>
          <w:sz w:val="24"/>
          <w:szCs w:val="24"/>
          <w:lang w:val="zh-CN" w:bidi="ar"/>
        </w:rPr>
        <w:t>。</w:t>
      </w:r>
      <w:r>
        <w:rPr>
          <w:rFonts w:hint="eastAsia" w:ascii="宋体" w:hAnsi="宋体" w:eastAsia="宋体" w:cs="宋体"/>
          <w:sz w:val="24"/>
          <w:szCs w:val="24"/>
          <w:lang w:bidi="ar"/>
        </w:rPr>
        <w:t>此背景下</w:t>
      </w:r>
      <w:r>
        <w:rPr>
          <w:rFonts w:hint="eastAsia" w:ascii="宋体" w:hAnsi="宋体" w:eastAsia="宋体" w:cs="宋体"/>
          <w:sz w:val="24"/>
          <w:szCs w:val="24"/>
          <w:lang w:val="zh-CN" w:bidi="ar"/>
        </w:rPr>
        <w:t>，预计苏锡常南部高速在整个通道内流量分担比例相比现状将有所提升。</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4 \* roman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iv</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 xml:space="preserve"> 差异化政策一般实施期限小于5年，需要结合实施效果定期对差异化方案进行动态调整。本次预测中假定后续差异化政策维持2024年延续的方案不变，</w:t>
      </w:r>
      <w:r>
        <w:rPr>
          <w:rFonts w:hint="eastAsia" w:ascii="宋体" w:hAnsi="宋体" w:eastAsia="宋体" w:cs="宋体"/>
          <w:sz w:val="24"/>
          <w:szCs w:val="24"/>
          <w:lang w:bidi="ar"/>
        </w:rPr>
        <w:t>未来优化</w:t>
      </w:r>
      <w:r>
        <w:rPr>
          <w:rFonts w:hint="eastAsia" w:ascii="宋体" w:hAnsi="宋体" w:eastAsia="宋体" w:cs="宋体"/>
          <w:sz w:val="24"/>
          <w:szCs w:val="24"/>
          <w:lang w:val="zh-CN" w:bidi="ar"/>
        </w:rPr>
        <w:t>后的方案暂不予考虑。</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bidi="ar"/>
        </w:rPr>
        <w:t>4）收费调整系数：收费调整系数主要考虑差异化政策、节假日小客车免费、匝道收费、ETC 折扣、现金收费取整等因素对实际收费的影响。因不同月份通行车辆受政策影响程度不同，评估中首年按照 2022 年 11 月-12 月的流量及收入数据拟合计算，其余年份按照 2022年 11月-2023年 10月流量及收入数据拟合计算。</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2 \* GB3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②</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清障收入：清障收入为被评估单位对高速路上的故障车辆提供清障救援服务。对于清障收入，本次参考历史年度清障收入占通行费收入的占比来预测。</w:t>
      </w:r>
      <w:r>
        <w:rPr>
          <w:rFonts w:hint="eastAsia" w:ascii="宋体" w:hAnsi="宋体" w:eastAsia="宋体" w:cs="宋体"/>
          <w:sz w:val="24"/>
          <w:szCs w:val="24"/>
          <w:lang w:val="zh-CN" w:bidi="ar"/>
        </w:rPr>
        <w:fldChar w:fldCharType="begin"/>
      </w:r>
      <w:r>
        <w:rPr>
          <w:rFonts w:hint="eastAsia" w:ascii="宋体" w:hAnsi="宋体" w:eastAsia="宋体" w:cs="宋体"/>
          <w:sz w:val="24"/>
          <w:szCs w:val="24"/>
          <w:lang w:val="zh-CN" w:bidi="ar"/>
        </w:rPr>
        <w:instrText xml:space="preserve"> = 3 \* GB3 \* MERGEFORMAT </w:instrText>
      </w:r>
      <w:r>
        <w:rPr>
          <w:rFonts w:hint="eastAsia" w:ascii="宋体" w:hAnsi="宋体" w:eastAsia="宋体" w:cs="宋体"/>
          <w:sz w:val="24"/>
          <w:szCs w:val="24"/>
          <w:lang w:val="zh-CN" w:bidi="ar"/>
        </w:rPr>
        <w:fldChar w:fldCharType="separate"/>
      </w:r>
      <w:r>
        <w:rPr>
          <w:rFonts w:hint="eastAsia" w:ascii="宋体" w:hAnsi="宋体" w:eastAsia="宋体" w:cs="宋体"/>
          <w:sz w:val="24"/>
          <w:szCs w:val="24"/>
          <w:lang w:val="zh-CN" w:bidi="ar"/>
        </w:rPr>
        <w:t>③</w:t>
      </w:r>
      <w:r>
        <w:rPr>
          <w:rFonts w:hint="eastAsia" w:ascii="宋体" w:hAnsi="宋体" w:eastAsia="宋体" w:cs="宋体"/>
          <w:sz w:val="24"/>
          <w:szCs w:val="24"/>
          <w:lang w:val="zh-CN" w:bidi="ar"/>
        </w:rPr>
        <w:fldChar w:fldCharType="end"/>
      </w:r>
      <w:r>
        <w:rPr>
          <w:rFonts w:hint="eastAsia" w:ascii="宋体" w:hAnsi="宋体" w:eastAsia="宋体" w:cs="宋体"/>
          <w:sz w:val="24"/>
          <w:szCs w:val="24"/>
          <w:lang w:val="zh-CN" w:bidi="ar"/>
        </w:rPr>
        <w:t>经营租赁收入：被评估单位的经营租赁收入包括加油站租赁收入、服务区租赁收入。评估人员收集了相关租赁合同，了解到加油站租金按吨油计租，结合历史年度实际收取的租赁收入，预测期参考历史租赁收入并考虑一定的增长来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3、营业成本的预测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eastAsia="ar-SA" w:bidi="ar"/>
        </w:rPr>
        <w:t>主营业务成本包括</w:t>
      </w:r>
      <w:r>
        <w:rPr>
          <w:rFonts w:hint="eastAsia" w:ascii="宋体" w:hAnsi="宋体" w:eastAsia="宋体" w:cs="宋体"/>
          <w:sz w:val="24"/>
          <w:szCs w:val="24"/>
          <w:lang w:val="zh-CN" w:bidi="ar"/>
        </w:rPr>
        <w:t>征收</w:t>
      </w:r>
      <w:r>
        <w:rPr>
          <w:rFonts w:hint="eastAsia" w:ascii="宋体" w:hAnsi="宋体" w:eastAsia="宋体" w:cs="宋体"/>
          <w:sz w:val="24"/>
          <w:szCs w:val="24"/>
          <w:lang w:val="zh-CN" w:eastAsia="ar-SA" w:bidi="ar"/>
        </w:rPr>
        <w:t>业务成本</w:t>
      </w:r>
      <w:r>
        <w:rPr>
          <w:rFonts w:hint="eastAsia" w:ascii="宋体" w:hAnsi="宋体" w:eastAsia="宋体" w:cs="宋体"/>
          <w:sz w:val="24"/>
          <w:szCs w:val="24"/>
          <w:lang w:val="zh-CN" w:bidi="ar"/>
        </w:rPr>
        <w:t>、清障成本、经营租赁成本</w:t>
      </w:r>
      <w:r>
        <w:rPr>
          <w:rFonts w:hint="eastAsia" w:ascii="宋体" w:hAnsi="宋体" w:eastAsia="宋体" w:cs="宋体"/>
          <w:sz w:val="24"/>
          <w:szCs w:val="24"/>
          <w:lang w:val="zh-CN" w:eastAsia="ar-SA" w:bidi="ar"/>
        </w:rPr>
        <w:t>。</w:t>
      </w:r>
      <w:r>
        <w:rPr>
          <w:rFonts w:hint="eastAsia" w:ascii="宋体" w:hAnsi="宋体" w:eastAsia="宋体" w:cs="宋体"/>
          <w:sz w:val="24"/>
          <w:szCs w:val="24"/>
          <w:lang w:val="zh-CN" w:bidi="ar"/>
        </w:rPr>
        <w:t>征收业务成本包括：无形资产摊销、折旧、路桥养护费、技术服务费等。清障成本包括：设备使用费、油气费、其他等。经营租赁成本包括：办公费、物业管理费、车辆使用费等。</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fldChar w:fldCharType="begin"/>
      </w:r>
      <w:r>
        <w:rPr>
          <w:rFonts w:hint="eastAsia" w:ascii="宋体" w:hAnsi="宋体" w:eastAsia="宋体" w:cs="宋体"/>
          <w:sz w:val="24"/>
          <w:szCs w:val="24"/>
          <w:lang w:val="zh-CN" w:eastAsia="ar-SA" w:bidi="ar"/>
        </w:rPr>
        <w:instrText xml:space="preserve"> = 1 \* alphabetic \* MERGEFORMAT </w:instrText>
      </w:r>
      <w:r>
        <w:rPr>
          <w:rFonts w:hint="eastAsia" w:ascii="宋体" w:hAnsi="宋体" w:eastAsia="宋体" w:cs="宋体"/>
          <w:sz w:val="24"/>
          <w:szCs w:val="24"/>
          <w:lang w:val="zh-CN" w:eastAsia="ar-SA" w:bidi="ar"/>
        </w:rPr>
        <w:fldChar w:fldCharType="separate"/>
      </w:r>
      <w:r>
        <w:rPr>
          <w:rFonts w:hint="eastAsia" w:ascii="宋体" w:hAnsi="宋体" w:eastAsia="宋体" w:cs="宋体"/>
          <w:sz w:val="24"/>
          <w:szCs w:val="24"/>
          <w:lang w:val="zh-CN" w:eastAsia="ar-SA" w:bidi="ar"/>
        </w:rPr>
        <w:t>a</w:t>
      </w:r>
      <w:r>
        <w:rPr>
          <w:rFonts w:hint="eastAsia" w:ascii="宋体" w:hAnsi="宋体" w:eastAsia="宋体" w:cs="宋体"/>
          <w:sz w:val="24"/>
          <w:szCs w:val="24"/>
          <w:lang w:val="zh-CN" w:eastAsia="ar-SA" w:bidi="ar"/>
        </w:rPr>
        <w:fldChar w:fldCharType="end"/>
      </w:r>
      <w:r>
        <w:rPr>
          <w:rFonts w:hint="eastAsia" w:ascii="宋体" w:hAnsi="宋体" w:eastAsia="宋体" w:cs="宋体"/>
          <w:sz w:val="24"/>
          <w:szCs w:val="24"/>
          <w:lang w:val="zh-CN" w:eastAsia="ar-SA" w:bidi="ar"/>
        </w:rPr>
        <w:t>征收业务成本预测：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1）路桥养护费</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根据《江苏省高速公路养护管理办法》，高速公路养护主要包括高速公路小修保养、大中修工程。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小修保养主要对公路及其工程设施进行保养和道路附属设施修复，使之经常保持完好状态。主要包括路面清扫、分隔带保洁、整修路肩、边坡、排水设施疏通、地道抽水、路面小型病害处理，桥梁伸缩缝清理，沿线标志、护栏清洗、局部维修等。该部分费用变化较为稳定，本次评估中以2022年为基数，按照年度3%增长率进行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大中修工程主要指公路及其工程设施的较大损坏进行中长期性的综合修理，以全面恢复到原设计标准，或在原技术等级范围内进行局部改善和个别增建，以逐步提高公路通行能力的工程项目。如对达到使用寿命的路面等进行全面翻修，恢复其原始设计状态，或对洪水、地震等造成的重大损坏，进行及时修复，保证其正常使用。实际过程中，养护工程发生的时间与规模具有不确定性，本次评估中假定项目经营期内道路的主要养护工程工作内容如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路面养护工程：一般是根据年度道路检测评定报告情况，制定相应的工程计划及方案，早期常规性做法为每隔 10 年~12 年开展一次路面大修。考虑到南部高速公路重车比例极低，并且现阶段预防性养护进一步推广，高速公路大修周期应有所延长。参考省内其他项目的经验，本次评估中按照经营期内开展一次大修工程假定，在开通第 15 年，即 2036 年实施。费用按照 200 元/平方米现价，并考虑年度增长 2%。</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其他附属工程：道路标线按照每3年更新一次，年度均衡分摊，并考虑年度增长2%；护栏按照生命周期内更换一次，年度均衡分摊，并考虑年度增长2%。</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2）技术咨询费</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技术咨询费按照路桥养护费的3.05%计算，该数值为2022年1月-2023年10月的技术咨询费与路桥养护费累计数的比值。</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3）三大系统成本</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该费用主要为机电设施的日常维护修理，预测中以2022年为基数，按照年度增长3%进行计算。</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4）委托管理费以2022年为基数，2023年全年预测增幅8%</w:t>
      </w:r>
      <w:r>
        <w:rPr>
          <w:rFonts w:hint="eastAsia" w:ascii="宋体" w:hAnsi="宋体" w:eastAsia="宋体" w:cs="宋体"/>
          <w:sz w:val="24"/>
          <w:szCs w:val="24"/>
          <w:lang w:val="zh-CN" w:bidi="ar"/>
        </w:rPr>
        <w:t>，</w:t>
      </w:r>
      <w:r>
        <w:rPr>
          <w:rFonts w:hint="eastAsia" w:ascii="宋体" w:hAnsi="宋体" w:eastAsia="宋体" w:cs="宋体"/>
          <w:sz w:val="24"/>
          <w:szCs w:val="24"/>
          <w:lang w:val="zh-CN" w:eastAsia="ar-SA" w:bidi="ar"/>
        </w:rPr>
        <w:t xml:space="preserve"> 2024-2025年按照年度增长5%进行计算，之后每年按照3%计算；</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5）水电煤气费以2022年为基数，考虑到近期大量设备未启用，2023-2025、2026-2030年以及之后分别按照年度增长10%、5%及3%进行计算；</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6）租赁费、劳务费及其他费用以2022年为基数，按照年度2%进行计算；</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7）路网管理费按照当年通行费收入的0.6%进行计算，该数值为2022年1月-2023年10月的路网管理费与通行费收入累计数的比值。</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8）其他费用以2022年-2023年10月数值为基数，按月度平均后作为2023年11-12月的预测数，之后按照每年增长2%计算；</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9）折旧摊销：固定资产折旧及无形资产摊销以</w:t>
      </w:r>
      <w:r>
        <w:rPr>
          <w:rFonts w:hint="eastAsia" w:ascii="宋体" w:hAnsi="宋体" w:eastAsia="宋体" w:cs="宋体"/>
          <w:sz w:val="24"/>
          <w:szCs w:val="24"/>
          <w:lang w:val="zh-CN" w:bidi="ar"/>
        </w:rPr>
        <w:t>标的</w:t>
      </w:r>
      <w:r>
        <w:rPr>
          <w:rFonts w:hint="eastAsia" w:ascii="宋体" w:hAnsi="宋体" w:eastAsia="宋体" w:cs="宋体"/>
          <w:sz w:val="24"/>
          <w:szCs w:val="24"/>
          <w:lang w:val="zh-CN" w:eastAsia="ar-SA" w:bidi="ar"/>
        </w:rPr>
        <w:t>公司现有及新增固定资产为基础，根据</w:t>
      </w:r>
      <w:r>
        <w:rPr>
          <w:rFonts w:hint="eastAsia" w:ascii="宋体" w:hAnsi="宋体" w:eastAsia="宋体" w:cs="宋体"/>
          <w:sz w:val="24"/>
          <w:szCs w:val="24"/>
          <w:lang w:val="zh-CN" w:bidi="ar"/>
        </w:rPr>
        <w:t>标的</w:t>
      </w:r>
      <w:r>
        <w:rPr>
          <w:rFonts w:hint="eastAsia" w:ascii="宋体" w:hAnsi="宋体" w:eastAsia="宋体" w:cs="宋体"/>
          <w:sz w:val="24"/>
          <w:szCs w:val="24"/>
          <w:lang w:val="zh-CN" w:eastAsia="ar-SA" w:bidi="ar"/>
        </w:rPr>
        <w:t>公司现有的折旧、摊销政策进行预测。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fldChar w:fldCharType="begin"/>
      </w:r>
      <w:r>
        <w:rPr>
          <w:rFonts w:hint="eastAsia" w:ascii="宋体" w:hAnsi="宋体" w:eastAsia="宋体" w:cs="宋体"/>
          <w:sz w:val="24"/>
          <w:szCs w:val="24"/>
          <w:lang w:val="zh-CN" w:eastAsia="ar-SA" w:bidi="ar"/>
        </w:rPr>
        <w:instrText xml:space="preserve"> = 2 \* alphabetic \* MERGEFORMAT </w:instrText>
      </w:r>
      <w:r>
        <w:rPr>
          <w:rFonts w:hint="eastAsia" w:ascii="宋体" w:hAnsi="宋体" w:eastAsia="宋体" w:cs="宋体"/>
          <w:sz w:val="24"/>
          <w:szCs w:val="24"/>
          <w:lang w:val="zh-CN" w:eastAsia="ar-SA" w:bidi="ar"/>
        </w:rPr>
        <w:fldChar w:fldCharType="separate"/>
      </w:r>
      <w:r>
        <w:rPr>
          <w:rFonts w:hint="eastAsia" w:ascii="宋体" w:hAnsi="宋体" w:eastAsia="宋体" w:cs="宋体"/>
          <w:sz w:val="24"/>
          <w:szCs w:val="24"/>
          <w:lang w:val="zh-CN" w:eastAsia="ar-SA" w:bidi="ar"/>
        </w:rPr>
        <w:t>b</w:t>
      </w:r>
      <w:r>
        <w:rPr>
          <w:rFonts w:hint="eastAsia" w:ascii="宋体" w:hAnsi="宋体" w:eastAsia="宋体" w:cs="宋体"/>
          <w:sz w:val="24"/>
          <w:szCs w:val="24"/>
          <w:lang w:val="zh-CN" w:eastAsia="ar-SA" w:bidi="ar"/>
        </w:rPr>
        <w:fldChar w:fldCharType="end"/>
      </w:r>
      <w:r>
        <w:rPr>
          <w:rFonts w:hint="eastAsia" w:ascii="宋体" w:hAnsi="宋体" w:eastAsia="宋体" w:cs="宋体"/>
          <w:sz w:val="24"/>
          <w:szCs w:val="24"/>
          <w:lang w:val="zh-CN" w:eastAsia="ar-SA" w:bidi="ar"/>
        </w:rPr>
        <w:t>清障成本预测：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1）清障成本设备使用费：主要是外协费用，本次参考2023年1-10月的实际费用，预测2023年11-12月的成本，未来年度在2023年成本的基础上考虑1%的增长。</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eastAsia="ar-SA" w:bidi="ar"/>
        </w:rPr>
        <w:t>2）对于油气费、其他等费用：本次按其历史年度费用占清障收入的比例来预测。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eastAsia="ar-SA" w:bidi="ar"/>
        </w:rPr>
      </w:pPr>
      <w:r>
        <w:rPr>
          <w:rFonts w:hint="eastAsia" w:ascii="宋体" w:hAnsi="宋体" w:eastAsia="宋体" w:cs="宋体"/>
          <w:sz w:val="24"/>
          <w:szCs w:val="24"/>
          <w:lang w:val="zh-CN" w:bidi="ar"/>
        </w:rPr>
        <w:t>c</w:t>
      </w:r>
      <w:r>
        <w:rPr>
          <w:rFonts w:hint="eastAsia" w:ascii="宋体" w:hAnsi="宋体" w:eastAsia="宋体" w:cs="宋体"/>
          <w:sz w:val="24"/>
          <w:szCs w:val="24"/>
          <w:lang w:val="zh-CN" w:eastAsia="ar-SA" w:bidi="ar"/>
        </w:rPr>
        <w:t>经营租赁成本预测：</w:t>
      </w:r>
    </w:p>
    <w:p>
      <w:pPr>
        <w:keepNext w:val="0"/>
        <w:keepLines w:val="0"/>
        <w:pageBreakBefore w:val="0"/>
        <w:widowControl/>
        <w:kinsoku/>
        <w:wordWrap/>
        <w:overflowPunct/>
        <w:topLinePunct w:val="0"/>
        <w:autoSpaceDE/>
        <w:autoSpaceDN/>
        <w:bidi w:val="0"/>
        <w:spacing w:line="360" w:lineRule="auto"/>
        <w:ind w:firstLine="640"/>
        <w:textAlignment w:val="auto"/>
        <w:rPr>
          <w:rFonts w:hint="eastAsia" w:ascii="宋体" w:hAnsi="宋体" w:eastAsia="宋体" w:cs="宋体"/>
          <w:sz w:val="24"/>
          <w:szCs w:val="24"/>
          <w:lang w:val="zh-CN" w:bidi="ar"/>
        </w:rPr>
      </w:pPr>
      <w:r>
        <w:rPr>
          <w:rFonts w:hint="eastAsia" w:ascii="宋体" w:hAnsi="宋体" w:eastAsia="宋体" w:cs="宋体"/>
          <w:sz w:val="24"/>
          <w:szCs w:val="24"/>
          <w:lang w:val="zh-CN" w:eastAsia="ar-SA" w:bidi="ar"/>
        </w:rPr>
        <w:t>经营租赁成本是太湖湾服务区对外租赁经营而产生的，根据评估人员访谈了解，评估基准日，太湖湾服务区已全部对外出租。未来年度预计也按目前的经营模式进行，经营租赁成本不会发生较大变化。故本次对物业管理费是在2023年费用的基础上考虑一定的增长率来预测，对于办公费、水费等其他费用，按固定费用进行预测。</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4、税金及附加的预测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税金及附加主要包括城建税、教育费附加、地方教育费附加、印花税、房产税、土地使用税。城建税、教育费附加、地方教育费附加主要基于增值税，税率分别为7%、3%和2%，印花税为合同额的万分之三，房产税从价计征的按购房价格70%的1.2%，从租计征的按租金收入的12%，土地使用税每平方米6元。2023年年度根据目前税收优惠政策，免征房产税和土地使用税。根据未来收入成本的预测和对历史数据的分析，预测企业未来年度的营业税金附加。</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5、其他业务收入、成本的预测</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标的</w:t>
      </w:r>
      <w:r>
        <w:rPr>
          <w:rFonts w:hint="eastAsia" w:ascii="宋体" w:hAnsi="宋体" w:eastAsia="宋体" w:cs="宋体"/>
          <w:color w:val="000000"/>
          <w:kern w:val="0"/>
          <w:sz w:val="24"/>
          <w:szCs w:val="24"/>
          <w:lang w:val="zh-CN" w:eastAsia="ar-SA" w:bidi="ar"/>
        </w:rPr>
        <w:t>公司</w:t>
      </w:r>
      <w:r>
        <w:rPr>
          <w:rFonts w:hint="eastAsia" w:ascii="宋体" w:hAnsi="宋体" w:eastAsia="宋体" w:cs="宋体"/>
          <w:color w:val="000000"/>
          <w:kern w:val="0"/>
          <w:sz w:val="24"/>
          <w:szCs w:val="24"/>
          <w:lang w:bidi="ar"/>
        </w:rPr>
        <w:t>不存在其他业务收入、其他业务成本。</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6、销售费用的预测</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历史年度标的</w:t>
      </w:r>
      <w:r>
        <w:rPr>
          <w:rFonts w:hint="eastAsia" w:ascii="宋体" w:hAnsi="宋体" w:eastAsia="宋体" w:cs="宋体"/>
          <w:color w:val="000000"/>
          <w:kern w:val="0"/>
          <w:sz w:val="24"/>
          <w:szCs w:val="24"/>
          <w:lang w:val="zh-CN" w:eastAsia="ar-SA" w:bidi="ar"/>
        </w:rPr>
        <w:t>公司</w:t>
      </w:r>
      <w:r>
        <w:rPr>
          <w:rFonts w:hint="eastAsia" w:ascii="宋体" w:hAnsi="宋体" w:eastAsia="宋体" w:cs="宋体"/>
          <w:color w:val="000000"/>
          <w:kern w:val="0"/>
          <w:sz w:val="24"/>
          <w:szCs w:val="24"/>
          <w:lang w:bidi="ar"/>
        </w:rPr>
        <w:t>发生销售费用较少，未来不予预测。</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7、管理费用的预测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历史年度标的</w:t>
      </w:r>
      <w:r>
        <w:rPr>
          <w:rFonts w:hint="eastAsia" w:ascii="宋体" w:hAnsi="宋体" w:eastAsia="宋体" w:cs="宋体"/>
          <w:color w:val="000000"/>
          <w:kern w:val="0"/>
          <w:sz w:val="24"/>
          <w:szCs w:val="24"/>
          <w:lang w:val="zh-CN" w:eastAsia="ar-SA" w:bidi="ar"/>
        </w:rPr>
        <w:t>公司</w:t>
      </w:r>
      <w:r>
        <w:rPr>
          <w:rFonts w:hint="eastAsia" w:ascii="宋体" w:hAnsi="宋体" w:eastAsia="宋体" w:cs="宋体"/>
          <w:color w:val="000000"/>
          <w:kern w:val="0"/>
          <w:sz w:val="24"/>
          <w:szCs w:val="24"/>
          <w:lang w:bidi="ar"/>
        </w:rPr>
        <w:t>发生的管理费用主要内容为中介机构费，金额很小，2023年11-12月的数据参考企业的实际发生额，2024年及以后年度参考2023年的发生金额，以固定金额来预测。</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8、财务费用的预测</w:t>
      </w:r>
    </w:p>
    <w:p>
      <w:pPr>
        <w:keepNext w:val="0"/>
        <w:keepLines w:val="0"/>
        <w:pageBreakBefore w:val="0"/>
        <w:kinsoku/>
        <w:wordWrap/>
        <w:overflowPunct/>
        <w:topLinePunct w:val="0"/>
        <w:autoSpaceDE/>
        <w:autoSpaceDN/>
        <w:bidi w:val="0"/>
        <w:adjustRightInd w:val="0"/>
        <w:snapToGrid w:val="0"/>
        <w:spacing w:line="360" w:lineRule="auto"/>
        <w:ind w:firstLine="424" w:firstLineChars="177"/>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财务费用为利息支出，按照借款合同约定利率进行测算。</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9、折旧、摊销的预测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折旧主要根据各个资产的原值、会计折旧年限、残值率计算求得；摊销按照标的公司的摊销政策按交通流量法进行摊销。</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10、资本性支出的预测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bCs/>
          <w:kern w:val="0"/>
          <w:sz w:val="24"/>
          <w:szCs w:val="24"/>
        </w:rPr>
      </w:pPr>
      <w:r>
        <w:rPr>
          <w:rFonts w:hint="eastAsia" w:ascii="宋体" w:hAnsi="宋体" w:eastAsia="宋体" w:cs="宋体"/>
          <w:color w:val="000000"/>
          <w:kern w:val="0"/>
          <w:sz w:val="24"/>
          <w:szCs w:val="24"/>
          <w:lang w:bidi="ar"/>
        </w:rPr>
        <w:t>基于持续经营假设，需在未来年度考虑一定的资本性支出，以维持企业的基本运营及收入预测规模。资本性支出为存量资产的更新，主要是机电设备的更新。对于路面养护、附属工程的更新已在主营业务成本中考虑。</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11、营运资金预测、营运资金增加额的预测</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营运资金是指随着企业经营活动的变化，获取他人的商业信用而占用的现金，正常经营所需保持的现金等；同时，在经济活动中，提供商业信用，相应可以减少现金的即时支付。</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估算营运资金增量原则上只需考虑正常经营所需保持的存货、应收款项、预付款项和应付款项、预收账款等主要因素。应交税金和应付职工薪酬等多为经营中发生，且周转相对较快，因此也将其作为营运资金考虑。</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营运资金增量=当期营运资金-上期营运资金</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经了解，标的公司经营性流动资产包括必要现金、应收账款等。经营性流动负债为应交税费。其中，经营性现金是考虑最低现金保有量确定，最低现金保有量以基准日企业月需现金量确定，标的公司的管理均委托本公司进行，标的公司支付一定的管理费。本次根据其约定支付的管理费来预测最低现金保有量。对于应收账款的预测，标的公司的通行费均由江苏高速公路联网营运管理有限公司进行拆分后转入，通行费收入的数据拆分、确认尚需履行一定的程序，时间上会略有延迟，本次按未来通行费收入的1个月平均收入来预测应收账款资金。对于应付账款，按照一个月应付税费预测。 </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12、债务本金偿还的预测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债务本金的偿还根据借款合同约定还款日期进行预测。</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13、所得税预测</w:t>
      </w:r>
    </w:p>
    <w:p>
      <w:pPr>
        <w:keepNext w:val="0"/>
        <w:keepLines w:val="0"/>
        <w:pageBreakBefore w:val="0"/>
        <w:widowControl/>
        <w:numPr>
          <w:ilvl w:val="255"/>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snapToGrid w:val="0"/>
          <w:sz w:val="24"/>
          <w:szCs w:val="24"/>
        </w:rPr>
      </w:pPr>
      <w:r>
        <w:rPr>
          <w:rFonts w:hint="eastAsia" w:ascii="宋体" w:hAnsi="宋体" w:eastAsia="宋体" w:cs="宋体"/>
          <w:color w:val="000000"/>
          <w:kern w:val="0"/>
          <w:sz w:val="24"/>
          <w:szCs w:val="24"/>
          <w:lang w:bidi="ar"/>
        </w:rPr>
        <w:t>标的公司的所得税税率为25%。本次按评估基准日的所得税税率进行预测并考虑了历史年度的可弥补亏损。</w:t>
      </w:r>
    </w:p>
    <w:p>
      <w:pPr>
        <w:keepNext w:val="0"/>
        <w:keepLines w:val="0"/>
        <w:pageBreakBefore w:val="0"/>
        <w:widowControl/>
        <w:kinsoku/>
        <w:wordWrap/>
        <w:overflowPunct/>
        <w:topLinePunct w:val="0"/>
        <w:autoSpaceDE/>
        <w:autoSpaceDN/>
        <w:bidi w:val="0"/>
        <w:spacing w:line="360" w:lineRule="auto"/>
        <w:ind w:firstLine="643"/>
        <w:textAlignment w:val="auto"/>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14、股权现金流的确定</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根据上述各项预测，未来预测期股权现金流量预测如下：</w:t>
      </w:r>
    </w:p>
    <w:p>
      <w:pPr>
        <w:widowControl/>
        <w:spacing w:line="360" w:lineRule="auto"/>
        <w:ind w:firstLine="480" w:firstLineChars="200"/>
        <w:jc w:val="righ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金额单位：万元</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2023年11月至2030年数据：</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108" w:type="dxa"/>
          <w:bottom w:w="0" w:type="dxa"/>
          <w:right w:w="108" w:type="dxa"/>
        </w:tblCellMar>
      </w:tblPr>
      <w:tblGrid>
        <w:gridCol w:w="1013"/>
        <w:gridCol w:w="938"/>
        <w:gridCol w:w="938"/>
        <w:gridCol w:w="938"/>
        <w:gridCol w:w="938"/>
        <w:gridCol w:w="938"/>
        <w:gridCol w:w="938"/>
        <w:gridCol w:w="938"/>
        <w:gridCol w:w="9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blHeader/>
        </w:trPr>
        <w:tc>
          <w:tcPr>
            <w:tcW w:w="594" w:type="pct"/>
            <w:tcBorders>
              <w:tl2br w:val="nil"/>
              <w:tr2bl w:val="nil"/>
            </w:tcBorders>
            <w:shd w:val="clear" w:color="auto" w:fill="FFFFFF"/>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年份</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2023</w:t>
            </w:r>
            <w:r>
              <w:rPr>
                <w:rFonts w:hint="eastAsia" w:ascii="宋体" w:hAnsi="宋体" w:eastAsia="宋体" w:cs="宋体"/>
                <w:b/>
                <w:bCs/>
                <w:color w:val="000000"/>
                <w:kern w:val="0"/>
                <w:sz w:val="18"/>
                <w:szCs w:val="18"/>
                <w:lang w:val="en-US" w:eastAsia="zh-CN" w:bidi="ar"/>
              </w:rPr>
              <w:t>年</w:t>
            </w:r>
            <w:r>
              <w:rPr>
                <w:rFonts w:hint="eastAsia" w:ascii="宋体" w:hAnsi="宋体" w:eastAsia="宋体" w:cs="宋体"/>
                <w:b/>
                <w:bCs/>
                <w:color w:val="000000"/>
                <w:kern w:val="0"/>
                <w:sz w:val="18"/>
                <w:szCs w:val="18"/>
                <w:lang w:bidi="ar"/>
              </w:rPr>
              <w:t>11-12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2024年</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2025年</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2026年</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2027年</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2028年</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2029年</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2030年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一、营业收入</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8,408.94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86,443.01</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112,667.94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129,422.97</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126,228.10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148,535.06</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181,079.50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202,385.57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主营业务收入</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8,408.94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86,443.01</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112,667.94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129,422.97</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126,228.10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148,535.06</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181,079.50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202,385.57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其他业务收入</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减：（一）营业成本</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6,895.84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46,999.40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55,755.20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61,255.25</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60,922.87</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68,062.52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78,943.38</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86,304.50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主营业务成本</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6,895.84</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46,999.40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55,755.20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61,255.25</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60,922.87</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68,062.52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78,943.38</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86,304.50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其他业务成本</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（二）税金及附加</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559.57</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1,346.03</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1,525.25</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1,413.18</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1,649.70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1,996.16</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2,221.66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（三）销售费用</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（四）管理费用</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3.11</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（五）研发费用</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（六）财务费用</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4,082.21</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23,370.42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20,712.89</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18,976.49</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17,435.25</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15,154.66</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12,675.43</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10,648.21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二、营业利润</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-2,572.23</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15,503.62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34,843.82</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47,655.98</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46,446.79</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63,658.18</w:t>
            </w:r>
          </w:p>
        </w:tc>
        <w:tc>
          <w:tcPr>
            <w:tcW w:w="550"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87,454.53</w:t>
            </w:r>
          </w:p>
        </w:tc>
        <w:tc>
          <w:tcPr>
            <w:tcW w:w="55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103,201.20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三、利润总额</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-2,572.23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15,503.62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34,843.82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47,655.98</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46,446.79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63,658.18</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87,454.53</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103,201.20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减：所得税费用</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11,582.56</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11,611.70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15,914.55</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21,863.63</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25,800.30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四、净利润</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-2,572.23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15,503.62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34,843.82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36,073.41</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34,835.09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47,743.64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65,590.90</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77,400.90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加：固定资产折旧</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1,841.99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11,051.94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11,051.94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11,051.94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11,531.61</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12,025.63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12,534.49</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13,058.58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加：无形资产长期待摊摊销</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2,047.02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25,173.59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33,294.84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38,359.53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37,090.03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43,236.63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53,025.92</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59,345.22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减：借款本金偿还</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-1,903.75</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53,915.00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65,280.00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40,867.50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58,550.00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94,195.00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54,965.00</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55,505.00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减：资本性支出（不含税）</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0.00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4,945.00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5,093.00</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5,246.00</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5,403.00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加：增值税对现金流的影响</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495.05</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4,224.86</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减：营运资金增加额</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3,729.99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2,083.43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1,575.37</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293.34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-178.72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1,318.22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1,948.70</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1,274.01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加：营运资金回收</w:t>
            </w: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3"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六、股权现金流量</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-14.41</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-44.42</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12,335.23</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44,324.04</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20,140.46</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2,399.69</w:t>
            </w:r>
          </w:p>
        </w:tc>
        <w:tc>
          <w:tcPr>
            <w:tcW w:w="550"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68,991.61</w:t>
            </w:r>
          </w:p>
        </w:tc>
        <w:tc>
          <w:tcPr>
            <w:tcW w:w="553" w:type="pct"/>
            <w:tcBorders>
              <w:tl2br w:val="nil"/>
              <w:tr2bl w:val="nil"/>
            </w:tcBorders>
            <w:shd w:val="clear" w:color="auto" w:fill="FFFFFF"/>
            <w:vAlign w:val="center"/>
          </w:tcPr>
          <w:p>
            <w:pPr>
              <w:widowControl/>
              <w:jc w:val="right"/>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87,622.70</w:t>
            </w:r>
          </w:p>
        </w:tc>
      </w:tr>
    </w:tbl>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2031年至2038年数据：</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108" w:type="dxa"/>
          <w:bottom w:w="0" w:type="dxa"/>
          <w:right w:w="108" w:type="dxa"/>
        </w:tblCellMar>
      </w:tblPr>
      <w:tblGrid>
        <w:gridCol w:w="1029"/>
        <w:gridCol w:w="936"/>
        <w:gridCol w:w="936"/>
        <w:gridCol w:w="936"/>
        <w:gridCol w:w="936"/>
        <w:gridCol w:w="936"/>
        <w:gridCol w:w="936"/>
        <w:gridCol w:w="936"/>
        <w:gridCol w:w="9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blHeader/>
        </w:trPr>
        <w:tc>
          <w:tcPr>
            <w:tcW w:w="603" w:type="pct"/>
            <w:tcBorders>
              <w:tl2br w:val="nil"/>
              <w:tr2bl w:val="nil"/>
            </w:tcBorders>
            <w:shd w:val="clear" w:color="auto" w:fill="FFFFFF"/>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年份</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2031年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2032年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2033年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2034年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2035年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2036年</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2037年</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2038年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一、营业收入</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199,844.04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155,706.12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162,720.03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169,775.07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176,438.08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212,055.75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217,464.87</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223,060.22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主营业务收入</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199,844.04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155,706.12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162,720.03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169,775.07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176,438.08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212,055.75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217,464.87</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223,060.22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其他业务收入</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减：（一）营业成本</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77,583.24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63,456.44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66,624.87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69,707.85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72,705.83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122,891.03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86,774.95</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89,050.19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主营业务成本</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77,583.24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63,456.44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66,624.87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69,707.85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72,705.83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122,891.03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86,774.95</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89,050.19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其他业务成本</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（二）税金及附加</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2,191.25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1,713.52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1,785.67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1,858.16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1,926.32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1,894.13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2,360.21</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2,416.59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（三）销售费用</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（四）管理费用</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（五）研发费用</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（六）财务费用</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9,207.90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8,376.90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7,472.86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6,562.32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5,679.75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4,698.26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3,420.04</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2,134.16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二、营业利润</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110,851.64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82,149.27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86,826.64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91,636.75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96,116.18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82,562.33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124,899.66</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129,449.29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三、利润总额</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110,851.64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82,149.27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86,826.64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91,636.75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96,116.18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82,562.33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124,899.66</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129,449.29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减：所得税费用</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27,712.91</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20,537.32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21,706.66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22,909.19</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24,029.04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20,640.58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31,224.91</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32,362.32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四、净利润</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83,138.73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61,611.95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65,119.98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68,727.56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72,087.13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61,921.75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93,674.74</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97,086.97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加：固定资产折旧</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4,810.75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3,999.60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4,572.29</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5,162.14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5,769.75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6,395.60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6,560.50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6,730.44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加：无形资产长期待摊摊销</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58,549.73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45,192.68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47,379.89</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49,453.38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51,414.21</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61,844.89</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63,611.76</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65,261.73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减：借款本金偿还</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23,340.00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26,110.00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26,690.00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25,497.50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25,750.00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36,830.00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33,600.00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33,600.00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减：资本性支出（不含税）</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5,565.00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5,732.00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5,904.00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6,081.00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6,264.00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6,452.00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6,645.00</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6,845.00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加：增值税对现金流的影响</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减：营运资金增加额</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-345.53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-2,706.56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433.05</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433.52</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411.17</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3,277.88</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-791.39</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330.11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加：营运资金回收</w:t>
            </w: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49"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c>
          <w:tcPr>
            <w:tcW w:w="552" w:type="pct"/>
            <w:tcBorders>
              <w:tl2br w:val="nil"/>
              <w:tr2bl w:val="nil"/>
            </w:tcBorders>
            <w:shd w:val="clear" w:color="auto" w:fill="FFFFFF"/>
            <w:vAlign w:val="center"/>
          </w:tcPr>
          <w:p>
            <w:pPr>
              <w:jc w:val="right"/>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603"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六、股权现金流量</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117,939.74</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81,668.79</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84,045.10</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91,331.06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96,845.93</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83,602.36</w:t>
            </w:r>
          </w:p>
        </w:tc>
        <w:tc>
          <w:tcPr>
            <w:tcW w:w="549"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124,393.39</w:t>
            </w:r>
          </w:p>
        </w:tc>
        <w:tc>
          <w:tcPr>
            <w:tcW w:w="552" w:type="pct"/>
            <w:tcBorders>
              <w:tl2br w:val="nil"/>
              <w:tr2bl w:val="nil"/>
            </w:tcBorders>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128,304.03</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2039年至2046年数据：</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108" w:type="dxa"/>
          <w:bottom w:w="0" w:type="dxa"/>
          <w:right w:w="108" w:type="dxa"/>
        </w:tblCellMar>
      </w:tblPr>
      <w:tblGrid>
        <w:gridCol w:w="1013"/>
        <w:gridCol w:w="938"/>
        <w:gridCol w:w="938"/>
        <w:gridCol w:w="938"/>
        <w:gridCol w:w="938"/>
        <w:gridCol w:w="938"/>
        <w:gridCol w:w="938"/>
        <w:gridCol w:w="938"/>
        <w:gridCol w:w="9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blHeader/>
        </w:trPr>
        <w:tc>
          <w:tcPr>
            <w:tcW w:w="594" w:type="pct"/>
            <w:shd w:val="clear" w:color="auto" w:fill="FFFFFF"/>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年份</w:t>
            </w:r>
          </w:p>
        </w:tc>
        <w:tc>
          <w:tcPr>
            <w:tcW w:w="550"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2039年</w:t>
            </w:r>
          </w:p>
        </w:tc>
        <w:tc>
          <w:tcPr>
            <w:tcW w:w="550"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2040年</w:t>
            </w:r>
          </w:p>
        </w:tc>
        <w:tc>
          <w:tcPr>
            <w:tcW w:w="550"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2041年</w:t>
            </w:r>
          </w:p>
        </w:tc>
        <w:tc>
          <w:tcPr>
            <w:tcW w:w="550"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2042年</w:t>
            </w:r>
          </w:p>
        </w:tc>
        <w:tc>
          <w:tcPr>
            <w:tcW w:w="550"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2043年</w:t>
            </w:r>
          </w:p>
        </w:tc>
        <w:tc>
          <w:tcPr>
            <w:tcW w:w="550" w:type="pct"/>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2044年</w:t>
            </w:r>
          </w:p>
        </w:tc>
        <w:tc>
          <w:tcPr>
            <w:tcW w:w="550" w:type="pct"/>
            <w:shd w:val="clear" w:color="auto" w:fill="FFFFFF"/>
            <w:vAlign w:val="center"/>
          </w:tcPr>
          <w:p>
            <w:pPr>
              <w:widowControl/>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2045年</w:t>
            </w:r>
          </w:p>
        </w:tc>
        <w:tc>
          <w:tcPr>
            <w:tcW w:w="553" w:type="pct"/>
            <w:shd w:val="clear" w:color="auto" w:fill="FFFFFF"/>
            <w:vAlign w:val="center"/>
          </w:tcPr>
          <w:p>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2046年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一、营业收入</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228,051.63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233,011.82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236,142.90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239,419.02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242,285.88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245,452.03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246,996.60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247,579.49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主营业务收入</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228,051.63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233,011.82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236,142.90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239,419.02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242,285.88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245,452.03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246,996.60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247,579.49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其他业务收入</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减：（一）营业成本</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91,159.98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93,091.29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94,861.56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96,513.86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98,058.63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99,513.83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100,894.10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102,207.50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主营业务成本</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91,159.98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93,091.29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94,861.56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96,513.86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98,058.63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99,513.83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100,894.10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102,207.50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其他业务成本</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（二）税金及附加</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2,466.39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2,515.73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2,545.27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2,576.24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2,602.71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2,632.27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2,644.26</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2,645.78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（三）销售费用</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（四）管理费用</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（五）研发费用</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（六）财务费用</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1,336.91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672.93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148.40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二、营业利润</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133,078.34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136,721.88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138,577.67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140,318.92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141,614.54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143,295.94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143,448.24</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142,716.22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三、利润总额</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133,078.34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136,721.88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138,577.67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140,318.92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141,614.54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143,295.94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143,448.24</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142,716.22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减：所得税费用</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33,269.59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34,180.47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34,644.42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35,079.73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35,403.64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35,823.98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35,862.06</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35,679.05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四、净利润</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99,808.76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102,541.41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103,933.25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105,239.19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106,210.91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107,471.95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107,586.18</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107,037.16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加：固定资产折旧</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6,905.43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7,085.65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7,271.31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7,462.60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7,659.60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7,862.53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8,071.46</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8,286.71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加：无形资产长期待摊摊销</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66,737.40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68,013.27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69,124.41</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70,095.80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70,946.02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71,682.53</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72,337.73</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72,911.11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减：借款本金偿还</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13,100.00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16,000.00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12,000.00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减：资本性支出（不含税）</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7,050.00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7,261.00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7,479.00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7,704.00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7,935.00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8,173.00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8,418.00</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8,671.00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加：增值税对现金流的影响</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减：营运资金增加额</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304.15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301.69</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201.97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215.42</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194.18</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208.77</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119.24</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65.77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加：营运资金回收</w:t>
            </w: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jc w:val="right"/>
              <w:rPr>
                <w:rFonts w:hint="eastAsia" w:ascii="宋体" w:hAnsi="宋体" w:eastAsia="宋体" w:cs="宋体"/>
                <w:color w:val="000000"/>
                <w:kern w:val="0"/>
                <w:sz w:val="18"/>
                <w:szCs w:val="18"/>
                <w:lang w:bidi="ar"/>
              </w:rPr>
            </w:pP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16,315.83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375" w:hRule="atLeast"/>
        </w:trPr>
        <w:tc>
          <w:tcPr>
            <w:tcW w:w="594" w:type="pct"/>
            <w:shd w:val="clear" w:color="auto" w:fill="FFFFFF"/>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六、股权现金流量</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152,997.44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154,077.65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160,648.00</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174,878.16</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176,687.35</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178,635.24</w:t>
            </w:r>
          </w:p>
        </w:tc>
        <w:tc>
          <w:tcPr>
            <w:tcW w:w="550"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179,458.13</w:t>
            </w:r>
          </w:p>
        </w:tc>
        <w:tc>
          <w:tcPr>
            <w:tcW w:w="553" w:type="pct"/>
            <w:shd w:val="clear" w:color="auto" w:fill="FFFFFF"/>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195,814.04</w:t>
            </w:r>
          </w:p>
        </w:tc>
      </w:tr>
    </w:tbl>
    <w:p>
      <w:pPr>
        <w:widowControl/>
        <w:spacing w:line="360" w:lineRule="auto"/>
        <w:ind w:firstLine="482" w:firstLineChars="200"/>
        <w:rPr>
          <w:rFonts w:hint="eastAsia" w:ascii="宋体" w:hAnsi="宋体" w:eastAsia="宋体" w:cs="宋体"/>
          <w:b/>
          <w:sz w:val="24"/>
          <w:szCs w:val="24"/>
          <w:lang w:val="zh-CN" w:bidi="ar"/>
        </w:rPr>
      </w:pPr>
      <w:r>
        <w:rPr>
          <w:rFonts w:hint="eastAsia" w:ascii="宋体" w:hAnsi="宋体" w:eastAsia="宋体" w:cs="宋体"/>
          <w:b/>
          <w:sz w:val="24"/>
          <w:szCs w:val="24"/>
          <w:lang w:val="zh-CN" w:bidi="ar"/>
        </w:rPr>
        <w:t>15、折现率的确定</w:t>
      </w:r>
    </w:p>
    <w:p>
      <w:pPr>
        <w:widowControl/>
        <w:spacing w:line="360" w:lineRule="auto"/>
        <w:ind w:firstLine="480" w:firstLineChars="200"/>
        <w:rPr>
          <w:rFonts w:hint="eastAsia" w:ascii="宋体" w:hAnsi="宋体" w:eastAsia="宋体" w:cs="宋体"/>
          <w:color w:val="000000"/>
          <w:kern w:val="0"/>
          <w:sz w:val="24"/>
          <w:szCs w:val="24"/>
          <w:lang w:val="zh-CN" w:eastAsia="ar-SA" w:bidi="ar"/>
        </w:rPr>
      </w:pPr>
      <w:r>
        <w:rPr>
          <w:rFonts w:hint="eastAsia" w:ascii="宋体" w:hAnsi="宋体" w:eastAsia="宋体" w:cs="宋体"/>
          <w:color w:val="000000"/>
          <w:kern w:val="0"/>
          <w:sz w:val="24"/>
          <w:szCs w:val="24"/>
          <w:lang w:bidi="ar"/>
        </w:rPr>
        <w:t>1）</w:t>
      </w:r>
      <w:r>
        <w:rPr>
          <w:rFonts w:hint="eastAsia" w:ascii="宋体" w:hAnsi="宋体" w:eastAsia="宋体" w:cs="宋体"/>
          <w:color w:val="000000"/>
          <w:kern w:val="0"/>
          <w:sz w:val="24"/>
          <w:szCs w:val="24"/>
          <w:lang w:val="zh-CN" w:eastAsia="ar-SA" w:bidi="ar"/>
        </w:rPr>
        <w:t>所选折现率的模型</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按照收益额与折现率口径一致的原则，本次评估收益额口径为股权现金流量，则折现率选取资本资产定价模型(CAPM)。</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CAPM模型公式：</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ke=rf+βe×RPm+rc</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其中:</w:t>
      </w:r>
      <w:r>
        <w:rPr>
          <w:rFonts w:hint="eastAsia" w:ascii="宋体" w:hAnsi="宋体" w:eastAsia="宋体" w:cs="宋体"/>
          <w:color w:val="000000"/>
          <w:kern w:val="0"/>
          <w:sz w:val="24"/>
          <w:szCs w:val="24"/>
          <w:lang w:bidi="ar"/>
        </w:rPr>
        <w:tab/>
      </w:r>
      <w:r>
        <w:rPr>
          <w:rFonts w:hint="eastAsia" w:ascii="宋体" w:hAnsi="宋体" w:eastAsia="宋体" w:cs="宋体"/>
          <w:color w:val="000000"/>
          <w:kern w:val="0"/>
          <w:sz w:val="24"/>
          <w:szCs w:val="24"/>
          <w:lang w:bidi="ar"/>
        </w:rPr>
        <w:t>rf1：无风险报酬率</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RPm：市场风险溢价</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rc：企业特定风险调整系数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βe：评估对象权益资本的预期市场风险系数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βe=βu×[1+(1-t)×(D/E)]</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βu可比公司的预期无杠杆市场风险系数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βu=βt/[1+(1-t)×(Di/Ei)]</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由于以上β系数估算方法是采用历史数据，因此我们实际估算的无财务杠杆βU值应该是历史的β系数而不是未来预期的β系数。为了估算未来预期的β系数，我们需要采用布鲁姆调整法(Blume Adjustment)。公式如下：</w:t>
      </w:r>
    </w:p>
    <w:p>
      <w:pPr>
        <w:adjustRightInd w:val="0"/>
        <w:snapToGrid w:val="0"/>
        <w:spacing w:line="360" w:lineRule="auto"/>
        <w:ind w:firstLine="480" w:firstLineChars="200"/>
        <w:rPr>
          <w:rFonts w:hint="eastAsia" w:ascii="宋体" w:hAnsi="宋体" w:eastAsia="宋体" w:cs="宋体"/>
          <w:sz w:val="24"/>
          <w:szCs w:val="24"/>
        </w:rPr>
      </w:pPr>
      <m:oMathPara>
        <m:oMathParaPr>
          <m:jc m:val="center"/>
        </m:oMathParaPr>
        <m:oMath>
          <m:sSub>
            <m:sSubPr>
              <m:ctrlPr>
                <w:rPr>
                  <w:rFonts w:hint="eastAsia" w:ascii="Cambria Math" w:hAnsi="Cambria Math" w:eastAsia="宋体" w:cs="宋体"/>
                  <w:i/>
                  <w:sz w:val="24"/>
                  <w:szCs w:val="24"/>
                </w:rPr>
              </m:ctrlPr>
            </m:sSubPr>
            <m:e>
              <m:r>
                <m:rPr/>
                <w:rPr>
                  <w:rFonts w:hint="eastAsia" w:ascii="Cambria Math" w:hAnsi="Cambria Math" w:eastAsia="宋体" w:cs="宋体"/>
                  <w:sz w:val="24"/>
                  <w:szCs w:val="24"/>
                </w:rPr>
                <m:t>β</m:t>
              </m:r>
              <m:ctrlPr>
                <w:rPr>
                  <w:rFonts w:hint="eastAsia" w:ascii="Cambria Math" w:hAnsi="Cambria Math" w:eastAsia="宋体" w:cs="宋体"/>
                  <w:i/>
                  <w:sz w:val="24"/>
                  <w:szCs w:val="24"/>
                </w:rPr>
              </m:ctrlPr>
            </m:e>
            <m:sub>
              <m:r>
                <m:rPr>
                  <m:sty m:val="p"/>
                </m:rPr>
                <w:rPr>
                  <w:rFonts w:hint="eastAsia" w:ascii="Cambria Math" w:hAnsi="Cambria Math" w:eastAsia="宋体" w:cs="宋体"/>
                  <w:sz w:val="24"/>
                  <w:szCs w:val="24"/>
                  <w:vertAlign w:val="subscript"/>
                </w:rPr>
                <m:t>adj</m:t>
              </m:r>
              <m:ctrlPr>
                <w:rPr>
                  <w:rFonts w:hint="eastAsia" w:ascii="Cambria Math" w:hAnsi="Cambria Math" w:eastAsia="宋体" w:cs="宋体"/>
                  <w:i/>
                  <w:sz w:val="24"/>
                  <w:szCs w:val="24"/>
                </w:rPr>
              </m:ctrlPr>
            </m:sub>
          </m:sSub>
          <m:r>
            <m:rPr/>
            <w:rPr>
              <w:rFonts w:hint="eastAsia" w:ascii="Cambria Math" w:hAnsi="Cambria Math" w:eastAsia="宋体" w:cs="宋体"/>
              <w:sz w:val="24"/>
              <w:szCs w:val="24"/>
            </w:rPr>
            <m:t>=</m:t>
          </m:r>
          <m:f>
            <m:fPr>
              <m:ctrlPr>
                <w:rPr>
                  <w:rFonts w:hint="eastAsia" w:ascii="Cambria Math" w:hAnsi="Cambria Math" w:eastAsia="宋体" w:cs="宋体"/>
                  <w:i/>
                  <w:sz w:val="24"/>
                  <w:szCs w:val="24"/>
                </w:rPr>
              </m:ctrlPr>
            </m:fPr>
            <m:num>
              <m:r>
                <m:rPr/>
                <w:rPr>
                  <w:rFonts w:hint="eastAsia" w:ascii="Cambria Math" w:hAnsi="Cambria Math" w:eastAsia="宋体" w:cs="宋体"/>
                  <w:sz w:val="24"/>
                  <w:szCs w:val="24"/>
                </w:rPr>
                <m:t>2</m:t>
              </m:r>
              <m:ctrlPr>
                <w:rPr>
                  <w:rFonts w:hint="eastAsia" w:ascii="Cambria Math" w:hAnsi="Cambria Math" w:eastAsia="宋体" w:cs="宋体"/>
                  <w:i/>
                  <w:sz w:val="24"/>
                  <w:szCs w:val="24"/>
                </w:rPr>
              </m:ctrlPr>
            </m:num>
            <m:den>
              <m:r>
                <m:rPr/>
                <w:rPr>
                  <w:rFonts w:hint="eastAsia" w:ascii="Cambria Math" w:hAnsi="Cambria Math" w:eastAsia="宋体" w:cs="宋体"/>
                  <w:sz w:val="24"/>
                  <w:szCs w:val="24"/>
                </w:rPr>
                <m:t>3</m:t>
              </m:r>
              <m:ctrlPr>
                <w:rPr>
                  <w:rFonts w:hint="eastAsia" w:ascii="Cambria Math" w:hAnsi="Cambria Math" w:eastAsia="宋体" w:cs="宋体"/>
                  <w:i/>
                  <w:sz w:val="24"/>
                  <w:szCs w:val="24"/>
                </w:rPr>
              </m:ctrlPr>
            </m:den>
          </m:f>
          <m:sSub>
            <m:sSubPr>
              <m:ctrlPr>
                <w:rPr>
                  <w:rFonts w:hint="eastAsia" w:ascii="Cambria Math" w:hAnsi="Cambria Math" w:eastAsia="宋体" w:cs="宋体"/>
                  <w:i/>
                  <w:sz w:val="24"/>
                  <w:szCs w:val="24"/>
                </w:rPr>
              </m:ctrlPr>
            </m:sSubPr>
            <m:e>
              <m:r>
                <m:rPr/>
                <w:rPr>
                  <w:rFonts w:hint="eastAsia" w:ascii="Cambria Math" w:hAnsi="Cambria Math" w:eastAsia="宋体" w:cs="宋体"/>
                  <w:sz w:val="24"/>
                  <w:szCs w:val="24"/>
                </w:rPr>
                <m:t>×β</m:t>
              </m:r>
              <m:ctrlPr>
                <w:rPr>
                  <w:rFonts w:hint="eastAsia" w:ascii="Cambria Math" w:hAnsi="Cambria Math" w:eastAsia="宋体" w:cs="宋体"/>
                  <w:i/>
                  <w:sz w:val="24"/>
                  <w:szCs w:val="24"/>
                </w:rPr>
              </m:ctrlPr>
            </m:e>
            <m:sub>
              <m:r>
                <m:rPr>
                  <m:sty m:val="p"/>
                </m:rPr>
                <w:rPr>
                  <w:rFonts w:hint="eastAsia" w:ascii="Cambria Math" w:hAnsi="Cambria Math" w:eastAsia="宋体" w:cs="宋体"/>
                  <w:sz w:val="24"/>
                  <w:szCs w:val="24"/>
                  <w:vertAlign w:val="subscript"/>
                </w:rPr>
                <m:t>unadj</m:t>
              </m:r>
              <m:ctrlPr>
                <w:rPr>
                  <w:rFonts w:hint="eastAsia" w:ascii="Cambria Math" w:hAnsi="Cambria Math" w:eastAsia="宋体" w:cs="宋体"/>
                  <w:i/>
                  <w:sz w:val="24"/>
                  <w:szCs w:val="24"/>
                </w:rPr>
              </m:ctrlPr>
            </m:sub>
          </m:sSub>
          <m:r>
            <m:rPr/>
            <w:rPr>
              <w:rFonts w:hint="eastAsia" w:ascii="Cambria Math" w:hAnsi="Cambria Math" w:eastAsia="宋体" w:cs="宋体"/>
              <w:sz w:val="24"/>
              <w:szCs w:val="24"/>
            </w:rPr>
            <m:t>+</m:t>
          </m:r>
          <m:f>
            <m:fPr>
              <m:ctrlPr>
                <w:rPr>
                  <w:rFonts w:hint="eastAsia" w:ascii="Cambria Math" w:hAnsi="Cambria Math" w:eastAsia="宋体" w:cs="宋体"/>
                  <w:i/>
                  <w:sz w:val="24"/>
                  <w:szCs w:val="24"/>
                </w:rPr>
              </m:ctrlPr>
            </m:fPr>
            <m:num>
              <m:r>
                <m:rPr/>
                <w:rPr>
                  <w:rFonts w:hint="eastAsia" w:ascii="Cambria Math" w:hAnsi="Cambria Math" w:eastAsia="宋体" w:cs="宋体"/>
                  <w:sz w:val="24"/>
                  <w:szCs w:val="24"/>
                </w:rPr>
                <m:t>1</m:t>
              </m:r>
              <m:ctrlPr>
                <w:rPr>
                  <w:rFonts w:hint="eastAsia" w:ascii="Cambria Math" w:hAnsi="Cambria Math" w:eastAsia="宋体" w:cs="宋体"/>
                  <w:i/>
                  <w:sz w:val="24"/>
                  <w:szCs w:val="24"/>
                </w:rPr>
              </m:ctrlPr>
            </m:num>
            <m:den>
              <m:r>
                <m:rPr/>
                <w:rPr>
                  <w:rFonts w:hint="eastAsia" w:ascii="Cambria Math" w:hAnsi="Cambria Math" w:eastAsia="宋体" w:cs="宋体"/>
                  <w:sz w:val="24"/>
                  <w:szCs w:val="24"/>
                </w:rPr>
                <m:t>3</m:t>
              </m:r>
              <m:ctrlPr>
                <w:rPr>
                  <w:rFonts w:hint="eastAsia" w:ascii="Cambria Math" w:hAnsi="Cambria Math" w:eastAsia="宋体" w:cs="宋体"/>
                  <w:i/>
                  <w:sz w:val="24"/>
                  <w:szCs w:val="24"/>
                </w:rPr>
              </m:ctrlPr>
            </m:den>
          </m:f>
          <m:r>
            <m:rPr/>
            <w:rPr>
              <w:rFonts w:hint="eastAsia" w:ascii="Cambria Math" w:hAnsi="Cambria Math" w:eastAsia="宋体" w:cs="宋体"/>
              <w:sz w:val="24"/>
              <w:szCs w:val="24"/>
            </w:rPr>
            <m:t>×1</m:t>
          </m:r>
        </m:oMath>
      </m:oMathPara>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其中：</w:t>
      </w:r>
      <m:oMath>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adj</m:t>
            </m:r>
            <m:ctrlPr>
              <w:rPr>
                <w:rFonts w:hint="eastAsia" w:ascii="Cambria Math" w:hAnsi="Cambria Math" w:eastAsia="宋体" w:cs="宋体"/>
                <w:color w:val="000000"/>
                <w:kern w:val="0"/>
                <w:sz w:val="24"/>
                <w:szCs w:val="24"/>
                <w:lang w:bidi="ar"/>
              </w:rPr>
            </m:ctrlPr>
          </m:sub>
        </m:sSub>
      </m:oMath>
      <w:r>
        <w:rPr>
          <w:rFonts w:hint="eastAsia" w:ascii="宋体" w:hAnsi="宋体" w:eastAsia="宋体" w:cs="宋体"/>
          <w:color w:val="000000"/>
          <w:kern w:val="0"/>
          <w:sz w:val="24"/>
          <w:szCs w:val="24"/>
          <w:lang w:bidi="ar"/>
        </w:rPr>
        <w:t>为调整后的β值，</w:t>
      </w:r>
      <m:oMath>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unadj</m:t>
            </m:r>
            <m:ctrlPr>
              <w:rPr>
                <w:rFonts w:hint="eastAsia" w:ascii="Cambria Math" w:hAnsi="Cambria Math" w:eastAsia="宋体" w:cs="宋体"/>
                <w:color w:val="000000"/>
                <w:kern w:val="0"/>
                <w:sz w:val="24"/>
                <w:szCs w:val="24"/>
                <w:lang w:bidi="ar"/>
              </w:rPr>
            </m:ctrlPr>
          </m:sub>
        </m:sSub>
      </m:oMath>
      <w:r>
        <w:rPr>
          <w:rFonts w:hint="eastAsia" w:ascii="宋体" w:hAnsi="宋体" w:eastAsia="宋体" w:cs="宋体"/>
          <w:color w:val="000000"/>
          <w:kern w:val="0"/>
          <w:sz w:val="24"/>
          <w:szCs w:val="24"/>
          <w:lang w:bidi="ar"/>
        </w:rPr>
        <w:t>为历史β值。</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βt可比公司的预期市场平均风险系数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Di、Ei：分别为可比公司的付息债务与权益资本</w:t>
      </w:r>
    </w:p>
    <w:p>
      <w:pPr>
        <w:widowControl/>
        <w:spacing w:line="360" w:lineRule="auto"/>
        <w:ind w:firstLine="480" w:firstLineChars="200"/>
        <w:rPr>
          <w:rFonts w:hint="eastAsia" w:ascii="宋体" w:hAnsi="宋体" w:eastAsia="宋体" w:cs="宋体"/>
          <w:color w:val="000000"/>
          <w:kern w:val="0"/>
          <w:sz w:val="24"/>
          <w:szCs w:val="24"/>
          <w:lang w:val="zh-CN" w:eastAsia="ar-SA" w:bidi="ar"/>
        </w:rPr>
      </w:pPr>
      <w:r>
        <w:rPr>
          <w:rFonts w:hint="eastAsia" w:ascii="宋体" w:hAnsi="宋体" w:eastAsia="宋体" w:cs="宋体"/>
          <w:color w:val="000000"/>
          <w:kern w:val="0"/>
          <w:sz w:val="24"/>
          <w:szCs w:val="24"/>
          <w:lang w:bidi="ar"/>
        </w:rPr>
        <w:t>2）</w:t>
      </w:r>
      <w:r>
        <w:rPr>
          <w:rFonts w:hint="eastAsia" w:ascii="宋体" w:hAnsi="宋体" w:eastAsia="宋体" w:cs="宋体"/>
          <w:color w:val="000000"/>
          <w:kern w:val="0"/>
          <w:sz w:val="24"/>
          <w:szCs w:val="24"/>
          <w:lang w:val="zh-CN" w:eastAsia="ar-SA" w:bidi="ar"/>
        </w:rPr>
        <w:t>模型</w:t>
      </w:r>
      <w:bookmarkStart w:id="2" w:name="_Hlk28606068"/>
      <w:r>
        <w:rPr>
          <w:rFonts w:hint="eastAsia" w:ascii="宋体" w:hAnsi="宋体" w:eastAsia="宋体" w:cs="宋体"/>
          <w:color w:val="000000"/>
          <w:kern w:val="0"/>
          <w:sz w:val="24"/>
          <w:szCs w:val="24"/>
          <w:lang w:val="zh-CN" w:eastAsia="ar-SA" w:bidi="ar"/>
        </w:rPr>
        <w:t>中各有关参数的确定</w:t>
      </w:r>
      <w:bookmarkEnd w:id="2"/>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1 \* GB3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①</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无风险报酬率Rf的确定</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无风险报酬率Rf采用国债的到期收益率(YieldtoMaturateRate)，国债的选择标准是国债到期日距评估基准日10年的国债，以其到期收益率的平均值作为平均收益率，以此平均值作为无风险报酬率Rf。查阅同花顺并计算距评估基准日10年的国债平均收益率为3.01%。</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2 \* GB3 \* MERGEFORMAT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②</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股权市场超额风险收益率ERP的确定</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市场风险溢价是指投资者对与整体平均风险相同的股权投资所要求的预期超额报酬率，即超过无风险利率的风险补偿。其中，股权投资超额报酬率Rm借助同花顺iFinD数据终端，选择中国股票市场最具有代表性的沪深300指数，采用每年年底沪深300指数成份股年末的交易收盘价（复权价），以10年为一个周期，采用滚动方式估算300只股票中每只股票10年的几何平均收益率。</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则 2023年市场风险溢价ERP为6.71%。</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3 \* GB3 \* MERGEFORMAT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③</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权益的市场风险系数β的确定</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根据标的公司的业务特点，评估人员通过同花顺iFinD系统查询了沪深A股可比上市公司2023年10月31日的有财务杠杆的βL值，然后根据可比上市公司的所得税率、资本结构换算成无财务杠杆βU值。</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由于以上β系数估算方法是采用历史数据，因此我们实际估算的无财务杠杆βU值应该是历史的β系数而不是未来预期的β系数。为了估算未来预期的β系数，我们需要采用布鲁姆调整法(Blume Adjustment)。公式如下：</w:t>
      </w:r>
    </w:p>
    <w:p>
      <w:pPr>
        <w:rPr>
          <w:rFonts w:hint="eastAsia" w:ascii="宋体" w:hAnsi="宋体" w:eastAsia="宋体" w:cs="宋体"/>
          <w:sz w:val="24"/>
          <w:szCs w:val="24"/>
        </w:rPr>
      </w:pPr>
      <m:oMathPara>
        <m:oMath>
          <m:sSub>
            <m:sSubPr>
              <m:ctrlPr>
                <w:rPr>
                  <w:rFonts w:hint="eastAsia" w:ascii="Cambria Math" w:hAnsi="Cambria Math" w:eastAsia="宋体" w:cs="宋体"/>
                  <w:i/>
                  <w:sz w:val="24"/>
                  <w:szCs w:val="24"/>
                </w:rPr>
              </m:ctrlPr>
            </m:sSubPr>
            <m:e>
              <m:r>
                <m:rPr/>
                <w:rPr>
                  <w:rFonts w:hint="eastAsia" w:ascii="Cambria Math" w:hAnsi="Cambria Math" w:eastAsia="宋体" w:cs="宋体"/>
                  <w:sz w:val="24"/>
                  <w:szCs w:val="24"/>
                </w:rPr>
                <m:t>β</m:t>
              </m:r>
              <m:ctrlPr>
                <w:rPr>
                  <w:rFonts w:hint="eastAsia" w:ascii="Cambria Math" w:hAnsi="Cambria Math" w:eastAsia="宋体" w:cs="宋体"/>
                  <w:i/>
                  <w:sz w:val="24"/>
                  <w:szCs w:val="24"/>
                </w:rPr>
              </m:ctrlPr>
            </m:e>
            <m:sub>
              <m:r>
                <m:rPr>
                  <m:sty m:val="p"/>
                </m:rPr>
                <w:rPr>
                  <w:rFonts w:hint="eastAsia" w:ascii="Cambria Math" w:hAnsi="Cambria Math" w:eastAsia="宋体" w:cs="宋体"/>
                  <w:sz w:val="24"/>
                  <w:szCs w:val="24"/>
                  <w:vertAlign w:val="subscript"/>
                </w:rPr>
                <m:t>adj</m:t>
              </m:r>
              <m:ctrlPr>
                <w:rPr>
                  <w:rFonts w:hint="eastAsia" w:ascii="Cambria Math" w:hAnsi="Cambria Math" w:eastAsia="宋体" w:cs="宋体"/>
                  <w:i/>
                  <w:sz w:val="24"/>
                  <w:szCs w:val="24"/>
                </w:rPr>
              </m:ctrlPr>
            </m:sub>
          </m:sSub>
          <m:r>
            <m:rPr/>
            <w:rPr>
              <w:rFonts w:hint="eastAsia" w:ascii="Cambria Math" w:hAnsi="Cambria Math" w:eastAsia="宋体" w:cs="宋体"/>
              <w:sz w:val="24"/>
              <w:szCs w:val="24"/>
            </w:rPr>
            <m:t>=</m:t>
          </m:r>
          <m:f>
            <m:fPr>
              <m:ctrlPr>
                <w:rPr>
                  <w:rFonts w:hint="eastAsia" w:ascii="Cambria Math" w:hAnsi="Cambria Math" w:eastAsia="宋体" w:cs="宋体"/>
                  <w:i/>
                  <w:sz w:val="24"/>
                  <w:szCs w:val="24"/>
                </w:rPr>
              </m:ctrlPr>
            </m:fPr>
            <m:num>
              <m:r>
                <m:rPr/>
                <w:rPr>
                  <w:rFonts w:hint="eastAsia" w:ascii="Cambria Math" w:hAnsi="Cambria Math" w:eastAsia="宋体" w:cs="宋体"/>
                  <w:sz w:val="24"/>
                  <w:szCs w:val="24"/>
                </w:rPr>
                <m:t>2</m:t>
              </m:r>
              <m:ctrlPr>
                <w:rPr>
                  <w:rFonts w:hint="eastAsia" w:ascii="Cambria Math" w:hAnsi="Cambria Math" w:eastAsia="宋体" w:cs="宋体"/>
                  <w:i/>
                  <w:sz w:val="24"/>
                  <w:szCs w:val="24"/>
                </w:rPr>
              </m:ctrlPr>
            </m:num>
            <m:den>
              <m:r>
                <m:rPr/>
                <w:rPr>
                  <w:rFonts w:hint="eastAsia" w:ascii="Cambria Math" w:hAnsi="Cambria Math" w:eastAsia="宋体" w:cs="宋体"/>
                  <w:sz w:val="24"/>
                  <w:szCs w:val="24"/>
                </w:rPr>
                <m:t>3</m:t>
              </m:r>
              <m:ctrlPr>
                <w:rPr>
                  <w:rFonts w:hint="eastAsia" w:ascii="Cambria Math" w:hAnsi="Cambria Math" w:eastAsia="宋体" w:cs="宋体"/>
                  <w:i/>
                  <w:sz w:val="24"/>
                  <w:szCs w:val="24"/>
                </w:rPr>
              </m:ctrlPr>
            </m:den>
          </m:f>
          <m:sSub>
            <m:sSubPr>
              <m:ctrlPr>
                <w:rPr>
                  <w:rFonts w:hint="eastAsia" w:ascii="Cambria Math" w:hAnsi="Cambria Math" w:eastAsia="宋体" w:cs="宋体"/>
                  <w:i/>
                  <w:sz w:val="24"/>
                  <w:szCs w:val="24"/>
                </w:rPr>
              </m:ctrlPr>
            </m:sSubPr>
            <m:e>
              <m:r>
                <m:rPr/>
                <w:rPr>
                  <w:rFonts w:hint="eastAsia" w:ascii="Cambria Math" w:hAnsi="Cambria Math" w:eastAsia="宋体" w:cs="宋体"/>
                  <w:sz w:val="24"/>
                  <w:szCs w:val="24"/>
                </w:rPr>
                <m:t>×β</m:t>
              </m:r>
              <m:ctrlPr>
                <w:rPr>
                  <w:rFonts w:hint="eastAsia" w:ascii="Cambria Math" w:hAnsi="Cambria Math" w:eastAsia="宋体" w:cs="宋体"/>
                  <w:i/>
                  <w:sz w:val="24"/>
                  <w:szCs w:val="24"/>
                </w:rPr>
              </m:ctrlPr>
            </m:e>
            <m:sub>
              <m:r>
                <m:rPr>
                  <m:sty m:val="p"/>
                </m:rPr>
                <w:rPr>
                  <w:rFonts w:hint="eastAsia" w:ascii="Cambria Math" w:hAnsi="Cambria Math" w:eastAsia="宋体" w:cs="宋体"/>
                  <w:sz w:val="24"/>
                  <w:szCs w:val="24"/>
                  <w:vertAlign w:val="subscript"/>
                </w:rPr>
                <m:t>unadj</m:t>
              </m:r>
              <m:ctrlPr>
                <w:rPr>
                  <w:rFonts w:hint="eastAsia" w:ascii="Cambria Math" w:hAnsi="Cambria Math" w:eastAsia="宋体" w:cs="宋体"/>
                  <w:i/>
                  <w:sz w:val="24"/>
                  <w:szCs w:val="24"/>
                </w:rPr>
              </m:ctrlPr>
            </m:sub>
          </m:sSub>
          <m:r>
            <m:rPr/>
            <w:rPr>
              <w:rFonts w:hint="eastAsia" w:ascii="Cambria Math" w:hAnsi="Cambria Math" w:eastAsia="宋体" w:cs="宋体"/>
              <w:sz w:val="24"/>
              <w:szCs w:val="24"/>
            </w:rPr>
            <m:t>+</m:t>
          </m:r>
          <m:f>
            <m:fPr>
              <m:ctrlPr>
                <w:rPr>
                  <w:rFonts w:hint="eastAsia" w:ascii="Cambria Math" w:hAnsi="Cambria Math" w:eastAsia="宋体" w:cs="宋体"/>
                  <w:i/>
                  <w:sz w:val="24"/>
                  <w:szCs w:val="24"/>
                </w:rPr>
              </m:ctrlPr>
            </m:fPr>
            <m:num>
              <m:r>
                <m:rPr/>
                <w:rPr>
                  <w:rFonts w:hint="eastAsia" w:ascii="Cambria Math" w:hAnsi="Cambria Math" w:eastAsia="宋体" w:cs="宋体"/>
                  <w:sz w:val="24"/>
                  <w:szCs w:val="24"/>
                </w:rPr>
                <m:t>1</m:t>
              </m:r>
              <m:ctrlPr>
                <w:rPr>
                  <w:rFonts w:hint="eastAsia" w:ascii="Cambria Math" w:hAnsi="Cambria Math" w:eastAsia="宋体" w:cs="宋体"/>
                  <w:i/>
                  <w:sz w:val="24"/>
                  <w:szCs w:val="24"/>
                </w:rPr>
              </m:ctrlPr>
            </m:num>
            <m:den>
              <m:r>
                <m:rPr/>
                <w:rPr>
                  <w:rFonts w:hint="eastAsia" w:ascii="Cambria Math" w:hAnsi="Cambria Math" w:eastAsia="宋体" w:cs="宋体"/>
                  <w:sz w:val="24"/>
                  <w:szCs w:val="24"/>
                </w:rPr>
                <m:t>3</m:t>
              </m:r>
              <m:ctrlPr>
                <w:rPr>
                  <w:rFonts w:hint="eastAsia" w:ascii="Cambria Math" w:hAnsi="Cambria Math" w:eastAsia="宋体" w:cs="宋体"/>
                  <w:i/>
                  <w:sz w:val="24"/>
                  <w:szCs w:val="24"/>
                </w:rPr>
              </m:ctrlPr>
            </m:den>
          </m:f>
          <m:r>
            <m:rPr/>
            <w:rPr>
              <w:rFonts w:hint="eastAsia" w:ascii="Cambria Math" w:hAnsi="Cambria Math" w:eastAsia="宋体" w:cs="宋体"/>
              <w:sz w:val="24"/>
              <w:szCs w:val="24"/>
            </w:rPr>
            <m:t>×1</m:t>
          </m:r>
        </m:oMath>
      </m:oMathPara>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其中：</w:t>
      </w:r>
      <m:oMath>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adj</m:t>
            </m:r>
            <m:ctrlPr>
              <w:rPr>
                <w:rFonts w:hint="eastAsia" w:ascii="Cambria Math" w:hAnsi="Cambria Math" w:eastAsia="宋体" w:cs="宋体"/>
                <w:color w:val="000000"/>
                <w:kern w:val="0"/>
                <w:sz w:val="24"/>
                <w:szCs w:val="24"/>
                <w:lang w:bidi="ar"/>
              </w:rPr>
            </m:ctrlPr>
          </m:sub>
        </m:sSub>
      </m:oMath>
      <w:r>
        <w:rPr>
          <w:rFonts w:hint="eastAsia" w:ascii="宋体" w:hAnsi="宋体" w:eastAsia="宋体" w:cs="宋体"/>
          <w:color w:val="000000"/>
          <w:kern w:val="0"/>
          <w:sz w:val="24"/>
          <w:szCs w:val="24"/>
          <w:lang w:bidi="ar"/>
        </w:rPr>
        <w:t>为调整后的β值，</w:t>
      </w:r>
      <m:oMath>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unadj</m:t>
            </m:r>
            <m:ctrlPr>
              <w:rPr>
                <w:rFonts w:hint="eastAsia" w:ascii="Cambria Math" w:hAnsi="Cambria Math" w:eastAsia="宋体" w:cs="宋体"/>
                <w:color w:val="000000"/>
                <w:kern w:val="0"/>
                <w:sz w:val="24"/>
                <w:szCs w:val="24"/>
                <w:lang w:bidi="ar"/>
              </w:rPr>
            </m:ctrlPr>
          </m:sub>
        </m:sSub>
      </m:oMath>
      <w:r>
        <w:rPr>
          <w:rFonts w:hint="eastAsia" w:ascii="宋体" w:hAnsi="宋体" w:eastAsia="宋体" w:cs="宋体"/>
          <w:color w:val="000000"/>
          <w:kern w:val="0"/>
          <w:sz w:val="24"/>
          <w:szCs w:val="24"/>
          <w:lang w:bidi="ar"/>
        </w:rPr>
        <w:t>为历史β值。</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根据上述公式估算可比上市公司的调整后无财务杠杆βU值，并取其平均值作为标的公司的βU值。取可比上市公司资本结构的平均值作为标的公司的目标资本结构，再结合标的公司预测期间执行的所得税税率，将各参数代入权益系统风险系数计算公式，计算得出标的公司的权益系统风险系数。计算公式：</w:t>
      </w:r>
    </w:p>
    <w:p>
      <w:pPr>
        <w:widowControl/>
        <w:spacing w:line="360" w:lineRule="auto"/>
        <w:ind w:firstLine="480" w:firstLineChars="200"/>
        <w:rPr>
          <w:rFonts w:hint="eastAsia" w:ascii="宋体" w:hAnsi="宋体" w:eastAsia="宋体" w:cs="宋体"/>
          <w:color w:val="000000"/>
          <w:kern w:val="0"/>
          <w:sz w:val="24"/>
          <w:szCs w:val="24"/>
          <w:lang w:bidi="ar"/>
        </w:rPr>
      </w:pPr>
      <m:oMathPara>
        <m:oMathParaPr>
          <m:jc m:val="left"/>
        </m:oMathParaPr>
        <m:oMath>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L</m:t>
              </m:r>
              <m:ctrlPr>
                <w:rPr>
                  <w:rFonts w:hint="eastAsia" w:ascii="Cambria Math" w:hAnsi="Cambria Math" w:eastAsia="宋体" w:cs="宋体"/>
                  <w:color w:val="000000"/>
                  <w:kern w:val="0"/>
                  <w:sz w:val="24"/>
                  <w:szCs w:val="24"/>
                  <w:lang w:bidi="ar"/>
                </w:rPr>
              </m:ctrlPr>
            </m:sub>
          </m:sSub>
          <m:r>
            <m:rPr>
              <m:sty m:val="p"/>
            </m:rPr>
            <w:rPr>
              <w:rFonts w:hint="eastAsia" w:ascii="Cambria Math" w:hAnsi="Cambria Math" w:eastAsia="宋体" w:cs="宋体"/>
              <w:color w:val="000000"/>
              <w:kern w:val="0"/>
              <w:sz w:val="24"/>
              <w:szCs w:val="24"/>
              <w:lang w:bidi="ar"/>
            </w:rPr>
            <m:t>=</m:t>
          </m:r>
          <m:sSub>
            <m:sSubPr>
              <m:ctrlPr>
                <w:rPr>
                  <w:rFonts w:hint="eastAsia" w:ascii="Cambria Math" w:hAnsi="Cambria Math" w:eastAsia="宋体" w:cs="宋体"/>
                  <w:color w:val="000000"/>
                  <w:kern w:val="0"/>
                  <w:sz w:val="24"/>
                  <w:szCs w:val="24"/>
                  <w:lang w:bidi="ar"/>
                </w:rPr>
              </m:ctrlPr>
            </m:sSubPr>
            <m:e>
              <m:r>
                <m:rPr>
                  <m:sty m:val="p"/>
                </m:rPr>
                <w:rPr>
                  <w:rFonts w:hint="eastAsia" w:ascii="Cambria Math" w:hAnsi="Cambria Math" w:eastAsia="宋体" w:cs="宋体"/>
                  <w:color w:val="000000"/>
                  <w:kern w:val="0"/>
                  <w:sz w:val="24"/>
                  <w:szCs w:val="24"/>
                  <w:lang w:bidi="ar"/>
                </w:rPr>
                <m:t>β</m:t>
              </m:r>
              <m:ctrlPr>
                <w:rPr>
                  <w:rFonts w:hint="eastAsia" w:ascii="Cambria Math" w:hAnsi="Cambria Math" w:eastAsia="宋体" w:cs="宋体"/>
                  <w:color w:val="000000"/>
                  <w:kern w:val="0"/>
                  <w:sz w:val="24"/>
                  <w:szCs w:val="24"/>
                  <w:lang w:bidi="ar"/>
                </w:rPr>
              </m:ctrlPr>
            </m:e>
            <m:sub>
              <m:r>
                <m:rPr>
                  <m:sty m:val="p"/>
                </m:rPr>
                <w:rPr>
                  <w:rFonts w:hint="eastAsia" w:ascii="Cambria Math" w:hAnsi="Cambria Math" w:eastAsia="宋体" w:cs="宋体"/>
                  <w:color w:val="000000"/>
                  <w:kern w:val="0"/>
                  <w:sz w:val="24"/>
                  <w:szCs w:val="24"/>
                  <w:lang w:bidi="ar"/>
                </w:rPr>
                <m:t>U</m:t>
              </m:r>
              <m:ctrlPr>
                <w:rPr>
                  <w:rFonts w:hint="eastAsia" w:ascii="Cambria Math" w:hAnsi="Cambria Math" w:eastAsia="宋体" w:cs="宋体"/>
                  <w:color w:val="000000"/>
                  <w:kern w:val="0"/>
                  <w:sz w:val="24"/>
                  <w:szCs w:val="24"/>
                  <w:lang w:bidi="ar"/>
                </w:rPr>
              </m:ctrlPr>
            </m:sub>
          </m:sSub>
          <m:r>
            <m:rPr>
              <m:sty m:val="p"/>
            </m:rPr>
            <w:rPr>
              <w:rFonts w:hint="eastAsia" w:ascii="Cambria Math" w:hAnsi="Cambria Math" w:eastAsia="宋体" w:cs="宋体"/>
              <w:color w:val="000000"/>
              <w:kern w:val="0"/>
              <w:sz w:val="24"/>
              <w:szCs w:val="24"/>
              <w:lang w:bidi="ar"/>
            </w:rPr>
            <m:t>×[1+</m:t>
          </m:r>
          <m:d>
            <m:dPr>
              <m:ctrlPr>
                <w:rPr>
                  <w:rFonts w:hint="eastAsia" w:ascii="Cambria Math" w:hAnsi="Cambria Math" w:eastAsia="宋体" w:cs="宋体"/>
                  <w:color w:val="000000"/>
                  <w:kern w:val="0"/>
                  <w:sz w:val="24"/>
                  <w:szCs w:val="24"/>
                  <w:lang w:bidi="ar"/>
                </w:rPr>
              </m:ctrlPr>
            </m:dPr>
            <m:e>
              <m:r>
                <m:rPr>
                  <m:sty m:val="p"/>
                </m:rPr>
                <w:rPr>
                  <w:rFonts w:hint="eastAsia" w:ascii="Cambria Math" w:hAnsi="Cambria Math" w:eastAsia="宋体" w:cs="宋体"/>
                  <w:color w:val="000000"/>
                  <w:kern w:val="0"/>
                  <w:sz w:val="24"/>
                  <w:szCs w:val="24"/>
                  <w:lang w:bidi="ar"/>
                </w:rPr>
                <m:t>1−T</m:t>
              </m:r>
              <m:ctrlPr>
                <w:rPr>
                  <w:rFonts w:hint="eastAsia" w:ascii="Cambria Math" w:hAnsi="Cambria Math" w:eastAsia="宋体" w:cs="宋体"/>
                  <w:color w:val="000000"/>
                  <w:kern w:val="0"/>
                  <w:sz w:val="24"/>
                  <w:szCs w:val="24"/>
                  <w:lang w:bidi="ar"/>
                </w:rPr>
              </m:ctrlPr>
            </m:e>
          </m:d>
          <m:r>
            <m:rPr>
              <m:sty m:val="p"/>
            </m:rPr>
            <w:rPr>
              <w:rFonts w:hint="eastAsia" w:ascii="Cambria Math" w:hAnsi="Cambria Math" w:eastAsia="宋体" w:cs="宋体"/>
              <w:color w:val="000000"/>
              <w:kern w:val="0"/>
              <w:sz w:val="24"/>
              <w:szCs w:val="24"/>
              <w:lang w:bidi="ar"/>
            </w:rPr>
            <m:t>×</m:t>
          </m:r>
          <m:f>
            <m:fPr>
              <m:ctrlPr>
                <w:rPr>
                  <w:rFonts w:hint="eastAsia" w:ascii="Cambria Math" w:hAnsi="Cambria Math" w:eastAsia="宋体" w:cs="宋体"/>
                  <w:color w:val="000000"/>
                  <w:kern w:val="0"/>
                  <w:sz w:val="24"/>
                  <w:szCs w:val="24"/>
                  <w:lang w:bidi="ar"/>
                </w:rPr>
              </m:ctrlPr>
            </m:fPr>
            <m:num>
              <m:r>
                <m:rPr>
                  <m:sty m:val="p"/>
                </m:rPr>
                <w:rPr>
                  <w:rFonts w:hint="eastAsia" w:ascii="Cambria Math" w:hAnsi="Cambria Math" w:eastAsia="宋体" w:cs="宋体"/>
                  <w:color w:val="000000"/>
                  <w:kern w:val="0"/>
                  <w:sz w:val="24"/>
                  <w:szCs w:val="24"/>
                  <w:lang w:bidi="ar"/>
                </w:rPr>
                <m:t>D</m:t>
              </m:r>
              <m:ctrlPr>
                <w:rPr>
                  <w:rFonts w:hint="eastAsia" w:ascii="Cambria Math" w:hAnsi="Cambria Math" w:eastAsia="宋体" w:cs="宋体"/>
                  <w:color w:val="000000"/>
                  <w:kern w:val="0"/>
                  <w:sz w:val="24"/>
                  <w:szCs w:val="24"/>
                  <w:lang w:bidi="ar"/>
                </w:rPr>
              </m:ctrlPr>
            </m:num>
            <m:den>
              <m:r>
                <m:rPr>
                  <m:sty m:val="p"/>
                </m:rPr>
                <w:rPr>
                  <w:rFonts w:hint="eastAsia" w:ascii="Cambria Math" w:hAnsi="Cambria Math" w:eastAsia="宋体" w:cs="宋体"/>
                  <w:color w:val="000000"/>
                  <w:kern w:val="0"/>
                  <w:sz w:val="24"/>
                  <w:szCs w:val="24"/>
                  <w:lang w:bidi="ar"/>
                </w:rPr>
                <m:t>E</m:t>
              </m:r>
              <m:ctrlPr>
                <w:rPr>
                  <w:rFonts w:hint="eastAsia" w:ascii="Cambria Math" w:hAnsi="Cambria Math" w:eastAsia="宋体" w:cs="宋体"/>
                  <w:color w:val="000000"/>
                  <w:kern w:val="0"/>
                  <w:sz w:val="24"/>
                  <w:szCs w:val="24"/>
                  <w:lang w:bidi="ar"/>
                </w:rPr>
              </m:ctrlPr>
            </m:den>
          </m:f>
          <m:r>
            <m:rPr>
              <m:sty m:val="p"/>
            </m:rPr>
            <w:rPr>
              <w:rFonts w:hint="eastAsia" w:ascii="Cambria Math" w:hAnsi="Cambria Math" w:eastAsia="宋体" w:cs="宋体"/>
              <w:color w:val="000000"/>
              <w:kern w:val="0"/>
              <w:sz w:val="24"/>
              <w:szCs w:val="24"/>
              <w:lang w:bidi="ar"/>
            </w:rPr>
            <m:t>]</m:t>
          </m:r>
        </m:oMath>
      </m:oMathPara>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式中：βL：有财务杠杆的β系数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βU：无财务杠杆的β系数</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T：所得税率</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经测算，被评估单位的β权益为0.5045。</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本次采用标的公司自身资本结构作为目标资本结构，即根据预测年度各年的付息债务余额与股权价值的比例进行迭代计算得到，最终确定标的公司预测年度β。</w:t>
      </w:r>
    </w:p>
    <w:tbl>
      <w:tblPr>
        <w:tblStyle w:val="13"/>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4"/>
        <w:gridCol w:w="1275"/>
        <w:gridCol w:w="915"/>
        <w:gridCol w:w="915"/>
        <w:gridCol w:w="924"/>
        <w:gridCol w:w="924"/>
        <w:gridCol w:w="924"/>
        <w:gridCol w:w="924"/>
        <w:gridCol w:w="9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预测年期</w:t>
            </w:r>
          </w:p>
        </w:tc>
        <w:tc>
          <w:tcPr>
            <w:tcW w:w="593"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2023.11-12</w:t>
            </w:r>
          </w:p>
        </w:tc>
        <w:tc>
          <w:tcPr>
            <w:tcW w:w="556"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2024年</w:t>
            </w:r>
          </w:p>
        </w:tc>
        <w:tc>
          <w:tcPr>
            <w:tcW w:w="556"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2025年</w:t>
            </w:r>
          </w:p>
        </w:tc>
        <w:tc>
          <w:tcPr>
            <w:tcW w:w="561"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2026年</w:t>
            </w:r>
          </w:p>
        </w:tc>
        <w:tc>
          <w:tcPr>
            <w:tcW w:w="561"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2027年</w:t>
            </w:r>
          </w:p>
        </w:tc>
        <w:tc>
          <w:tcPr>
            <w:tcW w:w="561"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2028年</w:t>
            </w:r>
          </w:p>
        </w:tc>
        <w:tc>
          <w:tcPr>
            <w:tcW w:w="561"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2029年</w:t>
            </w:r>
          </w:p>
        </w:tc>
        <w:tc>
          <w:tcPr>
            <w:tcW w:w="561"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2030年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带息债务/权益价值</w:t>
            </w:r>
          </w:p>
        </w:tc>
        <w:tc>
          <w:tcPr>
            <w:tcW w:w="1011"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91.30%</w:t>
            </w:r>
          </w:p>
        </w:tc>
        <w:tc>
          <w:tcPr>
            <w:tcW w:w="948"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90.11%</w:t>
            </w:r>
          </w:p>
        </w:tc>
        <w:tc>
          <w:tcPr>
            <w:tcW w:w="948"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75.58%</w:t>
            </w:r>
          </w:p>
        </w:tc>
        <w:tc>
          <w:tcPr>
            <w:tcW w:w="957"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62.81%</w:t>
            </w:r>
          </w:p>
        </w:tc>
        <w:tc>
          <w:tcPr>
            <w:tcW w:w="957"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55.98%</w:t>
            </w:r>
          </w:p>
        </w:tc>
        <w:tc>
          <w:tcPr>
            <w:tcW w:w="957"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46.64%</w:t>
            </w:r>
          </w:p>
        </w:tc>
        <w:tc>
          <w:tcPr>
            <w:tcW w:w="957"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34.46%</w:t>
            </w:r>
          </w:p>
        </w:tc>
        <w:tc>
          <w:tcPr>
            <w:tcW w:w="957" w:type="dxa"/>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28.90%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调整后无财务杠杆β系数（βU）</w:t>
            </w:r>
          </w:p>
        </w:tc>
        <w:tc>
          <w:tcPr>
            <w:tcW w:w="593"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bidi="ar"/>
              </w:rPr>
              <w:t>0.5045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基准日后所得税率（企业自身）</w:t>
            </w:r>
          </w:p>
        </w:tc>
        <w:tc>
          <w:tcPr>
            <w:tcW w:w="593"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评估对象的β权益</w:t>
            </w:r>
          </w:p>
        </w:tc>
        <w:tc>
          <w:tcPr>
            <w:tcW w:w="593"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0.8500</w:t>
            </w:r>
          </w:p>
        </w:tc>
        <w:tc>
          <w:tcPr>
            <w:tcW w:w="556"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0.8454</w:t>
            </w:r>
          </w:p>
        </w:tc>
        <w:tc>
          <w:tcPr>
            <w:tcW w:w="556"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0.7905</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0.7422</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0.7163</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0.681</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0.6349</w:t>
            </w:r>
          </w:p>
        </w:tc>
        <w:tc>
          <w:tcPr>
            <w:tcW w:w="561" w:type="pct"/>
            <w:shd w:val="clear" w:color="auto" w:fill="auto"/>
            <w:vAlign w:val="center"/>
          </w:tcPr>
          <w:p>
            <w:pPr>
              <w:widowControl/>
              <w:jc w:val="center"/>
              <w:textAlignment w:val="center"/>
              <w:rPr>
                <w:rFonts w:hint="eastAsia" w:ascii="宋体" w:hAnsi="宋体" w:eastAsia="宋体" w:cs="宋体"/>
                <w:sz w:val="21"/>
                <w:szCs w:val="21"/>
              </w:rPr>
            </w:pPr>
            <w:r>
              <w:rPr>
                <w:rFonts w:hint="eastAsia" w:ascii="宋体" w:hAnsi="宋体" w:eastAsia="宋体" w:cs="宋体"/>
                <w:color w:val="000000"/>
                <w:kern w:val="0"/>
                <w:sz w:val="21"/>
                <w:szCs w:val="21"/>
                <w:lang w:bidi="ar"/>
              </w:rPr>
              <w:t>0.6139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预测年期</w:t>
            </w:r>
          </w:p>
        </w:tc>
        <w:tc>
          <w:tcPr>
            <w:tcW w:w="593"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2031年</w:t>
            </w:r>
          </w:p>
        </w:tc>
        <w:tc>
          <w:tcPr>
            <w:tcW w:w="556"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2032年</w:t>
            </w:r>
          </w:p>
        </w:tc>
        <w:tc>
          <w:tcPr>
            <w:tcW w:w="556"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2033年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2034年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2035年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2036年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2037年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2038年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带息债务/权益价值</w:t>
            </w:r>
          </w:p>
        </w:tc>
        <w:tc>
          <w:tcPr>
            <w:tcW w:w="1011"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23.92%</w:t>
            </w:r>
          </w:p>
        </w:tc>
        <w:tc>
          <w:tcPr>
            <w:tcW w:w="948"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22.42%</w:t>
            </w:r>
          </w:p>
        </w:tc>
        <w:tc>
          <w:tcPr>
            <w:tcW w:w="948"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19.95%</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17.50%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15.28%</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13.09%</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9.75%</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6.99%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调整后无财务杠杆β系数（βU）</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基准日后所得税率（企业自身）</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评估对象的β权益</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0.595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0.5894</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0.58</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0.5707</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0.5623</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0.5541</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0.5414</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0.5309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预测年期</w:t>
            </w:r>
          </w:p>
        </w:tc>
        <w:tc>
          <w:tcPr>
            <w:tcW w:w="593"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2039年</w:t>
            </w:r>
          </w:p>
        </w:tc>
        <w:tc>
          <w:tcPr>
            <w:tcW w:w="556"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2040年</w:t>
            </w:r>
          </w:p>
        </w:tc>
        <w:tc>
          <w:tcPr>
            <w:tcW w:w="556"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2041年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2042年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2043年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2044年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2045年</w:t>
            </w:r>
          </w:p>
        </w:tc>
        <w:tc>
          <w:tcPr>
            <w:tcW w:w="561" w:type="pct"/>
            <w:shd w:val="clear" w:color="auto" w:fill="auto"/>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2046年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带息债务/权益价值</w:t>
            </w:r>
          </w:p>
        </w:tc>
        <w:tc>
          <w:tcPr>
            <w:tcW w:w="1011"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4.03%</w:t>
            </w:r>
          </w:p>
        </w:tc>
        <w:tc>
          <w:tcPr>
            <w:tcW w:w="948"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2.98%</w:t>
            </w:r>
          </w:p>
        </w:tc>
        <w:tc>
          <w:tcPr>
            <w:tcW w:w="948"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1.40%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957" w:type="dxa"/>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调整后无财务杠杆β系数（βU）</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0.5045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基准日后所得税率（企业自身）</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485"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评估对象的β权益</w:t>
            </w:r>
          </w:p>
        </w:tc>
        <w:tc>
          <w:tcPr>
            <w:tcW w:w="593"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0.5197</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0.5158</w:t>
            </w:r>
          </w:p>
        </w:tc>
        <w:tc>
          <w:tcPr>
            <w:tcW w:w="556"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0.5098</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0.5045</w:t>
            </w:r>
          </w:p>
        </w:tc>
        <w:tc>
          <w:tcPr>
            <w:tcW w:w="561" w:type="pct"/>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0.5045</w:t>
            </w:r>
          </w:p>
        </w:tc>
      </w:tr>
    </w:tbl>
    <w:p>
      <w:pPr>
        <w:pStyle w:val="6"/>
        <w:adjustRightInd w:val="0"/>
        <w:snapToGrid w:val="0"/>
        <w:spacing w:after="0" w:line="360" w:lineRule="auto"/>
        <w:ind w:firstLine="480" w:firstLineChars="200"/>
        <w:rPr>
          <w:rFonts w:hint="eastAsia" w:ascii="宋体" w:hAnsi="宋体" w:eastAsia="宋体" w:cs="宋体"/>
          <w:color w:val="000000"/>
          <w:sz w:val="24"/>
          <w:szCs w:val="24"/>
          <w:lang w:bidi="ar"/>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4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color w:val="000000"/>
          <w:sz w:val="24"/>
          <w:szCs w:val="24"/>
          <w:lang w:bidi="ar"/>
        </w:rPr>
        <w:t>企业特定风险调整系数Rc的确定</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由于测算风险系数时选取的为上市公司，与参照上市公司相比，企业为非上市公司，应考虑该企业特有风险产生的超额收益率。</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本次评估考虑到标的公司的融资条件、资本流动性以及公司的治理结构和标的公司资本债务结果等方面与可比上市公司的差异性所可能产生的特性个体风险，确定企业特有风险超额回报率Rc为1.3%。</w:t>
      </w:r>
    </w:p>
    <w:p>
      <w:pPr>
        <w:widowControl/>
        <w:spacing w:line="360" w:lineRule="auto"/>
        <w:ind w:firstLine="480" w:firstLineChars="200"/>
        <w:rPr>
          <w:rFonts w:hint="eastAsia" w:ascii="宋体" w:hAnsi="宋体" w:eastAsia="宋体" w:cs="宋体"/>
          <w:color w:val="000000"/>
          <w:kern w:val="0"/>
          <w:sz w:val="24"/>
          <w:szCs w:val="24"/>
          <w:lang w:val="zh-CN" w:eastAsia="ar-SA" w:bidi="ar"/>
        </w:rPr>
      </w:pPr>
      <w:r>
        <w:rPr>
          <w:rFonts w:hint="eastAsia" w:ascii="宋体" w:hAnsi="宋体" w:eastAsia="宋体" w:cs="宋体"/>
          <w:color w:val="000000"/>
          <w:kern w:val="0"/>
          <w:sz w:val="24"/>
          <w:szCs w:val="24"/>
          <w:lang w:bidi="ar"/>
        </w:rPr>
        <w:t>2）预测期折现率</w:t>
      </w:r>
      <w:r>
        <w:rPr>
          <w:rFonts w:hint="eastAsia" w:ascii="宋体" w:hAnsi="宋体" w:eastAsia="宋体" w:cs="宋体"/>
          <w:color w:val="000000"/>
          <w:kern w:val="0"/>
          <w:sz w:val="24"/>
          <w:szCs w:val="24"/>
          <w:lang w:val="zh-CN" w:eastAsia="ar-SA" w:bidi="ar"/>
        </w:rPr>
        <w:t>的确定</w:t>
      </w:r>
    </w:p>
    <w:tbl>
      <w:tblPr>
        <w:tblStyle w:val="13"/>
        <w:tblW w:w="5000" w:type="pct"/>
        <w:tblInd w:w="0" w:type="dxa"/>
        <w:shd w:val="clear" w:color="auto" w:fill="FFFFFF" w:themeFill="background1"/>
        <w:tblLayout w:type="autofit"/>
        <w:tblCellMar>
          <w:top w:w="0" w:type="dxa"/>
          <w:left w:w="108" w:type="dxa"/>
          <w:bottom w:w="0" w:type="dxa"/>
          <w:right w:w="108" w:type="dxa"/>
        </w:tblCellMar>
      </w:tblPr>
      <w:tblGrid>
        <w:gridCol w:w="1056"/>
        <w:gridCol w:w="1275"/>
        <w:gridCol w:w="883"/>
        <w:gridCol w:w="884"/>
        <w:gridCol w:w="884"/>
        <w:gridCol w:w="884"/>
        <w:gridCol w:w="884"/>
        <w:gridCol w:w="886"/>
        <w:gridCol w:w="886"/>
      </w:tblGrid>
      <w:tr>
        <w:tblPrEx>
          <w:shd w:val="clear" w:color="auto" w:fill="FFFFFF" w:themeFill="background1"/>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项目</w:t>
            </w:r>
          </w:p>
        </w:tc>
        <w:tc>
          <w:tcPr>
            <w:tcW w:w="602" w:type="pc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2023.11-12</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2024年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2025年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2026年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2027年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2028年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2029年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2030年</w:t>
            </w:r>
          </w:p>
        </w:tc>
      </w:tr>
      <w:tr>
        <w:tblPrEx>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折现率Re(CAPM)</w:t>
            </w:r>
          </w:p>
        </w:tc>
        <w:tc>
          <w:tcPr>
            <w:tcW w:w="103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10.01%</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9.98%</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9.61%</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9.29%</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9.12%</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8.88%</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8.57%</w:t>
            </w:r>
          </w:p>
        </w:tc>
        <w:tc>
          <w:tcPr>
            <w:tcW w:w="10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8.43%</w:t>
            </w:r>
          </w:p>
        </w:tc>
      </w:tr>
      <w:tr>
        <w:tblPrEx>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color w:val="000000"/>
                <w:sz w:val="21"/>
                <w:szCs w:val="21"/>
              </w:rPr>
            </w:pPr>
            <w:r>
              <w:rPr>
                <w:rFonts w:hint="eastAsia" w:ascii="宋体" w:hAnsi="宋体" w:eastAsia="宋体" w:cs="宋体"/>
                <w:b/>
                <w:bCs/>
                <w:color w:val="000000"/>
                <w:kern w:val="0"/>
                <w:sz w:val="21"/>
                <w:szCs w:val="21"/>
                <w:lang w:bidi="ar"/>
              </w:rPr>
              <w:t>项目</w:t>
            </w:r>
          </w:p>
        </w:tc>
        <w:tc>
          <w:tcPr>
            <w:tcW w:w="602" w:type="pc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2031年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2032年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2033年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2034年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2035年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2036年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2037年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2038年</w:t>
            </w:r>
          </w:p>
        </w:tc>
      </w:tr>
      <w:tr>
        <w:tblPrEx>
          <w:shd w:val="clear" w:color="auto" w:fill="FFFFFF" w:themeFill="background1"/>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折现率Re(CAPM)</w:t>
            </w:r>
          </w:p>
        </w:tc>
        <w:tc>
          <w:tcPr>
            <w:tcW w:w="103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8.30%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8.26%</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8.20%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8.14%</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8.08%</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8.03%</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7.94%</w:t>
            </w:r>
          </w:p>
        </w:tc>
        <w:tc>
          <w:tcPr>
            <w:tcW w:w="10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7.87%</w:t>
            </w:r>
          </w:p>
        </w:tc>
      </w:tr>
      <w:tr>
        <w:tblPrEx>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color w:val="000000"/>
                <w:sz w:val="21"/>
                <w:szCs w:val="21"/>
              </w:rPr>
            </w:pPr>
            <w:r>
              <w:rPr>
                <w:rFonts w:hint="eastAsia" w:ascii="宋体" w:hAnsi="宋体" w:eastAsia="宋体" w:cs="宋体"/>
                <w:b/>
                <w:bCs/>
                <w:color w:val="000000"/>
                <w:kern w:val="0"/>
                <w:sz w:val="21"/>
                <w:szCs w:val="21"/>
                <w:lang w:bidi="ar"/>
              </w:rPr>
              <w:t>项目</w:t>
            </w:r>
          </w:p>
        </w:tc>
        <w:tc>
          <w:tcPr>
            <w:tcW w:w="602" w:type="pc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2039年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2040年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2041年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2042年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2043年</w:t>
            </w:r>
          </w:p>
        </w:tc>
        <w:tc>
          <w:tcPr>
            <w:tcW w:w="60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2044年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2045年</w:t>
            </w:r>
          </w:p>
        </w:tc>
        <w:tc>
          <w:tcPr>
            <w:tcW w:w="60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2046年</w:t>
            </w:r>
          </w:p>
        </w:tc>
      </w:tr>
      <w:tr>
        <w:tblPrEx>
          <w:shd w:val="clear" w:color="auto" w:fill="FFFFFF" w:themeFill="background1"/>
          <w:tblCellMar>
            <w:top w:w="0" w:type="dxa"/>
            <w:left w:w="108" w:type="dxa"/>
            <w:bottom w:w="0" w:type="dxa"/>
            <w:right w:w="108" w:type="dxa"/>
          </w:tblCellMar>
        </w:tblPrEx>
        <w:trPr>
          <w:trHeight w:val="375" w:hRule="atLeast"/>
          <w:tblHeader/>
        </w:trPr>
        <w:tc>
          <w:tcPr>
            <w:tcW w:w="175"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折现率Re(CAPM)</w:t>
            </w:r>
          </w:p>
        </w:tc>
        <w:tc>
          <w:tcPr>
            <w:tcW w:w="103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7.80%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7.77%</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7.73%</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103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10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r>
    </w:tbl>
    <w:p>
      <w:pPr>
        <w:widowControl/>
        <w:numPr>
          <w:ilvl w:val="255"/>
          <w:numId w:val="0"/>
        </w:numPr>
        <w:spacing w:line="360" w:lineRule="auto"/>
        <w:ind w:firstLine="482" w:firstLineChars="200"/>
        <w:jc w:val="both"/>
        <w:rPr>
          <w:rFonts w:hint="eastAsia" w:ascii="宋体" w:hAnsi="宋体" w:eastAsia="宋体" w:cs="宋体"/>
          <w:b/>
          <w:sz w:val="24"/>
          <w:szCs w:val="24"/>
          <w:lang w:bidi="ar"/>
        </w:rPr>
      </w:pPr>
      <w:r>
        <w:rPr>
          <w:rFonts w:hint="eastAsia" w:ascii="宋体" w:hAnsi="宋体" w:eastAsia="宋体" w:cs="宋体"/>
          <w:b/>
          <w:sz w:val="24"/>
          <w:szCs w:val="24"/>
          <w:lang w:bidi="ar"/>
        </w:rPr>
        <w:t>16、评估值测算过程与结果</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1）经营性资产价值的确定过程</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根据以上分析、预测所确定的各参数，通过对收益期内各年预测的股权现金流进行折现，计算得出企业经营性资产的价值如下表：</w:t>
      </w:r>
    </w:p>
    <w:p>
      <w:pPr>
        <w:widowControl/>
        <w:spacing w:line="360" w:lineRule="auto"/>
        <w:ind w:firstLine="480" w:firstLineChars="200"/>
        <w:jc w:val="righ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金额单位：万元</w:t>
      </w:r>
    </w:p>
    <w:tbl>
      <w:tblPr>
        <w:tblStyle w:val="13"/>
        <w:tblW w:w="5000" w:type="pct"/>
        <w:tblInd w:w="0" w:type="dxa"/>
        <w:tblLayout w:type="autofit"/>
        <w:tblCellMar>
          <w:top w:w="0" w:type="dxa"/>
          <w:left w:w="0" w:type="dxa"/>
          <w:bottom w:w="0" w:type="dxa"/>
          <w:right w:w="0" w:type="dxa"/>
        </w:tblCellMar>
      </w:tblPr>
      <w:tblGrid>
        <w:gridCol w:w="1651"/>
        <w:gridCol w:w="841"/>
        <w:gridCol w:w="834"/>
        <w:gridCol w:w="834"/>
        <w:gridCol w:w="834"/>
        <w:gridCol w:w="834"/>
        <w:gridCol w:w="834"/>
        <w:gridCol w:w="834"/>
        <w:gridCol w:w="834"/>
      </w:tblGrid>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项目</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bCs/>
                <w:color w:val="000000"/>
                <w:kern w:val="0"/>
                <w:sz w:val="21"/>
                <w:szCs w:val="21"/>
                <w:lang w:bidi="ar"/>
              </w:rPr>
              <w:t>2023.11-12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bCs/>
                <w:color w:val="000000"/>
                <w:kern w:val="0"/>
                <w:sz w:val="21"/>
                <w:szCs w:val="21"/>
                <w:lang w:bidi="ar"/>
              </w:rPr>
              <w:t>2024年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bCs/>
                <w:color w:val="000000"/>
                <w:kern w:val="0"/>
                <w:sz w:val="21"/>
                <w:szCs w:val="21"/>
                <w:lang w:bidi="ar"/>
              </w:rPr>
              <w:t>2025年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bCs/>
                <w:color w:val="000000"/>
                <w:kern w:val="0"/>
                <w:sz w:val="21"/>
                <w:szCs w:val="21"/>
                <w:lang w:bidi="ar"/>
              </w:rPr>
              <w:t>2026年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bCs/>
                <w:color w:val="000000"/>
                <w:kern w:val="0"/>
                <w:sz w:val="21"/>
                <w:szCs w:val="21"/>
                <w:lang w:bidi="ar"/>
              </w:rPr>
              <w:t>2027年</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b/>
                <w:bCs/>
                <w:color w:val="000000"/>
                <w:kern w:val="0"/>
                <w:sz w:val="21"/>
                <w:szCs w:val="21"/>
                <w:lang w:bidi="ar"/>
              </w:rPr>
              <w:t>2028年</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kern w:val="0"/>
                <w:sz w:val="21"/>
                <w:szCs w:val="21"/>
                <w:lang w:bidi="ar"/>
              </w:rPr>
            </w:pPr>
            <w:r>
              <w:rPr>
                <w:rFonts w:hint="eastAsia" w:ascii="宋体" w:hAnsi="宋体" w:eastAsia="宋体" w:cs="宋体"/>
                <w:b/>
                <w:bCs/>
                <w:color w:val="000000"/>
                <w:kern w:val="0"/>
                <w:sz w:val="21"/>
                <w:szCs w:val="21"/>
                <w:lang w:bidi="ar"/>
              </w:rPr>
              <w:t>2029年</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color w:val="000000"/>
                <w:kern w:val="0"/>
                <w:sz w:val="21"/>
                <w:szCs w:val="21"/>
                <w:lang w:bidi="ar"/>
              </w:rPr>
            </w:pPr>
            <w:r>
              <w:rPr>
                <w:rFonts w:hint="eastAsia" w:ascii="宋体" w:hAnsi="宋体" w:eastAsia="宋体" w:cs="宋体"/>
                <w:b/>
                <w:bCs/>
                <w:color w:val="000000"/>
                <w:kern w:val="0"/>
                <w:sz w:val="21"/>
                <w:szCs w:val="21"/>
                <w:lang w:bidi="ar"/>
              </w:rPr>
              <w:t>2030年</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股权现金流量</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-14.41</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-44.42</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12,335.23</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44,324.04</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20,140.46</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2,399.69</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68,991.61</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87,622.70</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折现率</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10.01%</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9.98%</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9.61%</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9.29%</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9.12%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8.88%</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8.57%</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8.43%</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折现系数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0.9921</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0.9385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0.8548</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0.7810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0.7152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0.6561</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0.6035</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0.5562</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股权现金流量折现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-14.29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-41.69</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10,543.95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34,616.24</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14,403.48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1,574.44</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41,633.15</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48,733.76</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项目</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2031年</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2032年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2033年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2034年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2035年</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2036年</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2037年</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2038年</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股权现金流量</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117,939.74</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81,668.79</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84,045.10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91,331.06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96,845.93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83,602.36</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124,393.39</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128,304.03</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折现率</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8.30%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8.26%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8.20%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8.14%</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8.03%</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7.94%</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7.87%</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折现系数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0.5132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0.4740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0.4380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0.4049</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0.3745</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0.3466</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0.3210</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0.2974</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股权现金流量折现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60,531.93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38,710.81</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36,807.88</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36,977.72</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36,269.13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28,975.40</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39,924.99</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38,163.33</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sz w:val="21"/>
                <w:szCs w:val="21"/>
              </w:rPr>
              <w:t>项目</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2039年</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2040年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2041年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2042年</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2043年</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2044年</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2045年</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b/>
                <w:bCs/>
                <w:color w:val="000000"/>
                <w:kern w:val="0"/>
                <w:sz w:val="21"/>
                <w:szCs w:val="21"/>
                <w:lang w:bidi="ar"/>
              </w:rPr>
              <w:t>2046年</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股权现金流量</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152,997.44</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154,077.65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160,648.00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174,878.16</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176,687.35</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178,635.24</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179,458.13</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195,814.04</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折现率</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7.80%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7.77%</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7.73%</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7.70%</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折现系数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0.2758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0.2559</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0.2375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0.2205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0.2047</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0.1901</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0.1765</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0.1639</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股权现金流量折现</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42,201.75</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39,430.07</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38,154.52</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38,559.38</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36,172.98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33,957.07</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31,674.56</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32,090.43</w:t>
            </w:r>
          </w:p>
        </w:tc>
      </w:tr>
      <w:tr>
        <w:tblPrEx>
          <w:tblCellMar>
            <w:top w:w="0" w:type="dxa"/>
            <w:left w:w="0" w:type="dxa"/>
            <w:bottom w:w="0" w:type="dxa"/>
            <w:right w:w="0" w:type="dxa"/>
          </w:tblCellMar>
        </w:tblPrEx>
        <w:trPr>
          <w:trHeight w:val="454" w:hRule="atLeast"/>
        </w:trPr>
        <w:tc>
          <w:tcPr>
            <w:tcW w:w="108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股权现金流量折现累计</w:t>
            </w:r>
          </w:p>
        </w:tc>
        <w:tc>
          <w:tcPr>
            <w:tcW w:w="3910" w:type="pct"/>
            <w:gridSpan w:val="8"/>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760,050.97</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2）溢余资产、非经营资产/负债的确定</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溢余资产为溢余货币资金，非经营资产和负债主要包括应付工程款，零星不常发生的往来款项</w:t>
      </w:r>
    </w:p>
    <w:tbl>
      <w:tblPr>
        <w:tblStyle w:val="13"/>
        <w:tblW w:w="5000" w:type="pct"/>
        <w:tblInd w:w="0" w:type="dxa"/>
        <w:tblLayout w:type="autofit"/>
        <w:tblCellMar>
          <w:top w:w="0" w:type="dxa"/>
          <w:left w:w="108" w:type="dxa"/>
          <w:bottom w:w="0" w:type="dxa"/>
          <w:right w:w="108" w:type="dxa"/>
        </w:tblCellMar>
      </w:tblPr>
      <w:tblGrid>
        <w:gridCol w:w="3959"/>
        <w:gridCol w:w="4563"/>
      </w:tblGrid>
      <w:tr>
        <w:tblPrEx>
          <w:tblCellMar>
            <w:top w:w="0" w:type="dxa"/>
            <w:left w:w="108" w:type="dxa"/>
            <w:bottom w:w="0" w:type="dxa"/>
            <w:right w:w="108" w:type="dxa"/>
          </w:tblCellMar>
        </w:tblPrEx>
        <w:trPr>
          <w:trHeight w:val="308" w:hRule="atLeast"/>
        </w:trPr>
        <w:tc>
          <w:tcPr>
            <w:tcW w:w="232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内容</w:t>
            </w:r>
          </w:p>
        </w:tc>
        <w:tc>
          <w:tcPr>
            <w:tcW w:w="2677"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4"/>
                <w:szCs w:val="24"/>
              </w:rPr>
            </w:pPr>
            <w:r>
              <w:rPr>
                <w:rFonts w:hint="eastAsia" w:ascii="宋体" w:hAnsi="宋体" w:eastAsia="宋体" w:cs="宋体"/>
                <w:sz w:val="24"/>
                <w:szCs w:val="24"/>
              </w:rPr>
              <w:t>金额（万元）</w:t>
            </w:r>
          </w:p>
        </w:tc>
      </w:tr>
      <w:tr>
        <w:tblPrEx>
          <w:tblCellMar>
            <w:top w:w="0" w:type="dxa"/>
            <w:left w:w="108" w:type="dxa"/>
            <w:bottom w:w="0" w:type="dxa"/>
            <w:right w:w="108" w:type="dxa"/>
          </w:tblCellMar>
        </w:tblPrEx>
        <w:trPr>
          <w:trHeight w:val="308" w:hRule="atLeast"/>
        </w:trPr>
        <w:tc>
          <w:tcPr>
            <w:tcW w:w="232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溢余资产</w:t>
            </w:r>
          </w:p>
        </w:tc>
        <w:tc>
          <w:tcPr>
            <w:tcW w:w="2677" w:type="pct"/>
            <w:tcBorders>
              <w:top w:val="single" w:color="auto" w:sz="4" w:space="0"/>
              <w:left w:val="nil"/>
              <w:bottom w:val="single" w:color="auto" w:sz="4" w:space="0"/>
              <w:right w:val="single" w:color="auto" w:sz="4" w:space="0"/>
            </w:tcBorders>
            <w:shd w:val="clear" w:color="auto" w:fill="auto"/>
            <w:vAlign w:val="center"/>
          </w:tcPr>
          <w:p>
            <w:pPr>
              <w:jc w:val="right"/>
              <w:rPr>
                <w:rFonts w:hint="eastAsia" w:ascii="宋体" w:hAnsi="宋体" w:eastAsia="宋体" w:cs="宋体"/>
                <w:sz w:val="24"/>
                <w:szCs w:val="24"/>
              </w:rPr>
            </w:pPr>
            <w:r>
              <w:rPr>
                <w:rFonts w:hint="eastAsia" w:ascii="宋体" w:hAnsi="宋体" w:eastAsia="宋体" w:cs="宋体"/>
                <w:sz w:val="24"/>
                <w:szCs w:val="24"/>
              </w:rPr>
              <w:t>52,726.67</w:t>
            </w:r>
          </w:p>
        </w:tc>
      </w:tr>
      <w:tr>
        <w:tblPrEx>
          <w:tblCellMar>
            <w:top w:w="0" w:type="dxa"/>
            <w:left w:w="108" w:type="dxa"/>
            <w:bottom w:w="0" w:type="dxa"/>
            <w:right w:w="108" w:type="dxa"/>
          </w:tblCellMar>
        </w:tblPrEx>
        <w:trPr>
          <w:trHeight w:val="233" w:hRule="atLeast"/>
        </w:trPr>
        <w:tc>
          <w:tcPr>
            <w:tcW w:w="2323" w:type="pct"/>
            <w:tcBorders>
              <w:top w:val="nil"/>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非经营资产</w:t>
            </w:r>
          </w:p>
        </w:tc>
        <w:tc>
          <w:tcPr>
            <w:tcW w:w="2677" w:type="pct"/>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sz w:val="24"/>
                <w:szCs w:val="24"/>
              </w:rPr>
            </w:pPr>
            <w:r>
              <w:rPr>
                <w:rFonts w:hint="eastAsia" w:ascii="宋体" w:hAnsi="宋体" w:eastAsia="宋体" w:cs="宋体"/>
                <w:sz w:val="24"/>
                <w:szCs w:val="24"/>
              </w:rPr>
              <w:t>0.59</w:t>
            </w:r>
          </w:p>
        </w:tc>
      </w:tr>
      <w:tr>
        <w:tblPrEx>
          <w:tblCellMar>
            <w:top w:w="0" w:type="dxa"/>
            <w:left w:w="108" w:type="dxa"/>
            <w:bottom w:w="0" w:type="dxa"/>
            <w:right w:w="108" w:type="dxa"/>
          </w:tblCellMar>
        </w:tblPrEx>
        <w:trPr>
          <w:trHeight w:val="233" w:hRule="atLeast"/>
        </w:trPr>
        <w:tc>
          <w:tcPr>
            <w:tcW w:w="2323" w:type="pct"/>
            <w:tcBorders>
              <w:top w:val="nil"/>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非经营负债</w:t>
            </w:r>
          </w:p>
        </w:tc>
        <w:tc>
          <w:tcPr>
            <w:tcW w:w="2677" w:type="pct"/>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sz w:val="24"/>
                <w:szCs w:val="24"/>
              </w:rPr>
            </w:pPr>
            <w:r>
              <w:rPr>
                <w:rFonts w:hint="eastAsia" w:ascii="宋体" w:hAnsi="宋体" w:eastAsia="宋体" w:cs="宋体"/>
                <w:sz w:val="24"/>
                <w:szCs w:val="24"/>
              </w:rPr>
              <w:t>12,699.60</w:t>
            </w:r>
          </w:p>
        </w:tc>
      </w:tr>
    </w:tbl>
    <w:p>
      <w:pPr>
        <w:widowControl/>
        <w:adjustRightInd w:val="0"/>
        <w:snapToGrid w:val="0"/>
        <w:spacing w:line="360" w:lineRule="auto"/>
        <w:rPr>
          <w:rFonts w:ascii="宋体" w:hAnsi="宋体" w:eastAsia="宋体" w:cs="宋体"/>
          <w:color w:val="000000"/>
          <w:kern w:val="0"/>
          <w:sz w:val="24"/>
          <w:szCs w:val="24"/>
          <w:lang w:bidi="ar"/>
        </w:rPr>
      </w:pPr>
    </w:p>
    <w:p>
      <w:pPr>
        <w:widowControl/>
        <w:adjustRightInd w:val="0"/>
        <w:snapToGrid w:val="0"/>
        <w:spacing w:line="360" w:lineRule="auto"/>
        <w:ind w:firstLine="643"/>
        <w:rPr>
          <w:rFonts w:hint="eastAsia" w:ascii="宋体" w:hAnsi="宋体" w:eastAsia="宋体" w:cs="宋体"/>
          <w:b/>
          <w:sz w:val="24"/>
          <w:szCs w:val="24"/>
          <w:lang w:bidi="ar"/>
        </w:rPr>
      </w:pPr>
      <w:r>
        <w:rPr>
          <w:rFonts w:hint="eastAsia" w:ascii="宋体" w:hAnsi="宋体" w:eastAsia="宋体" w:cs="宋体"/>
          <w:b/>
          <w:sz w:val="24"/>
          <w:szCs w:val="24"/>
          <w:lang w:bidi="ar"/>
        </w:rPr>
        <w:t>17、评估结论</w:t>
      </w:r>
    </w:p>
    <w:p>
      <w:pPr>
        <w:widowControl/>
        <w:adjustRightInd w:val="0"/>
        <w:snapToGrid w:val="0"/>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股东全部权益价值=经营性资产价值+溢余性资产+非经营性资产价值-非经营性负债价值</w:t>
      </w:r>
    </w:p>
    <w:p>
      <w:pPr>
        <w:pStyle w:val="4"/>
        <w:snapToGrid w:val="0"/>
        <w:spacing w:line="360" w:lineRule="auto"/>
        <w:rPr>
          <w:rFonts w:hint="eastAsia" w:ascii="宋体" w:hAnsi="宋体" w:eastAsia="宋体" w:cs="宋体"/>
          <w:sz w:val="24"/>
          <w:szCs w:val="24"/>
        </w:rPr>
      </w:pPr>
      <w:r>
        <w:rPr>
          <w:rFonts w:hint="eastAsia" w:ascii="宋体" w:hAnsi="宋体" w:eastAsia="宋体" w:cs="宋体"/>
          <w:sz w:val="24"/>
          <w:szCs w:val="24"/>
        </w:rPr>
        <w:t>=760,050.97+52,726.67+0.59-12,669.6</w:t>
      </w:r>
    </w:p>
    <w:p>
      <w:pPr>
        <w:pStyle w:val="4"/>
        <w:snapToGrid w:val="0"/>
        <w:spacing w:line="360" w:lineRule="auto"/>
        <w:rPr>
          <w:rFonts w:hint="eastAsia" w:ascii="宋体" w:hAnsi="宋体" w:eastAsia="宋体" w:cs="宋体"/>
          <w:sz w:val="24"/>
          <w:szCs w:val="24"/>
        </w:rPr>
      </w:pPr>
      <w:r>
        <w:rPr>
          <w:rFonts w:hint="eastAsia" w:ascii="宋体" w:hAnsi="宋体" w:eastAsia="宋体" w:cs="宋体"/>
          <w:sz w:val="24"/>
          <w:szCs w:val="24"/>
        </w:rPr>
        <w:t>=800,100.00万元。（取整到百万元）</w:t>
      </w:r>
    </w:p>
    <w:p>
      <w:pPr>
        <w:widowControl/>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color w:val="000000"/>
          <w:kern w:val="0"/>
          <w:sz w:val="24"/>
          <w:szCs w:val="24"/>
          <w:lang w:bidi="ar"/>
        </w:rPr>
        <w:t>上述评估结果未经国有资产管理机构备案，存在数据变动的可能性。</w:t>
      </w:r>
    </w:p>
    <w:p>
      <w:pPr>
        <w:numPr>
          <w:ilvl w:val="255"/>
          <w:numId w:val="0"/>
        </w:num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w:t>
      </w:r>
      <w:r>
        <w:rPr>
          <w:rFonts w:hint="eastAsia" w:ascii="宋体" w:hAnsi="宋体" w:eastAsia="宋体" w:cs="宋体"/>
          <w:b/>
          <w:bCs/>
          <w:sz w:val="24"/>
          <w:szCs w:val="24"/>
          <w:lang w:bidi="ar"/>
        </w:rPr>
        <w:t>市场法下可比公司或可比交易的选取情况、选取依据及合理性；</w:t>
      </w:r>
    </w:p>
    <w:p>
      <w:pPr>
        <w:widowControl/>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1、案例的选取</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通过同花顺检索最近一年内已经完成的高速公路经营公司股权交易案例，发现交易案例较少，且公开信息较少，无法有效的对案例和标的公司存在的差异进行调整，故本次无法采用交易案例比较法。由于经营高速公路的上市公司较多，本次采用可比上市公司比较法进行市场法测算。</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从行业特性分析，高速公路运营成本中固定成本所占比重较高，只有车流量达到一定规模才能保障盈利，而决定车流量大小的主要因素是地区经济发展水平。因此从根本上讲，只要地区经济有较高的基数和增长速度，区内高速公路公司的利润就有保障。故区域因素是影响车流量进而影响公司价值的最主要因素。</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标的公司项目路起自常宜高速前黄枢纽，在前黄镇南侧跨越锡溧漕河改线段、常漕公路及新长铁路，与锡宜高速公路交叉后经潘家镇穿越常州太湖湾旅游度假区，经雪堰镇南进入无锡马山境内，跨越常州、无锡，属于江苏苏南经济发达地区。根据国家发布2022年全国各省份gdp数据，江苏以12.2万亿位居第二，与广东省12.9万亿领先于其他省份。本次以同花顺导出高速公路上市公司，首先筛除2022年经过审计通行费收入占营业总收入不足50%的案例，第二步寻找江苏与广东境内的可比上市公司，按此步骤，筛选出宁沪高速，深高速，粤高速A三家，由于粤高速包含了粤高速A和粤高速B，B股流动性较弱，在计算价值比率的时候无法切割，故筛除粤高速A。由于市场法可比案例一般为3-6个案例，故略放宽区域标准，从严业务可比性，从通行费收入占营业收入比重最高的公司排序，其中山西路桥营业收入中100%为通行费收入，资产总额与标的公司也非常接近，故纳入可比案例，最终选取宁沪高速，深高速、山西路桥作为可比案例。</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2、价值比率的选取</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价值比率的选取上，由于高速公路经营权公司收入较为稳定，现金流较为充裕，故运营初期财务杠杆一般较高，后逐年还本付息，带息债务比重下降，财务杠杆下降，因此各公司之间会因为初始建设财务杠杆比率不同、还本付息计划不同，现金流不同出现同类公司资本结构之间有较大差异，导致企业现金流接近，企业价值接近的两个公司的权益类指标例如PB、PE出现较大差异，故权益类指标不适合该类型企业。全投资口径的指标更适合标的企业的评估，另外由于标的公司处于快速增长期，而上市公司业绩一般较为平稳，故企业价值/息税摊销前利润，企业价值/息税前利润不适合本次评估，综上几点考虑，本次采用企业价值/核心资产（固定资产+无形资产）作为价值比率，该指标兼顾了全投资口径，避免了盈利指标阶段性的差异，考虑了高速公路重资产投入的因素。由于各公司有非经营性资产、负债，为统一各公司之间的比较口径，对非经营性资产、负债进行调整. </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3、流动性折扣</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因本次选用的可比上市公司均为上市公司，其股份具有很强的流动性，而评估对象为非上市公司，因此需考虑缺乏流动性折扣。本次评估根据国内机构统计的资本市场上市公司市盈率和非上市公司并购市盈率的对比确认的缺乏流动性折扣率的算术平均值为32%。扣除流动性折扣后的企业价值/核心资产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00"/>
        <w:gridCol w:w="1945"/>
        <w:gridCol w:w="1943"/>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shd w:val="clear" w:color="auto" w:fill="auto"/>
          </w:tcPr>
          <w:p>
            <w:pPr>
              <w:adjustRightInd w:val="0"/>
              <w:jc w:val="center"/>
              <w:rPr>
                <w:rFonts w:hint="eastAsia" w:ascii="宋体" w:hAnsi="宋体" w:eastAsia="宋体" w:cs="宋体"/>
                <w:b/>
                <w:sz w:val="24"/>
                <w:szCs w:val="24"/>
              </w:rPr>
            </w:pPr>
            <w:r>
              <w:rPr>
                <w:rFonts w:hint="eastAsia" w:ascii="宋体" w:hAnsi="宋体" w:eastAsia="宋体" w:cs="宋体"/>
                <w:b/>
                <w:sz w:val="24"/>
                <w:szCs w:val="24"/>
              </w:rPr>
              <w:t>项目</w:t>
            </w:r>
          </w:p>
        </w:tc>
        <w:tc>
          <w:tcPr>
            <w:tcW w:w="1141" w:type="pct"/>
            <w:shd w:val="clear" w:color="auto" w:fill="auto"/>
            <w:vAlign w:val="bottom"/>
          </w:tcPr>
          <w:p>
            <w:pPr>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宁沪高速</w:t>
            </w:r>
          </w:p>
        </w:tc>
        <w:tc>
          <w:tcPr>
            <w:tcW w:w="1140" w:type="pct"/>
            <w:shd w:val="clear" w:color="auto" w:fill="auto"/>
            <w:vAlign w:val="bottom"/>
          </w:tcPr>
          <w:p>
            <w:pPr>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深高速</w:t>
            </w:r>
          </w:p>
        </w:tc>
        <w:tc>
          <w:tcPr>
            <w:tcW w:w="1136" w:type="pct"/>
            <w:shd w:val="clear" w:color="auto" w:fill="auto"/>
            <w:vAlign w:val="bottom"/>
          </w:tcPr>
          <w:p>
            <w:pPr>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山西路桥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shd w:val="clear" w:color="auto" w:fill="auto"/>
            <w:vAlign w:val="bottom"/>
          </w:tcPr>
          <w:p>
            <w:pPr>
              <w:rPr>
                <w:rFonts w:hint="eastAsia" w:ascii="宋体" w:hAnsi="宋体" w:eastAsia="宋体" w:cs="宋体"/>
                <w:color w:val="000000"/>
                <w:sz w:val="24"/>
                <w:szCs w:val="24"/>
              </w:rPr>
            </w:pPr>
            <w:r>
              <w:rPr>
                <w:rFonts w:hint="eastAsia" w:ascii="宋体" w:hAnsi="宋体" w:eastAsia="宋体" w:cs="宋体"/>
                <w:color w:val="000000"/>
                <w:sz w:val="24"/>
                <w:szCs w:val="24"/>
              </w:rPr>
              <w:t>调整前企业价值</w:t>
            </w:r>
          </w:p>
        </w:tc>
        <w:tc>
          <w:tcPr>
            <w:tcW w:w="1141" w:type="pct"/>
            <w:shd w:val="clear" w:color="auto" w:fill="auto"/>
            <w:vAlign w:val="center"/>
          </w:tcPr>
          <w:p>
            <w:pPr>
              <w:widowControl/>
              <w:jc w:val="right"/>
              <w:textAlignment w:val="center"/>
              <w:rPr>
                <w:rFonts w:hint="eastAsia" w:ascii="宋体" w:hAnsi="宋体" w:eastAsia="宋体" w:cs="宋体"/>
                <w:bCs/>
                <w:color w:val="000000"/>
                <w:kern w:val="0"/>
                <w:sz w:val="24"/>
                <w:szCs w:val="24"/>
                <w:lang w:bidi="ar"/>
              </w:rPr>
            </w:pPr>
            <w:r>
              <w:rPr>
                <w:rFonts w:hint="eastAsia" w:ascii="宋体" w:hAnsi="宋体" w:eastAsia="宋体" w:cs="宋体"/>
                <w:bCs/>
                <w:color w:val="000000"/>
                <w:kern w:val="0"/>
                <w:sz w:val="24"/>
                <w:szCs w:val="24"/>
                <w:lang w:bidi="ar"/>
              </w:rPr>
              <w:t>7,550,457.76</w:t>
            </w:r>
          </w:p>
        </w:tc>
        <w:tc>
          <w:tcPr>
            <w:tcW w:w="1140" w:type="pct"/>
            <w:shd w:val="clear" w:color="auto" w:fill="auto"/>
            <w:vAlign w:val="center"/>
          </w:tcPr>
          <w:p>
            <w:pPr>
              <w:widowControl/>
              <w:jc w:val="right"/>
              <w:textAlignment w:val="center"/>
              <w:rPr>
                <w:rFonts w:hint="eastAsia" w:ascii="宋体" w:hAnsi="宋体" w:eastAsia="宋体" w:cs="宋体"/>
                <w:bCs/>
                <w:color w:val="000000"/>
                <w:kern w:val="0"/>
                <w:sz w:val="24"/>
                <w:szCs w:val="24"/>
                <w:lang w:bidi="ar"/>
              </w:rPr>
            </w:pPr>
            <w:r>
              <w:rPr>
                <w:rFonts w:hint="eastAsia" w:ascii="宋体" w:hAnsi="宋体" w:eastAsia="宋体" w:cs="宋体"/>
                <w:bCs/>
                <w:color w:val="000000"/>
                <w:kern w:val="0"/>
                <w:sz w:val="24"/>
                <w:szCs w:val="24"/>
                <w:lang w:bidi="ar"/>
              </w:rPr>
              <w:t>5,577,974.76</w:t>
            </w:r>
          </w:p>
        </w:tc>
        <w:tc>
          <w:tcPr>
            <w:tcW w:w="1136" w:type="pct"/>
            <w:shd w:val="clear" w:color="auto" w:fill="auto"/>
            <w:vAlign w:val="center"/>
          </w:tcPr>
          <w:p>
            <w:pPr>
              <w:jc w:val="right"/>
              <w:rPr>
                <w:rFonts w:hint="eastAsia" w:ascii="宋体" w:hAnsi="宋体" w:eastAsia="宋体" w:cs="宋体"/>
                <w:bCs/>
                <w:color w:val="000000"/>
                <w:sz w:val="24"/>
                <w:szCs w:val="24"/>
              </w:rPr>
            </w:pPr>
            <w:r>
              <w:rPr>
                <w:rFonts w:hint="eastAsia" w:ascii="宋体" w:hAnsi="宋体" w:eastAsia="宋体" w:cs="宋体"/>
                <w:bCs/>
                <w:color w:val="000000"/>
                <w:kern w:val="0"/>
                <w:sz w:val="24"/>
                <w:szCs w:val="24"/>
                <w:lang w:bidi="ar"/>
              </w:rPr>
              <w:t>1,501,731.36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shd w:val="clear" w:color="auto" w:fill="auto"/>
            <w:vAlign w:val="bottom"/>
          </w:tcPr>
          <w:p>
            <w:pPr>
              <w:rPr>
                <w:rFonts w:hint="eastAsia" w:ascii="宋体" w:hAnsi="宋体" w:eastAsia="宋体" w:cs="宋体"/>
                <w:color w:val="000000"/>
                <w:sz w:val="24"/>
                <w:szCs w:val="24"/>
              </w:rPr>
            </w:pPr>
            <w:r>
              <w:rPr>
                <w:rFonts w:hint="eastAsia" w:ascii="宋体" w:hAnsi="宋体" w:eastAsia="宋体" w:cs="宋体"/>
                <w:color w:val="000000"/>
                <w:sz w:val="24"/>
                <w:szCs w:val="24"/>
              </w:rPr>
              <w:t>非经营性资产/负债</w:t>
            </w:r>
          </w:p>
        </w:tc>
        <w:tc>
          <w:tcPr>
            <w:tcW w:w="1141"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380,172.52</w:t>
            </w:r>
          </w:p>
        </w:tc>
        <w:tc>
          <w:tcPr>
            <w:tcW w:w="1140"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324,893.30</w:t>
            </w:r>
          </w:p>
        </w:tc>
        <w:tc>
          <w:tcPr>
            <w:tcW w:w="1136"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57,169.65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shd w:val="clear" w:color="auto" w:fill="auto"/>
            <w:vAlign w:val="bottom"/>
          </w:tcPr>
          <w:p>
            <w:pPr>
              <w:rPr>
                <w:rFonts w:hint="eastAsia" w:ascii="宋体" w:hAnsi="宋体" w:eastAsia="宋体" w:cs="宋体"/>
                <w:color w:val="000000"/>
                <w:sz w:val="24"/>
                <w:szCs w:val="24"/>
              </w:rPr>
            </w:pPr>
            <w:r>
              <w:rPr>
                <w:rFonts w:hint="eastAsia" w:ascii="宋体" w:hAnsi="宋体" w:eastAsia="宋体" w:cs="宋体"/>
                <w:color w:val="000000"/>
                <w:sz w:val="24"/>
                <w:szCs w:val="24"/>
              </w:rPr>
              <w:t>调整后企业价值</w:t>
            </w:r>
          </w:p>
        </w:tc>
        <w:tc>
          <w:tcPr>
            <w:tcW w:w="1141"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7,170,285.24</w:t>
            </w:r>
          </w:p>
        </w:tc>
        <w:tc>
          <w:tcPr>
            <w:tcW w:w="1140"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5,253,081.46</w:t>
            </w:r>
          </w:p>
        </w:tc>
        <w:tc>
          <w:tcPr>
            <w:tcW w:w="1136" w:type="pct"/>
            <w:shd w:val="clear" w:color="auto" w:fill="auto"/>
            <w:vAlign w:val="center"/>
          </w:tcPr>
          <w:p>
            <w:pPr>
              <w:widowControl/>
              <w:jc w:val="right"/>
              <w:textAlignment w:val="center"/>
              <w:rPr>
                <w:rFonts w:hint="eastAsia" w:ascii="宋体" w:hAnsi="宋体" w:eastAsia="宋体" w:cs="宋体"/>
                <w:bCs/>
                <w:color w:val="000000"/>
                <w:kern w:val="0"/>
                <w:sz w:val="24"/>
                <w:szCs w:val="24"/>
                <w:lang w:eastAsia="zh-CN" w:bidi="ar"/>
              </w:rPr>
            </w:pPr>
            <w:r>
              <w:rPr>
                <w:rFonts w:hint="eastAsia" w:ascii="宋体" w:hAnsi="宋体" w:eastAsia="宋体" w:cs="宋体"/>
                <w:bCs/>
                <w:color w:val="000000"/>
                <w:kern w:val="0"/>
                <w:sz w:val="24"/>
                <w:szCs w:val="24"/>
                <w:lang w:bidi="ar"/>
              </w:rPr>
              <w:t>1,444,561.70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shd w:val="clear" w:color="auto" w:fill="auto"/>
            <w:vAlign w:val="bottom"/>
          </w:tcPr>
          <w:p>
            <w:pPr>
              <w:rPr>
                <w:rFonts w:hint="eastAsia" w:ascii="宋体" w:hAnsi="宋体" w:eastAsia="宋体" w:cs="宋体"/>
                <w:color w:val="000000"/>
                <w:sz w:val="24"/>
                <w:szCs w:val="24"/>
              </w:rPr>
            </w:pPr>
            <w:r>
              <w:rPr>
                <w:rFonts w:hint="eastAsia" w:ascii="宋体" w:hAnsi="宋体" w:eastAsia="宋体" w:cs="宋体"/>
                <w:color w:val="000000"/>
                <w:sz w:val="24"/>
                <w:szCs w:val="24"/>
              </w:rPr>
              <w:t>扣除流动性折扣后的企业价值/核心资产</w:t>
            </w:r>
          </w:p>
        </w:tc>
        <w:tc>
          <w:tcPr>
            <w:tcW w:w="1141" w:type="pct"/>
            <w:shd w:val="clear" w:color="auto" w:fill="auto"/>
            <w:vAlign w:val="center"/>
          </w:tcPr>
          <w:p>
            <w:pPr>
              <w:widowControl/>
              <w:jc w:val="right"/>
              <w:textAlignment w:val="center"/>
              <w:rPr>
                <w:rFonts w:hint="eastAsia" w:ascii="宋体" w:hAnsi="宋体" w:eastAsia="宋体" w:cs="宋体"/>
                <w:bCs/>
                <w:color w:val="000000"/>
                <w:kern w:val="0"/>
                <w:sz w:val="24"/>
                <w:szCs w:val="24"/>
                <w:lang w:bidi="ar"/>
              </w:rPr>
            </w:pPr>
            <w:r>
              <w:rPr>
                <w:rFonts w:hint="eastAsia" w:ascii="宋体" w:hAnsi="宋体" w:eastAsia="宋体" w:cs="宋体"/>
                <w:bCs/>
                <w:color w:val="000000"/>
                <w:kern w:val="0"/>
                <w:sz w:val="24"/>
                <w:szCs w:val="24"/>
                <w:lang w:bidi="ar"/>
              </w:rPr>
              <w:t>1.2387</w:t>
            </w:r>
          </w:p>
        </w:tc>
        <w:tc>
          <w:tcPr>
            <w:tcW w:w="1140" w:type="pct"/>
            <w:shd w:val="clear" w:color="auto" w:fill="auto"/>
            <w:vAlign w:val="center"/>
          </w:tcPr>
          <w:p>
            <w:pPr>
              <w:widowControl/>
              <w:jc w:val="right"/>
              <w:textAlignment w:val="center"/>
              <w:rPr>
                <w:rFonts w:hint="eastAsia" w:ascii="宋体" w:hAnsi="宋体" w:eastAsia="宋体" w:cs="宋体"/>
                <w:bCs/>
                <w:color w:val="000000"/>
                <w:kern w:val="0"/>
                <w:sz w:val="24"/>
                <w:szCs w:val="24"/>
                <w:lang w:bidi="ar"/>
              </w:rPr>
            </w:pPr>
            <w:r>
              <w:rPr>
                <w:rFonts w:hint="eastAsia" w:ascii="宋体" w:hAnsi="宋体" w:eastAsia="宋体" w:cs="宋体"/>
                <w:bCs/>
                <w:color w:val="000000"/>
                <w:kern w:val="0"/>
                <w:sz w:val="24"/>
                <w:szCs w:val="24"/>
                <w:lang w:bidi="ar"/>
              </w:rPr>
              <w:t>1.3534</w:t>
            </w:r>
          </w:p>
        </w:tc>
        <w:tc>
          <w:tcPr>
            <w:tcW w:w="1136" w:type="pct"/>
            <w:shd w:val="clear" w:color="auto" w:fill="auto"/>
            <w:vAlign w:val="center"/>
          </w:tcPr>
          <w:p>
            <w:pPr>
              <w:widowControl/>
              <w:jc w:val="right"/>
              <w:textAlignment w:val="center"/>
              <w:rPr>
                <w:rFonts w:hint="eastAsia" w:ascii="宋体" w:hAnsi="宋体" w:eastAsia="宋体" w:cs="宋体"/>
                <w:bCs/>
                <w:color w:val="000000"/>
                <w:kern w:val="0"/>
                <w:sz w:val="24"/>
                <w:szCs w:val="24"/>
                <w:lang w:bidi="ar"/>
              </w:rPr>
            </w:pPr>
            <w:r>
              <w:rPr>
                <w:rFonts w:hint="eastAsia" w:ascii="宋体" w:hAnsi="宋体" w:eastAsia="宋体" w:cs="宋体"/>
                <w:bCs/>
                <w:color w:val="000000"/>
                <w:kern w:val="0"/>
                <w:sz w:val="24"/>
                <w:szCs w:val="24"/>
                <w:lang w:bidi="ar"/>
              </w:rPr>
              <w:t>1.0100</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4、价值比率的调整</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i可比财务指标及其标准得分的确定</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依据国务院国资委考核分配局编制的《企业绩效评价标准值2022》中关于道路运输业的全行业绩效说明，并结合被评估单位的自身特点，将净资产收益率、总资产报酬率、销售（营业）利润率、总资产周转率、应收账款周转率、流动资产周转率、资产负债率、带息负债比率作为财务指标修正，由于上市公司均有多条路产，以及其他业务，其价值的表现基本认为是永续期的收益，而标的公司为单一的路产，收费年限为有限年限，故将收益年限也作为修正因素，将被评估单位与可比上市公司进行比较。各指标权重分配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2482"/>
        <w:gridCol w:w="3485"/>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64" w:type="pct"/>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456" w:type="pct"/>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指标分类</w:t>
            </w:r>
          </w:p>
        </w:tc>
        <w:tc>
          <w:tcPr>
            <w:tcW w:w="2045" w:type="pct"/>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指标名称</w:t>
            </w:r>
          </w:p>
        </w:tc>
        <w:tc>
          <w:tcPr>
            <w:tcW w:w="935" w:type="pct"/>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权重分配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restart"/>
            <w:shd w:val="clear" w:color="auto" w:fill="auto"/>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1</w:t>
            </w:r>
          </w:p>
        </w:tc>
        <w:tc>
          <w:tcPr>
            <w:tcW w:w="1456" w:type="pct"/>
            <w:vMerge w:val="restart"/>
            <w:shd w:val="clear" w:color="000000" w:fill="FFFFFF"/>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盈利能力状况</w:t>
            </w: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净资产收益率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continue"/>
            <w:shd w:val="clear" w:color="auto" w:fill="auto"/>
            <w:vAlign w:val="center"/>
          </w:tcPr>
          <w:p>
            <w:pPr>
              <w:snapToGrid w:val="0"/>
              <w:rPr>
                <w:rFonts w:hint="eastAsia" w:ascii="宋体" w:hAnsi="宋体" w:eastAsia="宋体" w:cs="宋体"/>
                <w:sz w:val="24"/>
                <w:szCs w:val="24"/>
              </w:rPr>
            </w:pPr>
          </w:p>
        </w:tc>
        <w:tc>
          <w:tcPr>
            <w:tcW w:w="1456" w:type="pct"/>
            <w:vMerge w:val="continue"/>
            <w:shd w:val="clear" w:color="auto" w:fill="auto"/>
            <w:vAlign w:val="center"/>
          </w:tcPr>
          <w:p>
            <w:pPr>
              <w:snapToGrid w:val="0"/>
              <w:rPr>
                <w:rFonts w:hint="eastAsia" w:ascii="宋体" w:hAnsi="宋体" w:eastAsia="宋体" w:cs="宋体"/>
                <w:sz w:val="24"/>
                <w:szCs w:val="24"/>
              </w:rPr>
            </w:pP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总资产报酬率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continue"/>
            <w:shd w:val="clear" w:color="auto" w:fill="auto"/>
            <w:vAlign w:val="center"/>
          </w:tcPr>
          <w:p>
            <w:pPr>
              <w:snapToGrid w:val="0"/>
              <w:rPr>
                <w:rFonts w:hint="eastAsia" w:ascii="宋体" w:hAnsi="宋体" w:eastAsia="宋体" w:cs="宋体"/>
                <w:sz w:val="24"/>
                <w:szCs w:val="24"/>
              </w:rPr>
            </w:pPr>
          </w:p>
        </w:tc>
        <w:tc>
          <w:tcPr>
            <w:tcW w:w="1456" w:type="pct"/>
            <w:vMerge w:val="continue"/>
            <w:shd w:val="clear" w:color="auto" w:fill="auto"/>
            <w:vAlign w:val="center"/>
          </w:tcPr>
          <w:p>
            <w:pPr>
              <w:snapToGrid w:val="0"/>
              <w:rPr>
                <w:rFonts w:hint="eastAsia" w:ascii="宋体" w:hAnsi="宋体" w:eastAsia="宋体" w:cs="宋体"/>
                <w:sz w:val="24"/>
                <w:szCs w:val="24"/>
              </w:rPr>
            </w:pP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销售（营业）利润率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restart"/>
            <w:shd w:val="clear" w:color="auto" w:fill="auto"/>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2</w:t>
            </w:r>
          </w:p>
        </w:tc>
        <w:tc>
          <w:tcPr>
            <w:tcW w:w="1456" w:type="pct"/>
            <w:vMerge w:val="restart"/>
            <w:shd w:val="clear" w:color="000000" w:fill="FFFFFF"/>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资产质量状况</w:t>
            </w: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总资产周转率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continue"/>
            <w:shd w:val="clear" w:color="auto" w:fill="auto"/>
            <w:vAlign w:val="center"/>
          </w:tcPr>
          <w:p>
            <w:pPr>
              <w:snapToGrid w:val="0"/>
              <w:rPr>
                <w:rFonts w:hint="eastAsia" w:ascii="宋体" w:hAnsi="宋体" w:eastAsia="宋体" w:cs="宋体"/>
                <w:sz w:val="24"/>
                <w:szCs w:val="24"/>
              </w:rPr>
            </w:pPr>
          </w:p>
        </w:tc>
        <w:tc>
          <w:tcPr>
            <w:tcW w:w="1456" w:type="pct"/>
            <w:vMerge w:val="continue"/>
            <w:shd w:val="clear" w:color="auto" w:fill="auto"/>
            <w:vAlign w:val="center"/>
          </w:tcPr>
          <w:p>
            <w:pPr>
              <w:snapToGrid w:val="0"/>
              <w:rPr>
                <w:rFonts w:hint="eastAsia" w:ascii="宋体" w:hAnsi="宋体" w:eastAsia="宋体" w:cs="宋体"/>
                <w:sz w:val="24"/>
                <w:szCs w:val="24"/>
              </w:rPr>
            </w:pP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应收账款周转率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continue"/>
            <w:shd w:val="clear" w:color="auto" w:fill="auto"/>
            <w:vAlign w:val="center"/>
          </w:tcPr>
          <w:p>
            <w:pPr>
              <w:snapToGrid w:val="0"/>
              <w:rPr>
                <w:rFonts w:hint="eastAsia" w:ascii="宋体" w:hAnsi="宋体" w:eastAsia="宋体" w:cs="宋体"/>
                <w:sz w:val="24"/>
                <w:szCs w:val="24"/>
              </w:rPr>
            </w:pPr>
          </w:p>
        </w:tc>
        <w:tc>
          <w:tcPr>
            <w:tcW w:w="1456" w:type="pct"/>
            <w:vMerge w:val="continue"/>
            <w:shd w:val="clear" w:color="auto" w:fill="auto"/>
            <w:vAlign w:val="center"/>
          </w:tcPr>
          <w:p>
            <w:pPr>
              <w:snapToGrid w:val="0"/>
              <w:rPr>
                <w:rFonts w:hint="eastAsia" w:ascii="宋体" w:hAnsi="宋体" w:eastAsia="宋体" w:cs="宋体"/>
                <w:sz w:val="24"/>
                <w:szCs w:val="24"/>
              </w:rPr>
            </w:pP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流动资产周转率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restart"/>
            <w:shd w:val="clear" w:color="auto" w:fill="auto"/>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3</w:t>
            </w:r>
          </w:p>
        </w:tc>
        <w:tc>
          <w:tcPr>
            <w:tcW w:w="1456" w:type="pct"/>
            <w:vMerge w:val="restart"/>
            <w:shd w:val="clear" w:color="000000" w:fill="FFFFFF"/>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债务风险状况</w:t>
            </w: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资产负债率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vMerge w:val="continue"/>
            <w:shd w:val="clear" w:color="auto" w:fill="auto"/>
            <w:vAlign w:val="center"/>
          </w:tcPr>
          <w:p>
            <w:pPr>
              <w:snapToGrid w:val="0"/>
              <w:jc w:val="center"/>
              <w:rPr>
                <w:rFonts w:hint="eastAsia" w:ascii="宋体" w:hAnsi="宋体" w:eastAsia="宋体" w:cs="宋体"/>
                <w:sz w:val="24"/>
                <w:szCs w:val="24"/>
              </w:rPr>
            </w:pPr>
          </w:p>
        </w:tc>
        <w:tc>
          <w:tcPr>
            <w:tcW w:w="1456" w:type="pct"/>
            <w:vMerge w:val="continue"/>
            <w:shd w:val="clear" w:color="auto" w:fill="auto"/>
            <w:vAlign w:val="center"/>
          </w:tcPr>
          <w:p>
            <w:pPr>
              <w:snapToGrid w:val="0"/>
              <w:rPr>
                <w:rFonts w:hint="eastAsia" w:ascii="宋体" w:hAnsi="宋体" w:eastAsia="宋体" w:cs="宋体"/>
                <w:sz w:val="24"/>
                <w:szCs w:val="24"/>
              </w:rPr>
            </w:pP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带息负债比率</w:t>
            </w:r>
          </w:p>
        </w:tc>
        <w:tc>
          <w:tcPr>
            <w:tcW w:w="935" w:type="pct"/>
            <w:vAlign w:val="center"/>
          </w:tcPr>
          <w:p>
            <w:pPr>
              <w:widowControl/>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4" w:type="pct"/>
            <w:shd w:val="clear" w:color="auto" w:fill="auto"/>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4</w:t>
            </w:r>
          </w:p>
        </w:tc>
        <w:tc>
          <w:tcPr>
            <w:tcW w:w="1456" w:type="pct"/>
            <w:shd w:val="clear" w:color="auto" w:fill="auto"/>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收益年限</w:t>
            </w:r>
          </w:p>
        </w:tc>
        <w:tc>
          <w:tcPr>
            <w:tcW w:w="2045"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收益年限</w:t>
            </w:r>
          </w:p>
        </w:tc>
        <w:tc>
          <w:tcPr>
            <w:tcW w:w="935"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65" w:type="pct"/>
            <w:gridSpan w:val="3"/>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合计</w:t>
            </w:r>
          </w:p>
        </w:tc>
        <w:tc>
          <w:tcPr>
            <w:tcW w:w="935" w:type="pct"/>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100</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依据《企业绩效评价标准值2022》，企业业绩评价体系将五段财务指标的简单平均数分别作为该财务指标的“优秀值”、“良好值”、“平均值”、“较低值”和“较差值”，对应五档评价标准的进行调整。其中优秀为满分，较差为70分，中间三档均值化处理，收益年限单独调整10%，乘以对应权重后如下。</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调整相应财务指标后的各档标准值得分如下：</w:t>
      </w:r>
    </w:p>
    <w:p>
      <w:pPr>
        <w:snapToGrid w:val="0"/>
        <w:spacing w:line="360" w:lineRule="auto"/>
        <w:jc w:val="center"/>
        <w:rPr>
          <w:rFonts w:hint="eastAsia" w:ascii="宋体" w:hAnsi="宋体" w:eastAsia="宋体" w:cs="宋体"/>
          <w:b w:val="0"/>
          <w:bCs/>
          <w:sz w:val="24"/>
          <w:szCs w:val="24"/>
        </w:rPr>
      </w:pPr>
      <w:r>
        <w:rPr>
          <w:rFonts w:hint="eastAsia" w:ascii="宋体" w:hAnsi="宋体" w:eastAsia="宋体" w:cs="宋体"/>
          <w:b w:val="0"/>
          <w:bCs/>
          <w:sz w:val="24"/>
          <w:szCs w:val="24"/>
        </w:rPr>
        <w:t>各财务指标标准值得分表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Layout w:type="autofit"/>
        <w:tblCellMar>
          <w:top w:w="0" w:type="dxa"/>
          <w:left w:w="108" w:type="dxa"/>
          <w:bottom w:w="0" w:type="dxa"/>
          <w:right w:w="108" w:type="dxa"/>
        </w:tblCellMar>
      </w:tblPr>
      <w:tblGrid>
        <w:gridCol w:w="2849"/>
        <w:gridCol w:w="1052"/>
        <w:gridCol w:w="1149"/>
        <w:gridCol w:w="1149"/>
        <w:gridCol w:w="1149"/>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blHeader/>
        </w:trPr>
        <w:tc>
          <w:tcPr>
            <w:tcW w:w="1672"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项目</w:t>
            </w:r>
          </w:p>
        </w:tc>
        <w:tc>
          <w:tcPr>
            <w:tcW w:w="617"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优秀值</w:t>
            </w:r>
          </w:p>
        </w:tc>
        <w:tc>
          <w:tcPr>
            <w:tcW w:w="67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良好值</w:t>
            </w:r>
          </w:p>
        </w:tc>
        <w:tc>
          <w:tcPr>
            <w:tcW w:w="67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平均值</w:t>
            </w:r>
          </w:p>
        </w:tc>
        <w:tc>
          <w:tcPr>
            <w:tcW w:w="67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较低值</w:t>
            </w:r>
          </w:p>
        </w:tc>
        <w:tc>
          <w:tcPr>
            <w:tcW w:w="689"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较差值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shd w:val="clear" w:color="000000" w:fill="FFFFFF"/>
            <w:vAlign w:val="center"/>
          </w:tcPr>
          <w:p>
            <w:pPr>
              <w:snapToGrid w:val="0"/>
              <w:rPr>
                <w:rFonts w:hint="eastAsia" w:ascii="宋体" w:hAnsi="宋体" w:eastAsia="宋体" w:cs="宋体"/>
                <w:b/>
                <w:sz w:val="24"/>
                <w:szCs w:val="24"/>
              </w:rPr>
            </w:pPr>
            <w:r>
              <w:rPr>
                <w:rFonts w:hint="eastAsia" w:ascii="宋体" w:hAnsi="宋体" w:eastAsia="宋体" w:cs="宋体"/>
                <w:b/>
                <w:sz w:val="24"/>
                <w:szCs w:val="24"/>
              </w:rPr>
              <w:t>一、盈利能力状况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净资产收益率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13.875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11.625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总资产报酬率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13.875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11.625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销售（营业）利润率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13.875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11.625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二、资产质量状况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总资产周转率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13.875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12.75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11.625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应收账款周转率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4.625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3.875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流动资产周转率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4.625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3.875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三、债务风险状况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资产负债率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4.625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3.875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sz w:val="24"/>
                <w:szCs w:val="24"/>
              </w:rPr>
            </w:pPr>
            <w:r>
              <w:rPr>
                <w:rFonts w:hint="eastAsia" w:ascii="宋体" w:hAnsi="宋体" w:eastAsia="宋体" w:cs="宋体"/>
                <w:sz w:val="24"/>
                <w:szCs w:val="24"/>
              </w:rPr>
              <w:t>带息负债比率</w:t>
            </w:r>
          </w:p>
        </w:tc>
        <w:tc>
          <w:tcPr>
            <w:tcW w:w="617"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4.625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4.25</w:t>
            </w:r>
          </w:p>
        </w:tc>
        <w:tc>
          <w:tcPr>
            <w:tcW w:w="674"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3.875</w:t>
            </w:r>
          </w:p>
        </w:tc>
        <w:tc>
          <w:tcPr>
            <w:tcW w:w="689" w:type="pct"/>
            <w:shd w:val="clear" w:color="000000" w:fill="FFFFFF"/>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b/>
                <w:sz w:val="24"/>
                <w:szCs w:val="24"/>
              </w:rPr>
            </w:pPr>
            <w:r>
              <w:rPr>
                <w:rFonts w:hint="eastAsia" w:ascii="宋体" w:hAnsi="宋体" w:eastAsia="宋体" w:cs="宋体"/>
                <w:b/>
                <w:sz w:val="24"/>
                <w:szCs w:val="24"/>
              </w:rPr>
              <w:t>小计</w:t>
            </w:r>
          </w:p>
        </w:tc>
        <w:tc>
          <w:tcPr>
            <w:tcW w:w="617"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80</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74</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68</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62</w:t>
            </w:r>
          </w:p>
        </w:tc>
        <w:tc>
          <w:tcPr>
            <w:tcW w:w="689"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blCellMar>
            <w:top w:w="0" w:type="dxa"/>
            <w:left w:w="108" w:type="dxa"/>
            <w:bottom w:w="0" w:type="dxa"/>
            <w:right w:w="108" w:type="dxa"/>
          </w:tblCellMar>
        </w:tblPrEx>
        <w:trPr>
          <w:trHeight w:val="340" w:hRule="atLeast"/>
        </w:trPr>
        <w:tc>
          <w:tcPr>
            <w:tcW w:w="1672" w:type="pct"/>
            <w:shd w:val="clear" w:color="000000" w:fill="FFFFFF"/>
            <w:vAlign w:val="center"/>
          </w:tcPr>
          <w:p>
            <w:pPr>
              <w:snapToGrid w:val="0"/>
              <w:rPr>
                <w:rFonts w:hint="eastAsia" w:ascii="宋体" w:hAnsi="宋体" w:eastAsia="宋体" w:cs="宋体"/>
                <w:b/>
                <w:sz w:val="24"/>
                <w:szCs w:val="24"/>
              </w:rPr>
            </w:pPr>
            <w:r>
              <w:rPr>
                <w:rFonts w:hint="eastAsia" w:ascii="宋体" w:hAnsi="宋体" w:eastAsia="宋体" w:cs="宋体"/>
                <w:sz w:val="24"/>
                <w:szCs w:val="24"/>
              </w:rPr>
              <w:t>收益年限</w:t>
            </w:r>
          </w:p>
        </w:tc>
        <w:tc>
          <w:tcPr>
            <w:tcW w:w="617"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20</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w:t>
            </w:r>
          </w:p>
        </w:tc>
        <w:tc>
          <w:tcPr>
            <w:tcW w:w="674"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w:t>
            </w:r>
          </w:p>
        </w:tc>
        <w:tc>
          <w:tcPr>
            <w:tcW w:w="689" w:type="pct"/>
            <w:shd w:val="clear" w:color="000000" w:fill="FFFFFF"/>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18</w:t>
            </w:r>
          </w:p>
        </w:tc>
      </w:tr>
    </w:tbl>
    <w:p>
      <w:pPr>
        <w:keepNext w:val="0"/>
        <w:keepLines w:val="0"/>
        <w:pageBreakBefore w:val="0"/>
        <w:widowControl/>
        <w:kinsoku/>
        <w:wordWrap/>
        <w:overflowPunct/>
        <w:topLinePunct w:val="0"/>
        <w:autoSpaceDE/>
        <w:autoSpaceDN/>
        <w:bidi w:val="0"/>
        <w:adjustRightInd/>
        <w:spacing w:line="360" w:lineRule="auto"/>
        <w:ind w:firstLine="480" w:firstLineChars="200"/>
        <w:textAlignment w:val="auto"/>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2 \* roman \* MERGEFORMAT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ii</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可比财务指标标准值的确定</w:t>
      </w:r>
    </w:p>
    <w:p>
      <w:pPr>
        <w:keepNext w:val="0"/>
        <w:keepLines w:val="0"/>
        <w:pageBreakBefore w:val="0"/>
        <w:widowControl/>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依据《企业绩效评价标准值2022》高速公路业企业绩效评价财务指标标准值表，结合企业自身特点，各项可比财务指标的标准值如下：</w:t>
      </w:r>
    </w:p>
    <w:p>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sz w:val="24"/>
          <w:szCs w:val="24"/>
        </w:rPr>
      </w:pPr>
      <w:r>
        <w:rPr>
          <w:rFonts w:hint="eastAsia" w:ascii="宋体" w:hAnsi="宋体" w:eastAsia="宋体" w:cs="宋体"/>
          <w:b w:val="0"/>
          <w:bCs/>
          <w:sz w:val="24"/>
          <w:szCs w:val="24"/>
        </w:rPr>
        <w:t>绩效评价财务指标标准值表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8"/>
        <w:gridCol w:w="1106"/>
        <w:gridCol w:w="1115"/>
        <w:gridCol w:w="1115"/>
        <w:gridCol w:w="1115"/>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72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项目</w:t>
            </w:r>
          </w:p>
        </w:tc>
        <w:tc>
          <w:tcPr>
            <w:tcW w:w="649"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优秀值</w:t>
            </w:r>
          </w:p>
        </w:tc>
        <w:tc>
          <w:tcPr>
            <w:tcW w:w="65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良好值</w:t>
            </w:r>
          </w:p>
        </w:tc>
        <w:tc>
          <w:tcPr>
            <w:tcW w:w="65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平均值</w:t>
            </w:r>
          </w:p>
        </w:tc>
        <w:tc>
          <w:tcPr>
            <w:tcW w:w="654"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较低值</w:t>
            </w:r>
          </w:p>
        </w:tc>
        <w:tc>
          <w:tcPr>
            <w:tcW w:w="661" w:type="pct"/>
            <w:shd w:val="clear" w:color="000000" w:fill="FFFFFF"/>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较差值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vAlign w:val="center"/>
          </w:tcPr>
          <w:p>
            <w:pPr>
              <w:snapToGrid w:val="0"/>
              <w:rPr>
                <w:rFonts w:hint="eastAsia" w:ascii="宋体" w:hAnsi="宋体" w:eastAsia="宋体" w:cs="宋体"/>
                <w:b/>
                <w:sz w:val="24"/>
                <w:szCs w:val="24"/>
              </w:rPr>
            </w:pPr>
            <w:r>
              <w:rPr>
                <w:rFonts w:hint="eastAsia" w:ascii="宋体" w:hAnsi="宋体" w:eastAsia="宋体" w:cs="宋体"/>
                <w:b/>
                <w:sz w:val="24"/>
                <w:szCs w:val="24"/>
              </w:rPr>
              <w:t>一、盈利能力状况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净资产收益率（%）</w:t>
            </w:r>
          </w:p>
        </w:tc>
        <w:tc>
          <w:tcPr>
            <w:tcW w:w="649"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4.7</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1.6</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-4.6</w:t>
            </w:r>
          </w:p>
        </w:tc>
        <w:tc>
          <w:tcPr>
            <w:tcW w:w="661"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总资产报酬率（%）</w:t>
            </w:r>
          </w:p>
        </w:tc>
        <w:tc>
          <w:tcPr>
            <w:tcW w:w="649"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1.4</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-1.6</w:t>
            </w:r>
          </w:p>
        </w:tc>
        <w:tc>
          <w:tcPr>
            <w:tcW w:w="661"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销售（营业）利润率（%）</w:t>
            </w:r>
          </w:p>
        </w:tc>
        <w:tc>
          <w:tcPr>
            <w:tcW w:w="649"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26.1</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15.3</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3.9</w:t>
            </w:r>
          </w:p>
        </w:tc>
        <w:tc>
          <w:tcPr>
            <w:tcW w:w="65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-17.3</w:t>
            </w:r>
          </w:p>
        </w:tc>
        <w:tc>
          <w:tcPr>
            <w:tcW w:w="661"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二、资产质量状况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总资产周转率（次）</w:t>
            </w:r>
          </w:p>
        </w:tc>
        <w:tc>
          <w:tcPr>
            <w:tcW w:w="1176"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0.5</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0.4</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0.3</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0.2</w:t>
            </w:r>
          </w:p>
        </w:tc>
        <w:tc>
          <w:tcPr>
            <w:tcW w:w="1197"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应收账款周转率（次）</w:t>
            </w:r>
          </w:p>
        </w:tc>
        <w:tc>
          <w:tcPr>
            <w:tcW w:w="1176"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40.3</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28.6</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11.8</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7.6</w:t>
            </w:r>
          </w:p>
        </w:tc>
        <w:tc>
          <w:tcPr>
            <w:tcW w:w="1197"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流动资产周转率（次）</w:t>
            </w:r>
          </w:p>
        </w:tc>
        <w:tc>
          <w:tcPr>
            <w:tcW w:w="1176"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2.8</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1.7</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0.5</w:t>
            </w:r>
          </w:p>
        </w:tc>
        <w:tc>
          <w:tcPr>
            <w:tcW w:w="1197"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vAlign w:val="center"/>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三、债务风险状况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资产负债率（%）</w:t>
            </w:r>
          </w:p>
        </w:tc>
        <w:tc>
          <w:tcPr>
            <w:tcW w:w="1176"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51</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56</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61</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71</w:t>
            </w:r>
          </w:p>
        </w:tc>
        <w:tc>
          <w:tcPr>
            <w:tcW w:w="1197"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pct"/>
            <w:vAlign w:val="center"/>
          </w:tcPr>
          <w:p>
            <w:pPr>
              <w:snapToGrid w:val="0"/>
              <w:rPr>
                <w:rFonts w:hint="eastAsia" w:ascii="宋体" w:hAnsi="宋体" w:eastAsia="宋体" w:cs="宋体"/>
                <w:sz w:val="24"/>
                <w:szCs w:val="24"/>
              </w:rPr>
            </w:pPr>
            <w:r>
              <w:rPr>
                <w:rFonts w:hint="eastAsia" w:ascii="宋体" w:hAnsi="宋体" w:eastAsia="宋体" w:cs="宋体"/>
                <w:sz w:val="24"/>
                <w:szCs w:val="24"/>
              </w:rPr>
              <w:t>带息负债比率（%）</w:t>
            </w:r>
          </w:p>
        </w:tc>
        <w:tc>
          <w:tcPr>
            <w:tcW w:w="1176"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30.6</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49.7</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68.2</w:t>
            </w:r>
          </w:p>
        </w:tc>
        <w:tc>
          <w:tcPr>
            <w:tcW w:w="1185"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83.1</w:t>
            </w:r>
          </w:p>
        </w:tc>
        <w:tc>
          <w:tcPr>
            <w:tcW w:w="1197"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101</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3 \* roman \* MERGEFORMAT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iii</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可比上市公司及被评估单位各项财务指标计算</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依据可比上市公司和被评估单位调整后财务数据，各项财务指标计算如下：</w:t>
      </w:r>
    </w:p>
    <w:p>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财务指标数值计算表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7"/>
        <w:gridCol w:w="1183"/>
        <w:gridCol w:w="1321"/>
        <w:gridCol w:w="1326"/>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970" w:type="pct"/>
            <w:shd w:val="clear" w:color="000000" w:fill="FFFFFF"/>
            <w:vAlign w:val="center"/>
          </w:tcPr>
          <w:p>
            <w:pPr>
              <w:widowControl/>
              <w:snapToGrid w:val="0"/>
              <w:jc w:val="center"/>
              <w:rPr>
                <w:rFonts w:hint="eastAsia" w:ascii="宋体" w:hAnsi="宋体" w:eastAsia="宋体" w:cs="宋体"/>
                <w:b/>
                <w:kern w:val="0"/>
                <w:sz w:val="24"/>
                <w:szCs w:val="24"/>
              </w:rPr>
            </w:pPr>
            <w:r>
              <w:rPr>
                <w:rFonts w:hint="eastAsia" w:ascii="宋体" w:hAnsi="宋体" w:eastAsia="宋体" w:cs="宋体"/>
                <w:b/>
                <w:kern w:val="0"/>
                <w:sz w:val="24"/>
                <w:szCs w:val="24"/>
              </w:rPr>
              <w:t>项目</w:t>
            </w:r>
          </w:p>
        </w:tc>
        <w:tc>
          <w:tcPr>
            <w:tcW w:w="694" w:type="pct"/>
            <w:shd w:val="clear" w:color="auto" w:fill="auto"/>
            <w:vAlign w:val="bottom"/>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宁沪高速</w:t>
            </w:r>
          </w:p>
        </w:tc>
        <w:tc>
          <w:tcPr>
            <w:tcW w:w="775" w:type="pct"/>
            <w:shd w:val="clear" w:color="000000" w:fill="FFFFFF"/>
            <w:vAlign w:val="bottom"/>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深高速</w:t>
            </w:r>
          </w:p>
        </w:tc>
        <w:tc>
          <w:tcPr>
            <w:tcW w:w="778" w:type="pct"/>
            <w:shd w:val="clear" w:color="000000" w:fill="FFFFFF"/>
            <w:vAlign w:val="bottom"/>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山西路桥</w:t>
            </w:r>
          </w:p>
        </w:tc>
        <w:tc>
          <w:tcPr>
            <w:tcW w:w="781" w:type="pct"/>
            <w:shd w:val="clear" w:color="000000" w:fill="FFFFFF"/>
            <w:vAlign w:val="bottom"/>
          </w:tcPr>
          <w:p>
            <w:pPr>
              <w:snapToGrid w:val="0"/>
              <w:jc w:val="center"/>
              <w:rPr>
                <w:rFonts w:hint="eastAsia" w:ascii="宋体" w:hAnsi="宋体" w:eastAsia="宋体" w:cs="宋体"/>
                <w:b/>
                <w:sz w:val="24"/>
                <w:szCs w:val="24"/>
              </w:rPr>
            </w:pPr>
            <w:r>
              <w:rPr>
                <w:rFonts w:hint="eastAsia" w:ascii="宋体" w:hAnsi="宋体" w:eastAsia="宋体" w:cs="宋体"/>
                <w:b/>
                <w:sz w:val="24"/>
                <w:szCs w:val="24"/>
              </w:rPr>
              <w:t>苏锡常公司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kern w:val="0"/>
                <w:sz w:val="24"/>
                <w:szCs w:val="24"/>
              </w:rPr>
              <w:t>一、盈利能力状况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净资产收益率（%）</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10.23</w:t>
            </w:r>
          </w:p>
        </w:tc>
        <w:tc>
          <w:tcPr>
            <w:tcW w:w="1402"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7.08</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10.13</w:t>
            </w:r>
          </w:p>
        </w:tc>
        <w:tc>
          <w:tcPr>
            <w:tcW w:w="1417"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总资产报酬率（%）</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7.77</w:t>
            </w:r>
          </w:p>
        </w:tc>
        <w:tc>
          <w:tcPr>
            <w:tcW w:w="1402"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5.65</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6.52</w:t>
            </w:r>
          </w:p>
        </w:tc>
        <w:tc>
          <w:tcPr>
            <w:tcW w:w="1417"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销售（营业）利润率（%）</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34.56</w:t>
            </w:r>
          </w:p>
        </w:tc>
        <w:tc>
          <w:tcPr>
            <w:tcW w:w="1402"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26.51</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34.94</w:t>
            </w:r>
          </w:p>
        </w:tc>
        <w:tc>
          <w:tcPr>
            <w:tcW w:w="1417"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kern w:val="0"/>
                <w:sz w:val="24"/>
                <w:szCs w:val="24"/>
              </w:rPr>
              <w:t>二、资产质量状况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总资产周转率（次）</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0.18</w:t>
            </w:r>
          </w:p>
        </w:tc>
        <w:tc>
          <w:tcPr>
            <w:tcW w:w="1404"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0.14</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0.12</w:t>
            </w:r>
          </w:p>
        </w:tc>
        <w:tc>
          <w:tcPr>
            <w:tcW w:w="1415"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应收账款周转率（次）</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16.75</w:t>
            </w:r>
          </w:p>
        </w:tc>
        <w:tc>
          <w:tcPr>
            <w:tcW w:w="1404"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8.77</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13.58</w:t>
            </w:r>
          </w:p>
        </w:tc>
        <w:tc>
          <w:tcPr>
            <w:tcW w:w="1415"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流动资产周转率（次）</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1.49</w:t>
            </w:r>
          </w:p>
        </w:tc>
        <w:tc>
          <w:tcPr>
            <w:tcW w:w="1404"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1.03</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2.00</w:t>
            </w:r>
          </w:p>
        </w:tc>
        <w:tc>
          <w:tcPr>
            <w:tcW w:w="1415"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kern w:val="0"/>
                <w:sz w:val="24"/>
                <w:szCs w:val="24"/>
              </w:rPr>
              <w:t>三、债务风险状况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资产负债率（%）</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51.63</w:t>
            </w:r>
          </w:p>
        </w:tc>
        <w:tc>
          <w:tcPr>
            <w:tcW w:w="1404"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60.46</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64.32</w:t>
            </w:r>
          </w:p>
        </w:tc>
        <w:tc>
          <w:tcPr>
            <w:tcW w:w="1415"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53.74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70"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kern w:val="0"/>
                <w:sz w:val="24"/>
                <w:szCs w:val="24"/>
              </w:rPr>
              <w:t>带息负债比率（%）</w:t>
            </w:r>
          </w:p>
        </w:tc>
        <w:tc>
          <w:tcPr>
            <w:tcW w:w="1256"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74.74</w:t>
            </w:r>
          </w:p>
        </w:tc>
        <w:tc>
          <w:tcPr>
            <w:tcW w:w="1404"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77.12</w:t>
            </w:r>
          </w:p>
        </w:tc>
        <w:tc>
          <w:tcPr>
            <w:tcW w:w="1408"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86.75</w:t>
            </w:r>
          </w:p>
        </w:tc>
        <w:tc>
          <w:tcPr>
            <w:tcW w:w="1415" w:type="dxa"/>
            <w:vAlign w:val="bottom"/>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89.46</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fldChar w:fldCharType="begin"/>
      </w:r>
      <w:r>
        <w:rPr>
          <w:rFonts w:hint="eastAsia" w:ascii="宋体" w:hAnsi="宋体" w:eastAsia="宋体" w:cs="宋体"/>
          <w:color w:val="000000"/>
          <w:kern w:val="0"/>
          <w:sz w:val="24"/>
          <w:szCs w:val="24"/>
          <w:lang w:bidi="ar"/>
        </w:rPr>
        <w:instrText xml:space="preserve"> = 4 \* roman \* MERGEFORMAT </w:instrText>
      </w:r>
      <w:r>
        <w:rPr>
          <w:rFonts w:hint="eastAsia" w:ascii="宋体" w:hAnsi="宋体" w:eastAsia="宋体" w:cs="宋体"/>
          <w:color w:val="000000"/>
          <w:kern w:val="0"/>
          <w:sz w:val="24"/>
          <w:szCs w:val="24"/>
          <w:lang w:bidi="ar"/>
        </w:rPr>
        <w:fldChar w:fldCharType="separate"/>
      </w:r>
      <w:r>
        <w:rPr>
          <w:rFonts w:hint="eastAsia" w:ascii="宋体" w:hAnsi="宋体" w:eastAsia="宋体" w:cs="宋体"/>
          <w:color w:val="000000"/>
          <w:kern w:val="0"/>
          <w:sz w:val="24"/>
          <w:szCs w:val="24"/>
          <w:lang w:bidi="ar"/>
        </w:rPr>
        <w:t>iv</w:t>
      </w:r>
      <w:r>
        <w:rPr>
          <w:rFonts w:hint="eastAsia" w:ascii="宋体" w:hAnsi="宋体" w:eastAsia="宋体" w:cs="宋体"/>
          <w:color w:val="000000"/>
          <w:kern w:val="0"/>
          <w:sz w:val="24"/>
          <w:szCs w:val="24"/>
          <w:lang w:bidi="ar"/>
        </w:rPr>
        <w:fldChar w:fldCharType="end"/>
      </w:r>
      <w:r>
        <w:rPr>
          <w:rFonts w:hint="eastAsia" w:ascii="宋体" w:hAnsi="宋体" w:eastAsia="宋体" w:cs="宋体"/>
          <w:color w:val="000000"/>
          <w:kern w:val="0"/>
          <w:sz w:val="24"/>
          <w:szCs w:val="24"/>
          <w:lang w:bidi="ar"/>
        </w:rPr>
        <w:t>可比上市公司及被评估单位各项财务指标得分计算</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将各可比上市公司及被评估单位各项财务指标与上市公司绩效评价标准值进行比较，并采用插值法计算各指标得分。具体公式如下：</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财务指标得分=（财务指标数值-低档财务指标标准值）÷（高档财务指标标准值-低档财务指标标准值）×（高档财务指标标准值得分-低档财务指标标准值得分）+低档财务指标标准值得分</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将各财务指标得分汇总后可得出可比上市公司及被评估单位各项指标得分，结果见下表：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6"/>
        <w:gridCol w:w="1132"/>
        <w:gridCol w:w="1416"/>
        <w:gridCol w:w="1416"/>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969" w:type="pct"/>
            <w:vAlign w:val="center"/>
          </w:tcPr>
          <w:p>
            <w:pPr>
              <w:widowControl/>
              <w:snapToGrid w:val="0"/>
              <w:jc w:val="center"/>
              <w:rPr>
                <w:rFonts w:hint="eastAsia" w:ascii="宋体" w:hAnsi="宋体" w:eastAsia="宋体" w:cs="宋体"/>
                <w:b/>
                <w:kern w:val="0"/>
                <w:sz w:val="24"/>
                <w:szCs w:val="24"/>
              </w:rPr>
            </w:pPr>
            <w:r>
              <w:rPr>
                <w:rFonts w:hint="eastAsia" w:ascii="宋体" w:hAnsi="宋体" w:eastAsia="宋体" w:cs="宋体"/>
                <w:b/>
                <w:sz w:val="24"/>
                <w:szCs w:val="24"/>
              </w:rPr>
              <w:t>项目</w:t>
            </w:r>
          </w:p>
        </w:tc>
        <w:tc>
          <w:tcPr>
            <w:tcW w:w="664" w:type="pct"/>
            <w:vAlign w:val="bottom"/>
          </w:tcPr>
          <w:p>
            <w:pPr>
              <w:snapToGrid w:val="0"/>
              <w:jc w:val="center"/>
              <w:rPr>
                <w:rFonts w:hint="eastAsia" w:ascii="宋体" w:hAnsi="宋体" w:eastAsia="宋体" w:cs="宋体"/>
                <w:color w:val="000000"/>
                <w:sz w:val="24"/>
                <w:szCs w:val="24"/>
              </w:rPr>
            </w:pPr>
            <w:r>
              <w:rPr>
                <w:rFonts w:hint="eastAsia" w:ascii="宋体" w:hAnsi="宋体" w:eastAsia="宋体" w:cs="宋体"/>
                <w:b/>
                <w:sz w:val="24"/>
                <w:szCs w:val="24"/>
              </w:rPr>
              <w:t>宁沪高速</w:t>
            </w:r>
          </w:p>
        </w:tc>
        <w:tc>
          <w:tcPr>
            <w:tcW w:w="831" w:type="pct"/>
            <w:vAlign w:val="bottom"/>
          </w:tcPr>
          <w:p>
            <w:pPr>
              <w:snapToGrid w:val="0"/>
              <w:jc w:val="center"/>
              <w:rPr>
                <w:rFonts w:hint="eastAsia" w:ascii="宋体" w:hAnsi="宋体" w:eastAsia="宋体" w:cs="宋体"/>
                <w:color w:val="000000"/>
                <w:sz w:val="24"/>
                <w:szCs w:val="24"/>
              </w:rPr>
            </w:pPr>
            <w:r>
              <w:rPr>
                <w:rFonts w:hint="eastAsia" w:ascii="宋体" w:hAnsi="宋体" w:eastAsia="宋体" w:cs="宋体"/>
                <w:b/>
                <w:sz w:val="24"/>
                <w:szCs w:val="24"/>
              </w:rPr>
              <w:t>深高速</w:t>
            </w:r>
          </w:p>
        </w:tc>
        <w:tc>
          <w:tcPr>
            <w:tcW w:w="831" w:type="pct"/>
            <w:vAlign w:val="bottom"/>
          </w:tcPr>
          <w:p>
            <w:pPr>
              <w:snapToGrid w:val="0"/>
              <w:jc w:val="center"/>
              <w:rPr>
                <w:rFonts w:hint="eastAsia" w:ascii="宋体" w:hAnsi="宋体" w:eastAsia="宋体" w:cs="宋体"/>
                <w:color w:val="000000"/>
                <w:sz w:val="24"/>
                <w:szCs w:val="24"/>
              </w:rPr>
            </w:pPr>
            <w:r>
              <w:rPr>
                <w:rFonts w:hint="eastAsia" w:ascii="宋体" w:hAnsi="宋体" w:eastAsia="宋体" w:cs="宋体"/>
                <w:b/>
                <w:sz w:val="24"/>
                <w:szCs w:val="24"/>
              </w:rPr>
              <w:t>山西路桥</w:t>
            </w:r>
          </w:p>
        </w:tc>
        <w:tc>
          <w:tcPr>
            <w:tcW w:w="705" w:type="pct"/>
            <w:vAlign w:val="bottom"/>
          </w:tcPr>
          <w:p>
            <w:pPr>
              <w:snapToGrid w:val="0"/>
              <w:jc w:val="center"/>
              <w:rPr>
                <w:rFonts w:hint="eastAsia" w:ascii="宋体" w:hAnsi="宋体" w:eastAsia="宋体" w:cs="宋体"/>
                <w:color w:val="000000"/>
                <w:sz w:val="24"/>
                <w:szCs w:val="24"/>
              </w:rPr>
            </w:pPr>
            <w:r>
              <w:rPr>
                <w:rFonts w:hint="eastAsia" w:ascii="宋体" w:hAnsi="宋体" w:eastAsia="宋体" w:cs="宋体"/>
                <w:b/>
                <w:sz w:val="24"/>
                <w:szCs w:val="24"/>
              </w:rPr>
              <w:t>苏锡常公司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sz w:val="24"/>
                <w:szCs w:val="24"/>
              </w:rPr>
              <w:t>一、盈利能力状况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净资产收益率（%）</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14.50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总资产报酬率（%）</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销售（营业）利润率（%）</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15.00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sz w:val="24"/>
                <w:szCs w:val="24"/>
              </w:rPr>
              <w:t>二、资产质量状况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总资产周转率（次）</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11.42</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11.00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10.76</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应收账款周转率（次）</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4.36</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3.98</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4.29</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流动资产周转率（次）</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4.51</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4.27</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4.73</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vAlign w:val="center"/>
          </w:tcPr>
          <w:p>
            <w:pPr>
              <w:widowControl/>
              <w:snapToGrid w:val="0"/>
              <w:rPr>
                <w:rFonts w:hint="eastAsia" w:ascii="宋体" w:hAnsi="宋体" w:eastAsia="宋体" w:cs="宋体"/>
                <w:b/>
                <w:kern w:val="0"/>
                <w:sz w:val="24"/>
                <w:szCs w:val="24"/>
              </w:rPr>
            </w:pPr>
            <w:r>
              <w:rPr>
                <w:rFonts w:hint="eastAsia" w:ascii="宋体" w:hAnsi="宋体" w:eastAsia="宋体" w:cs="宋体"/>
                <w:b/>
                <w:sz w:val="24"/>
                <w:szCs w:val="24"/>
              </w:rPr>
              <w:t>三、债务风险状况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资产负债率（%）</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4.95</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4.29</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4.13</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kern w:val="0"/>
                <w:sz w:val="24"/>
                <w:szCs w:val="24"/>
              </w:rPr>
            </w:pPr>
            <w:r>
              <w:rPr>
                <w:rFonts w:hint="eastAsia" w:ascii="宋体" w:hAnsi="宋体" w:eastAsia="宋体" w:cs="宋体"/>
                <w:sz w:val="24"/>
                <w:szCs w:val="24"/>
              </w:rPr>
              <w:t>带息负债比率（%）</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4.09</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4.03</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3.80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rPr>
                <w:rFonts w:hint="eastAsia" w:ascii="宋体" w:hAnsi="宋体" w:eastAsia="宋体" w:cs="宋体"/>
                <w:b/>
                <w:sz w:val="24"/>
                <w:szCs w:val="24"/>
              </w:rPr>
            </w:pPr>
            <w:r>
              <w:rPr>
                <w:rFonts w:hint="eastAsia" w:ascii="宋体" w:hAnsi="宋体" w:eastAsia="宋体" w:cs="宋体"/>
                <w:b/>
                <w:sz w:val="24"/>
                <w:szCs w:val="24"/>
              </w:rPr>
              <w:t>四、收费年限</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20.00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20.00</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20.00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jc w:val="center"/>
              <w:rPr>
                <w:rFonts w:hint="eastAsia" w:ascii="宋体" w:hAnsi="宋体" w:eastAsia="宋体" w:cs="宋体"/>
                <w:b/>
                <w:sz w:val="24"/>
                <w:szCs w:val="24"/>
              </w:rPr>
            </w:pPr>
            <w:r>
              <w:rPr>
                <w:rFonts w:hint="eastAsia" w:ascii="宋体" w:hAnsi="宋体" w:eastAsia="宋体" w:cs="宋体"/>
                <w:b/>
                <w:sz w:val="24"/>
                <w:szCs w:val="24"/>
              </w:rPr>
              <w:t>合计</w:t>
            </w:r>
          </w:p>
        </w:tc>
        <w:tc>
          <w:tcPr>
            <w:tcW w:w="664"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94.33</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92.06</w:t>
            </w:r>
          </w:p>
        </w:tc>
        <w:tc>
          <w:tcPr>
            <w:tcW w:w="831"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92.70</w:t>
            </w:r>
          </w:p>
        </w:tc>
        <w:tc>
          <w:tcPr>
            <w:tcW w:w="705" w:type="pct"/>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80.27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69" w:type="pct"/>
            <w:vAlign w:val="center"/>
          </w:tcPr>
          <w:p>
            <w:pPr>
              <w:widowControl/>
              <w:snapToGrid w:val="0"/>
              <w:jc w:val="center"/>
              <w:rPr>
                <w:rFonts w:hint="eastAsia" w:ascii="宋体" w:hAnsi="宋体" w:eastAsia="宋体" w:cs="宋体"/>
                <w:b/>
                <w:sz w:val="24"/>
                <w:szCs w:val="24"/>
              </w:rPr>
            </w:pPr>
            <w:r>
              <w:rPr>
                <w:rFonts w:hint="eastAsia" w:ascii="宋体" w:hAnsi="宋体" w:eastAsia="宋体" w:cs="宋体"/>
                <w:b/>
                <w:sz w:val="24"/>
                <w:szCs w:val="24"/>
              </w:rPr>
              <w:t>修正系数</w:t>
            </w:r>
          </w:p>
        </w:tc>
        <w:tc>
          <w:tcPr>
            <w:tcW w:w="664"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0.8510</w:t>
            </w:r>
          </w:p>
        </w:tc>
        <w:tc>
          <w:tcPr>
            <w:tcW w:w="831"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0.8720</w:t>
            </w:r>
          </w:p>
        </w:tc>
        <w:tc>
          <w:tcPr>
            <w:tcW w:w="831"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0.8659</w:t>
            </w:r>
          </w:p>
        </w:tc>
        <w:tc>
          <w:tcPr>
            <w:tcW w:w="705" w:type="pct"/>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w:t>
            </w: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5、EV/核心资产比率的调整</w:t>
      </w:r>
    </w:p>
    <w:tbl>
      <w:tblPr>
        <w:tblStyle w:val="13"/>
        <w:tblW w:w="5000" w:type="pct"/>
        <w:tblInd w:w="0" w:type="dxa"/>
        <w:tblLayout w:type="autofit"/>
        <w:tblCellMar>
          <w:top w:w="0" w:type="dxa"/>
          <w:left w:w="108" w:type="dxa"/>
          <w:bottom w:w="0" w:type="dxa"/>
          <w:right w:w="108" w:type="dxa"/>
        </w:tblCellMar>
      </w:tblPr>
      <w:tblGrid>
        <w:gridCol w:w="1658"/>
        <w:gridCol w:w="1645"/>
        <w:gridCol w:w="1802"/>
        <w:gridCol w:w="1786"/>
        <w:gridCol w:w="1631"/>
      </w:tblGrid>
      <w:tr>
        <w:tblPrEx>
          <w:tblCellMar>
            <w:top w:w="0" w:type="dxa"/>
            <w:left w:w="108" w:type="dxa"/>
            <w:bottom w:w="0" w:type="dxa"/>
            <w:right w:w="108" w:type="dxa"/>
          </w:tblCellMar>
        </w:tblPrEx>
        <w:trPr>
          <w:trHeight w:val="480" w:hRule="atLeast"/>
        </w:trPr>
        <w:tc>
          <w:tcPr>
            <w:tcW w:w="9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名称</w:t>
            </w:r>
          </w:p>
        </w:tc>
        <w:tc>
          <w:tcPr>
            <w:tcW w:w="96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扣除流通性折扣后的EV/核心资产</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修正系数</w:t>
            </w:r>
          </w:p>
        </w:tc>
        <w:tc>
          <w:tcPr>
            <w:tcW w:w="10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color w:val="000000"/>
                <w:sz w:val="24"/>
                <w:szCs w:val="24"/>
              </w:rPr>
            </w:pPr>
            <w:r>
              <w:rPr>
                <w:rFonts w:hint="eastAsia" w:ascii="宋体" w:hAnsi="宋体" w:eastAsia="宋体" w:cs="宋体"/>
                <w:b/>
                <w:color w:val="000000"/>
                <w:kern w:val="0"/>
                <w:sz w:val="24"/>
                <w:szCs w:val="24"/>
                <w:lang w:bidi="ar"/>
              </w:rPr>
              <w:t>修正后EV/核心资产</w:t>
            </w:r>
          </w:p>
        </w:tc>
        <w:tc>
          <w:tcPr>
            <w:tcW w:w="95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color w:val="000000"/>
                <w:kern w:val="0"/>
                <w:sz w:val="24"/>
                <w:szCs w:val="24"/>
                <w:lang w:bidi="ar"/>
              </w:rPr>
            </w:pPr>
            <w:r>
              <w:rPr>
                <w:rFonts w:hint="eastAsia" w:ascii="宋体" w:hAnsi="宋体" w:eastAsia="宋体" w:cs="宋体"/>
                <w:b/>
                <w:color w:val="000000"/>
                <w:kern w:val="0"/>
                <w:sz w:val="24"/>
                <w:szCs w:val="24"/>
                <w:lang w:bidi="ar"/>
              </w:rPr>
              <w:t>平均EV/核心资产</w:t>
            </w:r>
          </w:p>
        </w:tc>
      </w:tr>
      <w:tr>
        <w:tblPrEx>
          <w:tblCellMar>
            <w:top w:w="0" w:type="dxa"/>
            <w:left w:w="108" w:type="dxa"/>
            <w:bottom w:w="0" w:type="dxa"/>
            <w:right w:w="108" w:type="dxa"/>
          </w:tblCellMar>
        </w:tblPrEx>
        <w:trPr>
          <w:trHeight w:val="270" w:hRule="atLeast"/>
        </w:trPr>
        <w:tc>
          <w:tcPr>
            <w:tcW w:w="9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宁沪高速</w:t>
            </w:r>
          </w:p>
        </w:tc>
        <w:tc>
          <w:tcPr>
            <w:tcW w:w="9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1.2387</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0.8510</w:t>
            </w:r>
          </w:p>
        </w:tc>
        <w:tc>
          <w:tcPr>
            <w:tcW w:w="10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1.0542</w:t>
            </w:r>
          </w:p>
        </w:tc>
        <w:tc>
          <w:tcPr>
            <w:tcW w:w="957"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1.0363</w:t>
            </w:r>
          </w:p>
        </w:tc>
      </w:tr>
      <w:tr>
        <w:tblPrEx>
          <w:tblCellMar>
            <w:top w:w="0" w:type="dxa"/>
            <w:left w:w="108" w:type="dxa"/>
            <w:bottom w:w="0" w:type="dxa"/>
            <w:right w:w="108" w:type="dxa"/>
          </w:tblCellMar>
        </w:tblPrEx>
        <w:trPr>
          <w:trHeight w:val="270" w:hRule="atLeast"/>
        </w:trPr>
        <w:tc>
          <w:tcPr>
            <w:tcW w:w="9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深高速</w:t>
            </w:r>
          </w:p>
        </w:tc>
        <w:tc>
          <w:tcPr>
            <w:tcW w:w="9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1.3534</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0.8720</w:t>
            </w:r>
          </w:p>
        </w:tc>
        <w:tc>
          <w:tcPr>
            <w:tcW w:w="10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1.1801</w:t>
            </w:r>
          </w:p>
        </w:tc>
        <w:tc>
          <w:tcPr>
            <w:tcW w:w="957" w:type="pct"/>
            <w:vMerge w:val="continue"/>
            <w:tcBorders>
              <w:left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p>
        </w:tc>
      </w:tr>
      <w:tr>
        <w:tblPrEx>
          <w:tblCellMar>
            <w:top w:w="0" w:type="dxa"/>
            <w:left w:w="108" w:type="dxa"/>
            <w:bottom w:w="0" w:type="dxa"/>
            <w:right w:w="108" w:type="dxa"/>
          </w:tblCellMar>
        </w:tblPrEx>
        <w:trPr>
          <w:trHeight w:val="270" w:hRule="atLeast"/>
        </w:trPr>
        <w:tc>
          <w:tcPr>
            <w:tcW w:w="9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山西路桥</w:t>
            </w:r>
          </w:p>
        </w:tc>
        <w:tc>
          <w:tcPr>
            <w:tcW w:w="9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1.0100</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0.8659</w:t>
            </w:r>
          </w:p>
        </w:tc>
        <w:tc>
          <w:tcPr>
            <w:tcW w:w="10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0.8746</w:t>
            </w:r>
          </w:p>
        </w:tc>
        <w:tc>
          <w:tcPr>
            <w:tcW w:w="957" w:type="pct"/>
            <w:vMerge w:val="continue"/>
            <w:tcBorders>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eastAsia" w:ascii="宋体" w:hAnsi="宋体" w:eastAsia="宋体" w:cs="宋体"/>
                <w:color w:val="000000"/>
                <w:kern w:val="0"/>
                <w:sz w:val="24"/>
                <w:szCs w:val="24"/>
                <w:lang w:bidi="ar"/>
              </w:rPr>
            </w:pPr>
          </w:p>
        </w:tc>
      </w:tr>
    </w:tbl>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标的企业股东全部权益价值=（1.0363×被评估单位核心资产）+溢余性资产+非经营性资产价值-非经营性负债价值-带息负债</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=（1.0363*1,394,285.97）+52,726.67+0.59-12,699.60-693,891.25</w:t>
      </w:r>
    </w:p>
    <w:p>
      <w:pPr>
        <w:widowControl/>
        <w:spacing w:line="360" w:lineRule="auto"/>
        <w:ind w:firstLine="480" w:firstLineChars="200"/>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=791,000.00万元</w:t>
      </w:r>
    </w:p>
    <w:p>
      <w:pPr>
        <w:widowControl/>
        <w:spacing w:line="360" w:lineRule="auto"/>
        <w:ind w:firstLine="480" w:firstLineChars="200"/>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采用市场法评估结果791,000.00万元与收益法结果800,100.00万元差异率1.14%，差异较小，两者结果均包含了账面记录的全部资产以及商誉价值，故结果具有合理性。</w:t>
      </w:r>
    </w:p>
    <w:p>
      <w:pPr>
        <w:widowControl/>
        <w:spacing w:line="360" w:lineRule="auto"/>
        <w:ind w:firstLine="482" w:firstLineChars="200"/>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上述评估结果未经国有资产管理机构备案，存在数据变动的可能性。</w:t>
      </w:r>
    </w:p>
    <w:p>
      <w:pPr>
        <w:numPr>
          <w:ilvl w:val="0"/>
          <w:numId w:val="3"/>
        </w:num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 xml:space="preserve">此次交易未选取资产基础法进行评估的原因及主要考虑； </w:t>
      </w:r>
    </w:p>
    <w:p>
      <w:pPr>
        <w:widowControl/>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widowControl/>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资产基础法是以被评估单位评估基准日的资产负债表为基础，合理评估企业表内及表外各项资产、负债价值最终加和汇总得出股权价值的方法。标的公司主要资产为固定资产、无形资产-公路收费权。固定资产主要为房屋建筑物、三大系统；无形资产-公路收费权主要为土地取得成本、路基、路面施工成本等。在资产基础法中对于该分项资产主要采用重置成本法进行评估，重置成本法是根据建筑工程资料和竣工结算资料按建筑物工程量，以现行定额标准、建设规费、贷款利率计算出固定资产/无形资产的重置全价，并按其使用年限和现场勘察的情况综合确定成新率，进而计算出评估价值。其基本公式为：评估值＝重置成本×综合成新率。标的公司2017年3月14日成立，随即全面推动项目路建设，随着我国经济水平的发展，尤其江苏属于我国经济发达地区，人工费、材料费、土地取得成本每年都有一定的增幅，重置成本的高低主要受人工费、材料费、土地取得成本的增幅决定，而忽略后期收益较差的贬值因素或后期收益较好的额外利润因素，无法考虑经营情况对其价值的修正影响。综合上述主要考虑，本次交易不采用资产基础法进行评估。</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(4)说明本次交易是否安排了与收入预测相匹配的业绩承诺，如无，请说明合理性。</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bCs/>
          <w:sz w:val="24"/>
          <w:szCs w:val="24"/>
        </w:rPr>
        <w:t>本公司于2024年1月29日披露的</w:t>
      </w:r>
      <w:r>
        <w:rPr>
          <w:rFonts w:hint="eastAsia" w:ascii="宋体" w:hAnsi="宋体" w:eastAsia="宋体" w:cs="宋体"/>
          <w:sz w:val="24"/>
          <w:szCs w:val="24"/>
        </w:rPr>
        <w:t>交易方案中未安排与收入预测相匹配的业绩承诺，主要是考虑到：一是估值溢价率较低，仅为7.2%；二是自标的资产开通运营，本公司已受托全面负责标的资产的运营管理，对标的资产的经营状况、盈利能力、发展前景了解充分，不存在信息不对称的问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进一步保护公司中小股东利益，增强投资者信心，本公司控股股东出具业绩承诺，并与本公司签署股权转让协议的补充协议，进一步优化对价支付方案。详情请见本公司2024年3月2日披露的《关于本公司收购江苏苏锡常南部高速公路有限公司65%股权的关联交易进展公告》。</w:t>
      </w:r>
    </w:p>
    <w:p>
      <w:pPr>
        <w:spacing w:line="360" w:lineRule="auto"/>
        <w:ind w:firstLine="480" w:firstLineChars="200"/>
        <w:rPr>
          <w:rFonts w:hint="eastAsia" w:ascii="宋体" w:hAnsi="宋体" w:eastAsia="宋体" w:cs="宋体"/>
          <w:sz w:val="24"/>
          <w:szCs w:val="24"/>
        </w:rPr>
      </w:pP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问题4、关于标的资产权属瑕疵。资产评估报告显示，评估基准日，标的资产持有的太湖湾服务区的房屋、南部高速公路所占用的土地使用权尚未办理相关权证，本次评估未考虑相关影响。</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请公司补充披露:</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(1)未获得权属证书的土地及房产的具体情况，包括面积、账面原值、账面价值、实际用途、未取得产权证的原因及拟解决方案；</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国土资源部以国土资函【2018】65号文件及国土资函【2018】66号文件，苏锡常南部高速公路常州至无锡段项目共计获批使用建设用地335.353公顷（其中常州段202.6954公顷、无锡段132.6576公顷），由当地人民政府以划拨方式提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根据江苏省交通运输厅以苏交建（2017）41号批准的苏锡常南部高速公路常州至无锡段工程施工图设计，苏锡常南部高速公路常州至无锡段房屋建筑详见下表：</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苏锡常南部高速公路常州至无锡段房屋建筑明细表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1843"/>
        <w:gridCol w:w="1443"/>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spacing w:line="360" w:lineRule="auto"/>
              <w:jc w:val="both"/>
              <w:rPr>
                <w:rFonts w:hint="eastAsia" w:ascii="宋体" w:hAnsi="宋体" w:eastAsia="宋体" w:cs="宋体"/>
                <w:b/>
                <w:sz w:val="24"/>
                <w:szCs w:val="24"/>
              </w:rPr>
            </w:pPr>
            <w:r>
              <w:rPr>
                <w:rFonts w:hint="eastAsia" w:ascii="宋体" w:hAnsi="宋体" w:eastAsia="宋体" w:cs="宋体"/>
                <w:b/>
                <w:sz w:val="24"/>
                <w:szCs w:val="24"/>
              </w:rPr>
              <w:t>位置</w:t>
            </w:r>
          </w:p>
        </w:tc>
        <w:tc>
          <w:tcPr>
            <w:tcW w:w="1843" w:type="dxa"/>
            <w:vAlign w:val="center"/>
          </w:tcPr>
          <w:p>
            <w:pPr>
              <w:spacing w:line="360" w:lineRule="auto"/>
              <w:jc w:val="both"/>
              <w:rPr>
                <w:rFonts w:hint="eastAsia" w:ascii="宋体" w:hAnsi="宋体" w:eastAsia="宋体" w:cs="宋体"/>
                <w:b/>
                <w:sz w:val="24"/>
                <w:szCs w:val="24"/>
              </w:rPr>
            </w:pPr>
            <w:r>
              <w:rPr>
                <w:rFonts w:hint="eastAsia" w:ascii="宋体" w:hAnsi="宋体" w:eastAsia="宋体" w:cs="宋体"/>
                <w:b/>
                <w:sz w:val="24"/>
                <w:szCs w:val="24"/>
              </w:rPr>
              <w:t>用途</w:t>
            </w:r>
          </w:p>
        </w:tc>
        <w:tc>
          <w:tcPr>
            <w:tcW w:w="1443" w:type="dxa"/>
            <w:vAlign w:val="center"/>
          </w:tcPr>
          <w:p>
            <w:pPr>
              <w:spacing w:line="360" w:lineRule="auto"/>
              <w:jc w:val="both"/>
              <w:rPr>
                <w:rFonts w:hint="eastAsia" w:ascii="宋体" w:hAnsi="宋体" w:eastAsia="宋体" w:cs="宋体"/>
                <w:b/>
                <w:sz w:val="24"/>
                <w:szCs w:val="24"/>
                <w:lang w:eastAsia="zh-CN"/>
              </w:rPr>
            </w:pPr>
            <w:r>
              <w:rPr>
                <w:rFonts w:hint="eastAsia" w:ascii="宋体" w:hAnsi="宋体" w:eastAsia="宋体" w:cs="宋体"/>
                <w:b/>
                <w:sz w:val="24"/>
                <w:szCs w:val="24"/>
              </w:rPr>
              <w:t>面积</w:t>
            </w:r>
            <w:r>
              <w:rPr>
                <w:rFonts w:hint="eastAsia" w:ascii="宋体" w:hAnsi="宋体" w:eastAsia="宋体" w:cs="宋体"/>
                <w:b/>
                <w:sz w:val="24"/>
                <w:szCs w:val="24"/>
                <w:lang w:eastAsia="zh-CN"/>
              </w:rPr>
              <w:t>（</w:t>
            </w:r>
            <w:r>
              <w:rPr>
                <w:rFonts w:hint="eastAsia" w:ascii="宋体" w:hAnsi="宋体" w:eastAsia="宋体" w:cs="宋体"/>
                <w:b/>
                <w:bCs/>
                <w:sz w:val="24"/>
                <w:szCs w:val="24"/>
              </w:rPr>
              <w:t>㎡</w:t>
            </w:r>
            <w:r>
              <w:rPr>
                <w:rFonts w:hint="eastAsia" w:ascii="宋体" w:hAnsi="宋体" w:eastAsia="宋体" w:cs="宋体"/>
                <w:b/>
                <w:sz w:val="24"/>
                <w:szCs w:val="24"/>
                <w:lang w:eastAsia="zh-CN"/>
              </w:rPr>
              <w:t>）</w:t>
            </w:r>
          </w:p>
        </w:tc>
        <w:tc>
          <w:tcPr>
            <w:tcW w:w="2344" w:type="dxa"/>
            <w:vAlign w:val="center"/>
          </w:tcPr>
          <w:p>
            <w:pPr>
              <w:spacing w:line="360" w:lineRule="auto"/>
              <w:jc w:val="both"/>
              <w:rPr>
                <w:rFonts w:hint="eastAsia" w:ascii="宋体" w:hAnsi="宋体" w:eastAsia="宋体" w:cs="宋体"/>
                <w:b/>
                <w:sz w:val="24"/>
                <w:szCs w:val="24"/>
              </w:rPr>
            </w:pPr>
            <w:r>
              <w:rPr>
                <w:rFonts w:hint="eastAsia" w:ascii="宋体" w:hAnsi="宋体" w:eastAsia="宋体" w:cs="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运村互通收费站</w:t>
            </w: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综合楼</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748.5</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宿舍楼</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509.86</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133.00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266.5</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地上56.7㎡，地下209.8㎡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门卫</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26.40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食堂</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80.23</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大棚</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939.6</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投影面积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太湖湾互通收费站</w:t>
            </w: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综合楼</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920</w:t>
            </w:r>
            <w:r>
              <w:rPr>
                <w:rFonts w:hint="eastAsia" w:ascii="宋体" w:hAnsi="宋体" w:eastAsia="宋体" w:cs="宋体"/>
                <w:sz w:val="24"/>
                <w:szCs w:val="24"/>
                <w:lang w:val="en-US" w:eastAsia="zh-CN"/>
              </w:rPr>
              <w:t>.00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宿舍楼</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544.4</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133.00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266.5</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地上56.7㎡，地下209.8㎡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门卫</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26.40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大棚</w:t>
            </w:r>
          </w:p>
        </w:tc>
        <w:tc>
          <w:tcPr>
            <w:tcW w:w="1443"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939.6</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投影面积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马山收费站及管理中心</w:t>
            </w: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综合办公楼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5586.29</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不含架空层1960㎡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宿舍楼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2093.56</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门卫室</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22.4</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spacing w:line="360" w:lineRule="auto"/>
              <w:jc w:val="both"/>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养护车库</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1683.52</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widowControl/>
              <w:rPr>
                <w:rFonts w:hint="eastAsia" w:ascii="宋体" w:hAnsi="宋体" w:eastAsia="宋体" w:cs="宋体"/>
                <w:color w:val="0D0D0D"/>
                <w:sz w:val="24"/>
                <w:szCs w:val="24"/>
              </w:rPr>
            </w:pPr>
            <w:r>
              <w:rPr>
                <w:rFonts w:hint="eastAsia" w:ascii="宋体" w:hAnsi="宋体" w:eastAsia="宋体" w:cs="宋体"/>
                <w:sz w:val="24"/>
                <w:szCs w:val="24"/>
              </w:rPr>
              <w:t>军嶂互通收费站</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845.70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宿舍楼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544.4</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救援车库</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442.56</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133.00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266.5</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地上56.7㎡，地下209.8㎡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门卫</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26.40</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食堂</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80.23</w:t>
            </w:r>
          </w:p>
        </w:tc>
        <w:tc>
          <w:tcPr>
            <w:tcW w:w="2344" w:type="dxa"/>
            <w:vAlign w:val="center"/>
          </w:tcPr>
          <w:p>
            <w:pPr>
              <w:spacing w:line="360" w:lineRule="auto"/>
              <w:jc w:val="both"/>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color w:val="0D0D0D"/>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大棚</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939.6</w:t>
            </w:r>
            <w:r>
              <w:rPr>
                <w:rFonts w:hint="eastAsia" w:ascii="宋体" w:hAnsi="宋体" w:eastAsia="宋体" w:cs="宋体"/>
                <w:sz w:val="24"/>
                <w:szCs w:val="24"/>
                <w:lang w:val="en-US" w:eastAsia="zh-CN"/>
              </w:rPr>
              <w:t>0</w:t>
            </w:r>
          </w:p>
        </w:tc>
        <w:tc>
          <w:tcPr>
            <w:tcW w:w="2344" w:type="dxa"/>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投影面积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太湖隧道西危险品车辆检查站</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路政综合楼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835.62</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路政宿舍楼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657.44</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交警综合楼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835.62</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交警宿舍楼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657.44</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食堂</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80.23</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133.00</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266.5</w:t>
            </w:r>
            <w:r>
              <w:rPr>
                <w:rFonts w:hint="eastAsia" w:ascii="宋体" w:hAnsi="宋体" w:eastAsia="宋体" w:cs="宋体"/>
                <w:sz w:val="24"/>
                <w:szCs w:val="24"/>
                <w:lang w:val="en-US" w:eastAsia="zh-CN"/>
              </w:rPr>
              <w:t>0</w:t>
            </w:r>
          </w:p>
        </w:tc>
        <w:tc>
          <w:tcPr>
            <w:tcW w:w="2344" w:type="dxa"/>
            <w:vAlign w:val="center"/>
          </w:tcPr>
          <w:p>
            <w:pPr>
              <w:widowControl/>
              <w:rPr>
                <w:rFonts w:hint="eastAsia" w:ascii="宋体" w:hAnsi="宋体" w:eastAsia="宋体" w:cs="宋体"/>
                <w:color w:val="0D0D0D"/>
                <w:sz w:val="24"/>
                <w:szCs w:val="24"/>
              </w:rPr>
            </w:pPr>
            <w:r>
              <w:rPr>
                <w:rFonts w:hint="eastAsia" w:ascii="宋体" w:hAnsi="宋体" w:eastAsia="宋体" w:cs="宋体"/>
                <w:sz w:val="24"/>
                <w:szCs w:val="24"/>
              </w:rPr>
              <w:t>地上56.7㎡，地下209.8㎡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太湖湾服务区东区</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3857</w:t>
            </w:r>
            <w:r>
              <w:rPr>
                <w:rFonts w:hint="eastAsia" w:ascii="宋体" w:hAnsi="宋体" w:eastAsia="宋体" w:cs="宋体"/>
                <w:sz w:val="24"/>
                <w:szCs w:val="24"/>
                <w:lang w:val="en-US" w:eastAsia="zh-CN"/>
              </w:rPr>
              <w:t>.00</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宿舍楼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803</w:t>
            </w:r>
            <w:r>
              <w:rPr>
                <w:rFonts w:hint="eastAsia" w:ascii="宋体" w:hAnsi="宋体" w:eastAsia="宋体" w:cs="宋体"/>
                <w:sz w:val="24"/>
                <w:szCs w:val="24"/>
                <w:lang w:val="en-US" w:eastAsia="zh-CN"/>
              </w:rPr>
              <w:t>.00</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111</w:t>
            </w:r>
            <w:r>
              <w:rPr>
                <w:rFonts w:hint="eastAsia" w:ascii="宋体" w:hAnsi="宋体" w:eastAsia="宋体" w:cs="宋体"/>
                <w:sz w:val="24"/>
                <w:szCs w:val="24"/>
                <w:lang w:val="en-US" w:eastAsia="zh-CN"/>
              </w:rPr>
              <w:t>.00</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rPr>
                <w:rFonts w:hint="eastAsia" w:ascii="宋体" w:hAnsi="宋体" w:eastAsia="宋体" w:cs="宋体"/>
                <w:sz w:val="24"/>
                <w:szCs w:val="24"/>
              </w:rPr>
            </w:pP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汽修房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133.92</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188.48</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警务室</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61.78</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垃圾房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28.71</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widowControl/>
              <w:rPr>
                <w:rFonts w:hint="eastAsia" w:ascii="宋体" w:hAnsi="宋体" w:eastAsia="宋体" w:cs="宋体"/>
                <w:sz w:val="24"/>
                <w:szCs w:val="24"/>
              </w:rPr>
            </w:pPr>
            <w:r>
              <w:rPr>
                <w:rFonts w:hint="eastAsia" w:ascii="宋体" w:hAnsi="宋体" w:eastAsia="宋体" w:cs="宋体"/>
                <w:sz w:val="24"/>
                <w:szCs w:val="24"/>
              </w:rPr>
              <w:t>太湖湾服务区西区</w:t>
            </w: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综合楼</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3475.27</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汽修房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133.92</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188.48</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垃圾房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28.71</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widowControl/>
              <w:rPr>
                <w:rFonts w:hint="eastAsia" w:ascii="宋体" w:hAnsi="宋体" w:eastAsia="宋体" w:cs="宋体"/>
                <w:sz w:val="24"/>
                <w:szCs w:val="24"/>
              </w:rPr>
            </w:pPr>
            <w:r>
              <w:rPr>
                <w:rFonts w:hint="eastAsia" w:ascii="宋体" w:hAnsi="宋体" w:eastAsia="宋体" w:cs="宋体"/>
                <w:sz w:val="24"/>
                <w:szCs w:val="24"/>
              </w:rPr>
              <w:t>马山互通收费站养排中心</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路政综合楼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1056.49</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排障大型车库</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945.5</w:t>
            </w:r>
            <w:r>
              <w:rPr>
                <w:rFonts w:hint="eastAsia" w:ascii="宋体" w:hAnsi="宋体" w:eastAsia="宋体" w:cs="宋体"/>
                <w:sz w:val="24"/>
                <w:szCs w:val="24"/>
                <w:lang w:val="en-US" w:eastAsia="zh-CN"/>
              </w:rPr>
              <w:t>0</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排障中型车库</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450.46</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排障小型车库</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287.56</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邀贤山隧道东侧</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758.58</w:t>
            </w:r>
          </w:p>
        </w:tc>
        <w:tc>
          <w:tcPr>
            <w:tcW w:w="2344" w:type="dxa"/>
            <w:vAlign w:val="center"/>
          </w:tcPr>
          <w:p>
            <w:pPr>
              <w:widowControl/>
              <w:rPr>
                <w:rFonts w:hint="eastAsia" w:ascii="宋体" w:hAnsi="宋体" w:eastAsia="宋体" w:cs="宋体"/>
                <w:color w:val="0D0D0D"/>
                <w:sz w:val="24"/>
                <w:szCs w:val="24"/>
              </w:rPr>
            </w:pPr>
            <w:r>
              <w:rPr>
                <w:rFonts w:hint="eastAsia" w:ascii="宋体" w:hAnsi="宋体" w:eastAsia="宋体" w:cs="宋体"/>
                <w:color w:val="0D0D0D"/>
                <w:sz w:val="24"/>
                <w:szCs w:val="24"/>
              </w:rPr>
              <w:t>地上一层：304.56㎡，地下一层：454.02㎡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邀贤山隧道西侧</w:t>
            </w: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233.28</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restart"/>
            <w:vAlign w:val="center"/>
          </w:tcPr>
          <w:p>
            <w:pPr>
              <w:widowControl/>
              <w:rPr>
                <w:rFonts w:hint="eastAsia" w:ascii="宋体" w:hAnsi="宋体" w:eastAsia="宋体" w:cs="宋体"/>
                <w:sz w:val="24"/>
                <w:szCs w:val="24"/>
              </w:rPr>
            </w:pPr>
            <w:r>
              <w:rPr>
                <w:rFonts w:hint="eastAsia" w:ascii="宋体" w:hAnsi="宋体" w:eastAsia="宋体" w:cs="宋体"/>
                <w:sz w:val="24"/>
                <w:szCs w:val="24"/>
              </w:rPr>
              <w:t>太湖隧道东危险品车辆检查站</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路政综合楼</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835.62</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路政宿舍楼</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748.85</w:t>
            </w:r>
          </w:p>
        </w:tc>
        <w:tc>
          <w:tcPr>
            <w:tcW w:w="2344" w:type="dxa"/>
            <w:vAlign w:val="center"/>
          </w:tcPr>
          <w:p>
            <w:pPr>
              <w:widowControl/>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交警综合楼</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835.62</w:t>
            </w:r>
          </w:p>
        </w:tc>
        <w:tc>
          <w:tcPr>
            <w:tcW w:w="2344" w:type="dxa"/>
            <w:vAlign w:val="center"/>
          </w:tcPr>
          <w:p>
            <w:pPr>
              <w:widowControl/>
              <w:spacing w:line="360" w:lineRule="auto"/>
              <w:jc w:val="both"/>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交警宿舍楼</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748.85</w:t>
            </w:r>
          </w:p>
        </w:tc>
        <w:tc>
          <w:tcPr>
            <w:tcW w:w="2344" w:type="dxa"/>
            <w:vAlign w:val="center"/>
          </w:tcPr>
          <w:p>
            <w:pPr>
              <w:widowControl/>
              <w:spacing w:line="360" w:lineRule="auto"/>
              <w:jc w:val="both"/>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配电房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133.00</w:t>
            </w:r>
          </w:p>
        </w:tc>
        <w:tc>
          <w:tcPr>
            <w:tcW w:w="2344" w:type="dxa"/>
            <w:vAlign w:val="center"/>
          </w:tcPr>
          <w:p>
            <w:pPr>
              <w:widowControl/>
              <w:spacing w:line="360" w:lineRule="auto"/>
              <w:jc w:val="both"/>
              <w:rPr>
                <w:rFonts w:hint="eastAsia" w:ascii="宋体" w:hAnsi="宋体" w:eastAsia="宋体" w:cs="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Merge w:val="continue"/>
            <w:vAlign w:val="center"/>
          </w:tcPr>
          <w:p>
            <w:pPr>
              <w:widowControl/>
              <w:rPr>
                <w:rFonts w:hint="eastAsia" w:ascii="宋体" w:hAnsi="宋体" w:eastAsia="宋体" w:cs="宋体"/>
                <w:sz w:val="24"/>
                <w:szCs w:val="24"/>
              </w:rPr>
            </w:pPr>
          </w:p>
        </w:tc>
        <w:tc>
          <w:tcPr>
            <w:tcW w:w="18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水泵房</w:t>
            </w:r>
          </w:p>
        </w:tc>
        <w:tc>
          <w:tcPr>
            <w:tcW w:w="1443"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266.5</w:t>
            </w:r>
            <w:r>
              <w:rPr>
                <w:rFonts w:hint="eastAsia" w:ascii="宋体" w:hAnsi="宋体" w:eastAsia="宋体" w:cs="宋体"/>
                <w:sz w:val="24"/>
                <w:szCs w:val="24"/>
                <w:lang w:val="en-US" w:eastAsia="zh-CN"/>
              </w:rPr>
              <w:t>0</w:t>
            </w:r>
          </w:p>
        </w:tc>
        <w:tc>
          <w:tcPr>
            <w:tcW w:w="2344" w:type="dxa"/>
            <w:vAlign w:val="center"/>
          </w:tcPr>
          <w:p>
            <w:pPr>
              <w:widowControl/>
              <w:spacing w:line="360" w:lineRule="auto"/>
              <w:jc w:val="both"/>
              <w:rPr>
                <w:rFonts w:hint="eastAsia" w:ascii="宋体" w:hAnsi="宋体" w:eastAsia="宋体" w:cs="宋体"/>
                <w:color w:val="0D0D0D"/>
                <w:sz w:val="24"/>
                <w:szCs w:val="24"/>
              </w:rPr>
            </w:pPr>
            <w:r>
              <w:rPr>
                <w:rFonts w:hint="eastAsia" w:ascii="宋体" w:hAnsi="宋体" w:eastAsia="宋体" w:cs="宋体"/>
                <w:sz w:val="24"/>
                <w:szCs w:val="24"/>
              </w:rPr>
              <w:t>地上56.7㎡，地下209.8㎡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rPr>
                <w:rFonts w:hint="eastAsia" w:ascii="宋体" w:hAnsi="宋体" w:eastAsia="宋体" w:cs="宋体"/>
                <w:sz w:val="24"/>
                <w:szCs w:val="24"/>
              </w:rPr>
            </w:pPr>
            <w:r>
              <w:rPr>
                <w:rFonts w:hint="eastAsia" w:ascii="宋体" w:hAnsi="宋体" w:eastAsia="宋体" w:cs="宋体"/>
                <w:sz w:val="24"/>
                <w:szCs w:val="24"/>
              </w:rPr>
              <w:t>南泉枢纽收费站</w:t>
            </w:r>
          </w:p>
        </w:tc>
        <w:tc>
          <w:tcPr>
            <w:tcW w:w="1843" w:type="dxa"/>
            <w:vAlign w:val="center"/>
          </w:tcPr>
          <w:p>
            <w:pPr>
              <w:rPr>
                <w:rFonts w:hint="eastAsia" w:ascii="宋体" w:hAnsi="宋体" w:eastAsia="宋体" w:cs="宋体"/>
                <w:sz w:val="24"/>
                <w:szCs w:val="24"/>
              </w:rPr>
            </w:pPr>
            <w:r>
              <w:rPr>
                <w:rFonts w:hint="eastAsia" w:ascii="宋体" w:hAnsi="宋体" w:eastAsia="宋体" w:cs="宋体"/>
                <w:sz w:val="24"/>
                <w:szCs w:val="24"/>
              </w:rPr>
              <w:t>大棚</w:t>
            </w:r>
          </w:p>
        </w:tc>
        <w:tc>
          <w:tcPr>
            <w:tcW w:w="1443" w:type="dxa"/>
            <w:vAlign w:val="center"/>
          </w:tcPr>
          <w:p>
            <w:pPr>
              <w:rPr>
                <w:rFonts w:hint="eastAsia" w:ascii="宋体" w:hAnsi="宋体" w:eastAsia="宋体" w:cs="宋体"/>
                <w:sz w:val="24"/>
                <w:szCs w:val="24"/>
              </w:rPr>
            </w:pPr>
            <w:r>
              <w:rPr>
                <w:rFonts w:hint="eastAsia" w:ascii="宋体" w:hAnsi="宋体" w:eastAsia="宋体" w:cs="宋体"/>
                <w:sz w:val="24"/>
                <w:szCs w:val="24"/>
              </w:rPr>
              <w:t>1823</w:t>
            </w:r>
            <w:r>
              <w:rPr>
                <w:rFonts w:hint="eastAsia" w:ascii="宋体" w:hAnsi="宋体" w:eastAsia="宋体" w:cs="宋体"/>
                <w:sz w:val="24"/>
                <w:szCs w:val="24"/>
                <w:lang w:val="en-US" w:eastAsia="zh-CN"/>
              </w:rPr>
              <w:t>.00</w:t>
            </w:r>
          </w:p>
        </w:tc>
        <w:tc>
          <w:tcPr>
            <w:tcW w:w="2344" w:type="dxa"/>
            <w:vAlign w:val="center"/>
          </w:tcPr>
          <w:p>
            <w:pPr>
              <w:widowControl/>
              <w:spacing w:line="360" w:lineRule="auto"/>
              <w:jc w:val="both"/>
              <w:rPr>
                <w:rFonts w:hint="eastAsia" w:ascii="宋体" w:hAnsi="宋体" w:eastAsia="宋体" w:cs="宋体"/>
                <w:color w:val="0D0D0D"/>
                <w:sz w:val="24"/>
                <w:szCs w:val="24"/>
              </w:rPr>
            </w:pPr>
            <w:r>
              <w:rPr>
                <w:rFonts w:hint="eastAsia" w:ascii="宋体" w:hAnsi="宋体" w:eastAsia="宋体" w:cs="宋体"/>
                <w:sz w:val="24"/>
                <w:szCs w:val="24"/>
              </w:rPr>
              <w:t>投影面积、含地下通道</w:t>
            </w:r>
          </w:p>
        </w:tc>
      </w:tr>
    </w:tbl>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截至评估基准日，上述资产的账面金额为：房屋原值13375.47万元、净值18191.42万元；建筑物原值6274.19万元、净值5814.08万元；土地取得支出形成的相关资产原值311030.68万元、净值301724.10万元。有关土地及房屋建筑物的明细账面值拟待相关资产的产权权属办理后结合实际管理需要细化拆分至具体的资产项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上述划拨土地及房屋建筑的不同产权证尚未办理。2024年1月25日竣工验收后，标的公司</w:t>
      </w:r>
      <w:r>
        <w:rPr>
          <w:rFonts w:hint="eastAsia" w:ascii="宋体" w:hAnsi="宋体" w:eastAsia="宋体" w:cs="宋体"/>
          <w:sz w:val="24"/>
          <w:szCs w:val="24"/>
          <w:shd w:val="clear" w:color="auto" w:fill="F8F9FA"/>
        </w:rPr>
        <w:t>已着手收集材料准备</w:t>
      </w:r>
      <w:r>
        <w:rPr>
          <w:rFonts w:hint="eastAsia" w:ascii="宋体" w:hAnsi="宋体" w:eastAsia="宋体" w:cs="宋体"/>
          <w:sz w:val="24"/>
          <w:szCs w:val="24"/>
        </w:rPr>
        <w:t>向相关部门提出申请办理。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(2)评估上述瑕疵对标的资产生产经营的重要程度。</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回复：</w:t>
      </w:r>
    </w:p>
    <w:p>
      <w:pPr>
        <w:spacing w:line="360" w:lineRule="auto"/>
        <w:ind w:firstLine="480" w:firstLineChars="200"/>
        <w:rPr>
          <w:rFonts w:ascii="仿宋_GB2312" w:hAnsi="仿宋_GB2312" w:eastAsia="仿宋_GB2312" w:cs="仿宋_GB2312"/>
          <w:sz w:val="32"/>
          <w:szCs w:val="32"/>
        </w:rPr>
      </w:pPr>
      <w:r>
        <w:rPr>
          <w:rFonts w:hint="eastAsia" w:ascii="宋体" w:hAnsi="宋体" w:eastAsia="宋体" w:cs="宋体"/>
          <w:sz w:val="24"/>
          <w:szCs w:val="24"/>
        </w:rPr>
        <w:t>标的公司已完成土地征收及地上物拆迁等前期工作，足额支付了征地拆迁补偿费用，已实质使用该等地块，同时已取得了江苏省政府关于收费期限的批复。自2021年12月30日开通运营以来未发生土地权属纠纷。高速公路用地属于特殊不动产范畴，未办理相关产权证书是行业内比较常见的问题，未取得不动产权证书不影响标的公司正常使用相关土地和房产，不会对标的公司的正常生产经营造成重大不利影响。</w:t>
      </w:r>
    </w:p>
    <w:p>
      <w:pPr>
        <w:spacing w:line="360" w:lineRule="auto"/>
        <w:ind w:firstLine="640" w:firstLineChars="200"/>
        <w:rPr>
          <w:rFonts w:ascii="仿宋_GB2312" w:hAnsi="仿宋_GB2312" w:eastAsia="仿宋_GB2312" w:cs="仿宋_GB2312"/>
          <w:sz w:val="32"/>
          <w:szCs w:val="32"/>
        </w:rPr>
      </w:pPr>
    </w:p>
    <w:p>
      <w:pPr>
        <w:pStyle w:val="4"/>
        <w:spacing w:line="360" w:lineRule="auto"/>
        <w:ind w:firstLine="482"/>
        <w:jc w:val="left"/>
        <w:rPr>
          <w:rFonts w:cs="宋体" w:asciiTheme="minorEastAsia" w:hAnsiTheme="minorEastAsia" w:eastAsiaTheme="minorEastAsia"/>
          <w:sz w:val="24"/>
          <w:szCs w:val="24"/>
        </w:rPr>
      </w:pPr>
      <w:r>
        <w:rPr>
          <w:rFonts w:hint="eastAsia" w:cs="宋体" w:asciiTheme="minorEastAsia" w:hAnsiTheme="minorEastAsia" w:eastAsiaTheme="minorEastAsia"/>
          <w:b/>
          <w:sz w:val="24"/>
        </w:rPr>
        <w:t>特此公告。</w:t>
      </w:r>
    </w:p>
    <w:p>
      <w:pPr>
        <w:adjustRightInd w:val="0"/>
        <w:spacing w:line="360" w:lineRule="auto"/>
        <w:ind w:firstLine="4578" w:firstLineChars="19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w:t>
      </w:r>
    </w:p>
    <w:p>
      <w:pPr>
        <w:widowControl/>
        <w:spacing w:line="360" w:lineRule="auto"/>
        <w:ind w:firstLine="5301" w:firstLineChars="2200"/>
        <w:jc w:val="left"/>
        <w:rPr>
          <w:rFonts w:asciiTheme="minorEastAsia" w:hAnsiTheme="minorEastAsia" w:eastAsiaTheme="minorEastAsia"/>
          <w:sz w:val="24"/>
          <w:szCs w:val="24"/>
        </w:rPr>
      </w:pPr>
      <w:r>
        <w:rPr>
          <w:rFonts w:hint="eastAsia" w:cs="宋体" w:asciiTheme="minorEastAsia" w:hAnsiTheme="minorEastAsia" w:eastAsiaTheme="minorEastAsia"/>
          <w:b/>
          <w:sz w:val="24"/>
        </w:rPr>
        <w:t>二〇二</w:t>
      </w:r>
      <w:r>
        <w:rPr>
          <w:rFonts w:hint="eastAsia" w:cs="宋体" w:asciiTheme="minorEastAsia" w:hAnsiTheme="minorEastAsia" w:eastAsiaTheme="minorEastAsia"/>
          <w:b/>
          <w:sz w:val="24"/>
          <w:lang w:val="en-US" w:eastAsia="zh-CN"/>
        </w:rPr>
        <w:t>四</w:t>
      </w:r>
      <w:r>
        <w:rPr>
          <w:rFonts w:hint="eastAsia" w:cs="宋体" w:asciiTheme="minorEastAsia" w:hAnsiTheme="minorEastAsia" w:eastAsiaTheme="minorEastAsia"/>
          <w:b/>
          <w:sz w:val="24"/>
        </w:rPr>
        <w:t>年</w:t>
      </w:r>
      <w:r>
        <w:rPr>
          <w:rFonts w:hint="eastAsia" w:cs="宋体" w:asciiTheme="minorEastAsia" w:hAnsiTheme="minorEastAsia" w:eastAsiaTheme="minorEastAsia"/>
          <w:b/>
          <w:sz w:val="24"/>
          <w:lang w:val="en-US" w:eastAsia="zh-CN"/>
        </w:rPr>
        <w:t>三</w:t>
      </w:r>
      <w:r>
        <w:rPr>
          <w:rFonts w:hint="eastAsia" w:cs="宋体" w:asciiTheme="minorEastAsia" w:hAnsiTheme="minorEastAsia" w:eastAsiaTheme="minorEastAsia"/>
          <w:b/>
          <w:sz w:val="24"/>
        </w:rPr>
        <w:t>月二日</w:t>
      </w:r>
    </w:p>
    <w:p>
      <w:pPr>
        <w:spacing w:line="360" w:lineRule="auto"/>
        <w:ind w:firstLine="640" w:firstLineChars="200"/>
        <w:rPr>
          <w:rFonts w:ascii="仿宋_GB2312" w:hAnsi="仿宋_GB2312" w:eastAsia="仿宋_GB2312" w:cs="仿宋_GB2312"/>
          <w:sz w:val="32"/>
          <w:szCs w:val="32"/>
        </w:rPr>
      </w:pPr>
    </w:p>
    <w:p>
      <w:pPr>
        <w:spacing w:line="360" w:lineRule="auto"/>
        <w:ind w:firstLine="0" w:firstLineChars="0"/>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5644715"/>
    </w:sdtPr>
    <w:sdtContent>
      <w:p>
        <w:pPr>
          <w:pStyle w:val="8"/>
          <w:jc w:val="center"/>
        </w:pPr>
        <w:r>
          <w:fldChar w:fldCharType="begin"/>
        </w:r>
        <w:r>
          <w:instrText xml:space="preserve">PAGE   \* MERGEFORMAT</w:instrText>
        </w:r>
        <w:r>
          <w:fldChar w:fldCharType="separate"/>
        </w:r>
        <w:r>
          <w:rPr>
            <w:lang w:val="zh-CN"/>
          </w:rPr>
          <w:t>42</w:t>
        </w:r>
        <w: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642887"/>
    <w:multiLevelType w:val="singleLevel"/>
    <w:tmpl w:val="C0642887"/>
    <w:lvl w:ilvl="0" w:tentative="0">
      <w:start w:val="2"/>
      <w:numFmt w:val="chineseCounting"/>
      <w:lvlText w:val="(%1)"/>
      <w:lvlJc w:val="left"/>
      <w:rPr>
        <w:rFonts w:hint="eastAsia"/>
      </w:rPr>
    </w:lvl>
  </w:abstractNum>
  <w:abstractNum w:abstractNumId="1">
    <w:nsid w:val="CF092B84"/>
    <w:multiLevelType w:val="multilevel"/>
    <w:tmpl w:val="CF092B84"/>
    <w:lvl w:ilvl="0" w:tentative="0">
      <w:start w:val="3"/>
      <w:numFmt w:val="decimal"/>
      <w:lvlText w:val="(%1)"/>
      <w:lvlJc w:val="left"/>
      <w:pPr>
        <w:ind w:left="336" w:hanging="336"/>
      </w:pPr>
    </w:lvl>
    <w:lvl w:ilvl="1" w:tentative="0">
      <w:start w:val="1"/>
      <w:numFmt w:val="lowerLetter"/>
      <w:lvlText w:val="%2."/>
      <w:lvlJc w:val="left"/>
      <w:pPr>
        <w:ind w:left="756" w:hanging="336"/>
      </w:pPr>
    </w:lvl>
    <w:lvl w:ilvl="2" w:tentative="0">
      <w:start w:val="1"/>
      <w:numFmt w:val="lowerRoman"/>
      <w:lvlText w:val="%3."/>
      <w:lvlJc w:val="left"/>
      <w:pPr>
        <w:ind w:left="1176" w:hanging="336"/>
      </w:pPr>
    </w:lvl>
    <w:lvl w:ilvl="3" w:tentative="0">
      <w:start w:val="1"/>
      <w:numFmt w:val="decimal"/>
      <w:lvlText w:val="(%4)"/>
      <w:lvlJc w:val="left"/>
      <w:pPr>
        <w:ind w:left="1596" w:hanging="336"/>
      </w:pPr>
    </w:lvl>
    <w:lvl w:ilvl="4" w:tentative="0">
      <w:start w:val="1"/>
      <w:numFmt w:val="lowerLetter"/>
      <w:lvlText w:val="%5."/>
      <w:lvlJc w:val="left"/>
      <w:pPr>
        <w:ind w:left="2016" w:hanging="336"/>
      </w:pPr>
    </w:lvl>
    <w:lvl w:ilvl="5" w:tentative="0">
      <w:start w:val="1"/>
      <w:numFmt w:val="lowerRoman"/>
      <w:lvlText w:val="%6."/>
      <w:lvlJc w:val="left"/>
      <w:pPr>
        <w:ind w:left="2436" w:hanging="336"/>
      </w:pPr>
    </w:lvl>
    <w:lvl w:ilvl="6" w:tentative="0">
      <w:start w:val="1"/>
      <w:numFmt w:val="decimal"/>
      <w:lvlText w:val="(%7)"/>
      <w:lvlJc w:val="left"/>
      <w:pPr>
        <w:ind w:left="2856" w:hanging="336"/>
      </w:pPr>
    </w:lvl>
    <w:lvl w:ilvl="7" w:tentative="0">
      <w:start w:val="1"/>
      <w:numFmt w:val="lowerLetter"/>
      <w:lvlText w:val="%8."/>
      <w:lvlJc w:val="left"/>
      <w:pPr>
        <w:ind w:left="3276" w:hanging="336"/>
      </w:pPr>
    </w:lvl>
    <w:lvl w:ilvl="8" w:tentative="0">
      <w:start w:val="1"/>
      <w:numFmt w:val="lowerRoman"/>
      <w:lvlText w:val="%9."/>
      <w:lvlJc w:val="left"/>
      <w:pPr>
        <w:ind w:left="3696" w:hanging="336"/>
      </w:pPr>
    </w:lvl>
  </w:abstractNum>
  <w:abstractNum w:abstractNumId="2">
    <w:nsid w:val="CFDADCFE"/>
    <w:multiLevelType w:val="singleLevel"/>
    <w:tmpl w:val="CFDADCFE"/>
    <w:lvl w:ilvl="0" w:tentative="0">
      <w:start w:val="1"/>
      <w:numFmt w:val="chineseCount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 w:name="KSO_WPS_MARK_KEY" w:val="cbc9980c-91e5-4a25-8bd9-9c4ae5a28ff0"/>
  </w:docVars>
  <w:rsids>
    <w:rsidRoot w:val="00036FF1"/>
    <w:rsid w:val="00002378"/>
    <w:rsid w:val="00003979"/>
    <w:rsid w:val="00011846"/>
    <w:rsid w:val="00014116"/>
    <w:rsid w:val="0002455E"/>
    <w:rsid w:val="000362CC"/>
    <w:rsid w:val="00036FF1"/>
    <w:rsid w:val="0005300A"/>
    <w:rsid w:val="00060A3A"/>
    <w:rsid w:val="0009303E"/>
    <w:rsid w:val="00097E93"/>
    <w:rsid w:val="000B09EC"/>
    <w:rsid w:val="000D3085"/>
    <w:rsid w:val="000F2536"/>
    <w:rsid w:val="001005F9"/>
    <w:rsid w:val="00107BDD"/>
    <w:rsid w:val="001104B4"/>
    <w:rsid w:val="0011086F"/>
    <w:rsid w:val="00121075"/>
    <w:rsid w:val="001221D7"/>
    <w:rsid w:val="00123A65"/>
    <w:rsid w:val="00133807"/>
    <w:rsid w:val="00135AEE"/>
    <w:rsid w:val="00137B00"/>
    <w:rsid w:val="00140B14"/>
    <w:rsid w:val="001679C7"/>
    <w:rsid w:val="00172117"/>
    <w:rsid w:val="0017599A"/>
    <w:rsid w:val="001A08C6"/>
    <w:rsid w:val="001C6E9E"/>
    <w:rsid w:val="001C788A"/>
    <w:rsid w:val="001E206E"/>
    <w:rsid w:val="001E5407"/>
    <w:rsid w:val="001F4987"/>
    <w:rsid w:val="0020572F"/>
    <w:rsid w:val="00205FC3"/>
    <w:rsid w:val="00236145"/>
    <w:rsid w:val="002568E9"/>
    <w:rsid w:val="002600B9"/>
    <w:rsid w:val="002828D3"/>
    <w:rsid w:val="0028344A"/>
    <w:rsid w:val="00285ED5"/>
    <w:rsid w:val="00296D5B"/>
    <w:rsid w:val="002A007A"/>
    <w:rsid w:val="002A29D2"/>
    <w:rsid w:val="002A40F9"/>
    <w:rsid w:val="002E33FA"/>
    <w:rsid w:val="003059EE"/>
    <w:rsid w:val="00311495"/>
    <w:rsid w:val="0033317D"/>
    <w:rsid w:val="0036782E"/>
    <w:rsid w:val="003702AE"/>
    <w:rsid w:val="00382DF6"/>
    <w:rsid w:val="00386530"/>
    <w:rsid w:val="00394383"/>
    <w:rsid w:val="003B2E13"/>
    <w:rsid w:val="003B5EFD"/>
    <w:rsid w:val="003C0AFB"/>
    <w:rsid w:val="003E7D30"/>
    <w:rsid w:val="003F1B20"/>
    <w:rsid w:val="003F2347"/>
    <w:rsid w:val="00405490"/>
    <w:rsid w:val="00420D86"/>
    <w:rsid w:val="00422ECB"/>
    <w:rsid w:val="004252DE"/>
    <w:rsid w:val="00425B16"/>
    <w:rsid w:val="00431A59"/>
    <w:rsid w:val="00436553"/>
    <w:rsid w:val="004539AB"/>
    <w:rsid w:val="004553F6"/>
    <w:rsid w:val="004616E3"/>
    <w:rsid w:val="00463496"/>
    <w:rsid w:val="00470122"/>
    <w:rsid w:val="004925FC"/>
    <w:rsid w:val="004A18C1"/>
    <w:rsid w:val="004B3123"/>
    <w:rsid w:val="004C1E67"/>
    <w:rsid w:val="004C4491"/>
    <w:rsid w:val="004C4AE6"/>
    <w:rsid w:val="004D1BA7"/>
    <w:rsid w:val="004D3BD7"/>
    <w:rsid w:val="004D3E5A"/>
    <w:rsid w:val="004F48E4"/>
    <w:rsid w:val="00523052"/>
    <w:rsid w:val="00523574"/>
    <w:rsid w:val="005265BE"/>
    <w:rsid w:val="00535164"/>
    <w:rsid w:val="0054095D"/>
    <w:rsid w:val="00560D54"/>
    <w:rsid w:val="005722CC"/>
    <w:rsid w:val="00573D46"/>
    <w:rsid w:val="005B6B19"/>
    <w:rsid w:val="005B7578"/>
    <w:rsid w:val="005C4FB2"/>
    <w:rsid w:val="005E046C"/>
    <w:rsid w:val="005F7874"/>
    <w:rsid w:val="005F7C6C"/>
    <w:rsid w:val="006143FF"/>
    <w:rsid w:val="006265C4"/>
    <w:rsid w:val="00631BCA"/>
    <w:rsid w:val="006428BA"/>
    <w:rsid w:val="006674EE"/>
    <w:rsid w:val="00672932"/>
    <w:rsid w:val="00675581"/>
    <w:rsid w:val="00684E47"/>
    <w:rsid w:val="006A01E1"/>
    <w:rsid w:val="006A65C6"/>
    <w:rsid w:val="006C7549"/>
    <w:rsid w:val="006D1786"/>
    <w:rsid w:val="006E0FED"/>
    <w:rsid w:val="006F65B4"/>
    <w:rsid w:val="00702F56"/>
    <w:rsid w:val="00703048"/>
    <w:rsid w:val="00712A06"/>
    <w:rsid w:val="00727442"/>
    <w:rsid w:val="00736035"/>
    <w:rsid w:val="00770D58"/>
    <w:rsid w:val="007735FC"/>
    <w:rsid w:val="00777A8A"/>
    <w:rsid w:val="007B5372"/>
    <w:rsid w:val="007C35A7"/>
    <w:rsid w:val="007E4FE6"/>
    <w:rsid w:val="007F4179"/>
    <w:rsid w:val="00801A05"/>
    <w:rsid w:val="00806C58"/>
    <w:rsid w:val="00807340"/>
    <w:rsid w:val="00815997"/>
    <w:rsid w:val="00815C2E"/>
    <w:rsid w:val="008334F4"/>
    <w:rsid w:val="008539AB"/>
    <w:rsid w:val="00862119"/>
    <w:rsid w:val="00867B6A"/>
    <w:rsid w:val="008B11D4"/>
    <w:rsid w:val="008B1FE8"/>
    <w:rsid w:val="008D1146"/>
    <w:rsid w:val="008D7379"/>
    <w:rsid w:val="008E2062"/>
    <w:rsid w:val="008E3739"/>
    <w:rsid w:val="008E38BE"/>
    <w:rsid w:val="008F1576"/>
    <w:rsid w:val="009022C2"/>
    <w:rsid w:val="00912DFD"/>
    <w:rsid w:val="009145B2"/>
    <w:rsid w:val="00921CB2"/>
    <w:rsid w:val="00991E1D"/>
    <w:rsid w:val="009A35D8"/>
    <w:rsid w:val="009B00DB"/>
    <w:rsid w:val="009C6180"/>
    <w:rsid w:val="009D357D"/>
    <w:rsid w:val="009E4FF3"/>
    <w:rsid w:val="009E5A3A"/>
    <w:rsid w:val="009E7967"/>
    <w:rsid w:val="00A17ED2"/>
    <w:rsid w:val="00A42CC2"/>
    <w:rsid w:val="00A5277B"/>
    <w:rsid w:val="00A536E5"/>
    <w:rsid w:val="00A6745D"/>
    <w:rsid w:val="00A773AA"/>
    <w:rsid w:val="00A93452"/>
    <w:rsid w:val="00AA16D1"/>
    <w:rsid w:val="00AA6674"/>
    <w:rsid w:val="00AB0D69"/>
    <w:rsid w:val="00AB3D4B"/>
    <w:rsid w:val="00AD2100"/>
    <w:rsid w:val="00B02362"/>
    <w:rsid w:val="00B16C03"/>
    <w:rsid w:val="00B212C1"/>
    <w:rsid w:val="00B24DEC"/>
    <w:rsid w:val="00B328D4"/>
    <w:rsid w:val="00B32A6A"/>
    <w:rsid w:val="00B33011"/>
    <w:rsid w:val="00B36536"/>
    <w:rsid w:val="00B36919"/>
    <w:rsid w:val="00B430AD"/>
    <w:rsid w:val="00B46FEE"/>
    <w:rsid w:val="00B6474C"/>
    <w:rsid w:val="00B66CBD"/>
    <w:rsid w:val="00B67F29"/>
    <w:rsid w:val="00B9189C"/>
    <w:rsid w:val="00B92353"/>
    <w:rsid w:val="00B92376"/>
    <w:rsid w:val="00B94001"/>
    <w:rsid w:val="00B957AF"/>
    <w:rsid w:val="00BB27E5"/>
    <w:rsid w:val="00BC5955"/>
    <w:rsid w:val="00BC6E41"/>
    <w:rsid w:val="00BD2384"/>
    <w:rsid w:val="00BF2858"/>
    <w:rsid w:val="00BF738B"/>
    <w:rsid w:val="00C12CB3"/>
    <w:rsid w:val="00C26BC1"/>
    <w:rsid w:val="00C322CF"/>
    <w:rsid w:val="00C43CD0"/>
    <w:rsid w:val="00C50C22"/>
    <w:rsid w:val="00C655B5"/>
    <w:rsid w:val="00C6571B"/>
    <w:rsid w:val="00C67F29"/>
    <w:rsid w:val="00C70D53"/>
    <w:rsid w:val="00C81586"/>
    <w:rsid w:val="00C83C12"/>
    <w:rsid w:val="00C96208"/>
    <w:rsid w:val="00CD142C"/>
    <w:rsid w:val="00CD1860"/>
    <w:rsid w:val="00CE37F9"/>
    <w:rsid w:val="00CE72DA"/>
    <w:rsid w:val="00D14293"/>
    <w:rsid w:val="00D14B0B"/>
    <w:rsid w:val="00D20A40"/>
    <w:rsid w:val="00D21C51"/>
    <w:rsid w:val="00D25E9A"/>
    <w:rsid w:val="00D36B11"/>
    <w:rsid w:val="00D43B78"/>
    <w:rsid w:val="00D57260"/>
    <w:rsid w:val="00D670D5"/>
    <w:rsid w:val="00D80525"/>
    <w:rsid w:val="00D849C7"/>
    <w:rsid w:val="00D87CF0"/>
    <w:rsid w:val="00D91074"/>
    <w:rsid w:val="00D92D2C"/>
    <w:rsid w:val="00DA1746"/>
    <w:rsid w:val="00DB3F89"/>
    <w:rsid w:val="00DB5E90"/>
    <w:rsid w:val="00DD0E04"/>
    <w:rsid w:val="00DD1D64"/>
    <w:rsid w:val="00DD2188"/>
    <w:rsid w:val="00DE5051"/>
    <w:rsid w:val="00DF76C3"/>
    <w:rsid w:val="00E34CFE"/>
    <w:rsid w:val="00E65BCA"/>
    <w:rsid w:val="00E90DCD"/>
    <w:rsid w:val="00EA481F"/>
    <w:rsid w:val="00EB0D3F"/>
    <w:rsid w:val="00EB3AB4"/>
    <w:rsid w:val="00EC3ACF"/>
    <w:rsid w:val="00EE16B4"/>
    <w:rsid w:val="00EF05AA"/>
    <w:rsid w:val="00F036F6"/>
    <w:rsid w:val="00F128A9"/>
    <w:rsid w:val="00F33820"/>
    <w:rsid w:val="00F36541"/>
    <w:rsid w:val="00F41240"/>
    <w:rsid w:val="00F5273B"/>
    <w:rsid w:val="00F53829"/>
    <w:rsid w:val="00F604E2"/>
    <w:rsid w:val="00F61E7A"/>
    <w:rsid w:val="00F66775"/>
    <w:rsid w:val="00F87B41"/>
    <w:rsid w:val="00F9793E"/>
    <w:rsid w:val="00FA645E"/>
    <w:rsid w:val="00FB4FE6"/>
    <w:rsid w:val="00FC2E17"/>
    <w:rsid w:val="00FD0042"/>
    <w:rsid w:val="00FD74A2"/>
    <w:rsid w:val="01543C57"/>
    <w:rsid w:val="03436045"/>
    <w:rsid w:val="060541A1"/>
    <w:rsid w:val="075527EB"/>
    <w:rsid w:val="0B962B8F"/>
    <w:rsid w:val="0C291362"/>
    <w:rsid w:val="0C520FB8"/>
    <w:rsid w:val="10493DBD"/>
    <w:rsid w:val="13F422E9"/>
    <w:rsid w:val="168F2C60"/>
    <w:rsid w:val="18814D6B"/>
    <w:rsid w:val="1A7C78C8"/>
    <w:rsid w:val="1D6E7735"/>
    <w:rsid w:val="1EDF58A2"/>
    <w:rsid w:val="20662FEA"/>
    <w:rsid w:val="23E027A3"/>
    <w:rsid w:val="25700F9E"/>
    <w:rsid w:val="2724360B"/>
    <w:rsid w:val="28982414"/>
    <w:rsid w:val="2A1264C9"/>
    <w:rsid w:val="2A213266"/>
    <w:rsid w:val="327C3497"/>
    <w:rsid w:val="32A9592A"/>
    <w:rsid w:val="32AD1F5E"/>
    <w:rsid w:val="330C5003"/>
    <w:rsid w:val="359C60AF"/>
    <w:rsid w:val="37FE39FA"/>
    <w:rsid w:val="3A3666A2"/>
    <w:rsid w:val="3B6D2929"/>
    <w:rsid w:val="3C2C5429"/>
    <w:rsid w:val="3D69076F"/>
    <w:rsid w:val="45EF4E40"/>
    <w:rsid w:val="476718AD"/>
    <w:rsid w:val="47947C0E"/>
    <w:rsid w:val="47AD45B6"/>
    <w:rsid w:val="491E7296"/>
    <w:rsid w:val="4A2C6CA9"/>
    <w:rsid w:val="4CDA5795"/>
    <w:rsid w:val="4FE71AD1"/>
    <w:rsid w:val="53B810D4"/>
    <w:rsid w:val="5BAD5A16"/>
    <w:rsid w:val="5CC74453"/>
    <w:rsid w:val="5D8D11BC"/>
    <w:rsid w:val="5E442CB7"/>
    <w:rsid w:val="5E9970DC"/>
    <w:rsid w:val="5F2900BC"/>
    <w:rsid w:val="5FB22A45"/>
    <w:rsid w:val="5FB23A9E"/>
    <w:rsid w:val="64172D6B"/>
    <w:rsid w:val="64C319A4"/>
    <w:rsid w:val="672003DB"/>
    <w:rsid w:val="6A9443BE"/>
    <w:rsid w:val="6A9E5864"/>
    <w:rsid w:val="6B576F98"/>
    <w:rsid w:val="6B8E4D91"/>
    <w:rsid w:val="6CFC5027"/>
    <w:rsid w:val="6FA3193D"/>
    <w:rsid w:val="6FEE2E3B"/>
    <w:rsid w:val="703603A6"/>
    <w:rsid w:val="737A6067"/>
    <w:rsid w:val="7577346F"/>
    <w:rsid w:val="77E15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3">
    <w:name w:val="heading 3"/>
    <w:basedOn w:val="1"/>
    <w:next w:val="1"/>
    <w:autoRedefine/>
    <w:qFormat/>
    <w:uiPriority w:val="9"/>
    <w:pPr>
      <w:keepNext/>
      <w:keepLines/>
      <w:spacing w:line="408" w:lineRule="auto"/>
      <w:outlineLvl w:val="2"/>
    </w:pPr>
    <w:rPr>
      <w:b/>
      <w:bCs/>
      <w:color w:val="1A1A1A"/>
      <w:sz w:val="28"/>
      <w:szCs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23"/>
    <w:autoRedefine/>
    <w:qFormat/>
    <w:uiPriority w:val="0"/>
    <w:pPr>
      <w:adjustRightInd w:val="0"/>
      <w:spacing w:before="60" w:after="60" w:line="312" w:lineRule="atLeast"/>
      <w:ind w:firstLine="420"/>
      <w:textAlignment w:val="baseline"/>
    </w:pPr>
    <w:rPr>
      <w:rFonts w:ascii="Times New Roman" w:hAnsi="Times New Roman" w:eastAsia="宋体" w:cs="Times New Roman"/>
      <w:kern w:val="0"/>
      <w:sz w:val="24"/>
      <w:szCs w:val="20"/>
    </w:rPr>
  </w:style>
  <w:style w:type="paragraph" w:styleId="5">
    <w:name w:val="annotation text"/>
    <w:basedOn w:val="1"/>
    <w:link w:val="18"/>
    <w:autoRedefine/>
    <w:semiHidden/>
    <w:unhideWhenUsed/>
    <w:qFormat/>
    <w:uiPriority w:val="99"/>
  </w:style>
  <w:style w:type="paragraph" w:styleId="6">
    <w:name w:val="Body Text"/>
    <w:basedOn w:val="1"/>
    <w:link w:val="24"/>
    <w:autoRedefine/>
    <w:qFormat/>
    <w:uiPriority w:val="0"/>
    <w:pPr>
      <w:spacing w:after="120"/>
      <w:jc w:val="both"/>
    </w:pPr>
    <w:rPr>
      <w:kern w:val="0"/>
      <w:szCs w:val="24"/>
    </w:rPr>
  </w:style>
  <w:style w:type="paragraph" w:styleId="7">
    <w:name w:val="Balloon Text"/>
    <w:basedOn w:val="1"/>
    <w:link w:val="19"/>
    <w:autoRedefine/>
    <w:semiHidden/>
    <w:unhideWhenUsed/>
    <w:qFormat/>
    <w:uiPriority w:val="99"/>
    <w:rPr>
      <w:sz w:val="18"/>
      <w:szCs w:val="18"/>
    </w:rPr>
  </w:style>
  <w:style w:type="paragraph" w:styleId="8">
    <w:name w:val="footer"/>
    <w:basedOn w:val="1"/>
    <w:link w:val="20"/>
    <w:autoRedefine/>
    <w:unhideWhenUsed/>
    <w:qFormat/>
    <w:uiPriority w:val="99"/>
    <w:pPr>
      <w:tabs>
        <w:tab w:val="center" w:pos="4153"/>
        <w:tab w:val="right" w:pos="8306"/>
      </w:tabs>
      <w:snapToGrid w:val="0"/>
    </w:pPr>
    <w:rPr>
      <w:sz w:val="18"/>
      <w:szCs w:val="18"/>
    </w:rPr>
  </w:style>
  <w:style w:type="paragraph" w:styleId="9">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39"/>
    <w:pPr>
      <w:tabs>
        <w:tab w:val="right" w:leader="dot" w:pos="8494"/>
      </w:tabs>
      <w:snapToGrid w:val="0"/>
      <w:spacing w:line="360" w:lineRule="auto"/>
      <w:ind w:firstLine="480" w:firstLineChars="200"/>
      <w:contextualSpacing/>
      <w:jc w:val="both"/>
    </w:pPr>
    <w:rPr>
      <w:rFonts w:ascii="宋体" w:hAnsi="宋体"/>
      <w:caps/>
      <w:szCs w:val="24"/>
    </w:rPr>
  </w:style>
  <w:style w:type="paragraph" w:styleId="11">
    <w:name w:val="Normal (Web)"/>
    <w:basedOn w:val="1"/>
    <w:autoRedefine/>
    <w:semiHidden/>
    <w:unhideWhenUsed/>
    <w:qFormat/>
    <w:uiPriority w:val="99"/>
    <w:rPr>
      <w:sz w:val="24"/>
    </w:rPr>
  </w:style>
  <w:style w:type="paragraph" w:styleId="12">
    <w:name w:val="annotation subject"/>
    <w:basedOn w:val="5"/>
    <w:next w:val="5"/>
    <w:link w:val="25"/>
    <w:autoRedefine/>
    <w:semiHidden/>
    <w:unhideWhenUsed/>
    <w:qFormat/>
    <w:uiPriority w:val="99"/>
    <w:rPr>
      <w:b/>
      <w:bCs/>
    </w:rPr>
  </w:style>
  <w:style w:type="table" w:styleId="14">
    <w:name w:val="Table Grid"/>
    <w:basedOn w:val="13"/>
    <w:autoRedefine/>
    <w:qFormat/>
    <w:uiPriority w:val="1"/>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Pr>
    <w:tcPr>
      <w:vAlign w:val="center"/>
    </w:tcPr>
  </w:style>
  <w:style w:type="character" w:styleId="16">
    <w:name w:val="Hyperlink"/>
    <w:basedOn w:val="15"/>
    <w:autoRedefine/>
    <w:unhideWhenUsed/>
    <w:qFormat/>
    <w:uiPriority w:val="99"/>
    <w:rPr>
      <w:color w:val="0563C1" w:themeColor="hyperlink"/>
      <w:u w:val="single"/>
      <w14:textFill>
        <w14:solidFill>
          <w14:schemeClr w14:val="hlink"/>
        </w14:solidFill>
      </w14:textFill>
    </w:rPr>
  </w:style>
  <w:style w:type="character" w:styleId="17">
    <w:name w:val="annotation reference"/>
    <w:basedOn w:val="15"/>
    <w:autoRedefine/>
    <w:semiHidden/>
    <w:unhideWhenUsed/>
    <w:qFormat/>
    <w:uiPriority w:val="99"/>
    <w:rPr>
      <w:sz w:val="21"/>
      <w:szCs w:val="21"/>
    </w:rPr>
  </w:style>
  <w:style w:type="character" w:customStyle="1" w:styleId="18">
    <w:name w:val="批注文字 Char"/>
    <w:basedOn w:val="15"/>
    <w:link w:val="5"/>
    <w:autoRedefine/>
    <w:semiHidden/>
    <w:qFormat/>
    <w:uiPriority w:val="99"/>
    <w:rPr>
      <w:rFonts w:asciiTheme="minorHAnsi" w:hAnsiTheme="minorHAnsi" w:eastAsiaTheme="minorEastAsia" w:cstheme="minorBidi"/>
      <w:kern w:val="2"/>
      <w:sz w:val="21"/>
      <w:szCs w:val="22"/>
    </w:rPr>
  </w:style>
  <w:style w:type="character" w:customStyle="1" w:styleId="19">
    <w:name w:val="批注框文本 Char"/>
    <w:basedOn w:val="15"/>
    <w:link w:val="7"/>
    <w:autoRedefine/>
    <w:semiHidden/>
    <w:qFormat/>
    <w:uiPriority w:val="99"/>
    <w:rPr>
      <w:rFonts w:asciiTheme="minorHAnsi" w:hAnsiTheme="minorHAnsi" w:eastAsiaTheme="minorEastAsia" w:cstheme="minorBidi"/>
      <w:kern w:val="2"/>
      <w:sz w:val="18"/>
      <w:szCs w:val="18"/>
    </w:rPr>
  </w:style>
  <w:style w:type="character" w:customStyle="1" w:styleId="20">
    <w:name w:val="页脚 Char"/>
    <w:basedOn w:val="15"/>
    <w:link w:val="8"/>
    <w:autoRedefine/>
    <w:qFormat/>
    <w:uiPriority w:val="99"/>
    <w:rPr>
      <w:rFonts w:asciiTheme="minorHAnsi" w:hAnsiTheme="minorHAnsi" w:eastAsiaTheme="minorEastAsia" w:cstheme="minorBidi"/>
      <w:kern w:val="2"/>
      <w:sz w:val="18"/>
      <w:szCs w:val="18"/>
    </w:rPr>
  </w:style>
  <w:style w:type="character" w:customStyle="1" w:styleId="21">
    <w:name w:val="页眉 Char"/>
    <w:basedOn w:val="15"/>
    <w:link w:val="9"/>
    <w:autoRedefine/>
    <w:qFormat/>
    <w:uiPriority w:val="99"/>
    <w:rPr>
      <w:rFonts w:asciiTheme="minorHAnsi" w:hAnsiTheme="minorHAnsi" w:eastAsiaTheme="minorEastAsia" w:cstheme="minorBidi"/>
      <w:kern w:val="2"/>
      <w:sz w:val="18"/>
      <w:szCs w:val="18"/>
    </w:rPr>
  </w:style>
  <w:style w:type="paragraph" w:styleId="22">
    <w:name w:val="List Paragraph"/>
    <w:basedOn w:val="1"/>
    <w:autoRedefine/>
    <w:qFormat/>
    <w:uiPriority w:val="99"/>
    <w:pPr>
      <w:ind w:firstLine="420" w:firstLineChars="200"/>
    </w:pPr>
  </w:style>
  <w:style w:type="character" w:customStyle="1" w:styleId="23">
    <w:name w:val="正文缩进 Char"/>
    <w:link w:val="4"/>
    <w:autoRedefine/>
    <w:qFormat/>
    <w:uiPriority w:val="0"/>
    <w:rPr>
      <w:sz w:val="24"/>
    </w:rPr>
  </w:style>
  <w:style w:type="character" w:customStyle="1" w:styleId="24">
    <w:name w:val="正文文本 Char"/>
    <w:basedOn w:val="15"/>
    <w:link w:val="6"/>
    <w:autoRedefine/>
    <w:qFormat/>
    <w:uiPriority w:val="0"/>
    <w:rPr>
      <w:rFonts w:asciiTheme="minorHAnsi" w:hAnsiTheme="minorHAnsi" w:eastAsiaTheme="minorEastAsia" w:cstheme="minorBidi"/>
      <w:sz w:val="21"/>
      <w:szCs w:val="24"/>
    </w:rPr>
  </w:style>
  <w:style w:type="character" w:customStyle="1" w:styleId="25">
    <w:name w:val="批注主题 Char"/>
    <w:basedOn w:val="18"/>
    <w:link w:val="12"/>
    <w:autoRedefine/>
    <w:semiHidden/>
    <w:qFormat/>
    <w:uiPriority w:val="99"/>
    <w:rPr>
      <w:rFonts w:asciiTheme="minorHAnsi" w:hAnsiTheme="minorHAnsi" w:eastAsiaTheme="minorEastAsia" w:cstheme="minorBidi"/>
      <w:b/>
      <w:bCs/>
      <w:kern w:val="2"/>
      <w:sz w:val="21"/>
      <w:szCs w:val="22"/>
    </w:rPr>
  </w:style>
  <w:style w:type="character" w:customStyle="1" w:styleId="26">
    <w:name w:val="font11"/>
    <w:basedOn w:val="15"/>
    <w:autoRedefine/>
    <w:qFormat/>
    <w:uiPriority w:val="0"/>
    <w:rPr>
      <w:rFonts w:hint="eastAsia" w:ascii="宋体" w:hAnsi="宋体" w:eastAsia="宋体" w:cs="宋体"/>
      <w:b/>
      <w:bCs/>
      <w:color w:val="000000"/>
      <w:sz w:val="13"/>
      <w:szCs w:val="13"/>
      <w:u w:val="none"/>
    </w:rPr>
  </w:style>
  <w:style w:type="character" w:customStyle="1" w:styleId="27">
    <w:name w:val="font21"/>
    <w:basedOn w:val="15"/>
    <w:autoRedefine/>
    <w:qFormat/>
    <w:uiPriority w:val="0"/>
    <w:rPr>
      <w:rFonts w:ascii="Calibri" w:hAnsi="Calibri" w:cs="Calibri"/>
      <w:b/>
      <w:bCs/>
      <w:color w:val="000000"/>
      <w:sz w:val="13"/>
      <w:szCs w:val="13"/>
      <w:u w:val="none"/>
    </w:rPr>
  </w:style>
  <w:style w:type="character" w:customStyle="1" w:styleId="28">
    <w:name w:val="font31"/>
    <w:basedOn w:val="15"/>
    <w:autoRedefine/>
    <w:qFormat/>
    <w:uiPriority w:val="0"/>
    <w:rPr>
      <w:rFonts w:hint="eastAsia" w:ascii="宋体" w:hAnsi="宋体" w:eastAsia="宋体" w:cs="宋体"/>
      <w:color w:val="000000"/>
      <w:sz w:val="13"/>
      <w:szCs w:val="13"/>
      <w:u w:val="none"/>
    </w:rPr>
  </w:style>
  <w:style w:type="character" w:customStyle="1" w:styleId="29">
    <w:name w:val="font41"/>
    <w:basedOn w:val="15"/>
    <w:autoRedefine/>
    <w:qFormat/>
    <w:uiPriority w:val="0"/>
    <w:rPr>
      <w:rFonts w:hint="default" w:ascii="Calibri" w:hAnsi="Calibri" w:cs="Calibri"/>
      <w:color w:val="000000"/>
      <w:sz w:val="13"/>
      <w:szCs w:val="13"/>
      <w:u w:val="none"/>
    </w:rPr>
  </w:style>
  <w:style w:type="character" w:customStyle="1" w:styleId="30">
    <w:name w:val="font61"/>
    <w:basedOn w:val="15"/>
    <w:autoRedefine/>
    <w:qFormat/>
    <w:uiPriority w:val="0"/>
    <w:rPr>
      <w:rFonts w:ascii="Arial Narrow" w:hAnsi="Arial Narrow" w:eastAsia="Arial Narrow" w:cs="Arial Narrow"/>
      <w:b/>
      <w:bCs/>
      <w:color w:val="000000"/>
      <w:sz w:val="13"/>
      <w:szCs w:val="13"/>
      <w:u w:val="none"/>
    </w:rPr>
  </w:style>
  <w:style w:type="character" w:customStyle="1" w:styleId="31">
    <w:name w:val="font51"/>
    <w:basedOn w:val="15"/>
    <w:autoRedefine/>
    <w:qFormat/>
    <w:uiPriority w:val="0"/>
    <w:rPr>
      <w:rFonts w:hint="default" w:ascii="Calibri" w:hAnsi="Calibri" w:cs="Calibri"/>
      <w:color w:val="000000"/>
      <w:sz w:val="13"/>
      <w:szCs w:val="13"/>
      <w:u w:val="none"/>
    </w:rPr>
  </w:style>
  <w:style w:type="character" w:customStyle="1" w:styleId="32">
    <w:name w:val="标题 1 Char"/>
    <w:basedOn w:val="15"/>
    <w:link w:val="2"/>
    <w:autoRedefine/>
    <w:qFormat/>
    <w:uiPriority w:val="0"/>
    <w:rPr>
      <w:rFonts w:asciiTheme="minorHAnsi" w:hAnsiTheme="minorHAnsi" w:eastAsiaTheme="minorEastAsia" w:cstheme="minorBidi"/>
      <w:b/>
      <w:bCs/>
      <w:kern w:val="44"/>
      <w:sz w:val="44"/>
      <w:szCs w:val="44"/>
    </w:rPr>
  </w:style>
  <w:style w:type="paragraph" w:customStyle="1" w:styleId="33">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48</Pages>
  <Words>4575</Words>
  <Characters>26083</Characters>
  <Lines>217</Lines>
  <Paragraphs>61</Paragraphs>
  <TotalTime>13</TotalTime>
  <ScaleCrop>false</ScaleCrop>
  <LinksUpToDate>false</LinksUpToDate>
  <CharactersWithSpaces>30597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2024-02-28T04:43:00Z</dcterms:created>
  <dc:creator>88699</dc:creator>
  <cp:lastModifiedBy>Lky</cp:lastModifiedBy>
  <cp:lastPrinted>2024-02-01T06:54:00Z</cp:lastPrinted>
  <dcterms:modified xsi:type="dcterms:W3CDTF">2024-03-01T08:49:40Z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D22CD9C142954A3695AABCD518EB19BD</vt:lpwstr>
  </property>
</Properties>
</file>